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3E1B9" w14:textId="77777777" w:rsidR="002D4A87" w:rsidRPr="00824317" w:rsidRDefault="00AE2FCC">
      <w:pPr>
        <w:spacing w:after="0" w:line="259" w:lineRule="auto"/>
        <w:ind w:left="0" w:firstLine="0"/>
        <w:jc w:val="left"/>
      </w:pPr>
      <w:r>
        <w:rPr>
          <w:b/>
          <w:sz w:val="28"/>
        </w:rPr>
        <w:t>Décès</w:t>
      </w:r>
    </w:p>
    <w:p w14:paraId="12F73E24" w14:textId="77777777" w:rsidR="002D4A87" w:rsidRPr="00824317" w:rsidRDefault="002D4A87">
      <w:pPr>
        <w:spacing w:after="12" w:line="259" w:lineRule="auto"/>
        <w:ind w:left="0" w:firstLine="0"/>
        <w:jc w:val="left"/>
      </w:pPr>
    </w:p>
    <w:p w14:paraId="3217ACF1" w14:textId="77777777" w:rsidR="002D4A87" w:rsidRPr="00824317" w:rsidRDefault="00AE2FCC">
      <w:pPr>
        <w:numPr>
          <w:ilvl w:val="0"/>
          <w:numId w:val="1"/>
        </w:numPr>
        <w:ind w:hanging="410"/>
      </w:pPr>
      <w:r>
        <w:t>Cette section explique ce qu</w:t>
      </w:r>
      <w:r w:rsidR="00127D0B">
        <w:t>’</w:t>
      </w:r>
      <w:r>
        <w:t>il faut faire en cas de décès d</w:t>
      </w:r>
      <w:r w:rsidR="00127D0B">
        <w:t>’</w:t>
      </w:r>
      <w:r>
        <w:t>un membre du personnel.</w:t>
      </w:r>
    </w:p>
    <w:p w14:paraId="5152666D" w14:textId="77777777" w:rsidR="002D4A87" w:rsidRPr="00824317" w:rsidRDefault="002D4A87">
      <w:pPr>
        <w:spacing w:after="12" w:line="259" w:lineRule="auto"/>
        <w:ind w:left="720" w:firstLine="0"/>
        <w:jc w:val="left"/>
      </w:pPr>
    </w:p>
    <w:p w14:paraId="61304B5F" w14:textId="77777777" w:rsidR="002D4A87" w:rsidRPr="00824317" w:rsidRDefault="00AE2FCC">
      <w:pPr>
        <w:numPr>
          <w:ilvl w:val="0"/>
          <w:numId w:val="1"/>
        </w:numPr>
        <w:ind w:hanging="410"/>
      </w:pPr>
      <w:r>
        <w:t>Lors du décès d</w:t>
      </w:r>
      <w:r w:rsidR="00127D0B">
        <w:t>’</w:t>
      </w:r>
      <w:r>
        <w:t>un fonctionnaire recruté sur le plan international ou local et non affecté à New York, les informations suivantes doivent être immédiatement envoyées par fax ou par courriel au partenaire ressources humaines (HR) du bureau des ressources humaines de New York (NY) et au spécialiste des ressources humaines du bureau des ressources humaines à Copenhague desservant le lieu d</w:t>
      </w:r>
      <w:r w:rsidR="00127D0B">
        <w:t>’</w:t>
      </w:r>
      <w:r>
        <w:t>affectation ou l</w:t>
      </w:r>
      <w:r w:rsidR="00127D0B">
        <w:t>’</w:t>
      </w:r>
      <w:r>
        <w:t>unité administrative</w:t>
      </w:r>
      <w:r w:rsidR="00127D0B">
        <w:t> :</w:t>
      </w:r>
    </w:p>
    <w:p w14:paraId="14C86B4F" w14:textId="77777777" w:rsidR="002D4A87" w:rsidRPr="00824317" w:rsidRDefault="002D4A87">
      <w:pPr>
        <w:spacing w:after="12" w:line="259" w:lineRule="auto"/>
        <w:ind w:left="1080" w:firstLine="0"/>
        <w:jc w:val="left"/>
      </w:pPr>
    </w:p>
    <w:p w14:paraId="67C96979" w14:textId="77777777" w:rsidR="002D4A87" w:rsidRPr="00824317" w:rsidRDefault="00127D0B">
      <w:pPr>
        <w:numPr>
          <w:ilvl w:val="1"/>
          <w:numId w:val="1"/>
        </w:numPr>
        <w:ind w:hanging="360"/>
      </w:pPr>
      <w:r>
        <w:t>n</w:t>
      </w:r>
      <w:r w:rsidR="00AE2FCC">
        <w:t>om, titre fonctionnel, poste et numéro de code du fonctionnaire</w:t>
      </w:r>
      <w:r>
        <w:t> ;</w:t>
      </w:r>
    </w:p>
    <w:p w14:paraId="34E03481" w14:textId="77777777" w:rsidR="002D4A87" w:rsidRPr="00824317" w:rsidRDefault="00127D0B">
      <w:pPr>
        <w:numPr>
          <w:ilvl w:val="1"/>
          <w:numId w:val="1"/>
        </w:numPr>
        <w:ind w:hanging="360"/>
      </w:pPr>
      <w:r>
        <w:t>d</w:t>
      </w:r>
      <w:r w:rsidR="00AE2FCC">
        <w:t>ate du décès</w:t>
      </w:r>
      <w:r>
        <w:t> ;</w:t>
      </w:r>
    </w:p>
    <w:p w14:paraId="184B01C5" w14:textId="77777777" w:rsidR="002D4A87" w:rsidRPr="00824317" w:rsidRDefault="00127D0B">
      <w:pPr>
        <w:numPr>
          <w:ilvl w:val="1"/>
          <w:numId w:val="1"/>
        </w:numPr>
        <w:ind w:hanging="360"/>
      </w:pPr>
      <w:r>
        <w:t>l</w:t>
      </w:r>
      <w:r w:rsidR="00AE2FCC">
        <w:t>ieu et cause du décès</w:t>
      </w:r>
      <w:r>
        <w:t> ;</w:t>
      </w:r>
      <w:r w:rsidR="00AE2FCC">
        <w:t xml:space="preserve"> et</w:t>
      </w:r>
    </w:p>
    <w:p w14:paraId="108FB24B" w14:textId="77777777" w:rsidR="002D4A87" w:rsidRPr="00824317" w:rsidRDefault="00127D0B">
      <w:pPr>
        <w:numPr>
          <w:ilvl w:val="1"/>
          <w:numId w:val="1"/>
        </w:numPr>
        <w:ind w:hanging="360"/>
      </w:pPr>
      <w:r>
        <w:t>s</w:t>
      </w:r>
      <w:r w:rsidR="00AE2FCC">
        <w:t>i le décès a été causé par le service</w:t>
      </w:r>
      <w:r>
        <w:t>.</w:t>
      </w:r>
    </w:p>
    <w:p w14:paraId="73B7A4E9" w14:textId="77777777" w:rsidR="002D4A87" w:rsidRPr="00824317" w:rsidRDefault="002D4A87">
      <w:pPr>
        <w:spacing w:after="0" w:line="259" w:lineRule="auto"/>
        <w:ind w:left="0" w:firstLine="0"/>
        <w:jc w:val="left"/>
      </w:pPr>
    </w:p>
    <w:p w14:paraId="673E6B4A" w14:textId="77777777" w:rsidR="002D4A87" w:rsidRPr="00824317" w:rsidRDefault="00AE2FCC">
      <w:pPr>
        <w:spacing w:after="0" w:line="259" w:lineRule="auto"/>
        <w:ind w:left="-5" w:hanging="10"/>
        <w:jc w:val="left"/>
      </w:pPr>
      <w:r>
        <w:rPr>
          <w:b/>
        </w:rPr>
        <w:t>Fonctionnaires internationaux non affectés à New York</w:t>
      </w:r>
    </w:p>
    <w:p w14:paraId="60A6DE68" w14:textId="77777777" w:rsidR="002D4A87" w:rsidRPr="00824317" w:rsidRDefault="002D4A87">
      <w:pPr>
        <w:spacing w:after="12" w:line="259" w:lineRule="auto"/>
        <w:ind w:left="720" w:firstLine="0"/>
        <w:jc w:val="left"/>
      </w:pPr>
    </w:p>
    <w:p w14:paraId="7CAF2487" w14:textId="77777777" w:rsidR="002D4A87" w:rsidRPr="00824317" w:rsidRDefault="00AE2FCC">
      <w:pPr>
        <w:numPr>
          <w:ilvl w:val="0"/>
          <w:numId w:val="1"/>
        </w:numPr>
        <w:ind w:hanging="410"/>
      </w:pPr>
      <w:r>
        <w:t>En cas de décès d</w:t>
      </w:r>
      <w:r w:rsidR="00127D0B">
        <w:t>’</w:t>
      </w:r>
      <w:r>
        <w:t>un fonctionnaire international non affecté à New York, le chef du bureau doit informer de son décès les membres de sa famille immédiate ou toute autre personne qu</w:t>
      </w:r>
      <w:r w:rsidR="00127D0B">
        <w:t>’</w:t>
      </w:r>
      <w:r>
        <w:t>il aura désignée auparavant. Par la suite, le directeur local des ressources humaines ou directeur des opérations doit</w:t>
      </w:r>
      <w:r w:rsidR="00127D0B">
        <w:t> :</w:t>
      </w:r>
    </w:p>
    <w:p w14:paraId="66194CB2" w14:textId="77777777" w:rsidR="002D4A87" w:rsidRPr="00824317" w:rsidRDefault="002D4A87">
      <w:pPr>
        <w:spacing w:after="9" w:line="259" w:lineRule="auto"/>
        <w:ind w:left="1440" w:firstLine="0"/>
        <w:jc w:val="left"/>
      </w:pPr>
    </w:p>
    <w:p w14:paraId="73A03A07" w14:textId="77777777" w:rsidR="002D4A87" w:rsidRPr="00824317" w:rsidRDefault="00127D0B">
      <w:pPr>
        <w:numPr>
          <w:ilvl w:val="1"/>
          <w:numId w:val="1"/>
        </w:numPr>
        <w:ind w:hanging="360"/>
      </w:pPr>
      <w:r>
        <w:t>a</w:t>
      </w:r>
      <w:r w:rsidR="00AE2FCC">
        <w:t>ider la famille à organiser les funérailles ou à organiser le transport du corps du lieu d</w:t>
      </w:r>
      <w:r>
        <w:t>’</w:t>
      </w:r>
      <w:r w:rsidR="00AE2FCC">
        <w:t>affectation ou du lieu de décès à</w:t>
      </w:r>
      <w:r>
        <w:t> :</w:t>
      </w:r>
    </w:p>
    <w:p w14:paraId="64DF17ED" w14:textId="77777777" w:rsidR="002D4A87" w:rsidRPr="00824317" w:rsidRDefault="002D4A87">
      <w:pPr>
        <w:spacing w:after="11" w:line="259" w:lineRule="auto"/>
        <w:ind w:left="2161" w:firstLine="0"/>
        <w:jc w:val="left"/>
      </w:pPr>
    </w:p>
    <w:p w14:paraId="5DA5C2D3" w14:textId="77777777" w:rsidR="002D4A87" w:rsidRPr="00824317" w:rsidRDefault="00127D0B">
      <w:pPr>
        <w:numPr>
          <w:ilvl w:val="2"/>
          <w:numId w:val="1"/>
        </w:numPr>
        <w:ind w:hanging="360"/>
      </w:pPr>
      <w:r>
        <w:t>s</w:t>
      </w:r>
      <w:r w:rsidR="00AE2FCC">
        <w:t>on lieu de congé dans les foyers (HL)</w:t>
      </w:r>
      <w:r>
        <w:t> ;</w:t>
      </w:r>
      <w:r w:rsidR="00AE2FCC">
        <w:t xml:space="preserve"> ou</w:t>
      </w:r>
    </w:p>
    <w:p w14:paraId="3B300FCA" w14:textId="77777777" w:rsidR="002D4A87" w:rsidRPr="00824317" w:rsidRDefault="002D4A87">
      <w:pPr>
        <w:spacing w:after="12" w:line="259" w:lineRule="auto"/>
        <w:ind w:left="2161" w:firstLine="0"/>
        <w:jc w:val="left"/>
      </w:pPr>
    </w:p>
    <w:p w14:paraId="3DDA8AE1" w14:textId="77777777" w:rsidR="002D4A87" w:rsidRPr="00824317" w:rsidRDefault="00127D0B">
      <w:pPr>
        <w:numPr>
          <w:ilvl w:val="2"/>
          <w:numId w:val="1"/>
        </w:numPr>
        <w:ind w:hanging="360"/>
      </w:pPr>
      <w:r>
        <w:t>t</w:t>
      </w:r>
      <w:r w:rsidR="00AE2FCC">
        <w:t>out autre lieu désigné par sa famille, à condition que toute dépense dépassant le coût du transport du lieu d</w:t>
      </w:r>
      <w:r>
        <w:t>’</w:t>
      </w:r>
      <w:r w:rsidR="00AE2FCC">
        <w:t>affectation ou du lieu de décès jusqu</w:t>
      </w:r>
      <w:r>
        <w:t>’</w:t>
      </w:r>
      <w:r w:rsidR="00AE2FCC">
        <w:t>à son lieu de congé dans les foyers soit payée par la famille</w:t>
      </w:r>
      <w:r>
        <w:t> ;</w:t>
      </w:r>
    </w:p>
    <w:p w14:paraId="040EB30F" w14:textId="77777777" w:rsidR="002D4A87" w:rsidRPr="00824317" w:rsidRDefault="002D4A87">
      <w:pPr>
        <w:spacing w:after="12" w:line="259" w:lineRule="auto"/>
        <w:ind w:left="1440" w:firstLine="0"/>
        <w:jc w:val="left"/>
      </w:pPr>
    </w:p>
    <w:p w14:paraId="42F7E758" w14:textId="77777777" w:rsidR="002D4A87" w:rsidRPr="00824317" w:rsidRDefault="00127D0B">
      <w:pPr>
        <w:numPr>
          <w:ilvl w:val="1"/>
          <w:numId w:val="1"/>
        </w:numPr>
        <w:ind w:hanging="360"/>
      </w:pPr>
      <w:r>
        <w:t>d</w:t>
      </w:r>
      <w:r w:rsidR="00AE2FCC">
        <w:t>élivrer une autorisation de voyage pour le transport du corps</w:t>
      </w:r>
      <w:r>
        <w:t> ;</w:t>
      </w:r>
    </w:p>
    <w:p w14:paraId="3B72EAD8" w14:textId="77777777" w:rsidR="002D4A87" w:rsidRPr="00824317" w:rsidRDefault="002D4A87">
      <w:pPr>
        <w:spacing w:after="12" w:line="259" w:lineRule="auto"/>
        <w:ind w:left="1440" w:firstLine="0"/>
        <w:jc w:val="left"/>
      </w:pPr>
    </w:p>
    <w:p w14:paraId="42A82C12" w14:textId="77777777" w:rsidR="002D4A87" w:rsidRPr="00824317" w:rsidRDefault="00127D0B">
      <w:pPr>
        <w:numPr>
          <w:ilvl w:val="1"/>
          <w:numId w:val="1"/>
        </w:numPr>
        <w:ind w:hanging="360"/>
      </w:pPr>
      <w:r>
        <w:t>d</w:t>
      </w:r>
      <w:r w:rsidR="00AE2FCC">
        <w:t>élivrer une autorisation de voyage pour l</w:t>
      </w:r>
      <w:r>
        <w:t>’</w:t>
      </w:r>
      <w:r w:rsidR="00AE2FCC">
        <w:t>envoi des effets personnels du fonctionnaire décédé à</w:t>
      </w:r>
      <w:r>
        <w:t> :</w:t>
      </w:r>
    </w:p>
    <w:p w14:paraId="48AF92F1" w14:textId="77777777" w:rsidR="002D4A87" w:rsidRPr="00824317" w:rsidRDefault="002D4A87">
      <w:pPr>
        <w:spacing w:after="11" w:line="259" w:lineRule="auto"/>
        <w:ind w:left="2161" w:firstLine="0"/>
        <w:jc w:val="left"/>
      </w:pPr>
    </w:p>
    <w:p w14:paraId="12A510AE" w14:textId="77777777" w:rsidR="002D4A87" w:rsidRPr="00824317" w:rsidRDefault="00127D0B">
      <w:pPr>
        <w:numPr>
          <w:ilvl w:val="2"/>
          <w:numId w:val="1"/>
        </w:numPr>
        <w:ind w:hanging="360"/>
      </w:pPr>
      <w:r>
        <w:t>s</w:t>
      </w:r>
      <w:r w:rsidR="00AE2FCC">
        <w:t>on lieu de HL</w:t>
      </w:r>
      <w:r>
        <w:t> ;</w:t>
      </w:r>
      <w:r w:rsidR="00AE2FCC">
        <w:t xml:space="preserve"> ou</w:t>
      </w:r>
    </w:p>
    <w:p w14:paraId="617D909E" w14:textId="77777777" w:rsidR="002D4A87" w:rsidRPr="00824317" w:rsidRDefault="002D4A87">
      <w:pPr>
        <w:spacing w:after="12" w:line="259" w:lineRule="auto"/>
        <w:ind w:left="2161" w:firstLine="0"/>
        <w:jc w:val="left"/>
      </w:pPr>
    </w:p>
    <w:p w14:paraId="2921DA16" w14:textId="77777777" w:rsidR="002D4A87" w:rsidRPr="00824317" w:rsidRDefault="00127D0B">
      <w:pPr>
        <w:numPr>
          <w:ilvl w:val="2"/>
          <w:numId w:val="1"/>
        </w:numPr>
        <w:ind w:hanging="360"/>
      </w:pPr>
      <w:r>
        <w:t>t</w:t>
      </w:r>
      <w:r w:rsidR="00AE2FCC">
        <w:t>out autre lieu désigné par sa famille, à condition que toute dépense dépassant le coût du transport du lieu d</w:t>
      </w:r>
      <w:r>
        <w:t>’</w:t>
      </w:r>
      <w:r w:rsidR="00AE2FCC">
        <w:t>affectation ou du lieu de décès jusqu</w:t>
      </w:r>
      <w:r>
        <w:t>’</w:t>
      </w:r>
      <w:r w:rsidR="00AE2FCC">
        <w:t>à son lieu de congé dans les foyers soit payée par la famille</w:t>
      </w:r>
      <w:r>
        <w:t> ;</w:t>
      </w:r>
    </w:p>
    <w:p w14:paraId="12B84BEC" w14:textId="77777777" w:rsidR="002D4A87" w:rsidRPr="00824317" w:rsidRDefault="002D4A87">
      <w:pPr>
        <w:spacing w:after="9" w:line="259" w:lineRule="auto"/>
        <w:ind w:left="1440" w:firstLine="0"/>
        <w:jc w:val="left"/>
      </w:pPr>
    </w:p>
    <w:p w14:paraId="43454C9D" w14:textId="77777777" w:rsidR="002D4A87" w:rsidRPr="00824317" w:rsidRDefault="00127D0B">
      <w:pPr>
        <w:numPr>
          <w:ilvl w:val="1"/>
          <w:numId w:val="1"/>
        </w:numPr>
        <w:ind w:hanging="360"/>
      </w:pPr>
      <w:r>
        <w:lastRenderedPageBreak/>
        <w:t>s</w:t>
      </w:r>
      <w:r w:rsidR="00AE2FCC">
        <w:t>oumettre six exemplaires du certificat de décès, le plus tôt possible après le décès, au partenaire ressources humaines du bureau des ressources humaines à Copenhague desservant le lieu d</w:t>
      </w:r>
      <w:r>
        <w:t>’</w:t>
      </w:r>
      <w:r w:rsidR="00AE2FCC">
        <w:t>affectation</w:t>
      </w:r>
      <w:r>
        <w:t> ;</w:t>
      </w:r>
    </w:p>
    <w:p w14:paraId="5498FF7F" w14:textId="77777777" w:rsidR="002D4A87" w:rsidRPr="00824317" w:rsidRDefault="002D4A87" w:rsidP="00127D0B">
      <w:pPr>
        <w:spacing w:after="12" w:line="259" w:lineRule="auto"/>
        <w:jc w:val="left"/>
      </w:pPr>
    </w:p>
    <w:p w14:paraId="0C8E8A86" w14:textId="77777777" w:rsidR="002D4A87" w:rsidRPr="00824317" w:rsidRDefault="00127D0B">
      <w:pPr>
        <w:numPr>
          <w:ilvl w:val="1"/>
          <w:numId w:val="1"/>
        </w:numPr>
        <w:ind w:hanging="360"/>
      </w:pPr>
      <w:r>
        <w:t>o</w:t>
      </w:r>
      <w:r w:rsidR="00AE2FCC">
        <w:t>btenir tous les rapports et renseignements correspondants en cas de décès accidentel</w:t>
      </w:r>
      <w:r>
        <w:t> ;</w:t>
      </w:r>
      <w:r w:rsidR="00AE2FCC">
        <w:t xml:space="preserve"> et</w:t>
      </w:r>
    </w:p>
    <w:p w14:paraId="5364F2EC" w14:textId="77777777" w:rsidR="002D4A87" w:rsidRPr="00824317" w:rsidRDefault="002D4A87">
      <w:pPr>
        <w:spacing w:after="12" w:line="259" w:lineRule="auto"/>
        <w:ind w:left="1440" w:firstLine="0"/>
        <w:jc w:val="left"/>
      </w:pPr>
    </w:p>
    <w:p w14:paraId="62C82312" w14:textId="77777777" w:rsidR="002D4A87" w:rsidRPr="00824317" w:rsidRDefault="00127D0B">
      <w:pPr>
        <w:numPr>
          <w:ilvl w:val="1"/>
          <w:numId w:val="1"/>
        </w:numPr>
        <w:ind w:hanging="360"/>
      </w:pPr>
      <w:r>
        <w:t>d</w:t>
      </w:r>
      <w:r w:rsidR="00AE2FCC">
        <w:t>élivrer une autorisation de voyage aux membres admissibles survivants de la famille du lieu d</w:t>
      </w:r>
      <w:r>
        <w:t>’</w:t>
      </w:r>
      <w:r w:rsidR="00AE2FCC">
        <w:t>affectation qui ont droit au rapatriement, au voyage et à l</w:t>
      </w:r>
      <w:r>
        <w:t>’</w:t>
      </w:r>
      <w:r w:rsidR="00AE2FCC">
        <w:t>expédition des effets personnels.</w:t>
      </w:r>
    </w:p>
    <w:p w14:paraId="32F6537D" w14:textId="77777777" w:rsidR="002D4A87" w:rsidRPr="00824317" w:rsidRDefault="002D4A87">
      <w:pPr>
        <w:spacing w:after="12" w:line="259" w:lineRule="auto"/>
        <w:ind w:left="720" w:firstLine="0"/>
        <w:jc w:val="left"/>
      </w:pPr>
    </w:p>
    <w:p w14:paraId="2EEDB61B" w14:textId="77777777" w:rsidR="002D4A87" w:rsidRPr="00824317" w:rsidRDefault="00AE2FCC">
      <w:pPr>
        <w:numPr>
          <w:ilvl w:val="0"/>
          <w:numId w:val="1"/>
        </w:numPr>
        <w:ind w:hanging="410"/>
      </w:pPr>
      <w:r>
        <w:t>Le partenaire ressources humaines du bureau des ressources humaines à Copenhague desservant le lieu d</w:t>
      </w:r>
      <w:r w:rsidR="00127D0B">
        <w:t>’</w:t>
      </w:r>
      <w:r>
        <w:t>affectation doit</w:t>
      </w:r>
      <w:r w:rsidR="00127D0B">
        <w:t> :</w:t>
      </w:r>
    </w:p>
    <w:p w14:paraId="706FFF86" w14:textId="77777777" w:rsidR="002D4A87" w:rsidRPr="00824317" w:rsidRDefault="002D4A87">
      <w:pPr>
        <w:spacing w:after="12" w:line="259" w:lineRule="auto"/>
        <w:ind w:left="720" w:firstLine="0"/>
        <w:jc w:val="left"/>
      </w:pPr>
    </w:p>
    <w:p w14:paraId="13AAB018" w14:textId="77777777" w:rsidR="002D4A87" w:rsidRPr="00824317" w:rsidRDefault="00127D0B">
      <w:pPr>
        <w:numPr>
          <w:ilvl w:val="1"/>
          <w:numId w:val="1"/>
        </w:numPr>
        <w:ind w:hanging="360"/>
      </w:pPr>
      <w:r>
        <w:t>d</w:t>
      </w:r>
      <w:r w:rsidR="00AE2FCC">
        <w:t>éterminer les droits des survivants et bénéficiaires désignés du fonctionnaire et les informer de ces droits</w:t>
      </w:r>
      <w:r>
        <w:t> ;</w:t>
      </w:r>
    </w:p>
    <w:p w14:paraId="1632384D" w14:textId="77777777" w:rsidR="002D4A87" w:rsidRPr="00824317" w:rsidRDefault="002D4A87">
      <w:pPr>
        <w:spacing w:after="12" w:line="259" w:lineRule="auto"/>
        <w:ind w:left="1440" w:firstLine="0"/>
        <w:jc w:val="left"/>
      </w:pPr>
    </w:p>
    <w:p w14:paraId="1FA6A290" w14:textId="77777777" w:rsidR="002D4A87" w:rsidRPr="00824317" w:rsidRDefault="00127D0B">
      <w:pPr>
        <w:numPr>
          <w:ilvl w:val="1"/>
          <w:numId w:val="1"/>
        </w:numPr>
        <w:ind w:hanging="360"/>
      </w:pPr>
      <w:r>
        <w:t>p</w:t>
      </w:r>
      <w:r w:rsidR="00AE2FCC">
        <w:t xml:space="preserve">rendre des dispositions pour que les survivants et bénéficiaires désignés reçoivent une avance sur le </w:t>
      </w:r>
      <w:r w:rsidR="00DE4F70">
        <w:t>traitement</w:t>
      </w:r>
      <w:r w:rsidR="00AE2FCC">
        <w:t>, les indemnités et prestations au crédit du fonctionnaire à la date du décès</w:t>
      </w:r>
      <w:r>
        <w:t> ;</w:t>
      </w:r>
    </w:p>
    <w:p w14:paraId="56B737D1" w14:textId="77777777" w:rsidR="002D4A87" w:rsidRPr="00824317" w:rsidRDefault="002D4A87">
      <w:pPr>
        <w:spacing w:after="11" w:line="259" w:lineRule="auto"/>
        <w:ind w:left="1440" w:firstLine="0"/>
        <w:jc w:val="left"/>
      </w:pPr>
    </w:p>
    <w:p w14:paraId="4DE52E08" w14:textId="77777777" w:rsidR="002D4A87" w:rsidRPr="00824317" w:rsidRDefault="00127D0B">
      <w:pPr>
        <w:numPr>
          <w:ilvl w:val="1"/>
          <w:numId w:val="1"/>
        </w:numPr>
        <w:ind w:hanging="360"/>
      </w:pPr>
      <w:r>
        <w:t>n</w:t>
      </w:r>
      <w:r w:rsidR="00AE2FCC">
        <w:t>otifier les bureaux concernés, par exemple</w:t>
      </w:r>
      <w:r>
        <w:t> :</w:t>
      </w:r>
    </w:p>
    <w:p w14:paraId="6C23D254" w14:textId="77777777" w:rsidR="002D4A87" w:rsidRPr="00824317" w:rsidRDefault="002D4A87">
      <w:pPr>
        <w:spacing w:after="12" w:line="259" w:lineRule="auto"/>
        <w:ind w:left="2161" w:firstLine="0"/>
        <w:jc w:val="left"/>
      </w:pPr>
    </w:p>
    <w:p w14:paraId="3548D029" w14:textId="77777777" w:rsidR="00824317" w:rsidRDefault="00127D0B">
      <w:pPr>
        <w:numPr>
          <w:ilvl w:val="2"/>
          <w:numId w:val="1"/>
        </w:numPr>
        <w:spacing w:after="1" w:line="269" w:lineRule="auto"/>
        <w:ind w:hanging="360"/>
      </w:pPr>
      <w:r>
        <w:t>l</w:t>
      </w:r>
      <w:r w:rsidR="00AE2FCC">
        <w:t>a Caisse commune des pensions du personnel des Nations Unies (UNJSPF) (</w:t>
      </w:r>
      <w:hyperlink r:id="rId12">
        <w:r w:rsidR="00AE2FCC">
          <w:rPr>
            <w:color w:val="0072BC"/>
          </w:rPr>
          <w:t>www.unjspf.org</w:t>
        </w:r>
      </w:hyperlink>
      <w:hyperlink r:id="rId13">
        <w:r w:rsidR="00AE2FCC">
          <w:t>)</w:t>
        </w:r>
      </w:hyperlink>
      <w:r>
        <w:t> ;</w:t>
      </w:r>
    </w:p>
    <w:p w14:paraId="4566813F" w14:textId="77777777" w:rsidR="00824317" w:rsidRDefault="00127D0B">
      <w:pPr>
        <w:numPr>
          <w:ilvl w:val="2"/>
          <w:numId w:val="1"/>
        </w:numPr>
        <w:spacing w:after="1" w:line="269" w:lineRule="auto"/>
        <w:ind w:hanging="360"/>
      </w:pPr>
      <w:r>
        <w:t>l</w:t>
      </w:r>
      <w:r w:rsidR="00AE2FCC">
        <w:t>e Service médical des Nations Unies (O</w:t>
      </w:r>
      <w:r>
        <w:t xml:space="preserve">rganisation des </w:t>
      </w:r>
      <w:r w:rsidR="00AE2FCC">
        <w:t>N</w:t>
      </w:r>
      <w:r>
        <w:t xml:space="preserve">ations </w:t>
      </w:r>
      <w:r w:rsidR="00AE2FCC">
        <w:t>U</w:t>
      </w:r>
      <w:r>
        <w:t>nies</w:t>
      </w:r>
      <w:r w:rsidR="00AE2FCC">
        <w:t>)</w:t>
      </w:r>
      <w:r>
        <w:t> ;</w:t>
      </w:r>
    </w:p>
    <w:p w14:paraId="08792B40" w14:textId="77777777" w:rsidR="00824317" w:rsidRDefault="00127D0B">
      <w:pPr>
        <w:numPr>
          <w:ilvl w:val="2"/>
          <w:numId w:val="1"/>
        </w:numPr>
        <w:spacing w:after="1" w:line="269" w:lineRule="auto"/>
        <w:ind w:hanging="360"/>
      </w:pPr>
      <w:r>
        <w:t>l’</w:t>
      </w:r>
      <w:r w:rsidR="0071760B">
        <w:t>Unité</w:t>
      </w:r>
      <w:r w:rsidR="00AE2FCC">
        <w:t xml:space="preserve"> de licenciement des Nations Unies</w:t>
      </w:r>
      <w:r>
        <w:t> ;</w:t>
      </w:r>
    </w:p>
    <w:p w14:paraId="2B7CF62A" w14:textId="77777777" w:rsidR="002D4A87" w:rsidRDefault="00127D0B">
      <w:pPr>
        <w:numPr>
          <w:ilvl w:val="2"/>
          <w:numId w:val="1"/>
        </w:numPr>
        <w:spacing w:after="1" w:line="269" w:lineRule="auto"/>
        <w:ind w:hanging="360"/>
      </w:pPr>
      <w:r>
        <w:t>l’</w:t>
      </w:r>
      <w:r w:rsidR="0071760B">
        <w:t>Unité</w:t>
      </w:r>
      <w:r w:rsidR="00AE2FCC">
        <w:t xml:space="preserve"> d</w:t>
      </w:r>
      <w:r>
        <w:t>’</w:t>
      </w:r>
      <w:r w:rsidR="00AE2FCC">
        <w:t>assurance des Nations Unies</w:t>
      </w:r>
      <w:r>
        <w:t> ;</w:t>
      </w:r>
      <w:r w:rsidR="00AE2FCC">
        <w:t xml:space="preserve"> et</w:t>
      </w:r>
    </w:p>
    <w:p w14:paraId="73FC80C5" w14:textId="77777777" w:rsidR="002D4A87" w:rsidRPr="00824317" w:rsidRDefault="00127D0B" w:rsidP="00824317">
      <w:pPr>
        <w:numPr>
          <w:ilvl w:val="2"/>
          <w:numId w:val="1"/>
        </w:numPr>
        <w:spacing w:after="1" w:line="269" w:lineRule="auto"/>
        <w:ind w:hanging="360"/>
      </w:pPr>
      <w:r>
        <w:t>l</w:t>
      </w:r>
      <w:r w:rsidR="00AE2FCC">
        <w:t>e Comité consultatif pour les demandes d</w:t>
      </w:r>
      <w:r>
        <w:t>’</w:t>
      </w:r>
      <w:r w:rsidR="00AE2FCC">
        <w:t>indemnisation (ABCC), le cas échéant</w:t>
      </w:r>
      <w:r>
        <w:t> ;</w:t>
      </w:r>
    </w:p>
    <w:p w14:paraId="38E50BC4" w14:textId="77777777" w:rsidR="002D4A87" w:rsidRPr="00824317" w:rsidRDefault="00AE2FCC">
      <w:pPr>
        <w:spacing w:after="11" w:line="259" w:lineRule="auto"/>
        <w:ind w:left="720" w:firstLine="0"/>
        <w:jc w:val="left"/>
      </w:pPr>
      <w:r>
        <w:t xml:space="preserve"> </w:t>
      </w:r>
    </w:p>
    <w:p w14:paraId="46011DF8" w14:textId="77777777" w:rsidR="002D4A87" w:rsidRPr="00824317" w:rsidRDefault="00127D0B">
      <w:pPr>
        <w:numPr>
          <w:ilvl w:val="1"/>
          <w:numId w:val="1"/>
        </w:numPr>
        <w:ind w:hanging="360"/>
      </w:pPr>
      <w:r>
        <w:t>t</w:t>
      </w:r>
      <w:r w:rsidR="00AE2FCC">
        <w:t>raiter les droits, qui comprennent</w:t>
      </w:r>
      <w:r>
        <w:t> :</w:t>
      </w:r>
    </w:p>
    <w:p w14:paraId="33E77CAD" w14:textId="77777777" w:rsidR="002D4A87" w:rsidRPr="00824317" w:rsidRDefault="002D4A87">
      <w:pPr>
        <w:spacing w:after="12" w:line="259" w:lineRule="auto"/>
        <w:ind w:left="2161" w:firstLine="0"/>
        <w:jc w:val="left"/>
      </w:pPr>
    </w:p>
    <w:p w14:paraId="52A6BA8F" w14:textId="77777777" w:rsidR="002D4A87" w:rsidRPr="00824317" w:rsidRDefault="00127D0B">
      <w:pPr>
        <w:numPr>
          <w:ilvl w:val="2"/>
          <w:numId w:val="1"/>
        </w:numPr>
        <w:ind w:hanging="360"/>
      </w:pPr>
      <w:r>
        <w:t>l</w:t>
      </w:r>
      <w:r w:rsidR="00AE2FCC">
        <w:t xml:space="preserve">e </w:t>
      </w:r>
      <w:r w:rsidR="00DE4F70">
        <w:t>traitement</w:t>
      </w:r>
      <w:r w:rsidR="00AE2FCC">
        <w:t>, les indemnités et les prestations au crédit du fonctionnaire à la date du décès</w:t>
      </w:r>
      <w:r>
        <w:t> ;</w:t>
      </w:r>
      <w:r w:rsidR="00AE2FCC">
        <w:t xml:space="preserve"> et</w:t>
      </w:r>
    </w:p>
    <w:p w14:paraId="614FE540" w14:textId="77777777" w:rsidR="002D4A87" w:rsidRPr="00824317" w:rsidRDefault="002D4A87">
      <w:pPr>
        <w:spacing w:after="12" w:line="259" w:lineRule="auto"/>
        <w:ind w:left="2161" w:firstLine="0"/>
        <w:jc w:val="left"/>
      </w:pPr>
    </w:p>
    <w:p w14:paraId="511AB844" w14:textId="77777777" w:rsidR="002D4A87" w:rsidRPr="00824317" w:rsidRDefault="00127D0B">
      <w:pPr>
        <w:numPr>
          <w:ilvl w:val="2"/>
          <w:numId w:val="1"/>
        </w:numPr>
        <w:ind w:hanging="360"/>
      </w:pPr>
      <w:r>
        <w:t>l</w:t>
      </w:r>
      <w:r w:rsidR="00AE2FCC">
        <w:t>es indemnités et prestations supplémentaires (prestation de décès, prime de rapatriement (RG), prestations d</w:t>
      </w:r>
      <w:r>
        <w:t>’</w:t>
      </w:r>
      <w:r w:rsidR="00AE2FCC">
        <w:t>assurance, prestations de retraite, assurance maladie après la cessation de service (ASHI), le cas échéant, prestations d</w:t>
      </w:r>
      <w:r>
        <w:t>’</w:t>
      </w:r>
      <w:r w:rsidR="00AE2FCC">
        <w:t>assurance-vie et indemnités compensatoires)</w:t>
      </w:r>
      <w:r>
        <w:t>.</w:t>
      </w:r>
    </w:p>
    <w:p w14:paraId="091BF7C0" w14:textId="77777777" w:rsidR="002D4A87" w:rsidRPr="00824317" w:rsidRDefault="002D4A87">
      <w:pPr>
        <w:spacing w:after="0" w:line="259" w:lineRule="auto"/>
        <w:ind w:left="0" w:firstLine="0"/>
        <w:jc w:val="left"/>
      </w:pPr>
    </w:p>
    <w:p w14:paraId="10FC3B92" w14:textId="77777777" w:rsidR="002D4A87" w:rsidRPr="00824317" w:rsidRDefault="00AE2FCC">
      <w:pPr>
        <w:spacing w:after="0" w:line="259" w:lineRule="auto"/>
        <w:ind w:left="-5" w:hanging="10"/>
        <w:jc w:val="left"/>
      </w:pPr>
      <w:r>
        <w:rPr>
          <w:b/>
        </w:rPr>
        <w:t>Fonctionnaires locaux non affectés à New York</w:t>
      </w:r>
    </w:p>
    <w:p w14:paraId="37861A12" w14:textId="77777777" w:rsidR="002D4A87" w:rsidRPr="00824317" w:rsidRDefault="002D4A87">
      <w:pPr>
        <w:spacing w:after="11" w:line="259" w:lineRule="auto"/>
        <w:ind w:left="720" w:firstLine="0"/>
        <w:jc w:val="left"/>
      </w:pPr>
    </w:p>
    <w:p w14:paraId="2EA2E9B3" w14:textId="77777777" w:rsidR="002D4A87" w:rsidRPr="00824317" w:rsidRDefault="00AE2FCC">
      <w:pPr>
        <w:numPr>
          <w:ilvl w:val="0"/>
          <w:numId w:val="1"/>
        </w:numPr>
        <w:ind w:hanging="410"/>
      </w:pPr>
      <w:r>
        <w:t>Le directeur local des ressources humaines ou directeur des opérations doit</w:t>
      </w:r>
      <w:r w:rsidR="00127D0B">
        <w:t> :</w:t>
      </w:r>
    </w:p>
    <w:p w14:paraId="3AEC449B" w14:textId="77777777" w:rsidR="002D4A87" w:rsidRPr="00824317" w:rsidRDefault="002D4A87">
      <w:pPr>
        <w:spacing w:after="12" w:line="259" w:lineRule="auto"/>
        <w:ind w:left="1440" w:firstLine="0"/>
        <w:jc w:val="left"/>
      </w:pPr>
    </w:p>
    <w:p w14:paraId="1510BA37" w14:textId="77777777" w:rsidR="002D4A87" w:rsidRPr="00824317" w:rsidRDefault="00127D0B">
      <w:pPr>
        <w:numPr>
          <w:ilvl w:val="1"/>
          <w:numId w:val="1"/>
        </w:numPr>
        <w:ind w:hanging="360"/>
      </w:pPr>
      <w:r>
        <w:t>d</w:t>
      </w:r>
      <w:r w:rsidR="00AE2FCC">
        <w:t>éterminer les droits des survivants et bénéficiaires désignés du fonctionnaire et les informer de ces droits</w:t>
      </w:r>
      <w:r>
        <w:t> ;</w:t>
      </w:r>
    </w:p>
    <w:p w14:paraId="3DC48388" w14:textId="77777777" w:rsidR="002D4A87" w:rsidRPr="00824317" w:rsidRDefault="002D4A87">
      <w:pPr>
        <w:spacing w:after="11" w:line="259" w:lineRule="auto"/>
        <w:ind w:left="1440" w:firstLine="0"/>
        <w:jc w:val="left"/>
      </w:pPr>
    </w:p>
    <w:p w14:paraId="36F6D10C" w14:textId="77777777" w:rsidR="002D4A87" w:rsidRPr="00824317" w:rsidRDefault="00127D0B">
      <w:pPr>
        <w:numPr>
          <w:ilvl w:val="1"/>
          <w:numId w:val="1"/>
        </w:numPr>
        <w:ind w:hanging="360"/>
      </w:pPr>
      <w:r>
        <w:t>n</w:t>
      </w:r>
      <w:r w:rsidR="00AE2FCC">
        <w:t>otifier les bureaux concernés, par exemple</w:t>
      </w:r>
      <w:r>
        <w:t> :</w:t>
      </w:r>
    </w:p>
    <w:p w14:paraId="35BE8EA1" w14:textId="77777777" w:rsidR="002D4A87" w:rsidRPr="00824317" w:rsidRDefault="002D4A87">
      <w:pPr>
        <w:spacing w:after="9" w:line="259" w:lineRule="auto"/>
        <w:ind w:left="1440" w:firstLine="0"/>
        <w:jc w:val="left"/>
      </w:pPr>
    </w:p>
    <w:p w14:paraId="6A728516" w14:textId="77777777" w:rsidR="00824317" w:rsidRDefault="00127D0B">
      <w:pPr>
        <w:numPr>
          <w:ilvl w:val="2"/>
          <w:numId w:val="1"/>
        </w:numPr>
        <w:ind w:hanging="360"/>
      </w:pPr>
      <w:r>
        <w:t>l’</w:t>
      </w:r>
      <w:r w:rsidR="00AE2FCC">
        <w:t xml:space="preserve">UNJSPF </w:t>
      </w:r>
      <w:r w:rsidR="0071760B">
        <w:t>(</w:t>
      </w:r>
      <w:hyperlink r:id="rId14">
        <w:r w:rsidR="00AE2FCC">
          <w:rPr>
            <w:color w:val="0072BC"/>
          </w:rPr>
          <w:t>www.unjspf.org</w:t>
        </w:r>
      </w:hyperlink>
      <w:hyperlink r:id="rId15">
        <w:r w:rsidR="00AE2FCC">
          <w:t xml:space="preserve"> </w:t>
        </w:r>
      </w:hyperlink>
      <w:r w:rsidR="00AE2FCC">
        <w:t>)</w:t>
      </w:r>
      <w:r>
        <w:t> ;</w:t>
      </w:r>
    </w:p>
    <w:p w14:paraId="46688B96" w14:textId="77777777" w:rsidR="002D4A87" w:rsidRPr="00824317" w:rsidRDefault="00127D0B">
      <w:pPr>
        <w:numPr>
          <w:ilvl w:val="2"/>
          <w:numId w:val="1"/>
        </w:numPr>
        <w:ind w:hanging="360"/>
      </w:pPr>
      <w:r>
        <w:t>l</w:t>
      </w:r>
      <w:r w:rsidR="00AE2FCC">
        <w:t>e Service médical des Nations Unies</w:t>
      </w:r>
      <w:r>
        <w:t> ;</w:t>
      </w:r>
    </w:p>
    <w:p w14:paraId="33BFD73B" w14:textId="77777777" w:rsidR="00824317" w:rsidRPr="00824317" w:rsidRDefault="00127D0B" w:rsidP="00824317">
      <w:pPr>
        <w:pStyle w:val="ListParagraph"/>
        <w:numPr>
          <w:ilvl w:val="2"/>
          <w:numId w:val="1"/>
        </w:numPr>
        <w:ind w:right="2750"/>
      </w:pPr>
      <w:r>
        <w:t>l’</w:t>
      </w:r>
      <w:r w:rsidR="00AE2FCC">
        <w:t>Unité des assurances des Nations Unies, le cas échéant</w:t>
      </w:r>
      <w:r>
        <w:t> ;</w:t>
      </w:r>
      <w:r w:rsidR="00AE2FCC">
        <w:t xml:space="preserve"> et</w:t>
      </w:r>
    </w:p>
    <w:p w14:paraId="61B0AED3" w14:textId="77777777" w:rsidR="002D4A87" w:rsidRPr="00824317" w:rsidRDefault="00127D0B" w:rsidP="00824317">
      <w:pPr>
        <w:pStyle w:val="ListParagraph"/>
        <w:numPr>
          <w:ilvl w:val="2"/>
          <w:numId w:val="1"/>
        </w:numPr>
        <w:ind w:right="2750"/>
      </w:pPr>
      <w:r>
        <w:t>l</w:t>
      </w:r>
      <w:r w:rsidR="00AE2FCC">
        <w:t>e Comité consultatif pour les demandes d</w:t>
      </w:r>
      <w:r>
        <w:t>’</w:t>
      </w:r>
      <w:r w:rsidR="00AE2FCC">
        <w:t>indemnisation, le cas échéant</w:t>
      </w:r>
      <w:r>
        <w:t> ;</w:t>
      </w:r>
    </w:p>
    <w:p w14:paraId="522FBDED" w14:textId="77777777" w:rsidR="002D4A87" w:rsidRPr="00824317" w:rsidRDefault="00AE2FCC">
      <w:pPr>
        <w:spacing w:after="11" w:line="259" w:lineRule="auto"/>
        <w:ind w:left="1440" w:firstLine="0"/>
        <w:jc w:val="left"/>
      </w:pPr>
      <w:r>
        <w:t xml:space="preserve"> </w:t>
      </w:r>
    </w:p>
    <w:p w14:paraId="0C960ECF" w14:textId="77777777" w:rsidR="002D4A87" w:rsidRPr="00824317" w:rsidRDefault="00AE2FCC">
      <w:pPr>
        <w:numPr>
          <w:ilvl w:val="1"/>
          <w:numId w:val="1"/>
        </w:numPr>
        <w:ind w:hanging="360"/>
      </w:pPr>
      <w:r>
        <w:t>Traiter les droits, qui comprennent</w:t>
      </w:r>
      <w:r w:rsidR="00127D0B">
        <w:t> :</w:t>
      </w:r>
    </w:p>
    <w:p w14:paraId="73C2C947" w14:textId="77777777" w:rsidR="002D4A87" w:rsidRPr="00824317" w:rsidRDefault="002D4A87">
      <w:pPr>
        <w:spacing w:after="12" w:line="259" w:lineRule="auto"/>
        <w:ind w:left="2161" w:firstLine="0"/>
        <w:jc w:val="left"/>
      </w:pPr>
    </w:p>
    <w:p w14:paraId="12B09DD6" w14:textId="77777777" w:rsidR="002D4A87" w:rsidRPr="00824317" w:rsidRDefault="00127D0B">
      <w:pPr>
        <w:numPr>
          <w:ilvl w:val="2"/>
          <w:numId w:val="1"/>
        </w:numPr>
        <w:ind w:hanging="360"/>
      </w:pPr>
      <w:r>
        <w:t>l</w:t>
      </w:r>
      <w:r w:rsidR="00AE2FCC">
        <w:t xml:space="preserve">e </w:t>
      </w:r>
      <w:r w:rsidR="00DE4F70">
        <w:t>traitement</w:t>
      </w:r>
      <w:r w:rsidR="00AE2FCC">
        <w:t>, les indemnités et les prestations au crédit du fonctionnaire à la date du décès</w:t>
      </w:r>
      <w:r>
        <w:t> ;</w:t>
      </w:r>
      <w:r w:rsidR="00AE2FCC">
        <w:t xml:space="preserve"> et</w:t>
      </w:r>
    </w:p>
    <w:p w14:paraId="1CA3C3BB" w14:textId="77777777" w:rsidR="002D4A87" w:rsidRPr="00824317" w:rsidRDefault="002D4A87">
      <w:pPr>
        <w:spacing w:after="9" w:line="259" w:lineRule="auto"/>
        <w:ind w:left="2161" w:firstLine="0"/>
        <w:jc w:val="left"/>
      </w:pPr>
    </w:p>
    <w:p w14:paraId="51989E1F" w14:textId="77777777" w:rsidR="002D4A87" w:rsidRPr="00824317" w:rsidRDefault="00127D0B">
      <w:pPr>
        <w:numPr>
          <w:ilvl w:val="2"/>
          <w:numId w:val="1"/>
        </w:numPr>
        <w:ind w:hanging="360"/>
      </w:pPr>
      <w:r>
        <w:t>l</w:t>
      </w:r>
      <w:r w:rsidR="00AE2FCC">
        <w:t>es indemnités et prestations supplémentaires (prestation de décès, prestations d</w:t>
      </w:r>
      <w:r>
        <w:t>’</w:t>
      </w:r>
      <w:r w:rsidR="00AE2FCC">
        <w:t>assurance, prestations de retraite, couverture de l</w:t>
      </w:r>
      <w:r>
        <w:t>’</w:t>
      </w:r>
      <w:r w:rsidR="00AE2FCC">
        <w:t>assurance maladie après la cessation de service et, le cas échéant, prestations d</w:t>
      </w:r>
      <w:r>
        <w:t>’</w:t>
      </w:r>
      <w:r w:rsidR="00AE2FCC">
        <w:t>assurance-vie et prestations d</w:t>
      </w:r>
      <w:r>
        <w:t>’</w:t>
      </w:r>
      <w:r w:rsidR="00AE2FCC">
        <w:t>indemnisation)</w:t>
      </w:r>
      <w:r>
        <w:t> ;</w:t>
      </w:r>
    </w:p>
    <w:p w14:paraId="66F6E626" w14:textId="77777777" w:rsidR="002D4A87" w:rsidRPr="00824317" w:rsidRDefault="002D4A87">
      <w:pPr>
        <w:spacing w:after="12" w:line="259" w:lineRule="auto"/>
        <w:ind w:left="1440" w:firstLine="0"/>
        <w:jc w:val="left"/>
      </w:pPr>
    </w:p>
    <w:p w14:paraId="28E8264F" w14:textId="77777777" w:rsidR="002D4A87" w:rsidRPr="00824317" w:rsidRDefault="00127D0B">
      <w:pPr>
        <w:numPr>
          <w:ilvl w:val="1"/>
          <w:numId w:val="1"/>
        </w:numPr>
        <w:ind w:hanging="360"/>
      </w:pPr>
      <w:r>
        <w:t>o</w:t>
      </w:r>
      <w:r w:rsidR="00AE2FCC">
        <w:t>btenir tous les rapports et renseignements correspondants en cas de décès accidentel.</w:t>
      </w:r>
    </w:p>
    <w:p w14:paraId="6D126AC1" w14:textId="77777777" w:rsidR="002D4A87" w:rsidRPr="00824317" w:rsidRDefault="002D4A87">
      <w:pPr>
        <w:spacing w:after="12" w:line="259" w:lineRule="auto"/>
        <w:ind w:left="720" w:firstLine="0"/>
        <w:jc w:val="left"/>
      </w:pPr>
    </w:p>
    <w:p w14:paraId="769667F2" w14:textId="77777777" w:rsidR="002D4A87" w:rsidRPr="00824317" w:rsidRDefault="00AE2FCC">
      <w:pPr>
        <w:numPr>
          <w:ilvl w:val="0"/>
          <w:numId w:val="1"/>
        </w:numPr>
        <w:ind w:hanging="410"/>
      </w:pPr>
      <w:r>
        <w:t>Si le fonctionnaire local décède en dehors de son lieu d</w:t>
      </w:r>
      <w:r w:rsidR="00127D0B">
        <w:t>’</w:t>
      </w:r>
      <w:r>
        <w:t>affectation alors qu</w:t>
      </w:r>
      <w:r w:rsidR="00127D0B">
        <w:t>’</w:t>
      </w:r>
      <w:r>
        <w:t xml:space="preserve">il est en voyage officiel aux frais du </w:t>
      </w:r>
      <w:r w:rsidR="00127D0B">
        <w:t>Programme des Nations Unies pour le développement</w:t>
      </w:r>
      <w:r>
        <w:t xml:space="preserve">, le chef du bureau doit informer de son décès les membres de sa famille immédiate ou toute autre </w:t>
      </w:r>
      <w:r w:rsidR="0071760B">
        <w:t xml:space="preserve">personne. </w:t>
      </w:r>
      <w:r>
        <w:t>Par la suite, le directeur local des ressources humaines ou directeur des opérations doit</w:t>
      </w:r>
      <w:r w:rsidR="00127D0B">
        <w:t> :</w:t>
      </w:r>
    </w:p>
    <w:p w14:paraId="031E963F" w14:textId="77777777" w:rsidR="002D4A87" w:rsidRPr="00824317" w:rsidRDefault="002D4A87">
      <w:pPr>
        <w:spacing w:after="12" w:line="259" w:lineRule="auto"/>
        <w:ind w:left="1440" w:firstLine="0"/>
        <w:jc w:val="left"/>
      </w:pPr>
    </w:p>
    <w:p w14:paraId="47768E95" w14:textId="77777777" w:rsidR="002D4A87" w:rsidRPr="00824317" w:rsidRDefault="00127D0B">
      <w:pPr>
        <w:numPr>
          <w:ilvl w:val="1"/>
          <w:numId w:val="1"/>
        </w:numPr>
        <w:ind w:hanging="360"/>
      </w:pPr>
      <w:r>
        <w:t>a</w:t>
      </w:r>
      <w:r w:rsidR="00AE2FCC">
        <w:t>ider la famille à organiser les funérailles ou à organiser le transport du corps jusqu</w:t>
      </w:r>
      <w:r>
        <w:t>’</w:t>
      </w:r>
      <w:r w:rsidR="00AE2FCC">
        <w:t>au lieu d</w:t>
      </w:r>
      <w:r>
        <w:t>’</w:t>
      </w:r>
      <w:r w:rsidR="00AE2FCC">
        <w:t>affectation</w:t>
      </w:r>
      <w:r>
        <w:t> ;</w:t>
      </w:r>
      <w:r w:rsidR="00AE2FCC">
        <w:t xml:space="preserve"> et</w:t>
      </w:r>
    </w:p>
    <w:p w14:paraId="2A48BD9A" w14:textId="77777777" w:rsidR="002D4A87" w:rsidRPr="00824317" w:rsidRDefault="002D4A87">
      <w:pPr>
        <w:spacing w:after="12" w:line="259" w:lineRule="auto"/>
        <w:ind w:left="1440" w:firstLine="0"/>
        <w:jc w:val="left"/>
      </w:pPr>
    </w:p>
    <w:p w14:paraId="439E94C3" w14:textId="77777777" w:rsidR="002D4A87" w:rsidRPr="00824317" w:rsidRDefault="00127D0B">
      <w:pPr>
        <w:numPr>
          <w:ilvl w:val="1"/>
          <w:numId w:val="1"/>
        </w:numPr>
        <w:ind w:hanging="360"/>
      </w:pPr>
      <w:r>
        <w:t>d</w:t>
      </w:r>
      <w:r w:rsidR="00AE2FCC">
        <w:t>élivrer une autorisation de voyage et organiser le transport du corps du lieu du décès au lieu d</w:t>
      </w:r>
      <w:r>
        <w:t>’</w:t>
      </w:r>
      <w:r w:rsidR="00AE2FCC">
        <w:t>affectation</w:t>
      </w:r>
    </w:p>
    <w:p w14:paraId="35BDD22F" w14:textId="77777777" w:rsidR="002D4A87" w:rsidRPr="00824317" w:rsidRDefault="002D4A87">
      <w:pPr>
        <w:spacing w:after="12" w:line="259" w:lineRule="auto"/>
        <w:ind w:left="720" w:firstLine="0"/>
        <w:jc w:val="left"/>
      </w:pPr>
    </w:p>
    <w:p w14:paraId="4E352AA4" w14:textId="77777777" w:rsidR="002D4A87" w:rsidRPr="00824317" w:rsidRDefault="00AE2FCC" w:rsidP="00AE69EC">
      <w:pPr>
        <w:numPr>
          <w:ilvl w:val="0"/>
          <w:numId w:val="1"/>
        </w:numPr>
        <w:ind w:hanging="410"/>
      </w:pPr>
      <w:r>
        <w:t>Le voyage n</w:t>
      </w:r>
      <w:r w:rsidR="00127D0B">
        <w:t>’</w:t>
      </w:r>
      <w:r>
        <w:t>est pas autorisé pour les personnes à charge ou d</w:t>
      </w:r>
      <w:r w:rsidR="00127D0B">
        <w:t>’</w:t>
      </w:r>
      <w:r>
        <w:t>autres membres de la famille pour se rendre au lieu du décès pour accompagner le corps.</w:t>
      </w:r>
    </w:p>
    <w:p w14:paraId="03EC2764" w14:textId="77777777" w:rsidR="00AF6D24" w:rsidRPr="00AF6D24" w:rsidRDefault="00AF6D24" w:rsidP="00AF6D24">
      <w:pPr>
        <w:ind w:left="360" w:firstLine="0"/>
        <w:rPr>
          <w:rFonts w:asciiTheme="minorHAnsi" w:eastAsia="Times New Roman" w:hAnsiTheme="minorHAnsi"/>
          <w:color w:val="000000" w:themeColor="text1"/>
        </w:rPr>
      </w:pPr>
      <w:r w:rsidRPr="00AF6D24">
        <w:rPr>
          <w:rFonts w:asciiTheme="minorHAnsi" w:eastAsia="Times New Roman" w:hAnsiTheme="minorHAnsi"/>
          <w:b/>
          <w:color w:val="000000" w:themeColor="text1"/>
          <w:u w:val="single"/>
          <w:shd w:val="clear" w:color="auto" w:fill="FFFFFF"/>
        </w:rPr>
        <w:t>Attention</w:t>
      </w:r>
      <w:r w:rsidRPr="00AF6D24">
        <w:rPr>
          <w:rFonts w:asciiTheme="minorHAnsi" w:eastAsia="Times New Roman" w:hAnsiTheme="minorHAnsi"/>
          <w:color w:val="000000" w:themeColor="text1"/>
          <w:u w:val="single"/>
          <w:shd w:val="clear" w:color="auto" w:fill="FFFFFF"/>
        </w:rPr>
        <w:t>:</w:t>
      </w:r>
      <w:r w:rsidRPr="00AF6D24">
        <w:rPr>
          <w:rFonts w:asciiTheme="minorHAnsi" w:eastAsia="Times New Roman" w:hAnsiTheme="minorHAnsi"/>
          <w:color w:val="000000" w:themeColor="text1"/>
          <w:shd w:val="clear" w:color="auto" w:fill="FFFFFF"/>
        </w:rPr>
        <w:t xml:space="preserve"> En cas de divergence entre les textes français et anglais de cette politique, le texte anglais fait foi, sauf disposition expresse écrite contraire.</w:t>
      </w:r>
    </w:p>
    <w:p w14:paraId="68B1C00D" w14:textId="77777777" w:rsidR="002D4A87" w:rsidRPr="00824317" w:rsidRDefault="002D4A87">
      <w:pPr>
        <w:spacing w:after="0" w:line="259" w:lineRule="auto"/>
        <w:ind w:left="0" w:firstLine="0"/>
        <w:jc w:val="left"/>
      </w:pPr>
    </w:p>
    <w:sectPr w:rsidR="002D4A87" w:rsidRPr="00824317" w:rsidSect="0028098C">
      <w:headerReference w:type="even" r:id="rId16"/>
      <w:headerReference w:type="default" r:id="rId17"/>
      <w:footerReference w:type="even" r:id="rId18"/>
      <w:footerReference w:type="default" r:id="rId19"/>
      <w:headerReference w:type="first" r:id="rId20"/>
      <w:footerReference w:type="first" r:id="rId21"/>
      <w:pgSz w:w="12240" w:h="15840"/>
      <w:pgMar w:top="1121" w:right="1795" w:bottom="1333"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A46A0" w14:textId="77777777" w:rsidR="00DF1EFB" w:rsidRDefault="00DF1EFB">
      <w:pPr>
        <w:spacing w:after="0" w:line="240" w:lineRule="auto"/>
      </w:pPr>
      <w:r>
        <w:separator/>
      </w:r>
    </w:p>
  </w:endnote>
  <w:endnote w:type="continuationSeparator" w:id="0">
    <w:p w14:paraId="2F70BE0B" w14:textId="77777777" w:rsidR="00DF1EFB" w:rsidRDefault="00DF1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9B1BE" w14:textId="77777777" w:rsidR="002D4A87" w:rsidRDefault="0028098C">
    <w:pPr>
      <w:spacing w:after="0" w:line="259" w:lineRule="auto"/>
      <w:ind w:left="0" w:right="1" w:firstLine="0"/>
      <w:jc w:val="center"/>
    </w:pPr>
    <w:r>
      <w:fldChar w:fldCharType="begin"/>
    </w:r>
    <w:r w:rsidR="00AE2FCC">
      <w:instrText xml:space="preserve"> PAGE   \* MERGEFORMAT </w:instrText>
    </w:r>
    <w:r>
      <w:fldChar w:fldCharType="separate"/>
    </w:r>
    <w:r w:rsidR="00AE2FCC">
      <w:rPr>
        <w:noProof/>
      </w:rPr>
      <w:t>1</w:t>
    </w:r>
    <w:r>
      <w:fldChar w:fldCharType="end"/>
    </w:r>
    <w:r w:rsidR="00AE2FCC">
      <w:t xml:space="preserve"> </w:t>
    </w:r>
  </w:p>
  <w:p w14:paraId="1A04C33B" w14:textId="77777777" w:rsidR="002D4A87" w:rsidRDefault="00AE2FCC">
    <w:pPr>
      <w:spacing w:after="0" w:line="259" w:lineRule="auto"/>
      <w:ind w:left="0" w:firstLine="0"/>
      <w:jc w:val="left"/>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276CA" w14:textId="087905F6" w:rsidR="002D4A87" w:rsidRDefault="00824317">
    <w:pPr>
      <w:spacing w:after="0" w:line="259" w:lineRule="auto"/>
      <w:ind w:left="0" w:firstLine="0"/>
      <w:jc w:val="left"/>
    </w:pPr>
    <w:r>
      <w:t xml:space="preserve">Page </w:t>
    </w:r>
    <w:r w:rsidR="0028098C">
      <w:rPr>
        <w:b/>
      </w:rPr>
      <w:fldChar w:fldCharType="begin"/>
    </w:r>
    <w:r>
      <w:rPr>
        <w:b/>
      </w:rPr>
      <w:instrText xml:space="preserve"> PAGE  \* Arabic  \* MERGEFORMAT </w:instrText>
    </w:r>
    <w:r w:rsidR="0028098C">
      <w:rPr>
        <w:b/>
      </w:rPr>
      <w:fldChar w:fldCharType="separate"/>
    </w:r>
    <w:r w:rsidR="00AF6D24">
      <w:rPr>
        <w:b/>
        <w:noProof/>
      </w:rPr>
      <w:t>4</w:t>
    </w:r>
    <w:r w:rsidR="0028098C">
      <w:rPr>
        <w:b/>
      </w:rPr>
      <w:fldChar w:fldCharType="end"/>
    </w:r>
    <w:r>
      <w:t xml:space="preserve"> de </w:t>
    </w:r>
    <w:fldSimple w:instr=" NUMPAGES  \* Arabic  \* MERGEFORMAT ">
      <w:r w:rsidR="00AF6D24" w:rsidRPr="00AF6D24">
        <w:rPr>
          <w:b/>
          <w:noProof/>
        </w:rPr>
        <w:t>4</w:t>
      </w:r>
    </w:fldSimple>
    <w:r>
      <w:ptab w:relativeTo="margin" w:alignment="center" w:leader="none"/>
    </w:r>
    <w:r>
      <w:t>Date d</w:t>
    </w:r>
    <w:r w:rsidR="00127D0B">
      <w:t>’</w:t>
    </w:r>
    <w:r>
      <w:t>entrée en vigueur</w:t>
    </w:r>
    <w:r w:rsidR="00127D0B">
      <w:t> :</w:t>
    </w:r>
    <w:r>
      <w:t xml:space="preserve"> </w:t>
    </w:r>
    <w:sdt>
      <w:sdtPr>
        <w:alias w:val="Date d’entrée en vigueur"/>
        <w:tag w:val="UNDP_POPP_EFFECTIVEDATE"/>
        <w:id w:val="1639538087"/>
        <w:placeholder>
          <w:docPart w:val="459FC6CBBCCF4B8DA4B58C4AF94AA14A"/>
        </w:placeholder>
        <w:showingPlcHd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07E888B4-C7FA-4331-AF91-A905B9AA16CD}"/>
        <w:date w:fullDate="2009-07-01T00:00:00Z">
          <w:dateFormat w:val="dd/MM/yyyy"/>
          <w:lid w:val="fr-FR"/>
          <w:storeMappedDataAs w:val="dateTime"/>
          <w:calendar w:val="gregorian"/>
        </w:date>
      </w:sdtPr>
      <w:sdtContent>
        <w:r w:rsidR="00D45537" w:rsidRPr="00FC3A36">
          <w:rPr>
            <w:rStyle w:val="PlaceholderText"/>
          </w:rPr>
          <w:t>[Effective Date]</w:t>
        </w:r>
      </w:sdtContent>
    </w:sdt>
    <w:r>
      <w:ptab w:relativeTo="margin" w:alignment="right" w:leader="none"/>
    </w:r>
    <w:r>
      <w:t>Version n</w:t>
    </w:r>
    <w:r w:rsidR="00D701B6" w:rsidRPr="00D701B6">
      <w:rPr>
        <w:vertAlign w:val="superscript"/>
      </w:rPr>
      <w:t>o</w:t>
    </w:r>
    <w:r w:rsidR="00127D0B">
      <w:t> :</w:t>
    </w:r>
    <w:r>
      <w:t xml:space="preserve"> </w:t>
    </w:r>
    <w:r w:rsidR="00D45537">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9D34B" w14:textId="77777777" w:rsidR="002D4A87" w:rsidRDefault="0028098C">
    <w:pPr>
      <w:spacing w:after="0" w:line="259" w:lineRule="auto"/>
      <w:ind w:left="0" w:right="1" w:firstLine="0"/>
      <w:jc w:val="center"/>
    </w:pPr>
    <w:r>
      <w:fldChar w:fldCharType="begin"/>
    </w:r>
    <w:r w:rsidR="00AE2FCC">
      <w:instrText xml:space="preserve"> PAGE   \* MERGEFORMAT </w:instrText>
    </w:r>
    <w:r>
      <w:fldChar w:fldCharType="separate"/>
    </w:r>
    <w:r w:rsidR="00AE2FCC">
      <w:rPr>
        <w:noProof/>
      </w:rPr>
      <w:t>1</w:t>
    </w:r>
    <w:r>
      <w:fldChar w:fldCharType="end"/>
    </w:r>
    <w:r w:rsidR="00AE2FCC">
      <w:t xml:space="preserve"> </w:t>
    </w:r>
  </w:p>
  <w:p w14:paraId="1ACB9C72" w14:textId="77777777" w:rsidR="002D4A87" w:rsidRDefault="00AE2FCC">
    <w:pPr>
      <w:spacing w:after="0" w:line="259" w:lineRule="auto"/>
      <w:ind w:left="0" w:firstLine="0"/>
      <w:jc w:val="left"/>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D8EEE" w14:textId="77777777" w:rsidR="00DF1EFB" w:rsidRDefault="00DF1EFB">
      <w:pPr>
        <w:spacing w:after="0" w:line="240" w:lineRule="auto"/>
      </w:pPr>
      <w:r>
        <w:separator/>
      </w:r>
    </w:p>
  </w:footnote>
  <w:footnote w:type="continuationSeparator" w:id="0">
    <w:p w14:paraId="5A38B6C5" w14:textId="77777777" w:rsidR="00DF1EFB" w:rsidRDefault="00DF1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3A1A6" w14:textId="77777777" w:rsidR="001368B9" w:rsidRDefault="00136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A8D85" w14:textId="5105C796" w:rsidR="00824317" w:rsidRDefault="001368B9" w:rsidP="00824317">
    <w:pPr>
      <w:pStyle w:val="Header"/>
      <w:jc w:val="right"/>
    </w:pPr>
    <w:r>
      <w:rPr>
        <w:noProof/>
      </w:rPr>
      <w:drawing>
        <wp:inline distT="0" distB="0" distL="0" distR="0" wp14:anchorId="65C6B3C9" wp14:editId="12EC0E3F">
          <wp:extent cx="294640" cy="589280"/>
          <wp:effectExtent l="0" t="0" r="0" b="127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61291" w14:textId="77777777" w:rsidR="001368B9" w:rsidRDefault="00136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31102"/>
    <w:multiLevelType w:val="hybridMultilevel"/>
    <w:tmpl w:val="6E6EE7BE"/>
    <w:lvl w:ilvl="0" w:tplc="EB1ACD46">
      <w:start w:val="1"/>
      <w:numFmt w:val="decimal"/>
      <w:lvlText w:val="%1."/>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B8A32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10A5C2">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5CA04E">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DE96A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B461D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E8A270">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125BD8">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78C3D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6916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A87"/>
    <w:rsid w:val="00001383"/>
    <w:rsid w:val="000F1D55"/>
    <w:rsid w:val="00127D0B"/>
    <w:rsid w:val="001368B9"/>
    <w:rsid w:val="0028098C"/>
    <w:rsid w:val="002D4A87"/>
    <w:rsid w:val="003463EE"/>
    <w:rsid w:val="003818FE"/>
    <w:rsid w:val="003A4FA9"/>
    <w:rsid w:val="004D2C41"/>
    <w:rsid w:val="0071760B"/>
    <w:rsid w:val="00756920"/>
    <w:rsid w:val="0077743A"/>
    <w:rsid w:val="00824317"/>
    <w:rsid w:val="0090152C"/>
    <w:rsid w:val="00A461F0"/>
    <w:rsid w:val="00AE2FCC"/>
    <w:rsid w:val="00AE69EC"/>
    <w:rsid w:val="00AF6D24"/>
    <w:rsid w:val="00C379D0"/>
    <w:rsid w:val="00D45537"/>
    <w:rsid w:val="00D701B6"/>
    <w:rsid w:val="00DE4F70"/>
    <w:rsid w:val="00DF1EFB"/>
    <w:rsid w:val="00EE4AD9"/>
    <w:rsid w:val="00F6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932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98C"/>
    <w:pPr>
      <w:spacing w:after="5" w:line="24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317"/>
    <w:rPr>
      <w:rFonts w:ascii="Calibri" w:eastAsia="Calibri" w:hAnsi="Calibri" w:cs="Calibri"/>
      <w:color w:val="000000"/>
    </w:rPr>
  </w:style>
  <w:style w:type="paragraph" w:styleId="BalloonText">
    <w:name w:val="Balloon Text"/>
    <w:basedOn w:val="Normal"/>
    <w:link w:val="BalloonTextChar"/>
    <w:uiPriority w:val="99"/>
    <w:semiHidden/>
    <w:unhideWhenUsed/>
    <w:rsid w:val="00824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317"/>
    <w:rPr>
      <w:rFonts w:ascii="Tahoma" w:eastAsia="Calibri" w:hAnsi="Tahoma" w:cs="Tahoma"/>
      <w:color w:val="000000"/>
      <w:sz w:val="16"/>
      <w:szCs w:val="16"/>
    </w:rPr>
  </w:style>
  <w:style w:type="character" w:styleId="PlaceholderText">
    <w:name w:val="Placeholder Text"/>
    <w:basedOn w:val="DefaultParagraphFont"/>
    <w:uiPriority w:val="99"/>
    <w:semiHidden/>
    <w:rsid w:val="00824317"/>
    <w:rPr>
      <w:color w:val="808080"/>
    </w:rPr>
  </w:style>
  <w:style w:type="paragraph" w:styleId="ListParagraph">
    <w:name w:val="List Paragraph"/>
    <w:basedOn w:val="Normal"/>
    <w:uiPriority w:val="34"/>
    <w:qFormat/>
    <w:rsid w:val="00824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20https:/www.unjspf.org/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20https:/www.unjspf.org/f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20https:/www.unjspf.org/fr"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20https:/www.unjspf.org/f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9FC6CBBCCF4B8DA4B58C4AF94AA14A"/>
        <w:category>
          <w:name w:val="General"/>
          <w:gallery w:val="placeholder"/>
        </w:category>
        <w:types>
          <w:type w:val="bbPlcHdr"/>
        </w:types>
        <w:behaviors>
          <w:behavior w:val="content"/>
        </w:behaviors>
        <w:guid w:val="{E883B15E-033E-4D69-BA49-E5BC3CEB2907}"/>
      </w:docPartPr>
      <w:docPartBody>
        <w:p w:rsidR="008B4D1E" w:rsidRDefault="007B2993">
          <w:r w:rsidRPr="00FC3A36">
            <w:rPr>
              <w:rStyle w:val="PlaceholderText"/>
            </w:rPr>
            <w:t>[Effective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B2993"/>
    <w:rsid w:val="001B227C"/>
    <w:rsid w:val="004D2C41"/>
    <w:rsid w:val="006B75EE"/>
    <w:rsid w:val="007B2993"/>
    <w:rsid w:val="00871129"/>
    <w:rsid w:val="008B4D1E"/>
    <w:rsid w:val="0093416B"/>
    <w:rsid w:val="00D06C87"/>
    <w:rsid w:val="00D77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9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UNITBMS-173-500</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2</UNDP_POPP_REFITEM_VERSION>
    <UNDP_POPP_ISACTIVE xmlns="8264c5cc-ec60-4b56-8111-ce635d3d139a">true</UNDP_POPP_ISACTIVE>
    <UNDP_POPP_TITLE_EN xmlns="8264c5cc-ec60-4b56-8111-ce635d3d139a">Décès</UNDP_POPP_TITLE_EN>
    <_dlc_DocIdUrl xmlns="8264c5cc-ec60-4b56-8111-ce635d3d139a">
      <Url>https://intranet.undp.org/unit/bms/dir/internal/init_popp/_layouts/15/DocIdRedir.aspx?ID=UNITBMS-173-500</Url>
      <Description>UNITBMS-173-500</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2</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3F2211-5656-4810-8CC3-1AC589466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0FEED-030A-4B09-816C-4104D23AC9E8}">
  <ds:schemaRefs>
    <ds:schemaRef ds:uri="office.server.policy"/>
  </ds:schemaRefs>
</ds:datastoreItem>
</file>

<file path=customXml/itemProps3.xml><?xml version="1.0" encoding="utf-8"?>
<ds:datastoreItem xmlns:ds="http://schemas.openxmlformats.org/officeDocument/2006/customXml" ds:itemID="{07E888B4-C7FA-4331-AF91-A905B9AA16C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8463B95B-F1F0-425A-A3AE-5DAF3EF4C492}">
  <ds:schemaRefs>
    <ds:schemaRef ds:uri="http://schemas.microsoft.com/sharepoint/v3/contenttype/forms"/>
  </ds:schemaRefs>
</ds:datastoreItem>
</file>

<file path=customXml/itemProps5.xml><?xml version="1.0" encoding="utf-8"?>
<ds:datastoreItem xmlns:ds="http://schemas.openxmlformats.org/officeDocument/2006/customXml" ds:itemID="{77567BFC-A197-4F4B-B1A0-CF3BAADFB5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lastModifiedBy>Pablo Morete</cp:lastModifiedBy>
  <cp:revision>5</cp:revision>
  <dcterms:created xsi:type="dcterms:W3CDTF">2018-09-19T19:45:00Z</dcterms:created>
  <dcterms:modified xsi:type="dcterms:W3CDTF">2024-08-16T16:23:00Z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335432b3-ac1e-4b78-88e5-c4fde248b9bd</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