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FE9" w14:textId="23C2EF4D" w:rsidR="001A2146" w:rsidRPr="00A27A5E" w:rsidRDefault="001A2146" w:rsidP="00A27A5E">
      <w:pPr>
        <w:shd w:val="clear" w:color="auto" w:fill="FFFFFF"/>
        <w:spacing w:line="240" w:lineRule="auto"/>
        <w:jc w:val="both"/>
        <w:textAlignment w:val="top"/>
        <w:rPr>
          <w:rFonts w:eastAsia="Times New Roman" w:cstheme="minorHAnsi"/>
          <w:sz w:val="28"/>
          <w:szCs w:val="28"/>
        </w:rPr>
      </w:pPr>
      <w:r>
        <w:rPr>
          <w:b/>
          <w:bCs/>
          <w:sz w:val="28"/>
          <w:szCs w:val="28"/>
        </w:rPr>
        <w:t xml:space="preserve">Cierre de una presencia local </w:t>
      </w:r>
    </w:p>
    <w:p w14:paraId="7280E03E" w14:textId="77777777" w:rsidR="001A2146" w:rsidRPr="00A27A5E"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Esta sección es una guía para el proceso en el que las oficinas de país del PNUD (Programa de las Naciones Unidas para el Desarrollo) pueden cerrar presencias fuera de la oficina principal. Las presencias locales se refieren a las oficinas que son dependientes de una Oficina de País ubicada dentro del mismo país: </w:t>
      </w:r>
    </w:p>
    <w:p w14:paraId="5294B4F3" w14:textId="77777777" w:rsidR="001A2146" w:rsidRPr="00A27A5E" w:rsidRDefault="001A2146" w:rsidP="00A27A5E">
      <w:pPr>
        <w:shd w:val="clear" w:color="auto" w:fill="FFFFFF"/>
        <w:spacing w:after="0" w:line="240" w:lineRule="auto"/>
        <w:jc w:val="both"/>
        <w:textAlignment w:val="top"/>
        <w:rPr>
          <w:rFonts w:eastAsia="Times New Roman" w:cstheme="minorHAnsi"/>
          <w:color w:val="333333"/>
        </w:rPr>
      </w:pPr>
      <w:r>
        <w:rPr>
          <w:color w:val="333333"/>
        </w:rPr>
        <w:t>  </w:t>
      </w:r>
    </w:p>
    <w:p w14:paraId="2064A398" w14:textId="77777777" w:rsidR="001A2146" w:rsidRPr="00D54941" w:rsidRDefault="001A2146" w:rsidP="00A27A5E">
      <w:pPr>
        <w:pStyle w:val="ListParagraph"/>
        <w:numPr>
          <w:ilvl w:val="0"/>
          <w:numId w:val="7"/>
        </w:numPr>
        <w:shd w:val="clear" w:color="auto" w:fill="FFFFFF"/>
        <w:spacing w:after="0" w:line="240" w:lineRule="auto"/>
        <w:jc w:val="both"/>
        <w:textAlignment w:val="top"/>
        <w:rPr>
          <w:rFonts w:eastAsia="Times New Roman" w:cstheme="minorHAnsi"/>
        </w:rPr>
      </w:pPr>
      <w:r>
        <w:t>Oficinas de proyectos</w:t>
      </w:r>
    </w:p>
    <w:p w14:paraId="73FBD995" w14:textId="77777777" w:rsidR="001A2146" w:rsidRPr="00D54941" w:rsidRDefault="001A2146" w:rsidP="00A27A5E">
      <w:pPr>
        <w:pStyle w:val="ListParagraph"/>
        <w:numPr>
          <w:ilvl w:val="0"/>
          <w:numId w:val="7"/>
        </w:numPr>
        <w:shd w:val="clear" w:color="auto" w:fill="FFFFFF"/>
        <w:spacing w:after="0" w:line="240" w:lineRule="auto"/>
        <w:jc w:val="both"/>
        <w:textAlignment w:val="top"/>
        <w:rPr>
          <w:rFonts w:eastAsia="Times New Roman" w:cstheme="minorHAnsi"/>
        </w:rPr>
      </w:pPr>
      <w:proofErr w:type="spellStart"/>
      <w:r>
        <w:t>Suboficinas</w:t>
      </w:r>
      <w:proofErr w:type="spellEnd"/>
      <w:r>
        <w:t xml:space="preserve"> del PNUD</w:t>
      </w:r>
    </w:p>
    <w:p w14:paraId="6667700C" w14:textId="77777777" w:rsidR="001A2146" w:rsidRPr="00A27A5E" w:rsidRDefault="001A2146" w:rsidP="00A27A5E">
      <w:pPr>
        <w:shd w:val="clear" w:color="auto" w:fill="FFFFFF"/>
        <w:spacing w:after="0" w:line="240" w:lineRule="auto"/>
        <w:jc w:val="both"/>
        <w:textAlignment w:val="top"/>
        <w:rPr>
          <w:rFonts w:eastAsia="Times New Roman" w:cstheme="minorHAnsi"/>
          <w:color w:val="333333"/>
        </w:rPr>
      </w:pPr>
      <w:r>
        <w:rPr>
          <w:color w:val="000000"/>
        </w:rPr>
        <w:t> </w:t>
      </w:r>
    </w:p>
    <w:p w14:paraId="67719B31" w14:textId="23BA019F" w:rsidR="001A2146" w:rsidRPr="00A27A5E"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Los pasos del proceso son obligatorios para las </w:t>
      </w:r>
      <w:proofErr w:type="spellStart"/>
      <w:r>
        <w:t>suboficinas</w:t>
      </w:r>
      <w:proofErr w:type="spellEnd"/>
      <w:r>
        <w:t xml:space="preserve"> y brindan orientación para el cierre de oficinas de proyectos. </w:t>
      </w:r>
    </w:p>
    <w:p w14:paraId="31104ACB" w14:textId="77777777" w:rsidR="001A2146" w:rsidRPr="00A27A5E" w:rsidRDefault="001A2146" w:rsidP="00A27A5E">
      <w:pPr>
        <w:shd w:val="clear" w:color="auto" w:fill="FFFFFF"/>
        <w:spacing w:after="0" w:line="240" w:lineRule="auto"/>
        <w:jc w:val="both"/>
        <w:textAlignment w:val="top"/>
        <w:rPr>
          <w:rFonts w:eastAsia="Times New Roman" w:cstheme="minorHAnsi"/>
          <w:color w:val="333333"/>
        </w:rPr>
      </w:pPr>
      <w:r>
        <w:rPr>
          <w:color w:val="333333"/>
        </w:rPr>
        <w:t> </w:t>
      </w:r>
    </w:p>
    <w:p w14:paraId="7BF3D78D" w14:textId="0807CD39" w:rsidR="001A2146" w:rsidRDefault="008D6576" w:rsidP="00A27A5E">
      <w:pPr>
        <w:shd w:val="clear" w:color="auto" w:fill="FFFFFF"/>
        <w:spacing w:after="0" w:line="240" w:lineRule="auto"/>
        <w:jc w:val="center"/>
        <w:textAlignment w:val="top"/>
        <w:rPr>
          <w:rFonts w:eastAsia="Times New Roman" w:cstheme="minorHAnsi"/>
          <w:color w:val="333333"/>
        </w:rPr>
      </w:pPr>
      <w:r>
        <w:rPr>
          <w:noProof/>
        </w:rPr>
        <w:drawing>
          <wp:inline distT="0" distB="0" distL="0" distR="0" wp14:anchorId="071C7862" wp14:editId="0D61AF51">
            <wp:extent cx="5076826" cy="3124200"/>
            <wp:effectExtent l="0" t="0" r="9525" b="0"/>
            <wp:docPr id="2" name="Imagen 2" descr="C:\Users\Usuario\Desktop\Nueva carpeta\Admin Service_Management of Local Presence_Closing Local Presence outside Country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5076826" cy="3124200"/>
                    </a:xfrm>
                    <a:prstGeom prst="rect">
                      <a:avLst/>
                    </a:prstGeom>
                  </pic:spPr>
                </pic:pic>
              </a:graphicData>
            </a:graphic>
          </wp:inline>
        </w:drawing>
      </w:r>
    </w:p>
    <w:p w14:paraId="15359249" w14:textId="794746D3" w:rsidR="006232A4" w:rsidRPr="00CE5243" w:rsidRDefault="00EB2D16" w:rsidP="00CE5243">
      <w:pPr>
        <w:pStyle w:val="ListParagraph"/>
        <w:numPr>
          <w:ilvl w:val="0"/>
          <w:numId w:val="6"/>
        </w:numPr>
        <w:shd w:val="clear" w:color="auto" w:fill="FFFFFF"/>
        <w:spacing w:before="100" w:beforeAutospacing="1" w:after="100" w:afterAutospacing="1" w:line="240" w:lineRule="auto"/>
        <w:jc w:val="both"/>
        <w:textAlignment w:val="top"/>
        <w:rPr>
          <w:rFonts w:eastAsia="Times New Roman" w:cstheme="minorHAnsi"/>
        </w:rPr>
      </w:pPr>
      <w:r>
        <w:t xml:space="preserve">Existen tres pasos </w:t>
      </w:r>
      <w:r w:rsidR="00CA6F10">
        <w:t>clave:</w:t>
      </w:r>
    </w:p>
    <w:p w14:paraId="6FAFAEB7" w14:textId="77777777" w:rsidR="00CE5243" w:rsidRPr="006232A4" w:rsidRDefault="00CE5243" w:rsidP="00CE5243">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4A3C108" w14:textId="77777777" w:rsidR="006232A4" w:rsidRPr="006232A4" w:rsidRDefault="00CA6F10" w:rsidP="006232A4">
      <w:pPr>
        <w:pStyle w:val="ListParagraph"/>
        <w:numPr>
          <w:ilvl w:val="1"/>
          <w:numId w:val="6"/>
        </w:numPr>
        <w:shd w:val="clear" w:color="auto" w:fill="FFFFFF"/>
        <w:spacing w:before="100" w:beforeAutospacing="1" w:after="100" w:afterAutospacing="1" w:line="240" w:lineRule="auto"/>
        <w:jc w:val="both"/>
        <w:textAlignment w:val="top"/>
        <w:rPr>
          <w:rFonts w:eastAsia="Times New Roman" w:cstheme="minorHAnsi"/>
        </w:rPr>
      </w:pPr>
      <w:r w:rsidRPr="006232A4">
        <w:rPr>
          <w:b/>
          <w:bCs/>
        </w:rPr>
        <w:t>Toma</w:t>
      </w:r>
      <w:r w:rsidR="001A2146" w:rsidRPr="006232A4">
        <w:rPr>
          <w:b/>
          <w:bCs/>
        </w:rPr>
        <w:t xml:space="preserve"> de la decisión:</w:t>
      </w:r>
      <w:r w:rsidR="001A2146">
        <w:t xml:space="preserve"> La decisión estará basada en las recomendaciones de una revisión formal, una evaluación de riesgos y consultas con las contrapartes.</w:t>
      </w:r>
    </w:p>
    <w:p w14:paraId="7CE7AFE7" w14:textId="77777777" w:rsidR="006232A4" w:rsidRPr="006232A4" w:rsidRDefault="001A2146" w:rsidP="006232A4">
      <w:pPr>
        <w:pStyle w:val="ListParagraph"/>
        <w:numPr>
          <w:ilvl w:val="1"/>
          <w:numId w:val="6"/>
        </w:numPr>
        <w:shd w:val="clear" w:color="auto" w:fill="FFFFFF"/>
        <w:spacing w:before="100" w:beforeAutospacing="1" w:after="100" w:afterAutospacing="1" w:line="240" w:lineRule="auto"/>
        <w:jc w:val="both"/>
        <w:textAlignment w:val="top"/>
        <w:rPr>
          <w:rFonts w:eastAsia="Times New Roman" w:cstheme="minorHAnsi"/>
        </w:rPr>
      </w:pPr>
      <w:r w:rsidRPr="006232A4">
        <w:rPr>
          <w:b/>
          <w:bCs/>
        </w:rPr>
        <w:t>Planeamiento y preparaciones:</w:t>
      </w:r>
      <w:r>
        <w:t xml:space="preserve"> Esto incluye las medidas de mitigación para los riesgos pertinentes y el desarrollo de un plan de cierre detallado. La oficina de país debe hacer lo posible por asistir a los miembros del personal y a los asociados afectados de manera negativa por el cierre.</w:t>
      </w:r>
    </w:p>
    <w:p w14:paraId="7147950A" w14:textId="2AFB11D4" w:rsidR="001A2146" w:rsidRPr="006232A4" w:rsidRDefault="001A2146" w:rsidP="006232A4">
      <w:pPr>
        <w:pStyle w:val="ListParagraph"/>
        <w:numPr>
          <w:ilvl w:val="1"/>
          <w:numId w:val="6"/>
        </w:numPr>
        <w:shd w:val="clear" w:color="auto" w:fill="FFFFFF"/>
        <w:spacing w:before="100" w:beforeAutospacing="1" w:after="100" w:afterAutospacing="1" w:line="240" w:lineRule="auto"/>
        <w:jc w:val="both"/>
        <w:textAlignment w:val="top"/>
        <w:rPr>
          <w:rFonts w:eastAsia="Times New Roman" w:cstheme="minorHAnsi"/>
        </w:rPr>
      </w:pPr>
      <w:r w:rsidRPr="006232A4">
        <w:rPr>
          <w:b/>
          <w:bCs/>
        </w:rPr>
        <w:t>Ejecución:</w:t>
      </w:r>
      <w:r>
        <w:t xml:space="preserve"> Este paso consiste en una evaluación de las actividades de programas y en la gestión del cierre operativo, financiero y del programa. En consulta con la Oficina de Auditoría e Investigaciones, podría considerarse una auditoría final de las operaciones y la gestión si las circunstancias o las inquietudes lo justifican.</w:t>
      </w:r>
    </w:p>
    <w:p w14:paraId="3BD4F6B7" w14:textId="31DD037C"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El paso de toma de decisiones es desencadenado, por lo general, por criterios definidos en el estudio de viabilidad de la presencia («disposición de cierre»; véase el </w:t>
      </w:r>
      <w:hyperlink r:id="rId14" w:history="1">
        <w:r>
          <w:rPr>
            <w:rStyle w:val="Hyperlink"/>
          </w:rPr>
          <w:t xml:space="preserve">capítulo sobre desarrollo </w:t>
        </w:r>
        <w:r>
          <w:rPr>
            <w:rStyle w:val="Hyperlink"/>
          </w:rPr>
          <w:lastRenderedPageBreak/>
          <w:t>de un estudio de viabilidad</w:t>
        </w:r>
      </w:hyperlink>
      <w:r>
        <w:rPr>
          <w:color w:val="333333"/>
        </w:rPr>
        <w:t xml:space="preserve"> </w:t>
      </w:r>
      <w:r>
        <w:t xml:space="preserve">para una presencia local) y lleva entre dos semanas y un mes. La toma de decisiones también puede ser generada en forma directa por el Director Regional (para las </w:t>
      </w:r>
      <w:proofErr w:type="spellStart"/>
      <w:r>
        <w:t>suboficinas</w:t>
      </w:r>
      <w:proofErr w:type="spellEnd"/>
      <w:r>
        <w:t xml:space="preserve">) y por el Representante Residente (para las oficinas de proyectos) con base en su evaluación de la situación y/o en una recomendación del jefe de la presencia del PNUD. </w:t>
      </w:r>
    </w:p>
    <w:p w14:paraId="1B90B543"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68E81448" w14:textId="1A602EE9"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fase de planeamiento y preparación comienza cuando se toma formalmente la decisión de cerrar la oficina y tarda entre dos semanas y un mes. El inicio de la fase de ejecución se define a través del plan de cierre de la oficina y no puede comenzar antes de que se apruebe formalmente el plan de cierre. El requerimiento de tiempo institucional mínimo para esta fase es de tres meses. En total, el </w:t>
      </w:r>
      <w:r>
        <w:rPr>
          <w:b/>
          <w:bCs/>
        </w:rPr>
        <w:t xml:space="preserve">tiempo mínimo </w:t>
      </w:r>
      <w:r>
        <w:t xml:space="preserve">requerido para un proceso de cierre es de </w:t>
      </w:r>
      <w:r>
        <w:rPr>
          <w:b/>
          <w:bCs/>
        </w:rPr>
        <w:t>cuatro meses</w:t>
      </w:r>
      <w:r>
        <w:t>.</w:t>
      </w:r>
    </w:p>
    <w:p w14:paraId="53A6877B" w14:textId="77777777" w:rsidR="00A27A5E" w:rsidRPr="00DD7EB7" w:rsidRDefault="00A27A5E" w:rsidP="00A27A5E">
      <w:pPr>
        <w:pStyle w:val="ListParagraph"/>
        <w:rPr>
          <w:rFonts w:eastAsia="Times New Roman" w:cstheme="minorHAnsi"/>
        </w:rPr>
      </w:pPr>
    </w:p>
    <w:p w14:paraId="1BC33251" w14:textId="28E510B5"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El cierre de las </w:t>
      </w:r>
      <w:proofErr w:type="spellStart"/>
      <w:r>
        <w:t>suboficinas</w:t>
      </w:r>
      <w:proofErr w:type="spellEnd"/>
      <w:r>
        <w:t xml:space="preserve"> y de las requiere la acción sistemática y coordinada de varias unidades de la Oficina de País, además de la consideración simultánea de una serie de factores. La Oficina de País debe organizar el proceso como un proyecto, evaluar y asignar los recursos necesarios (para ser gestionados en el marco de un proyecto de gestión específico de la presencia en </w:t>
      </w:r>
      <w:r w:rsidR="00E54A87">
        <w:t>Quantum</w:t>
      </w:r>
      <w:r>
        <w:t xml:space="preserve">) y designar tanto a un gerente como a miembros del equipo de tareas para representar a todas las unidades involucradas. A menos que haya motivos de peso, el jefe de la presencia del PNUD será designado como gerente responsable del cierre. </w:t>
      </w:r>
    </w:p>
    <w:p w14:paraId="5BA794D2" w14:textId="77777777" w:rsidR="00A27A5E" w:rsidRPr="00DD7EB7" w:rsidRDefault="00A27A5E" w:rsidP="00A27A5E">
      <w:pPr>
        <w:pStyle w:val="ListParagraph"/>
        <w:rPr>
          <w:rFonts w:eastAsia="Times New Roman" w:cstheme="minorHAnsi"/>
        </w:rPr>
      </w:pPr>
    </w:p>
    <w:p w14:paraId="2A3DB77D" w14:textId="77777777" w:rsidR="001A2146"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Los Representantes Residentes son responsables de garantizar los niveles apropiados de transparencia e información. Los siguientes son los productos requeridos: </w:t>
      </w:r>
    </w:p>
    <w:p w14:paraId="5A5AD1BF" w14:textId="77777777" w:rsidR="001A2146" w:rsidRPr="00DD7EB7" w:rsidRDefault="001A2146" w:rsidP="00A27A5E">
      <w:pPr>
        <w:shd w:val="clear" w:color="auto" w:fill="FFFFFF"/>
        <w:spacing w:after="0" w:line="240" w:lineRule="auto"/>
        <w:jc w:val="both"/>
        <w:textAlignment w:val="top"/>
        <w:rPr>
          <w:rFonts w:eastAsia="Times New Roman" w:cstheme="minorHAnsi"/>
        </w:rPr>
      </w:pPr>
    </w:p>
    <w:p w14:paraId="742F8BCD" w14:textId="77777777" w:rsidR="001A2146" w:rsidRPr="00DD7EB7" w:rsidRDefault="001A2146"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Evaluación aprobada de riesgos de cierre</w:t>
      </w:r>
    </w:p>
    <w:p w14:paraId="5AB7E075" w14:textId="77777777" w:rsidR="001A2146" w:rsidRPr="00DD7EB7" w:rsidRDefault="001A2146"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Estrategia de gestión de riesgos</w:t>
      </w:r>
    </w:p>
    <w:p w14:paraId="54365ADB" w14:textId="77777777" w:rsidR="001A2146" w:rsidRPr="00DD7EB7" w:rsidRDefault="001A2146"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Plan de cierre aprobado</w:t>
      </w:r>
    </w:p>
    <w:p w14:paraId="3F0EF67C" w14:textId="77777777" w:rsidR="001A2146" w:rsidRPr="00DD7EB7" w:rsidRDefault="001A2146"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Evaluación del programa</w:t>
      </w:r>
    </w:p>
    <w:p w14:paraId="04275325" w14:textId="77777777" w:rsidR="001A2146" w:rsidRPr="00DD7EB7" w:rsidRDefault="001A2146" w:rsidP="00A27A5E">
      <w:pPr>
        <w:pStyle w:val="ListParagraph"/>
        <w:numPr>
          <w:ilvl w:val="0"/>
          <w:numId w:val="9"/>
        </w:numPr>
        <w:shd w:val="clear" w:color="auto" w:fill="FFFFFF"/>
        <w:spacing w:after="0" w:line="240" w:lineRule="auto"/>
        <w:ind w:left="1134" w:hanging="317"/>
        <w:jc w:val="both"/>
        <w:textAlignment w:val="top"/>
        <w:rPr>
          <w:rFonts w:eastAsia="Times New Roman" w:cstheme="minorHAnsi"/>
        </w:rPr>
      </w:pPr>
      <w:r>
        <w:t>Auditoría de operaciones</w:t>
      </w:r>
    </w:p>
    <w:p w14:paraId="69F5C05F" w14:textId="77777777" w:rsidR="00A27A5E" w:rsidRPr="00DD7EB7" w:rsidRDefault="001A2146" w:rsidP="00A27A5E">
      <w:pPr>
        <w:pStyle w:val="ListParagraph"/>
        <w:numPr>
          <w:ilvl w:val="0"/>
          <w:numId w:val="8"/>
        </w:numPr>
        <w:shd w:val="clear" w:color="auto" w:fill="FFFFFF"/>
        <w:spacing w:after="0" w:line="240" w:lineRule="auto"/>
        <w:ind w:left="1134" w:hanging="317"/>
        <w:jc w:val="both"/>
        <w:textAlignment w:val="top"/>
        <w:rPr>
          <w:rFonts w:eastAsia="Times New Roman" w:cstheme="minorHAnsi"/>
        </w:rPr>
      </w:pPr>
      <w:r>
        <w:t>Informe de cierre aprobado</w:t>
      </w:r>
    </w:p>
    <w:p w14:paraId="28FFDC82" w14:textId="77777777" w:rsidR="008D6576" w:rsidRDefault="008D6576" w:rsidP="00A27A5E">
      <w:pPr>
        <w:shd w:val="clear" w:color="auto" w:fill="FFFFFF"/>
        <w:spacing w:after="0" w:line="240" w:lineRule="auto"/>
        <w:jc w:val="both"/>
        <w:textAlignment w:val="top"/>
        <w:rPr>
          <w:b/>
          <w:bCs/>
        </w:rPr>
      </w:pPr>
    </w:p>
    <w:p w14:paraId="20ECC71C" w14:textId="206A4C5A" w:rsidR="00A27A5E" w:rsidRPr="00DD7EB7" w:rsidRDefault="001A2146" w:rsidP="00A27A5E">
      <w:pPr>
        <w:shd w:val="clear" w:color="auto" w:fill="FFFFFF"/>
        <w:spacing w:after="0" w:line="240" w:lineRule="auto"/>
        <w:jc w:val="both"/>
        <w:textAlignment w:val="top"/>
        <w:rPr>
          <w:rFonts w:eastAsia="Times New Roman" w:cstheme="minorHAnsi"/>
          <w:b/>
          <w:bCs/>
        </w:rPr>
      </w:pPr>
      <w:r>
        <w:rPr>
          <w:b/>
          <w:bCs/>
        </w:rPr>
        <w:t>Decisión sobre el cierre</w:t>
      </w:r>
    </w:p>
    <w:p w14:paraId="7BCA4165"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651595C5"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toma de decisiones sobre el cierre es generada por el logro de los objetivos de la presencia, obstáculos en la financiación y/o el deterioro de la situación de seguridad. En el último caso, puede ser necesario que el Representante Residente –en consonancia con el Marco para la rendición de cuentas sobre el sistema de gestión de la seguridad de las Naciones Unidas– retire de inmediato al personal de un lugar en riesgo mientras se inicia el proceso formal de cierre. La decisión debe estar documentada, y deberá informarse de inmediato al Gerente Senior de la Seguridad de la sede del PNUD. </w:t>
      </w:r>
    </w:p>
    <w:p w14:paraId="14A90972"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3D161D37" w14:textId="65B027FB"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toma de decisiones sobre el cierre de una presencia local debe estar basada en la estrategia de salida y en la disposición de cierre definida en el estudio de viabilidad de la presencia, que determinan la duración prevista de la presencia y los criterios para el cierre. Dichos criterios pueden ser programáticos o estar relacionados con las operaciones. En el caso de las presencias establecidas antes de 2010 (antes del inicio de la orientación actual sobre el proceso), la estrategia de salida y los criterios para el cierre deben definirse luego del inicio del proceso de revisión y toma de decisiones (consulte la </w:t>
      </w:r>
      <w:hyperlink r:id="rId15" w:history="1">
        <w:r>
          <w:rPr>
            <w:rStyle w:val="Hyperlink"/>
          </w:rPr>
          <w:t>nota orientativa</w:t>
        </w:r>
      </w:hyperlink>
      <w:r>
        <w:rPr>
          <w:color w:val="333333"/>
        </w:rPr>
        <w:t xml:space="preserve"> </w:t>
      </w:r>
      <w:r>
        <w:t>sobre el establecimiento de presencias locales).</w:t>
      </w:r>
    </w:p>
    <w:p w14:paraId="5629AC4B" w14:textId="77777777" w:rsidR="00A27A5E" w:rsidRPr="00A27A5E" w:rsidRDefault="00A27A5E" w:rsidP="00A27A5E">
      <w:pPr>
        <w:pStyle w:val="ListParagraph"/>
        <w:rPr>
          <w:rFonts w:eastAsia="Times New Roman" w:cstheme="minorHAnsi"/>
          <w:color w:val="333333"/>
        </w:rPr>
      </w:pPr>
    </w:p>
    <w:p w14:paraId="454C088C" w14:textId="7A027A0B"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El Representante Residente inicia una </w:t>
      </w:r>
      <w:r>
        <w:rPr>
          <w:b/>
          <w:bCs/>
        </w:rPr>
        <w:t>revisión formal</w:t>
      </w:r>
      <w:r>
        <w:t xml:space="preserve"> . La revisión, que debe ser llevaba a cabo por la Oficina de País (o por el Equipo de las Naciones Unidas debe confirmar que se cumplen los criterios definidos. Deberá informarse al Buró Regional y –en el caso de las </w:t>
      </w:r>
      <w:proofErr w:type="spellStart"/>
      <w:r>
        <w:t>suboficinas</w:t>
      </w:r>
      <w:proofErr w:type="spellEnd"/>
      <w:r>
        <w:t>– al Buró de Gestión antes del inicio de la revisión.</w:t>
      </w:r>
    </w:p>
    <w:p w14:paraId="24E995A4" w14:textId="77777777" w:rsidR="00A27A5E" w:rsidRPr="00DD7EB7" w:rsidRDefault="00A27A5E" w:rsidP="00A27A5E">
      <w:pPr>
        <w:pStyle w:val="ListParagraph"/>
        <w:rPr>
          <w:rFonts w:eastAsia="Times New Roman" w:cstheme="minorHAnsi"/>
        </w:rPr>
      </w:pPr>
    </w:p>
    <w:p w14:paraId="04CA9197" w14:textId="4C10FB0C"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revisión debe realizar recomendaciones concretas en términos del cierre y proponer un plazo realista para el cierre. Las recomendaciones de la revisión deben ser finalizadas y aprobadas por el Representante Residente, y deben ser archivadas en los registros oficiales de la oficina de país. </w:t>
      </w:r>
    </w:p>
    <w:p w14:paraId="13341CDA" w14:textId="77777777" w:rsidR="00A27A5E" w:rsidRPr="00DD7EB7" w:rsidRDefault="00A27A5E" w:rsidP="00A27A5E">
      <w:pPr>
        <w:pStyle w:val="ListParagraph"/>
        <w:rPr>
          <w:rFonts w:eastAsia="Times New Roman" w:cstheme="minorHAnsi"/>
        </w:rPr>
      </w:pPr>
    </w:p>
    <w:p w14:paraId="052F3B03"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revisión debe estar acompañada o seguida por una evaluación de riesgos del cierre que analice los siguientes aspectos: </w:t>
      </w:r>
    </w:p>
    <w:p w14:paraId="351EF7DE"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Impacto financiero en la Oficina de País del PNUD</w:t>
      </w:r>
    </w:p>
    <w:p w14:paraId="32995A49"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Consecuencias legales/responsabilidades potenciales</w:t>
      </w:r>
    </w:p>
    <w:p w14:paraId="401E7009"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Sostenibilidad de los resultados de desarrollo</w:t>
      </w:r>
    </w:p>
    <w:p w14:paraId="0A5D2FB5"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Consecuencias políticas/relación con el Gobierno y las autoridades locales</w:t>
      </w:r>
    </w:p>
    <w:p w14:paraId="274F50EB"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Consecuencias para la asociación con los actores nacionales e internacionales de desarrollo</w:t>
      </w:r>
    </w:p>
    <w:p w14:paraId="4929BDCE"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Aspectos operativos (recursos, instalaciones, recursos humanos, datos electrónicos y equipos)</w:t>
      </w:r>
    </w:p>
    <w:p w14:paraId="08D923B2" w14:textId="77777777" w:rsidR="00A27A5E" w:rsidRPr="00DD7EB7" w:rsidRDefault="001A2146" w:rsidP="00A27A5E">
      <w:pPr>
        <w:pStyle w:val="ListParagraph"/>
        <w:numPr>
          <w:ilvl w:val="0"/>
          <w:numId w:val="11"/>
        </w:numPr>
        <w:shd w:val="clear" w:color="auto" w:fill="FFFFFF"/>
        <w:spacing w:after="0" w:line="240" w:lineRule="auto"/>
        <w:ind w:left="1276"/>
        <w:textAlignment w:val="top"/>
        <w:rPr>
          <w:rFonts w:eastAsia="Times New Roman" w:cstheme="minorHAnsi"/>
        </w:rPr>
      </w:pPr>
      <w:r>
        <w:t>Consecuencias para los miembros del personal (empleo futuro, situación socioeconómica)</w:t>
      </w:r>
    </w:p>
    <w:p w14:paraId="2220EEFD" w14:textId="77777777" w:rsidR="00A27A5E" w:rsidRPr="00DD7EB7" w:rsidRDefault="00A27A5E" w:rsidP="00A27A5E">
      <w:pPr>
        <w:pStyle w:val="ListParagraph"/>
        <w:shd w:val="clear" w:color="auto" w:fill="FFFFFF"/>
        <w:spacing w:after="0" w:line="240" w:lineRule="auto"/>
        <w:ind w:left="1276"/>
        <w:textAlignment w:val="top"/>
        <w:rPr>
          <w:rFonts w:eastAsia="Times New Roman" w:cstheme="minorHAnsi"/>
        </w:rPr>
      </w:pPr>
    </w:p>
    <w:p w14:paraId="7197CC67"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Los requisitos de recursos relacionados con el proceso de cierre deben evaluarse al valorar el impacto financiero en la Oficina de País. Por lo general, estos incluyen (entre otros) los costos de las evaluaciones, las transferencias de activos, el mantenimiento final de las instalaciones y los pagos a título compensatorio al personal. </w:t>
      </w:r>
    </w:p>
    <w:p w14:paraId="7BCBEBE7"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767FAB5F" w14:textId="760D3E30"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En el caso de las oficinas de proyectos, el Representante Residente decide sobre el cierre. En el caso de las </w:t>
      </w:r>
      <w:proofErr w:type="spellStart"/>
      <w:r>
        <w:t>suboficinas</w:t>
      </w:r>
      <w:proofErr w:type="spellEnd"/>
      <w:r>
        <w:t xml:space="preserve">, el Director Regional aprueba el cierre con base en una recomendación del Representante Residente, luego de realizar consultas con el Buró de Gestión de Servicios (BMS, </w:t>
      </w:r>
      <w:r>
        <w:rPr>
          <w:i/>
        </w:rPr>
        <w:t xml:space="preserve">Bureau </w:t>
      </w:r>
      <w:proofErr w:type="spellStart"/>
      <w:r>
        <w:rPr>
          <w:i/>
        </w:rPr>
        <w:t>for</w:t>
      </w:r>
      <w:proofErr w:type="spellEnd"/>
      <w:r>
        <w:rPr>
          <w:i/>
        </w:rPr>
        <w:t xml:space="preserve"> Management </w:t>
      </w:r>
      <w:proofErr w:type="spellStart"/>
      <w:r>
        <w:rPr>
          <w:i/>
        </w:rPr>
        <w:t>Services</w:t>
      </w:r>
      <w:proofErr w:type="spellEnd"/>
      <w:r>
        <w:t>, por sus siglas en inglés), los organismos asociados y el Equipo de Directores Regionales según corresponda. La disponibilidad de los fondos requeridos para el cierre debe confirmarse como parte de la decisión de cierre.</w:t>
      </w:r>
    </w:p>
    <w:p w14:paraId="5DAB37B6" w14:textId="77777777" w:rsidR="00A27A5E" w:rsidRPr="00DD7EB7" w:rsidRDefault="00A27A5E" w:rsidP="00A27A5E">
      <w:pPr>
        <w:pStyle w:val="ListParagraph"/>
        <w:rPr>
          <w:rFonts w:eastAsia="Times New Roman" w:cstheme="minorHAnsi"/>
        </w:rPr>
      </w:pPr>
    </w:p>
    <w:p w14:paraId="1F157794" w14:textId="77777777" w:rsidR="00A27A5E"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Deberá consultarse a los homólogos gubernamentales y a las autoridades locales, y su posición deberá documentarse e incluirse en el proceso de toma de decisiones. Podrá consultarse a los asociados para el desarrollo nacionales e internacionales según corresponda. </w:t>
      </w:r>
    </w:p>
    <w:p w14:paraId="36B82B5D" w14:textId="77777777" w:rsidR="00A27A5E" w:rsidRPr="00DD7EB7" w:rsidRDefault="00A27A5E" w:rsidP="00A27A5E">
      <w:pPr>
        <w:pStyle w:val="ListParagraph"/>
        <w:rPr>
          <w:rFonts w:eastAsia="Times New Roman" w:cstheme="minorHAnsi"/>
        </w:rPr>
      </w:pPr>
    </w:p>
    <w:p w14:paraId="6F02BB16" w14:textId="3F6E9B61" w:rsidR="00A27A5E" w:rsidRPr="008D6576"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Cuando se tome la decisión de cerrar la oficina, el Representante Residente designa un gerente para el proceso de cierre y </w:t>
      </w:r>
      <w:r>
        <w:rPr>
          <w:b/>
          <w:bCs/>
        </w:rPr>
        <w:t xml:space="preserve">comunica los elementos clave del proceso de cierre </w:t>
      </w:r>
      <w:r>
        <w:t xml:space="preserve">a todo el personal de la oficina, al menos tres meses antes de la fecha planificada de cierre oficial. Además, deberá enviarse un comunicado oficial a los homólogos gubernamentales y –si corresponde– a las autoridades locales y a los asociados para el desarrollo. </w:t>
      </w:r>
    </w:p>
    <w:p w14:paraId="23EC0C00" w14:textId="77777777" w:rsidR="008D6576" w:rsidRPr="008D6576" w:rsidRDefault="008D6576" w:rsidP="008D6576">
      <w:pPr>
        <w:pStyle w:val="ListParagraph"/>
        <w:rPr>
          <w:rFonts w:eastAsia="Times New Roman" w:cstheme="minorHAnsi"/>
        </w:rPr>
      </w:pPr>
    </w:p>
    <w:p w14:paraId="484328C1" w14:textId="463D4588" w:rsidR="00A27A5E" w:rsidRPr="00DD7EB7" w:rsidRDefault="001A2146" w:rsidP="00A27A5E">
      <w:pPr>
        <w:shd w:val="clear" w:color="auto" w:fill="FFFFFF"/>
        <w:spacing w:after="0" w:line="240" w:lineRule="auto"/>
        <w:jc w:val="both"/>
        <w:textAlignment w:val="top"/>
        <w:rPr>
          <w:rFonts w:eastAsia="Times New Roman" w:cstheme="minorHAnsi"/>
          <w:b/>
          <w:bCs/>
        </w:rPr>
      </w:pPr>
      <w:r>
        <w:rPr>
          <w:b/>
          <w:bCs/>
        </w:rPr>
        <w:t>Planeamiento y preparaciones</w:t>
      </w:r>
    </w:p>
    <w:p w14:paraId="7839E333" w14:textId="77777777" w:rsidR="00A27A5E" w:rsidRPr="00DD7EB7" w:rsidRDefault="00A27A5E" w:rsidP="00A27A5E">
      <w:pPr>
        <w:pStyle w:val="ListParagraph"/>
        <w:shd w:val="clear" w:color="auto" w:fill="FFFFFF"/>
        <w:spacing w:after="0" w:line="240" w:lineRule="auto"/>
        <w:jc w:val="both"/>
        <w:textAlignment w:val="top"/>
        <w:rPr>
          <w:rFonts w:eastAsia="Times New Roman" w:cstheme="minorHAnsi"/>
        </w:rPr>
      </w:pPr>
    </w:p>
    <w:p w14:paraId="2C3517CA" w14:textId="597FEBE5" w:rsidR="00A27A5E" w:rsidRPr="008D6576"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El gerente designado planifica y prepara el cierre de la oficina en colaboración estrecha con todas las unidades involucradas de la Oficina de País y, si corresponde, en la sede. Con ese fin, desarrolla una estrategia de gestión de riesgos y finaliza el plan de cierre.</w:t>
      </w:r>
    </w:p>
    <w:p w14:paraId="1B899A84" w14:textId="77777777" w:rsidR="008D6576" w:rsidRPr="00DD7EB7" w:rsidRDefault="008D6576" w:rsidP="008D6576">
      <w:pPr>
        <w:pStyle w:val="ListParagraph"/>
        <w:shd w:val="clear" w:color="auto" w:fill="FFFFFF"/>
        <w:spacing w:after="0" w:line="240" w:lineRule="auto"/>
        <w:jc w:val="both"/>
        <w:textAlignment w:val="top"/>
        <w:rPr>
          <w:rFonts w:eastAsia="Times New Roman" w:cstheme="minorHAnsi"/>
        </w:rPr>
      </w:pPr>
    </w:p>
    <w:p w14:paraId="1943F920" w14:textId="77777777" w:rsidR="00DD7EB7"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La estrategia de gestión de riesgos determina las medidas de mitigación para cada uno de los riesgos identificados durante la revisión del cierre. Los cronogramas y las responsabilidades para la implementación de las medidas deben asignarse con claridad y las actividades deben integrarse en el plan de cierre. </w:t>
      </w:r>
    </w:p>
    <w:p w14:paraId="1A795F97" w14:textId="77777777" w:rsidR="00DD7EB7" w:rsidRPr="00DD7EB7" w:rsidRDefault="00DD7EB7" w:rsidP="00DD7EB7">
      <w:pPr>
        <w:pStyle w:val="ListParagraph"/>
        <w:shd w:val="clear" w:color="auto" w:fill="FFFFFF"/>
        <w:spacing w:after="0" w:line="240" w:lineRule="auto"/>
        <w:jc w:val="both"/>
        <w:textAlignment w:val="top"/>
        <w:rPr>
          <w:rFonts w:eastAsia="Times New Roman" w:cstheme="minorHAnsi"/>
        </w:rPr>
      </w:pPr>
    </w:p>
    <w:p w14:paraId="27587990" w14:textId="77777777" w:rsidR="00DD7EB7" w:rsidRPr="00DD7EB7" w:rsidRDefault="001A2146" w:rsidP="00A27A5E">
      <w:pPr>
        <w:pStyle w:val="ListParagraph"/>
        <w:numPr>
          <w:ilvl w:val="0"/>
          <w:numId w:val="6"/>
        </w:numPr>
        <w:shd w:val="clear" w:color="auto" w:fill="FFFFFF"/>
        <w:spacing w:after="0" w:line="240" w:lineRule="auto"/>
        <w:jc w:val="both"/>
        <w:textAlignment w:val="top"/>
        <w:rPr>
          <w:rFonts w:eastAsia="Times New Roman" w:cstheme="minorHAnsi"/>
        </w:rPr>
      </w:pPr>
      <w:r>
        <w:t xml:space="preserve">Ya se ha desarrollado un proyecto del plan de cierre como parte del estudio de viabilidad de la presencia. Por lo general, este incluye los siguientes aspectos: </w:t>
      </w:r>
    </w:p>
    <w:p w14:paraId="634A480C"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Disposiciones para la cobertura del programa después del cierre de la presencia local</w:t>
      </w:r>
    </w:p>
    <w:p w14:paraId="6751364E"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 xml:space="preserve">Desmantelamiento de las instalaciones de la </w:t>
      </w:r>
      <w:proofErr w:type="spellStart"/>
      <w:r>
        <w:t>suboficina</w:t>
      </w:r>
      <w:proofErr w:type="spellEnd"/>
      <w:r>
        <w:t xml:space="preserve"> de la presencia local</w:t>
      </w:r>
    </w:p>
    <w:p w14:paraId="102383AF"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Separación o transferencia de personal</w:t>
      </w:r>
    </w:p>
    <w:p w14:paraId="00299628"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Registros contables y su eliminación</w:t>
      </w:r>
    </w:p>
    <w:p w14:paraId="0ADB040A" w14:textId="2ABC1D52"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 xml:space="preserve">Cierre de cuentas bancarias y desactivación de la unidad de negocio/departamento de </w:t>
      </w:r>
      <w:r w:rsidR="00E54A87">
        <w:t>Quantum</w:t>
      </w:r>
    </w:p>
    <w:p w14:paraId="5A602ECC"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Compensación de cualquier transacción financiera pendiente o abierta</w:t>
      </w:r>
    </w:p>
    <w:p w14:paraId="382A5E22"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Enajenación/transferencia de activos</w:t>
      </w:r>
    </w:p>
    <w:p w14:paraId="0834C7D2"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Protección o eliminación de expedientes</w:t>
      </w:r>
    </w:p>
    <w:p w14:paraId="2BFB8C7E"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Protección, transferencia o eliminación de datos electrónicos y equipos</w:t>
      </w:r>
    </w:p>
    <w:p w14:paraId="16EB6113" w14:textId="77777777" w:rsidR="00DD7EB7" w:rsidRPr="00DD7EB7" w:rsidRDefault="001A2146" w:rsidP="00DD7EB7">
      <w:pPr>
        <w:pStyle w:val="ListParagraph"/>
        <w:numPr>
          <w:ilvl w:val="0"/>
          <w:numId w:val="13"/>
        </w:numPr>
        <w:shd w:val="clear" w:color="auto" w:fill="FFFFFF"/>
        <w:spacing w:after="0" w:line="240" w:lineRule="auto"/>
        <w:ind w:left="1134"/>
        <w:textAlignment w:val="top"/>
        <w:rPr>
          <w:rFonts w:eastAsia="Times New Roman" w:cstheme="minorHAnsi"/>
        </w:rPr>
      </w:pPr>
      <w:r>
        <w:t>Notificación a los asociados sobre el cierre y revisión de los canales de interacción</w:t>
      </w:r>
      <w:r>
        <w:br/>
      </w:r>
    </w:p>
    <w:p w14:paraId="16C623AC" w14:textId="77777777" w:rsidR="00DD7EB7" w:rsidRPr="00DD7EB7" w:rsidRDefault="00F06F92" w:rsidP="00DD7EB7">
      <w:pPr>
        <w:pStyle w:val="ListParagraph"/>
        <w:numPr>
          <w:ilvl w:val="0"/>
          <w:numId w:val="6"/>
        </w:numPr>
        <w:shd w:val="clear" w:color="auto" w:fill="FFFFFF"/>
        <w:spacing w:after="0" w:line="240" w:lineRule="auto"/>
        <w:jc w:val="both"/>
        <w:textAlignment w:val="top"/>
        <w:rPr>
          <w:rFonts w:eastAsia="Times New Roman" w:cstheme="minorHAnsi"/>
        </w:rPr>
      </w:pPr>
      <w:r>
        <w:t>La protección adecuada de los registros electrónicos requiere atención específica dado que el PNUD utiliza cada vez más los medios electrónicos (correo electrónico, expedientes electrónicos, etc.). La eliminación y/o protección adecuadas de los equipos electrónicos es crucial dado que los datos electrónicos pueden permanecer en los equipos de TI aun después de que se eliminen todos los archivos y registros.</w:t>
      </w:r>
    </w:p>
    <w:p w14:paraId="55B3F76E" w14:textId="77777777" w:rsidR="00DD7EB7" w:rsidRPr="00DD7EB7" w:rsidRDefault="00DD7EB7" w:rsidP="00DD7EB7">
      <w:pPr>
        <w:pStyle w:val="ListParagraph"/>
        <w:shd w:val="clear" w:color="auto" w:fill="FFFFFF"/>
        <w:spacing w:after="0" w:line="240" w:lineRule="auto"/>
        <w:jc w:val="both"/>
        <w:textAlignment w:val="top"/>
        <w:rPr>
          <w:rFonts w:eastAsia="Times New Roman" w:cstheme="minorHAnsi"/>
        </w:rPr>
      </w:pPr>
    </w:p>
    <w:p w14:paraId="4E774C78" w14:textId="15BFB5DA"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Durante la finalización del plan, el gerente designado debe comunicarse con las oficinas pertinentes en Nueva York para asegurarse de que estén al tanto del proceso de cierre. Como mínimo, esto implica al Buró Regional, la Oficina de Recursos Humanos y la División de Servicios de Gestión. Debe calcularse el costo de todas las actividades y debe anexarse un presupuesto al plan de cierre. Una vez finalizados, el Representante Residente y –en el caso de las </w:t>
      </w:r>
      <w:proofErr w:type="spellStart"/>
      <w:r>
        <w:t>suboficinas</w:t>
      </w:r>
      <w:proofErr w:type="spellEnd"/>
      <w:r>
        <w:t xml:space="preserve">– el Buró Regional y el Buró de Gestión deben aprobar el plan de cierre y el presupuesto. </w:t>
      </w:r>
    </w:p>
    <w:p w14:paraId="66A43A72" w14:textId="77777777" w:rsidR="00DD7EB7" w:rsidRPr="00DD7EB7" w:rsidRDefault="00DD7EB7" w:rsidP="00DD7EB7">
      <w:pPr>
        <w:pStyle w:val="ListParagraph"/>
        <w:rPr>
          <w:rFonts w:eastAsia="Times New Roman" w:cstheme="minorHAnsi"/>
        </w:rPr>
      </w:pPr>
    </w:p>
    <w:p w14:paraId="290E3A89" w14:textId="0E600C2C"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Para asegurar una gestión transparente y eficiente, los recursos requeridos para el cierre deben presupuestarse en un proyecto de gestión específico de la presencia en </w:t>
      </w:r>
      <w:r w:rsidR="00E54A87">
        <w:t>Quantum</w:t>
      </w:r>
      <w:r>
        <w:t xml:space="preserve"> (generalmente el proyecto que se creó para mantener la presencia local). </w:t>
      </w:r>
    </w:p>
    <w:p w14:paraId="6A1F4773" w14:textId="77777777" w:rsidR="00DD7EB7" w:rsidRPr="00DD7EB7" w:rsidRDefault="00DD7EB7" w:rsidP="00DD7EB7">
      <w:pPr>
        <w:pStyle w:val="ListParagraph"/>
        <w:rPr>
          <w:rFonts w:eastAsia="Times New Roman" w:cstheme="minorHAnsi"/>
        </w:rPr>
      </w:pPr>
    </w:p>
    <w:p w14:paraId="4FFDA20A"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Deberán considerarse específicamente las consecuencias personales y profesionales de los miembros del personal y de otras personas que participaron de manera activa en la ejecución de las actividades gestionadas en la presencia local. La sección de recursos humanos de la Oficina de País debe ofrecer sesiones individuales de orientación para revisar las perspectivas profesionales </w:t>
      </w:r>
      <w:r>
        <w:lastRenderedPageBreak/>
        <w:t xml:space="preserve">dentro y fuera del PNUD para los miembros del personal afectados de manera negativa por la decisión de cerrar la presencia. </w:t>
      </w:r>
    </w:p>
    <w:p w14:paraId="4CE03AE2" w14:textId="77777777" w:rsidR="00DD7EB7" w:rsidRPr="00DD7EB7" w:rsidRDefault="00DD7EB7" w:rsidP="00DD7EB7">
      <w:pPr>
        <w:shd w:val="clear" w:color="auto" w:fill="FFFFFF"/>
        <w:spacing w:after="0" w:line="240" w:lineRule="auto"/>
        <w:jc w:val="both"/>
        <w:textAlignment w:val="top"/>
        <w:rPr>
          <w:rFonts w:eastAsia="Times New Roman" w:cstheme="minorHAnsi"/>
          <w:b/>
          <w:bCs/>
        </w:rPr>
      </w:pPr>
    </w:p>
    <w:p w14:paraId="118E22A7" w14:textId="14B7620D" w:rsidR="00DD7EB7" w:rsidRDefault="001A2146" w:rsidP="00DD7EB7">
      <w:pPr>
        <w:shd w:val="clear" w:color="auto" w:fill="FFFFFF"/>
        <w:spacing w:after="0" w:line="240" w:lineRule="auto"/>
        <w:jc w:val="both"/>
        <w:textAlignment w:val="top"/>
        <w:rPr>
          <w:b/>
          <w:bCs/>
        </w:rPr>
      </w:pPr>
      <w:r>
        <w:rPr>
          <w:b/>
          <w:bCs/>
        </w:rPr>
        <w:t>Ejecución</w:t>
      </w:r>
    </w:p>
    <w:p w14:paraId="5A393F86" w14:textId="77777777" w:rsidR="008D6576" w:rsidRPr="00DD7EB7" w:rsidRDefault="008D6576" w:rsidP="00DD7EB7">
      <w:pPr>
        <w:shd w:val="clear" w:color="auto" w:fill="FFFFFF"/>
        <w:spacing w:after="0" w:line="240" w:lineRule="auto"/>
        <w:jc w:val="both"/>
        <w:textAlignment w:val="top"/>
        <w:rPr>
          <w:rFonts w:eastAsia="Times New Roman" w:cstheme="minorHAnsi"/>
        </w:rPr>
      </w:pPr>
    </w:p>
    <w:p w14:paraId="4B5D3729"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Las normas y los reglamentos del PNUD estipulados en varios capítulos de las Políticas y Procedimientos de Operaciones y Programas (POPP, </w:t>
      </w:r>
      <w:proofErr w:type="spellStart"/>
      <w:r>
        <w:rPr>
          <w:i/>
        </w:rPr>
        <w:t>Programme</w:t>
      </w:r>
      <w:proofErr w:type="spellEnd"/>
      <w:r>
        <w:rPr>
          <w:i/>
        </w:rPr>
        <w:t xml:space="preserve"> and </w:t>
      </w:r>
      <w:proofErr w:type="spellStart"/>
      <w:r>
        <w:rPr>
          <w:i/>
        </w:rPr>
        <w:t>Operations</w:t>
      </w:r>
      <w:proofErr w:type="spellEnd"/>
      <w:r>
        <w:rPr>
          <w:i/>
        </w:rPr>
        <w:t xml:space="preserve"> </w:t>
      </w:r>
      <w:proofErr w:type="spellStart"/>
      <w:r>
        <w:rPr>
          <w:i/>
        </w:rPr>
        <w:t>Policies</w:t>
      </w:r>
      <w:proofErr w:type="spellEnd"/>
      <w:r>
        <w:rPr>
          <w:i/>
        </w:rPr>
        <w:t xml:space="preserve"> and </w:t>
      </w:r>
      <w:proofErr w:type="spellStart"/>
      <w:r>
        <w:rPr>
          <w:i/>
        </w:rPr>
        <w:t>Procedures</w:t>
      </w:r>
      <w:proofErr w:type="spellEnd"/>
      <w:r>
        <w:t>, por sus siglas en inglés) rigen para todas las actividades programáticas, financieras y operativas de cierre. Las actividades deben realizarse de acuerdo con el plan aprobado de cierre y el progreso debe ser revisado regularmente por el Representante Residente en conjunto con las unidades pertinentes de la oficina de país.</w:t>
      </w:r>
    </w:p>
    <w:p w14:paraId="1CEE077F" w14:textId="77777777" w:rsidR="00DD7EB7" w:rsidRPr="00DD7EB7" w:rsidRDefault="00DD7EB7" w:rsidP="00DD7EB7">
      <w:pPr>
        <w:pStyle w:val="ListParagraph"/>
        <w:shd w:val="clear" w:color="auto" w:fill="FFFFFF"/>
        <w:spacing w:after="0" w:line="240" w:lineRule="auto"/>
        <w:jc w:val="both"/>
        <w:textAlignment w:val="top"/>
        <w:rPr>
          <w:rFonts w:eastAsia="Times New Roman" w:cstheme="minorHAnsi"/>
        </w:rPr>
      </w:pPr>
    </w:p>
    <w:p w14:paraId="128F86BD" w14:textId="77777777"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Es necesario llevar a cabo una evaluación de las actividades de programas antes del cierre de la oficina. En consulta con la Oficina de Auditoría e Investigaciones, podría considerarse también una auditoría de las actividades operacionales gestionadas por la presencia local. En el caso de que existan motivos de peso (generalmente relacionados con la seguridad del personal), el Representante Residente puede decidir retirar el personal de inmediato. Esta decisión y su proceso deben documentarse, y la evaluación del programa además de otros pasos obligatorios deben realizarse con posterioridad.</w:t>
      </w:r>
    </w:p>
    <w:p w14:paraId="6E29D477" w14:textId="77777777" w:rsidR="00DD7EB7" w:rsidRPr="00DD7EB7" w:rsidRDefault="00DD7EB7" w:rsidP="00DD7EB7">
      <w:pPr>
        <w:pStyle w:val="ListParagraph"/>
        <w:rPr>
          <w:rFonts w:eastAsia="Times New Roman" w:cstheme="minorHAnsi"/>
        </w:rPr>
      </w:pPr>
    </w:p>
    <w:p w14:paraId="2A6D1BBC" w14:textId="615F2F3E" w:rsidR="00DD7EB7"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Las siguientes políticas y orientaciones de procesos</w:t>
      </w:r>
      <w:r w:rsidR="008D6576">
        <w:t xml:space="preserve"> deben consultarse y utilizarse</w:t>
      </w:r>
      <w:r w:rsidR="008D6576">
        <w:br/>
      </w:r>
      <w:r>
        <w:t xml:space="preserve">según corresponda: </w:t>
      </w:r>
    </w:p>
    <w:p w14:paraId="1E1F09AF" w14:textId="77777777" w:rsidR="00DD7EB7" w:rsidRPr="00DD7EB7" w:rsidRDefault="00DD7EB7" w:rsidP="00DD7EB7">
      <w:pPr>
        <w:pStyle w:val="ListParagraph"/>
        <w:rPr>
          <w:rFonts w:eastAsia="Times New Roman" w:cstheme="minorHAnsi"/>
          <w:color w:val="333333"/>
        </w:rPr>
      </w:pPr>
    </w:p>
    <w:p w14:paraId="46001E31" w14:textId="5CBE5E98" w:rsidR="00DD7EB7" w:rsidRPr="00507E90" w:rsidRDefault="00507E90" w:rsidP="00DD7EB7">
      <w:pPr>
        <w:pStyle w:val="ListParagraph"/>
        <w:numPr>
          <w:ilvl w:val="0"/>
          <w:numId w:val="14"/>
        </w:numPr>
        <w:shd w:val="clear" w:color="auto" w:fill="FFFFFF"/>
        <w:spacing w:after="0" w:line="240" w:lineRule="auto"/>
        <w:textAlignment w:val="top"/>
        <w:rPr>
          <w:rStyle w:val="Hyperlink"/>
          <w:rFonts w:eastAsia="Times New Roman" w:cstheme="minorHAnsi"/>
        </w:rPr>
      </w:pPr>
      <w:r>
        <w:fldChar w:fldCharType="begin"/>
      </w:r>
      <w:r>
        <w:instrText xml:space="preserve"> HYPERLINK "https://popp.undp.org/es/node/10676" </w:instrText>
      </w:r>
      <w:r>
        <w:fldChar w:fldCharType="separate"/>
      </w:r>
      <w:r w:rsidR="00D35586" w:rsidRPr="00507E90">
        <w:rPr>
          <w:rStyle w:val="Hyperlink"/>
        </w:rPr>
        <w:t>Enajenación/transferencia de activos (incluidos los equipos de TI)</w:t>
      </w:r>
    </w:p>
    <w:p w14:paraId="5DF0DE14" w14:textId="2C6BECC4" w:rsidR="00DD7EB7" w:rsidRPr="00FF75D9" w:rsidRDefault="00507E90" w:rsidP="00FF75D9">
      <w:pPr>
        <w:pStyle w:val="ListParagraph"/>
        <w:numPr>
          <w:ilvl w:val="0"/>
          <w:numId w:val="14"/>
        </w:numPr>
        <w:shd w:val="clear" w:color="auto" w:fill="FFFFFF"/>
        <w:spacing w:after="0" w:line="240" w:lineRule="auto"/>
        <w:textAlignment w:val="top"/>
        <w:rPr>
          <w:rStyle w:val="Hyperlink"/>
          <w:rFonts w:eastAsia="Times New Roman" w:cstheme="minorHAnsi"/>
          <w:color w:val="333333"/>
          <w:u w:val="none"/>
        </w:rPr>
      </w:pPr>
      <w:r>
        <w:fldChar w:fldCharType="end"/>
      </w:r>
      <w:hyperlink r:id="rId16" w:history="1">
        <w:r w:rsidR="00D35586">
          <w:rPr>
            <w:rStyle w:val="Hyperlink"/>
          </w:rPr>
          <w:t>Eliminación/protección de archivos y registros oficiales (copias electrónicas e impresas)</w:t>
        </w:r>
      </w:hyperlink>
      <w:r w:rsidR="000B76F8" w:rsidRPr="00754963">
        <w:rPr>
          <w:rFonts w:eastAsia="Times New Roman" w:cstheme="minorHAnsi"/>
          <w:color w:val="0072BC"/>
          <w:highlight w:val="yellow"/>
        </w:rPr>
        <w:fldChar w:fldCharType="begin"/>
      </w:r>
      <w:r w:rsidR="000B76F8" w:rsidRPr="00FF75D9">
        <w:rPr>
          <w:rFonts w:eastAsia="Times New Roman" w:cstheme="minorHAnsi"/>
          <w:color w:val="0072BC"/>
          <w:highlight w:val="yellow"/>
        </w:rPr>
        <w:instrText xml:space="preserve"> HYPERLINK "https://intranet.undp.org/unit/office/oai/audits/SitePages/audits.aspx" </w:instrText>
      </w:r>
      <w:r w:rsidR="000B76F8" w:rsidRPr="00754963">
        <w:rPr>
          <w:rFonts w:eastAsia="Times New Roman" w:cstheme="minorHAnsi"/>
          <w:color w:val="0072BC"/>
          <w:highlight w:val="yellow"/>
        </w:rPr>
      </w:r>
      <w:r w:rsidR="000B76F8" w:rsidRPr="00754963">
        <w:rPr>
          <w:rFonts w:eastAsia="Times New Roman" w:cstheme="minorHAnsi"/>
          <w:color w:val="0072BC"/>
          <w:highlight w:val="yellow"/>
        </w:rPr>
        <w:fldChar w:fldCharType="separate"/>
      </w:r>
    </w:p>
    <w:p w14:paraId="4E136220" w14:textId="5DCF15FC" w:rsidR="00DD7EB7" w:rsidRPr="0023745B" w:rsidRDefault="000B76F8" w:rsidP="00DD7EB7">
      <w:pPr>
        <w:pStyle w:val="ListParagraph"/>
        <w:numPr>
          <w:ilvl w:val="0"/>
          <w:numId w:val="14"/>
        </w:numPr>
        <w:shd w:val="clear" w:color="auto" w:fill="FFFFFF"/>
        <w:textAlignment w:val="top"/>
        <w:rPr>
          <w:rStyle w:val="Hyperlink"/>
          <w:rFonts w:eastAsia="Times New Roman" w:cstheme="minorHAnsi"/>
        </w:rPr>
      </w:pPr>
      <w:r w:rsidRPr="00754963">
        <w:rPr>
          <w:rFonts w:eastAsia="Times New Roman" w:cstheme="minorHAnsi"/>
          <w:color w:val="0072BC"/>
          <w:highlight w:val="yellow"/>
        </w:rPr>
        <w:fldChar w:fldCharType="end"/>
      </w:r>
      <w:r w:rsidR="0023745B">
        <w:rPr>
          <w:rFonts w:eastAsia="Times New Roman" w:cstheme="minorHAnsi"/>
        </w:rPr>
        <w:fldChar w:fldCharType="begin"/>
      </w:r>
      <w:r w:rsidR="00CF3C9A">
        <w:rPr>
          <w:rFonts w:eastAsia="Times New Roman" w:cstheme="minorHAnsi"/>
        </w:rPr>
        <w:instrText>HYPERLINK "https://documents-dds-ny.un.org/doc/UNDOC/GEN/N19/206/03/pdf/N1920603.pdf?OpenElement"</w:instrText>
      </w:r>
      <w:r w:rsidR="0023745B">
        <w:rPr>
          <w:rFonts w:eastAsia="Times New Roman" w:cstheme="minorHAnsi"/>
        </w:rPr>
      </w:r>
      <w:r w:rsidR="0023745B">
        <w:rPr>
          <w:rFonts w:eastAsia="Times New Roman" w:cstheme="minorHAnsi"/>
        </w:rPr>
        <w:fldChar w:fldCharType="separate"/>
      </w:r>
      <w:r>
        <w:rPr>
          <w:rStyle w:val="Hyperlink"/>
        </w:rPr>
        <w:t>Evaluación programática</w:t>
      </w:r>
    </w:p>
    <w:p w14:paraId="0DE6838A" w14:textId="7DC8D539" w:rsidR="00DD7EB7" w:rsidRPr="00DD7EB7" w:rsidRDefault="0023745B" w:rsidP="00DD7EB7">
      <w:pPr>
        <w:pStyle w:val="ListParagraph"/>
        <w:numPr>
          <w:ilvl w:val="0"/>
          <w:numId w:val="14"/>
        </w:numPr>
        <w:shd w:val="clear" w:color="auto" w:fill="FFFFFF"/>
        <w:textAlignment w:val="top"/>
        <w:rPr>
          <w:rFonts w:eastAsia="Times New Roman" w:cstheme="minorHAnsi"/>
          <w:color w:val="333333"/>
        </w:rPr>
      </w:pPr>
      <w:r>
        <w:rPr>
          <w:rFonts w:eastAsia="Times New Roman" w:cstheme="minorHAnsi"/>
        </w:rPr>
        <w:fldChar w:fldCharType="end"/>
      </w:r>
      <w:hyperlink r:id="rId17" w:history="1">
        <w:r>
          <w:rPr>
            <w:rStyle w:val="Hyperlink"/>
          </w:rPr>
          <w:t>Cierre financiero y de cuentas</w:t>
        </w:r>
      </w:hyperlink>
    </w:p>
    <w:p w14:paraId="4D122558" w14:textId="3CF0CBAC" w:rsidR="00DD7EB7" w:rsidRPr="00351BC6" w:rsidRDefault="00351BC6" w:rsidP="00DD7EB7">
      <w:pPr>
        <w:pStyle w:val="ListParagraph"/>
        <w:numPr>
          <w:ilvl w:val="0"/>
          <w:numId w:val="14"/>
        </w:numPr>
        <w:shd w:val="clear" w:color="auto" w:fill="FFFFFF"/>
        <w:spacing w:after="0" w:line="240" w:lineRule="auto"/>
        <w:textAlignment w:val="top"/>
        <w:rPr>
          <w:rStyle w:val="Hyperlink"/>
          <w:rFonts w:eastAsia="Times New Roman" w:cstheme="minorHAnsi"/>
        </w:rPr>
      </w:pPr>
      <w:r>
        <w:rPr>
          <w:rFonts w:eastAsia="Times New Roman" w:cstheme="minorHAnsi"/>
        </w:rPr>
        <w:fldChar w:fldCharType="begin"/>
      </w:r>
      <w:r w:rsidR="00507E90">
        <w:rPr>
          <w:rFonts w:eastAsia="Times New Roman" w:cstheme="minorHAnsi"/>
        </w:rPr>
        <w:instrText>HYPERLINK "https://popp.undp.org/es/node/10501"</w:instrText>
      </w:r>
      <w:r>
        <w:rPr>
          <w:rFonts w:eastAsia="Times New Roman" w:cstheme="minorHAnsi"/>
        </w:rPr>
      </w:r>
      <w:r>
        <w:rPr>
          <w:rFonts w:eastAsia="Times New Roman" w:cstheme="minorHAnsi"/>
        </w:rPr>
        <w:fldChar w:fldCharType="separate"/>
      </w:r>
      <w:r>
        <w:rPr>
          <w:rStyle w:val="Hyperlink"/>
        </w:rPr>
        <w:t>Cierre del programa/proyecto</w:t>
      </w:r>
    </w:p>
    <w:p w14:paraId="78B47DD9" w14:textId="55F166F1" w:rsidR="00DD7EB7" w:rsidRPr="00DD7EB7" w:rsidRDefault="00351BC6" w:rsidP="00DD7EB7">
      <w:pPr>
        <w:pStyle w:val="ListParagraph"/>
        <w:numPr>
          <w:ilvl w:val="0"/>
          <w:numId w:val="14"/>
        </w:numPr>
        <w:shd w:val="clear" w:color="auto" w:fill="FFFFFF"/>
        <w:textAlignment w:val="top"/>
        <w:rPr>
          <w:rFonts w:eastAsia="Times New Roman" w:cstheme="minorHAnsi"/>
          <w:color w:val="333333"/>
        </w:rPr>
      </w:pPr>
      <w:r>
        <w:rPr>
          <w:rFonts w:eastAsia="Times New Roman" w:cstheme="minorHAnsi"/>
        </w:rPr>
        <w:fldChar w:fldCharType="end"/>
      </w:r>
      <w:hyperlink r:id="rId18" w:history="1">
        <w:r>
          <w:rPr>
            <w:rStyle w:val="Hyperlink"/>
          </w:rPr>
          <w:t>Transferencia/reasignación de personal</w:t>
        </w:r>
      </w:hyperlink>
    </w:p>
    <w:p w14:paraId="6B869876" w14:textId="2914F535" w:rsidR="00DD7EB7" w:rsidRPr="00507E90" w:rsidRDefault="00507E90" w:rsidP="00DD7EB7">
      <w:pPr>
        <w:pStyle w:val="ListParagraph"/>
        <w:numPr>
          <w:ilvl w:val="0"/>
          <w:numId w:val="14"/>
        </w:numPr>
        <w:shd w:val="clear" w:color="auto" w:fill="FFFFFF"/>
        <w:spacing w:after="0" w:line="240" w:lineRule="auto"/>
        <w:textAlignment w:val="top"/>
        <w:rPr>
          <w:rStyle w:val="Hyperlink"/>
          <w:rFonts w:eastAsia="Times New Roman" w:cstheme="minorHAnsi"/>
        </w:rPr>
      </w:pPr>
      <w:r>
        <w:fldChar w:fldCharType="begin"/>
      </w:r>
      <w:r>
        <w:instrText xml:space="preserve"> HYPERLINK "https://popp.undp.org/es/taxonomy/term/166" </w:instrText>
      </w:r>
      <w:r>
        <w:fldChar w:fldCharType="separate"/>
      </w:r>
      <w:r w:rsidR="00D35586" w:rsidRPr="00507E90">
        <w:rPr>
          <w:rStyle w:val="Hyperlink"/>
        </w:rPr>
        <w:t>Separación de personal</w:t>
      </w:r>
    </w:p>
    <w:p w14:paraId="78BABD42" w14:textId="3FBFCDAF" w:rsidR="00DD7EB7" w:rsidRDefault="00507E90" w:rsidP="00DD7EB7">
      <w:pPr>
        <w:pStyle w:val="ListParagraph"/>
        <w:shd w:val="clear" w:color="auto" w:fill="FFFFFF"/>
        <w:spacing w:after="0" w:line="240" w:lineRule="auto"/>
        <w:ind w:left="1440"/>
        <w:textAlignment w:val="top"/>
        <w:rPr>
          <w:rFonts w:eastAsia="Times New Roman" w:cstheme="minorHAnsi"/>
          <w:color w:val="333333"/>
        </w:rPr>
      </w:pPr>
      <w:r>
        <w:fldChar w:fldCharType="end"/>
      </w:r>
    </w:p>
    <w:p w14:paraId="5DD6C172" w14:textId="70403DD7" w:rsidR="001A2146" w:rsidRPr="00DD7EB7" w:rsidRDefault="001A2146" w:rsidP="00DD7EB7">
      <w:pPr>
        <w:pStyle w:val="ListParagraph"/>
        <w:numPr>
          <w:ilvl w:val="0"/>
          <w:numId w:val="6"/>
        </w:numPr>
        <w:shd w:val="clear" w:color="auto" w:fill="FFFFFF"/>
        <w:spacing w:after="0" w:line="240" w:lineRule="auto"/>
        <w:jc w:val="both"/>
        <w:textAlignment w:val="top"/>
        <w:rPr>
          <w:rFonts w:eastAsia="Times New Roman" w:cstheme="minorHAnsi"/>
        </w:rPr>
      </w:pPr>
      <w:r>
        <w:t xml:space="preserve">El proceso de cierre finaliza de manera oficial mediante un breve informe de cierre que es aprobado por el Representante Residente y –en el caso de las </w:t>
      </w:r>
      <w:proofErr w:type="spellStart"/>
      <w:r>
        <w:t>suboficinas</w:t>
      </w:r>
      <w:proofErr w:type="spellEnd"/>
      <w:r>
        <w:t xml:space="preserve">– por el Buró Regional y el Buró de Gestión pertinentes. El informe también es parte de los registros oficiales de la Oficina de País. </w:t>
      </w:r>
    </w:p>
    <w:p w14:paraId="51D4AFD1" w14:textId="77777777" w:rsidR="001A2146" w:rsidRPr="00DD7EB7" w:rsidRDefault="001A2146" w:rsidP="00A27A5E">
      <w:pPr>
        <w:shd w:val="clear" w:color="auto" w:fill="FFFFFF"/>
        <w:spacing w:after="0" w:line="240" w:lineRule="auto"/>
        <w:jc w:val="both"/>
        <w:textAlignment w:val="top"/>
        <w:rPr>
          <w:rFonts w:eastAsia="Times New Roman" w:cstheme="minorHAnsi"/>
        </w:rPr>
      </w:pPr>
    </w:p>
    <w:p w14:paraId="4B4823FA" w14:textId="77777777" w:rsidR="001A2146" w:rsidRPr="00DD7EB7" w:rsidRDefault="001A2146" w:rsidP="00A27A5E">
      <w:pPr>
        <w:shd w:val="clear" w:color="auto" w:fill="FFFFFF"/>
        <w:spacing w:after="0" w:line="240" w:lineRule="auto"/>
        <w:jc w:val="both"/>
        <w:textAlignment w:val="top"/>
        <w:rPr>
          <w:rFonts w:eastAsia="Times New Roman" w:cstheme="minorHAnsi"/>
          <w:b/>
          <w:bCs/>
        </w:rPr>
      </w:pPr>
      <w:r>
        <w:rPr>
          <w:b/>
          <w:bCs/>
        </w:rPr>
        <w:t xml:space="preserve">Responsabilidades y rendición de cuentas </w:t>
      </w:r>
    </w:p>
    <w:p w14:paraId="0A33998D" w14:textId="6B9159AA" w:rsidR="001A2146" w:rsidRPr="00DD7EB7" w:rsidRDefault="001A2146" w:rsidP="00DD7EB7">
      <w:pPr>
        <w:numPr>
          <w:ilvl w:val="0"/>
          <w:numId w:val="3"/>
        </w:numPr>
        <w:shd w:val="clear" w:color="auto" w:fill="FFFFFF"/>
        <w:tabs>
          <w:tab w:val="left" w:pos="1985"/>
        </w:tabs>
        <w:spacing w:before="100" w:beforeAutospacing="1" w:after="100" w:afterAutospacing="1" w:line="240" w:lineRule="auto"/>
        <w:ind w:left="1418"/>
        <w:jc w:val="both"/>
        <w:textAlignment w:val="top"/>
        <w:rPr>
          <w:rFonts w:eastAsia="Times New Roman" w:cstheme="minorHAnsi"/>
        </w:rPr>
      </w:pPr>
      <w:r>
        <w:rPr>
          <w:i/>
          <w:iCs/>
        </w:rPr>
        <w:t xml:space="preserve">Representante Residente: </w:t>
      </w:r>
      <w:r>
        <w:t xml:space="preserve">Inicia el proceso de toma de decisiones sobre el cierre de acuerdo con las disposiciones de cierre definidas en el estudio de viabilidad, revisa y aprueba el informe de revisión y las recomendaciones; aprueba el cierre de las oficinas de proyectos y recomienda el cierre de las </w:t>
      </w:r>
      <w:proofErr w:type="spellStart"/>
      <w:r>
        <w:t>suboficinas</w:t>
      </w:r>
      <w:proofErr w:type="spellEnd"/>
      <w:r>
        <w:t xml:space="preserve">; es responsable del proceso debido en relación con las oficinas de proyectos. </w:t>
      </w:r>
    </w:p>
    <w:p w14:paraId="1C744CE1" w14:textId="77777777" w:rsidR="001A2146" w:rsidRPr="00DD7EB7" w:rsidRDefault="001A2146" w:rsidP="00DD7EB7">
      <w:pPr>
        <w:numPr>
          <w:ilvl w:val="0"/>
          <w:numId w:val="3"/>
        </w:numPr>
        <w:shd w:val="clear" w:color="auto" w:fill="FFFFFF"/>
        <w:tabs>
          <w:tab w:val="left" w:pos="1985"/>
        </w:tabs>
        <w:spacing w:before="100" w:beforeAutospacing="1" w:after="100" w:afterAutospacing="1" w:line="240" w:lineRule="auto"/>
        <w:ind w:left="1418"/>
        <w:jc w:val="both"/>
        <w:textAlignment w:val="top"/>
        <w:rPr>
          <w:rFonts w:eastAsia="Times New Roman" w:cstheme="minorHAnsi"/>
        </w:rPr>
      </w:pPr>
      <w:r>
        <w:rPr>
          <w:i/>
          <w:iCs/>
        </w:rPr>
        <w:t xml:space="preserve">Gerente Designado: </w:t>
      </w:r>
      <w:r>
        <w:t>Dirige y gestiona todo el proceso de cierre.</w:t>
      </w:r>
    </w:p>
    <w:p w14:paraId="6EC98F01" w14:textId="54B6F600" w:rsidR="001A2146" w:rsidRPr="00DD7EB7" w:rsidRDefault="001A2146" w:rsidP="00DD7EB7">
      <w:pPr>
        <w:numPr>
          <w:ilvl w:val="0"/>
          <w:numId w:val="3"/>
        </w:numPr>
        <w:shd w:val="clear" w:color="auto" w:fill="FFFFFF"/>
        <w:tabs>
          <w:tab w:val="left" w:pos="1985"/>
        </w:tabs>
        <w:spacing w:before="100" w:beforeAutospacing="1" w:after="100" w:afterAutospacing="1" w:line="240" w:lineRule="auto"/>
        <w:ind w:left="1418"/>
        <w:jc w:val="both"/>
        <w:textAlignment w:val="top"/>
        <w:rPr>
          <w:rFonts w:eastAsia="Times New Roman" w:cstheme="minorHAnsi"/>
        </w:rPr>
      </w:pPr>
      <w:r>
        <w:rPr>
          <w:i/>
          <w:iCs/>
        </w:rPr>
        <w:lastRenderedPageBreak/>
        <w:t>Buró Regional y Buró de Gestión:</w:t>
      </w:r>
      <w:r>
        <w:t xml:space="preserve"> Brinda asesoramiento en todo el proceso, aprueba la recomendación sobre el cierre de las </w:t>
      </w:r>
      <w:proofErr w:type="spellStart"/>
      <w:r>
        <w:t>suboficinas</w:t>
      </w:r>
      <w:proofErr w:type="spellEnd"/>
      <w:r>
        <w:t xml:space="preserve"> y es responsable del proceso debido en relación con las </w:t>
      </w:r>
      <w:proofErr w:type="spellStart"/>
      <w:r>
        <w:t>suboficinas</w:t>
      </w:r>
      <w:proofErr w:type="spellEnd"/>
      <w:r>
        <w:t xml:space="preserve">. </w:t>
      </w:r>
    </w:p>
    <w:p w14:paraId="50AEC58F" w14:textId="53BA4D0E" w:rsidR="001A2146" w:rsidRPr="008D6576" w:rsidRDefault="001A2146" w:rsidP="3B4F0209">
      <w:pPr>
        <w:shd w:val="clear" w:color="auto" w:fill="FFFFFF" w:themeFill="background1"/>
        <w:spacing w:after="0" w:line="240" w:lineRule="auto"/>
        <w:jc w:val="both"/>
        <w:textAlignment w:val="top"/>
        <w:rPr>
          <w:rFonts w:eastAsia="Times New Roman"/>
          <w:b/>
          <w:bCs/>
          <w:color w:val="333333"/>
          <w:lang w:val="en-US"/>
        </w:rPr>
      </w:pPr>
      <w:proofErr w:type="spellStart"/>
      <w:r w:rsidRPr="008D6576">
        <w:rPr>
          <w:b/>
          <w:bCs/>
          <w:lang w:val="en-US"/>
        </w:rPr>
        <w:t>Modelos</w:t>
      </w:r>
      <w:proofErr w:type="spellEnd"/>
      <w:r w:rsidRPr="008D6576">
        <w:rPr>
          <w:b/>
          <w:bCs/>
          <w:lang w:val="en-US"/>
        </w:rPr>
        <w:t xml:space="preserve"> y </w:t>
      </w:r>
      <w:proofErr w:type="spellStart"/>
      <w:r w:rsidRPr="008D6576">
        <w:rPr>
          <w:b/>
          <w:bCs/>
          <w:lang w:val="en-US"/>
        </w:rPr>
        <w:t>formularios</w:t>
      </w:r>
      <w:proofErr w:type="spellEnd"/>
      <w:r w:rsidR="372CDC43" w:rsidRPr="008D6576">
        <w:rPr>
          <w:b/>
          <w:bCs/>
          <w:lang w:val="en-US"/>
        </w:rPr>
        <w:t xml:space="preserve"> </w:t>
      </w:r>
    </w:p>
    <w:p w14:paraId="19EC272B" w14:textId="687991C0" w:rsidR="00DD7EB7" w:rsidRPr="00507E90" w:rsidRDefault="00507E90" w:rsidP="3B4F0209">
      <w:pPr>
        <w:pStyle w:val="ListParagraph"/>
        <w:numPr>
          <w:ilvl w:val="0"/>
          <w:numId w:val="15"/>
        </w:numPr>
        <w:shd w:val="clear" w:color="auto" w:fill="FFFFFF" w:themeFill="background1"/>
        <w:spacing w:before="60" w:after="100" w:afterAutospacing="1" w:line="240" w:lineRule="auto"/>
        <w:jc w:val="both"/>
        <w:textAlignment w:val="top"/>
        <w:rPr>
          <w:rStyle w:val="Hyperlink"/>
          <w:rFonts w:eastAsia="Times New Roman"/>
        </w:rPr>
      </w:pPr>
      <w:r>
        <w:fldChar w:fldCharType="begin"/>
      </w:r>
      <w:r>
        <w:instrText xml:space="preserve"> HYPERLINK "https://popp.undp.org/node/6131" </w:instrText>
      </w:r>
      <w:r>
        <w:fldChar w:fldCharType="separate"/>
      </w:r>
      <w:r w:rsidR="00D35586" w:rsidRPr="00507E90">
        <w:rPr>
          <w:rStyle w:val="Hyperlink"/>
        </w:rPr>
        <w:t>M</w:t>
      </w:r>
      <w:r w:rsidR="7684655E" w:rsidRPr="00507E90">
        <w:rPr>
          <w:rStyle w:val="Hyperlink"/>
        </w:rPr>
        <w:t>uestra de Matriz de evaluación de riesgos</w:t>
      </w:r>
      <w:r w:rsidR="00D35586" w:rsidRPr="00507E90">
        <w:rPr>
          <w:rStyle w:val="Hyperlink"/>
        </w:rPr>
        <w:t xml:space="preserve"> </w:t>
      </w:r>
    </w:p>
    <w:p w14:paraId="459C3FE9" w14:textId="4DCC7C06" w:rsidR="001A2146" w:rsidRPr="00507E90" w:rsidRDefault="00507E90" w:rsidP="00DD7EB7">
      <w:pPr>
        <w:pStyle w:val="ListParagraph"/>
        <w:numPr>
          <w:ilvl w:val="0"/>
          <w:numId w:val="15"/>
        </w:numPr>
        <w:shd w:val="clear" w:color="auto" w:fill="FFFFFF"/>
        <w:spacing w:before="100" w:beforeAutospacing="1" w:after="100" w:afterAutospacing="1" w:line="240" w:lineRule="auto"/>
        <w:jc w:val="both"/>
        <w:textAlignment w:val="top"/>
        <w:rPr>
          <w:rStyle w:val="Hyperlink"/>
          <w:rFonts w:eastAsia="Times New Roman" w:cstheme="minorHAnsi"/>
        </w:rPr>
      </w:pPr>
      <w:r>
        <w:fldChar w:fldCharType="end"/>
      </w:r>
      <w:r>
        <w:fldChar w:fldCharType="begin"/>
      </w:r>
      <w:r>
        <w:instrText xml:space="preserve"> HYPERLINK "https://popp.undp.org/node/6136" </w:instrText>
      </w:r>
      <w:r>
        <w:fldChar w:fldCharType="separate"/>
      </w:r>
      <w:r w:rsidR="00D35586" w:rsidRPr="00507E90">
        <w:rPr>
          <w:rStyle w:val="Hyperlink"/>
        </w:rPr>
        <w:t>Modelo de plan de cierre de la oficina</w:t>
      </w:r>
    </w:p>
    <w:p w14:paraId="60E16376" w14:textId="77777777" w:rsidR="00507E90" w:rsidRDefault="00507E90" w:rsidP="00507E90">
      <w:pPr>
        <w:shd w:val="clear" w:color="auto" w:fill="FFFFFF"/>
        <w:spacing w:before="100" w:beforeAutospacing="1" w:after="100" w:afterAutospacing="1" w:line="240" w:lineRule="auto"/>
        <w:jc w:val="both"/>
        <w:textAlignment w:val="top"/>
      </w:pPr>
      <w:r>
        <w:fldChar w:fldCharType="end"/>
      </w:r>
    </w:p>
    <w:p w14:paraId="64BF9A12" w14:textId="41B195A9" w:rsidR="00CA6F10" w:rsidRPr="00507E90" w:rsidRDefault="00CA6F10" w:rsidP="00507E90">
      <w:pPr>
        <w:shd w:val="clear" w:color="auto" w:fill="FFFFFF"/>
        <w:spacing w:before="100" w:beforeAutospacing="1" w:after="100" w:afterAutospacing="1" w:line="240" w:lineRule="auto"/>
        <w:jc w:val="both"/>
        <w:textAlignment w:val="top"/>
        <w:rPr>
          <w:rFonts w:ascii="Calibri" w:hAnsi="Calibri" w:cs="Calibri"/>
          <w:color w:val="201F1E"/>
          <w:sz w:val="23"/>
          <w:szCs w:val="23"/>
          <w:lang w:val="en-US"/>
        </w:rPr>
      </w:pPr>
      <w:r w:rsidRPr="00507E90">
        <w:rPr>
          <w:rFonts w:ascii="Calibri" w:hAnsi="Calibri" w:cs="Calibri"/>
          <w:i/>
          <w:iCs/>
          <w:color w:val="000000"/>
          <w:bdr w:val="none" w:sz="0" w:space="0" w:color="auto" w:frame="1"/>
          <w:lang w:val="en-US"/>
        </w:rPr>
        <w:t>Disclaimer: This document was translated from English into Spanish. In the event of any discrepancy between this translation and the original English document, the original English document shall prevail. </w:t>
      </w:r>
    </w:p>
    <w:p w14:paraId="25868892" w14:textId="77777777" w:rsidR="00CA6F10" w:rsidRPr="00CA6F10" w:rsidRDefault="00CA6F10" w:rsidP="00CA6F10">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35320F53" w14:textId="77777777" w:rsidR="00CA6F10" w:rsidRPr="00CA6F10" w:rsidRDefault="00CA6F10" w:rsidP="00CA6F10">
      <w:pPr>
        <w:pStyle w:val="NormalWeb"/>
        <w:shd w:val="clear" w:color="auto" w:fill="FFFFFF"/>
        <w:spacing w:before="0" w:beforeAutospacing="0" w:after="0" w:afterAutospacing="0"/>
        <w:jc w:val="center"/>
        <w:rPr>
          <w:rFonts w:ascii="Calibri" w:hAnsi="Calibri" w:cs="Calibri"/>
          <w:color w:val="201F1E"/>
          <w:sz w:val="23"/>
          <w:szCs w:val="23"/>
          <w:lang w:val="es-ES"/>
        </w:rPr>
      </w:pPr>
      <w:r w:rsidRPr="00CA6F10">
        <w:rPr>
          <w:rFonts w:ascii="inherit" w:hAnsi="inherit" w:cs="Calibri"/>
          <w:color w:val="000000"/>
          <w:bdr w:val="none" w:sz="0" w:space="0" w:color="auto" w:frame="1"/>
          <w:lang w:val="es-ES"/>
        </w:rPr>
        <w:t>  </w:t>
      </w:r>
    </w:p>
    <w:p w14:paraId="6A9F459E" w14:textId="77777777" w:rsidR="00CA6F10" w:rsidRPr="00CA6F10" w:rsidRDefault="00CA6F10" w:rsidP="00CA6F10">
      <w:pPr>
        <w:shd w:val="clear" w:color="auto" w:fill="FFFFFF"/>
        <w:spacing w:before="100" w:beforeAutospacing="1" w:after="100" w:afterAutospacing="1" w:line="240" w:lineRule="auto"/>
        <w:jc w:val="both"/>
        <w:textAlignment w:val="top"/>
        <w:rPr>
          <w:rFonts w:eastAsia="Times New Roman" w:cstheme="minorHAnsi"/>
          <w:color w:val="333333"/>
        </w:rPr>
      </w:pPr>
    </w:p>
    <w:sectPr w:rsidR="00CA6F10" w:rsidRPr="00CA6F1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33DF" w14:textId="77777777" w:rsidR="002E04B2" w:rsidRDefault="002E04B2" w:rsidP="00A27A5E">
      <w:pPr>
        <w:spacing w:after="0" w:line="240" w:lineRule="auto"/>
      </w:pPr>
      <w:r>
        <w:separator/>
      </w:r>
    </w:p>
  </w:endnote>
  <w:endnote w:type="continuationSeparator" w:id="0">
    <w:p w14:paraId="029B03E4" w14:textId="77777777" w:rsidR="002E04B2" w:rsidRDefault="002E04B2" w:rsidP="00A2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A514" w14:textId="77777777" w:rsidR="00361126" w:rsidRDefault="0036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2B1B" w14:textId="01F96087" w:rsidR="00A27A5E" w:rsidRDefault="00F23AFC">
    <w:pPr>
      <w:pStyle w:val="Footer"/>
    </w:pPr>
    <w:r>
      <w:t xml:space="preserve">Página </w:t>
    </w:r>
    <w:r>
      <w:rPr>
        <w:b/>
      </w:rPr>
      <w:fldChar w:fldCharType="begin"/>
    </w:r>
    <w:r>
      <w:rPr>
        <w:b/>
      </w:rPr>
      <w:instrText xml:space="preserve"> PAGE  \* Arabic  \* MERGEFORMAT </w:instrText>
    </w:r>
    <w:r>
      <w:rPr>
        <w:b/>
      </w:rPr>
      <w:fldChar w:fldCharType="separate"/>
    </w:r>
    <w:r w:rsidR="008D6576">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8D6576">
      <w:rPr>
        <w:b/>
        <w:noProof/>
      </w:rPr>
      <w:t>6</w:t>
    </w:r>
    <w:r>
      <w:rPr>
        <w:b/>
      </w:rPr>
      <w:fldChar w:fldCharType="end"/>
    </w:r>
    <w:r>
      <w:ptab w:relativeTo="margin" w:alignment="center" w:leader="none"/>
    </w:r>
    <w:r>
      <w:t xml:space="preserve">Fecha de entrada en vigor: </w:t>
    </w:r>
    <w:r w:rsidR="00927C92" w:rsidRPr="00927C92">
      <w:t>2</w:t>
    </w:r>
    <w:r w:rsidR="00927C92">
      <w:t>5</w:t>
    </w:r>
    <w:r w:rsidR="00927C92" w:rsidRPr="00927C92">
      <w:t xml:space="preserve">/07/2016 </w:t>
    </w:r>
    <w:r>
      <w:ptab w:relativeTo="margin" w:alignment="right" w:leader="none"/>
    </w:r>
    <w:r>
      <w:t xml:space="preserve">Versión n.º: </w:t>
    </w:r>
    <w:sdt>
      <w:sdtPr>
        <w:alias w:val="POPPRefItemVersion"/>
        <w:tag w:val="UNDP_POPP_REFITEM_VERSION"/>
        <w:id w:val="967784414"/>
        <w:placeholder>
          <w:docPart w:val="69CE94C20B614F7A818D80CC3F43D93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CBDCE476-A755-4E5E-A47F-26102699E623}"/>
        <w:text/>
      </w:sdtPr>
      <w:sdtContent>
        <w:r w:rsidR="00CF3C9A">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8548" w14:textId="77777777" w:rsidR="00361126" w:rsidRDefault="0036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156D" w14:textId="77777777" w:rsidR="002E04B2" w:rsidRDefault="002E04B2" w:rsidP="00A27A5E">
      <w:pPr>
        <w:spacing w:after="0" w:line="240" w:lineRule="auto"/>
      </w:pPr>
      <w:r>
        <w:separator/>
      </w:r>
    </w:p>
  </w:footnote>
  <w:footnote w:type="continuationSeparator" w:id="0">
    <w:p w14:paraId="1CEF667B" w14:textId="77777777" w:rsidR="002E04B2" w:rsidRDefault="002E04B2" w:rsidP="00A2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F4E3" w14:textId="77777777" w:rsidR="00361126" w:rsidRDefault="00361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AD47" w14:textId="19AEB67A" w:rsidR="00F23AFC" w:rsidRDefault="3B4F0209" w:rsidP="00F23AFC">
    <w:pPr>
      <w:pStyle w:val="Header"/>
      <w:jc w:val="right"/>
    </w:pPr>
    <w:r>
      <w:rPr>
        <w:noProof/>
      </w:rPr>
      <w:drawing>
        <wp:inline distT="0" distB="0" distL="0" distR="0" wp14:anchorId="5E9B178A" wp14:editId="12CE8861">
          <wp:extent cx="304800"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172"/>
                  <a:stretch/>
                </pic:blipFill>
                <pic:spPr bwMode="auto">
                  <a:xfrm>
                    <a:off x="0" y="0"/>
                    <a:ext cx="304855" cy="582335"/>
                  </a:xfrm>
                  <a:prstGeom prst="rect">
                    <a:avLst/>
                  </a:prstGeom>
                  <a:ln>
                    <a:noFill/>
                  </a:ln>
                  <a:extLst>
                    <a:ext uri="{53640926-AAD7-44D8-BBD7-CCE9431645EC}">
                      <a14:shadowObscured xmlns:a14="http://schemas.microsoft.com/office/drawing/2010/main"/>
                    </a:ext>
                  </a:extLst>
                </pic:spPr>
              </pic:pic>
            </a:graphicData>
          </a:graphic>
        </wp:inline>
      </w:drawing>
    </w:r>
  </w:p>
  <w:p w14:paraId="60D2901C" w14:textId="77777777" w:rsidR="00F23AFC" w:rsidRDefault="00F23AFC" w:rsidP="00F23A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946F" w14:textId="77777777" w:rsidR="00361126" w:rsidRDefault="0036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ABE"/>
    <w:multiLevelType w:val="hybridMultilevel"/>
    <w:tmpl w:val="BA40D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DD35EE"/>
    <w:multiLevelType w:val="multilevel"/>
    <w:tmpl w:val="6BB4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34236"/>
    <w:multiLevelType w:val="hybridMultilevel"/>
    <w:tmpl w:val="BB16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D06D2B"/>
    <w:multiLevelType w:val="hybridMultilevel"/>
    <w:tmpl w:val="5E986ED2"/>
    <w:lvl w:ilvl="0" w:tplc="010A569E">
      <w:start w:val="1"/>
      <w:numFmt w:val="bullet"/>
      <w:lvlText w:val=""/>
      <w:lvlJc w:val="left"/>
      <w:pPr>
        <w:ind w:left="1440" w:hanging="360"/>
      </w:pPr>
      <w:rPr>
        <w:rFonts w:ascii="Symbol" w:hAnsi="Symbol" w:hint="default"/>
        <w:color w:val="auto"/>
        <w:lang w:val="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B8C5C03"/>
    <w:multiLevelType w:val="multilevel"/>
    <w:tmpl w:val="385E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E7D99"/>
    <w:multiLevelType w:val="hybridMultilevel"/>
    <w:tmpl w:val="B0FEB202"/>
    <w:lvl w:ilvl="0" w:tplc="AA504E7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667DA7"/>
    <w:multiLevelType w:val="hybridMultilevel"/>
    <w:tmpl w:val="6A0A579E"/>
    <w:lvl w:ilvl="0" w:tplc="4B0C99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135355"/>
    <w:multiLevelType w:val="hybridMultilevel"/>
    <w:tmpl w:val="3B9E6FAA"/>
    <w:lvl w:ilvl="0" w:tplc="AAE8F0DC">
      <w:start w:val="1"/>
      <w:numFmt w:val="bullet"/>
      <w:lvlText w:val=""/>
      <w:lvlJc w:val="left"/>
      <w:pPr>
        <w:tabs>
          <w:tab w:val="num" w:pos="720"/>
        </w:tabs>
        <w:ind w:left="720" w:hanging="360"/>
      </w:pPr>
      <w:rPr>
        <w:rFonts w:ascii="Symbol" w:hAnsi="Symbol" w:hint="default"/>
        <w:sz w:val="20"/>
      </w:rPr>
    </w:lvl>
    <w:lvl w:ilvl="1" w:tplc="C670734C" w:tentative="1">
      <w:start w:val="1"/>
      <w:numFmt w:val="bullet"/>
      <w:lvlText w:val="o"/>
      <w:lvlJc w:val="left"/>
      <w:pPr>
        <w:tabs>
          <w:tab w:val="num" w:pos="1440"/>
        </w:tabs>
        <w:ind w:left="1440" w:hanging="360"/>
      </w:pPr>
      <w:rPr>
        <w:rFonts w:ascii="Courier New" w:hAnsi="Courier New" w:hint="default"/>
        <w:sz w:val="20"/>
      </w:rPr>
    </w:lvl>
    <w:lvl w:ilvl="2" w:tplc="C34CDEB2" w:tentative="1">
      <w:start w:val="1"/>
      <w:numFmt w:val="bullet"/>
      <w:lvlText w:val=""/>
      <w:lvlJc w:val="left"/>
      <w:pPr>
        <w:tabs>
          <w:tab w:val="num" w:pos="2160"/>
        </w:tabs>
        <w:ind w:left="2160" w:hanging="360"/>
      </w:pPr>
      <w:rPr>
        <w:rFonts w:ascii="Wingdings" w:hAnsi="Wingdings" w:hint="default"/>
        <w:sz w:val="20"/>
      </w:rPr>
    </w:lvl>
    <w:lvl w:ilvl="3" w:tplc="D0029518" w:tentative="1">
      <w:start w:val="1"/>
      <w:numFmt w:val="bullet"/>
      <w:lvlText w:val=""/>
      <w:lvlJc w:val="left"/>
      <w:pPr>
        <w:tabs>
          <w:tab w:val="num" w:pos="2880"/>
        </w:tabs>
        <w:ind w:left="2880" w:hanging="360"/>
      </w:pPr>
      <w:rPr>
        <w:rFonts w:ascii="Wingdings" w:hAnsi="Wingdings" w:hint="default"/>
        <w:sz w:val="20"/>
      </w:rPr>
    </w:lvl>
    <w:lvl w:ilvl="4" w:tplc="4C5864B0" w:tentative="1">
      <w:start w:val="1"/>
      <w:numFmt w:val="bullet"/>
      <w:lvlText w:val=""/>
      <w:lvlJc w:val="left"/>
      <w:pPr>
        <w:tabs>
          <w:tab w:val="num" w:pos="3600"/>
        </w:tabs>
        <w:ind w:left="3600" w:hanging="360"/>
      </w:pPr>
      <w:rPr>
        <w:rFonts w:ascii="Wingdings" w:hAnsi="Wingdings" w:hint="default"/>
        <w:sz w:val="20"/>
      </w:rPr>
    </w:lvl>
    <w:lvl w:ilvl="5" w:tplc="3B1E3B04" w:tentative="1">
      <w:start w:val="1"/>
      <w:numFmt w:val="bullet"/>
      <w:lvlText w:val=""/>
      <w:lvlJc w:val="left"/>
      <w:pPr>
        <w:tabs>
          <w:tab w:val="num" w:pos="4320"/>
        </w:tabs>
        <w:ind w:left="4320" w:hanging="360"/>
      </w:pPr>
      <w:rPr>
        <w:rFonts w:ascii="Wingdings" w:hAnsi="Wingdings" w:hint="default"/>
        <w:sz w:val="20"/>
      </w:rPr>
    </w:lvl>
    <w:lvl w:ilvl="6" w:tplc="92381392" w:tentative="1">
      <w:start w:val="1"/>
      <w:numFmt w:val="bullet"/>
      <w:lvlText w:val=""/>
      <w:lvlJc w:val="left"/>
      <w:pPr>
        <w:tabs>
          <w:tab w:val="num" w:pos="5040"/>
        </w:tabs>
        <w:ind w:left="5040" w:hanging="360"/>
      </w:pPr>
      <w:rPr>
        <w:rFonts w:ascii="Wingdings" w:hAnsi="Wingdings" w:hint="default"/>
        <w:sz w:val="20"/>
      </w:rPr>
    </w:lvl>
    <w:lvl w:ilvl="7" w:tplc="28A805E8" w:tentative="1">
      <w:start w:val="1"/>
      <w:numFmt w:val="bullet"/>
      <w:lvlText w:val=""/>
      <w:lvlJc w:val="left"/>
      <w:pPr>
        <w:tabs>
          <w:tab w:val="num" w:pos="5760"/>
        </w:tabs>
        <w:ind w:left="5760" w:hanging="360"/>
      </w:pPr>
      <w:rPr>
        <w:rFonts w:ascii="Wingdings" w:hAnsi="Wingdings" w:hint="default"/>
        <w:sz w:val="20"/>
      </w:rPr>
    </w:lvl>
    <w:lvl w:ilvl="8" w:tplc="198ED54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02ABD"/>
    <w:multiLevelType w:val="multilevel"/>
    <w:tmpl w:val="52D077C0"/>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4A36BD3"/>
    <w:multiLevelType w:val="hybridMultilevel"/>
    <w:tmpl w:val="9E86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B74F26"/>
    <w:multiLevelType w:val="hybridMultilevel"/>
    <w:tmpl w:val="774AEF4A"/>
    <w:lvl w:ilvl="0" w:tplc="E01EA1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7C6EB9"/>
    <w:multiLevelType w:val="hybridMultilevel"/>
    <w:tmpl w:val="798695AE"/>
    <w:lvl w:ilvl="0" w:tplc="67102832">
      <w:start w:val="3"/>
      <w:numFmt w:val="bullet"/>
      <w:lvlText w:val="•"/>
      <w:lvlJc w:val="left"/>
      <w:pPr>
        <w:ind w:left="1080" w:hanging="72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2B0F40"/>
    <w:multiLevelType w:val="hybridMultilevel"/>
    <w:tmpl w:val="9872B9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18A178D"/>
    <w:multiLevelType w:val="hybridMultilevel"/>
    <w:tmpl w:val="71E6010E"/>
    <w:lvl w:ilvl="0" w:tplc="BC7C807C">
      <w:start w:val="1"/>
      <w:numFmt w:val="bullet"/>
      <w:lvlText w:val=""/>
      <w:lvlJc w:val="left"/>
      <w:pPr>
        <w:tabs>
          <w:tab w:val="num" w:pos="720"/>
        </w:tabs>
        <w:ind w:left="720" w:hanging="360"/>
      </w:pPr>
      <w:rPr>
        <w:rFonts w:ascii="Symbol" w:hAnsi="Symbol" w:hint="default"/>
        <w:sz w:val="20"/>
      </w:rPr>
    </w:lvl>
    <w:lvl w:ilvl="1" w:tplc="AE9045F6" w:tentative="1">
      <w:start w:val="1"/>
      <w:numFmt w:val="bullet"/>
      <w:lvlText w:val="o"/>
      <w:lvlJc w:val="left"/>
      <w:pPr>
        <w:tabs>
          <w:tab w:val="num" w:pos="1440"/>
        </w:tabs>
        <w:ind w:left="1440" w:hanging="360"/>
      </w:pPr>
      <w:rPr>
        <w:rFonts w:ascii="Courier New" w:hAnsi="Courier New" w:hint="default"/>
        <w:sz w:val="20"/>
      </w:rPr>
    </w:lvl>
    <w:lvl w:ilvl="2" w:tplc="71CAD074" w:tentative="1">
      <w:start w:val="1"/>
      <w:numFmt w:val="bullet"/>
      <w:lvlText w:val=""/>
      <w:lvlJc w:val="left"/>
      <w:pPr>
        <w:tabs>
          <w:tab w:val="num" w:pos="2160"/>
        </w:tabs>
        <w:ind w:left="2160" w:hanging="360"/>
      </w:pPr>
      <w:rPr>
        <w:rFonts w:ascii="Wingdings" w:hAnsi="Wingdings" w:hint="default"/>
        <w:sz w:val="20"/>
      </w:rPr>
    </w:lvl>
    <w:lvl w:ilvl="3" w:tplc="6702373E" w:tentative="1">
      <w:start w:val="1"/>
      <w:numFmt w:val="bullet"/>
      <w:lvlText w:val=""/>
      <w:lvlJc w:val="left"/>
      <w:pPr>
        <w:tabs>
          <w:tab w:val="num" w:pos="2880"/>
        </w:tabs>
        <w:ind w:left="2880" w:hanging="360"/>
      </w:pPr>
      <w:rPr>
        <w:rFonts w:ascii="Wingdings" w:hAnsi="Wingdings" w:hint="default"/>
        <w:sz w:val="20"/>
      </w:rPr>
    </w:lvl>
    <w:lvl w:ilvl="4" w:tplc="CD524376" w:tentative="1">
      <w:start w:val="1"/>
      <w:numFmt w:val="bullet"/>
      <w:lvlText w:val=""/>
      <w:lvlJc w:val="left"/>
      <w:pPr>
        <w:tabs>
          <w:tab w:val="num" w:pos="3600"/>
        </w:tabs>
        <w:ind w:left="3600" w:hanging="360"/>
      </w:pPr>
      <w:rPr>
        <w:rFonts w:ascii="Wingdings" w:hAnsi="Wingdings" w:hint="default"/>
        <w:sz w:val="20"/>
      </w:rPr>
    </w:lvl>
    <w:lvl w:ilvl="5" w:tplc="71D8E6A6" w:tentative="1">
      <w:start w:val="1"/>
      <w:numFmt w:val="bullet"/>
      <w:lvlText w:val=""/>
      <w:lvlJc w:val="left"/>
      <w:pPr>
        <w:tabs>
          <w:tab w:val="num" w:pos="4320"/>
        </w:tabs>
        <w:ind w:left="4320" w:hanging="360"/>
      </w:pPr>
      <w:rPr>
        <w:rFonts w:ascii="Wingdings" w:hAnsi="Wingdings" w:hint="default"/>
        <w:sz w:val="20"/>
      </w:rPr>
    </w:lvl>
    <w:lvl w:ilvl="6" w:tplc="31F4E486" w:tentative="1">
      <w:start w:val="1"/>
      <w:numFmt w:val="bullet"/>
      <w:lvlText w:val=""/>
      <w:lvlJc w:val="left"/>
      <w:pPr>
        <w:tabs>
          <w:tab w:val="num" w:pos="5040"/>
        </w:tabs>
        <w:ind w:left="5040" w:hanging="360"/>
      </w:pPr>
      <w:rPr>
        <w:rFonts w:ascii="Wingdings" w:hAnsi="Wingdings" w:hint="default"/>
        <w:sz w:val="20"/>
      </w:rPr>
    </w:lvl>
    <w:lvl w:ilvl="7" w:tplc="7BD06EE8" w:tentative="1">
      <w:start w:val="1"/>
      <w:numFmt w:val="bullet"/>
      <w:lvlText w:val=""/>
      <w:lvlJc w:val="left"/>
      <w:pPr>
        <w:tabs>
          <w:tab w:val="num" w:pos="5760"/>
        </w:tabs>
        <w:ind w:left="5760" w:hanging="360"/>
      </w:pPr>
      <w:rPr>
        <w:rFonts w:ascii="Wingdings" w:hAnsi="Wingdings" w:hint="default"/>
        <w:sz w:val="20"/>
      </w:rPr>
    </w:lvl>
    <w:lvl w:ilvl="8" w:tplc="142635A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77367"/>
    <w:multiLevelType w:val="hybridMultilevel"/>
    <w:tmpl w:val="F4120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1991210">
    <w:abstractNumId w:val="4"/>
  </w:num>
  <w:num w:numId="2" w16cid:durableId="1479305989">
    <w:abstractNumId w:val="13"/>
  </w:num>
  <w:num w:numId="3" w16cid:durableId="392047022">
    <w:abstractNumId w:val="7"/>
  </w:num>
  <w:num w:numId="4" w16cid:durableId="1889873575">
    <w:abstractNumId w:val="1"/>
  </w:num>
  <w:num w:numId="5" w16cid:durableId="1552158911">
    <w:abstractNumId w:val="8"/>
  </w:num>
  <w:num w:numId="6" w16cid:durableId="1929726065">
    <w:abstractNumId w:val="6"/>
  </w:num>
  <w:num w:numId="7" w16cid:durableId="285738198">
    <w:abstractNumId w:val="12"/>
  </w:num>
  <w:num w:numId="8" w16cid:durableId="425465496">
    <w:abstractNumId w:val="14"/>
  </w:num>
  <w:num w:numId="9" w16cid:durableId="800921028">
    <w:abstractNumId w:val="11"/>
  </w:num>
  <w:num w:numId="10" w16cid:durableId="337313817">
    <w:abstractNumId w:val="2"/>
  </w:num>
  <w:num w:numId="11" w16cid:durableId="2131972979">
    <w:abstractNumId w:val="9"/>
  </w:num>
  <w:num w:numId="12" w16cid:durableId="1321884686">
    <w:abstractNumId w:val="10"/>
  </w:num>
  <w:num w:numId="13" w16cid:durableId="108281501">
    <w:abstractNumId w:val="0"/>
  </w:num>
  <w:num w:numId="14" w16cid:durableId="676927711">
    <w:abstractNumId w:val="5"/>
  </w:num>
  <w:num w:numId="15" w16cid:durableId="47618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46"/>
    <w:rsid w:val="0005671C"/>
    <w:rsid w:val="000B76F8"/>
    <w:rsid w:val="001135BB"/>
    <w:rsid w:val="0012776A"/>
    <w:rsid w:val="00174439"/>
    <w:rsid w:val="001A2146"/>
    <w:rsid w:val="00215784"/>
    <w:rsid w:val="0023745B"/>
    <w:rsid w:val="002D0A6E"/>
    <w:rsid w:val="002E04B2"/>
    <w:rsid w:val="003237DE"/>
    <w:rsid w:val="00351BC6"/>
    <w:rsid w:val="00361126"/>
    <w:rsid w:val="004F12A0"/>
    <w:rsid w:val="00507E90"/>
    <w:rsid w:val="006022BE"/>
    <w:rsid w:val="006232A4"/>
    <w:rsid w:val="006E1142"/>
    <w:rsid w:val="006F2AEC"/>
    <w:rsid w:val="00754963"/>
    <w:rsid w:val="007B1B0E"/>
    <w:rsid w:val="00882BBE"/>
    <w:rsid w:val="00890705"/>
    <w:rsid w:val="008A31F7"/>
    <w:rsid w:val="008B2FFA"/>
    <w:rsid w:val="008D6576"/>
    <w:rsid w:val="008E0D9D"/>
    <w:rsid w:val="008F1ECD"/>
    <w:rsid w:val="00910E59"/>
    <w:rsid w:val="00927C92"/>
    <w:rsid w:val="00942FCA"/>
    <w:rsid w:val="00956CA7"/>
    <w:rsid w:val="00974EC2"/>
    <w:rsid w:val="00A2358F"/>
    <w:rsid w:val="00A27A5E"/>
    <w:rsid w:val="00A5014B"/>
    <w:rsid w:val="00A70F34"/>
    <w:rsid w:val="00AC5787"/>
    <w:rsid w:val="00AD11D7"/>
    <w:rsid w:val="00B0505E"/>
    <w:rsid w:val="00CA6F10"/>
    <w:rsid w:val="00CE5243"/>
    <w:rsid w:val="00CF3C9A"/>
    <w:rsid w:val="00D35586"/>
    <w:rsid w:val="00D54941"/>
    <w:rsid w:val="00DD7EB7"/>
    <w:rsid w:val="00E54A87"/>
    <w:rsid w:val="00E902C7"/>
    <w:rsid w:val="00EB2D16"/>
    <w:rsid w:val="00EC62D6"/>
    <w:rsid w:val="00EE3F6B"/>
    <w:rsid w:val="00F06F92"/>
    <w:rsid w:val="00F23AFC"/>
    <w:rsid w:val="00FA543F"/>
    <w:rsid w:val="00FF75D9"/>
    <w:rsid w:val="0E43F6A1"/>
    <w:rsid w:val="1299340D"/>
    <w:rsid w:val="372CDC43"/>
    <w:rsid w:val="3B4F0209"/>
    <w:rsid w:val="76846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62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146"/>
    <w:rPr>
      <w:sz w:val="16"/>
      <w:szCs w:val="16"/>
    </w:rPr>
  </w:style>
  <w:style w:type="paragraph" w:styleId="CommentText">
    <w:name w:val="annotation text"/>
    <w:basedOn w:val="Normal"/>
    <w:link w:val="CommentTextChar"/>
    <w:uiPriority w:val="99"/>
    <w:semiHidden/>
    <w:unhideWhenUsed/>
    <w:rsid w:val="001A214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A2146"/>
    <w:rPr>
      <w:rFonts w:eastAsiaTheme="minorHAnsi"/>
      <w:sz w:val="20"/>
      <w:szCs w:val="20"/>
      <w:lang w:eastAsia="en-US"/>
    </w:rPr>
  </w:style>
  <w:style w:type="paragraph" w:styleId="BalloonText">
    <w:name w:val="Balloon Text"/>
    <w:basedOn w:val="Normal"/>
    <w:link w:val="BalloonTextChar"/>
    <w:uiPriority w:val="99"/>
    <w:semiHidden/>
    <w:unhideWhenUsed/>
    <w:rsid w:val="001A2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46"/>
    <w:rPr>
      <w:rFonts w:ascii="Segoe UI" w:hAnsi="Segoe UI" w:cs="Segoe UI"/>
      <w:sz w:val="18"/>
      <w:szCs w:val="18"/>
    </w:rPr>
  </w:style>
  <w:style w:type="paragraph" w:styleId="ListParagraph">
    <w:name w:val="List Paragraph"/>
    <w:basedOn w:val="Normal"/>
    <w:uiPriority w:val="34"/>
    <w:qFormat/>
    <w:rsid w:val="00A27A5E"/>
    <w:pPr>
      <w:ind w:left="720"/>
      <w:contextualSpacing/>
    </w:pPr>
  </w:style>
  <w:style w:type="character" w:styleId="Hyperlink">
    <w:name w:val="Hyperlink"/>
    <w:basedOn w:val="DefaultParagraphFont"/>
    <w:uiPriority w:val="99"/>
    <w:unhideWhenUsed/>
    <w:rsid w:val="00A27A5E"/>
    <w:rPr>
      <w:color w:val="0563C1" w:themeColor="hyperlink"/>
      <w:u w:val="single"/>
    </w:rPr>
  </w:style>
  <w:style w:type="paragraph" w:styleId="Header">
    <w:name w:val="header"/>
    <w:basedOn w:val="Normal"/>
    <w:link w:val="HeaderChar"/>
    <w:uiPriority w:val="99"/>
    <w:unhideWhenUsed/>
    <w:rsid w:val="00A27A5E"/>
    <w:pPr>
      <w:tabs>
        <w:tab w:val="center" w:pos="4677"/>
        <w:tab w:val="right" w:pos="9355"/>
      </w:tabs>
      <w:spacing w:after="0" w:line="240" w:lineRule="auto"/>
    </w:pPr>
  </w:style>
  <w:style w:type="character" w:customStyle="1" w:styleId="HeaderChar">
    <w:name w:val="Header Char"/>
    <w:basedOn w:val="DefaultParagraphFont"/>
    <w:link w:val="Header"/>
    <w:uiPriority w:val="99"/>
    <w:rsid w:val="00A27A5E"/>
  </w:style>
  <w:style w:type="paragraph" w:styleId="Footer">
    <w:name w:val="footer"/>
    <w:basedOn w:val="Normal"/>
    <w:link w:val="FooterChar"/>
    <w:uiPriority w:val="99"/>
    <w:unhideWhenUsed/>
    <w:rsid w:val="00A27A5E"/>
    <w:pPr>
      <w:tabs>
        <w:tab w:val="center" w:pos="4677"/>
        <w:tab w:val="right" w:pos="9355"/>
      </w:tabs>
      <w:spacing w:after="0" w:line="240" w:lineRule="auto"/>
    </w:pPr>
  </w:style>
  <w:style w:type="character" w:customStyle="1" w:styleId="FooterChar">
    <w:name w:val="Footer Char"/>
    <w:basedOn w:val="DefaultParagraphFont"/>
    <w:link w:val="Footer"/>
    <w:uiPriority w:val="99"/>
    <w:rsid w:val="00A27A5E"/>
  </w:style>
  <w:style w:type="character" w:styleId="FollowedHyperlink">
    <w:name w:val="FollowedHyperlink"/>
    <w:basedOn w:val="DefaultParagraphFont"/>
    <w:uiPriority w:val="99"/>
    <w:semiHidden/>
    <w:unhideWhenUsed/>
    <w:rsid w:val="00D54941"/>
    <w:rPr>
      <w:color w:val="954F72" w:themeColor="followedHyperlink"/>
      <w:u w:val="single"/>
    </w:rPr>
  </w:style>
  <w:style w:type="character" w:styleId="PlaceholderText">
    <w:name w:val="Placeholder Text"/>
    <w:basedOn w:val="DefaultParagraphFont"/>
    <w:uiPriority w:val="99"/>
    <w:semiHidden/>
    <w:rsid w:val="00F23AFC"/>
    <w:rPr>
      <w:color w:val="808080"/>
    </w:rPr>
  </w:style>
  <w:style w:type="paragraph" w:styleId="NormalWeb">
    <w:name w:val="Normal (Web)"/>
    <w:basedOn w:val="Normal"/>
    <w:uiPriority w:val="99"/>
    <w:semiHidden/>
    <w:unhideWhenUsed/>
    <w:rsid w:val="00CA6F1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50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popp.undp.org/es/taxonomy/term/12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1080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114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4651"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10641"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CE94C20B614F7A818D80CC3F43D93C"/>
        <w:category>
          <w:name w:val="General"/>
          <w:gallery w:val="placeholder"/>
        </w:category>
        <w:types>
          <w:type w:val="bbPlcHdr"/>
        </w:types>
        <w:behaviors>
          <w:behavior w:val="content"/>
        </w:behaviors>
        <w:guid w:val="{4717B2A7-8FCD-406E-A86D-D41B9D4BF615}"/>
      </w:docPartPr>
      <w:docPartBody>
        <w:p w:rsidR="009B1C7A" w:rsidRDefault="008A3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1F7"/>
    <w:rsid w:val="006933AA"/>
    <w:rsid w:val="00894510"/>
    <w:rsid w:val="008A31F7"/>
    <w:rsid w:val="009B1C7A"/>
    <w:rsid w:val="00B275C8"/>
    <w:rsid w:val="00E05882"/>
    <w:rsid w:val="00F9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Cierre de una presencia local</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5120</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POPP-11-3469</_dlc_DocId>
    <_dlc_DocIdUrl xmlns="8264c5cc-ec60-4b56-8111-ce635d3d139a">
      <Url>https://popp.undp.org/_layouts/15/DocIdRedir.aspx?ID=POPP-11-3469</Url>
      <Description>POPP-11-3469</Description>
    </_dlc_DocIdUrl>
    <UNDP_POPP_REFITEM_VERSION xmlns="8264c5cc-ec60-4b56-8111-ce635d3d139a">5</UNDP_POPP_REFITEM_VERSION>
    <DLCPolicyLabelLock xmlns="e560140e-7b2f-4392-90df-e7567e3021a3" xsi:nil="true"/>
    <DLCPolicyLabelClientValue xmlns="e560140e-7b2f-4392-90df-e7567e3021a3">Effective Date: 26/07/2016                                                Version #: 5.0</DLCPolicyLabelClientValue>
    <UNDP_POPP_LASTMODIFIED xmlns="8264c5cc-ec60-4b56-8111-ce635d3d139a" xsi:nil="true"/>
    <DLCPolicyLabelValue xmlns="e560140e-7b2f-4392-90df-e7567e3021a3">Effective Date: 26/07/2016                                                Version #: 5</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DCE476-A755-4E5E-A47F-26102699E623}">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FBFC8EB3-B514-4EF9-8617-F5D59183DF0F}">
  <ds:schemaRefs>
    <ds:schemaRef ds:uri="http://schemas.openxmlformats.org/officeDocument/2006/bibliography"/>
  </ds:schemaRefs>
</ds:datastoreItem>
</file>

<file path=customXml/itemProps3.xml><?xml version="1.0" encoding="utf-8"?>
<ds:datastoreItem xmlns:ds="http://schemas.openxmlformats.org/officeDocument/2006/customXml" ds:itemID="{340F174D-8CB0-4631-84B2-FAD4F0183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83780-9D46-4754-B617-423E07D46C76}">
  <ds:schemaRefs>
    <ds:schemaRef ds:uri="office.server.policy"/>
  </ds:schemaRefs>
</ds:datastoreItem>
</file>

<file path=customXml/itemProps5.xml><?xml version="1.0" encoding="utf-8"?>
<ds:datastoreItem xmlns:ds="http://schemas.openxmlformats.org/officeDocument/2006/customXml" ds:itemID="{B27545CE-4ADF-4726-AF68-DCC82FB66DAB}">
  <ds:schemaRefs>
    <ds:schemaRef ds:uri="http://schemas.microsoft.com/sharepoint/v3/contenttype/forms"/>
  </ds:schemaRefs>
</ds:datastoreItem>
</file>

<file path=customXml/itemProps6.xml><?xml version="1.0" encoding="utf-8"?>
<ds:datastoreItem xmlns:ds="http://schemas.openxmlformats.org/officeDocument/2006/customXml" ds:itemID="{537926B8-D4C3-46D3-855C-E41D222871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Hideko Hadzialic</dc:creator>
  <cp:lastModifiedBy>Pablo Morete</cp:lastModifiedBy>
  <cp:revision>2</cp:revision>
  <cp:lastPrinted>2016-05-26T17:44:00Z</cp:lastPrinted>
  <dcterms:created xsi:type="dcterms:W3CDTF">2024-01-08T14:12:00Z</dcterms:created>
  <dcterms:modified xsi:type="dcterms:W3CDTF">2024-01-08T14:12:00Z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7bdeb2f0-e558-4cdf-a59b-50e41a64790b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