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21388">
      <w:pPr>
        <w:pStyle w:val="BodyText2"/>
        <w:numPr>
          <w:ilvl w:val="12"/>
          <w:numId w:val="0"/>
        </w:numPr>
        <w:spacing w:after="0"/>
        <w:jc w:val="center"/>
      </w:pPr>
      <w:bookmarkStart w:id="0" w:name="_GoBack"/>
      <w:bookmarkEnd w:id="0"/>
      <w:r>
        <w:rPr>
          <w:b/>
        </w:rPr>
        <w:t>STANDARD LETTER OF AGREEMENT BETWEEN UNDP AND THE GOVERNMENT FOR THE PROVISION OF SUPPORT SERVICES</w:t>
      </w:r>
    </w:p>
    <w:p w:rsidR="00000000" w:rsidRDefault="00021388">
      <w:pPr>
        <w:tabs>
          <w:tab w:val="left" w:pos="0"/>
          <w:tab w:val="left" w:pos="282"/>
          <w:tab w:val="left" w:pos="1440"/>
          <w:tab w:val="left" w:pos="2880"/>
        </w:tabs>
        <w:suppressAutoHyphens/>
        <w:jc w:val="both"/>
      </w:pPr>
    </w:p>
    <w:p w:rsidR="00000000" w:rsidRDefault="00021388">
      <w:pPr>
        <w:numPr>
          <w:ilvl w:val="12"/>
          <w:numId w:val="0"/>
        </w:numPr>
        <w:pBdr>
          <w:top w:val="single" w:sz="6" w:space="1" w:color="auto"/>
          <w:left w:val="single" w:sz="6" w:space="1" w:color="auto"/>
          <w:bottom w:val="single" w:sz="4" w:space="1" w:color="auto"/>
          <w:right w:val="single" w:sz="6" w:space="1" w:color="auto"/>
        </w:pBdr>
        <w:suppressAutoHyphens/>
        <w:jc w:val="center"/>
      </w:pPr>
      <w:r>
        <w:rPr>
          <w:spacing w:val="-2"/>
        </w:rPr>
        <w:fldChar w:fldCharType="begin"/>
      </w:r>
      <w:r>
        <w:rPr>
          <w:spacing w:val="-2"/>
        </w:rPr>
        <w:instrText xml:space="preserve">PRIVATE </w:instrText>
      </w:r>
      <w:r>
        <w:rPr>
          <w:spacing w:val="-2"/>
        </w:rPr>
      </w:r>
      <w:r>
        <w:rPr>
          <w:spacing w:val="-2"/>
        </w:rPr>
        <w:fldChar w:fldCharType="end"/>
      </w:r>
      <w:r>
        <w:rPr>
          <w:b/>
        </w:rPr>
        <w:t xml:space="preserve">HOW TO USE THIS LETTER OF AGREEMENT </w:t>
      </w:r>
    </w:p>
    <w:p w:rsidR="00000000" w:rsidRDefault="00021388">
      <w:pPr>
        <w:numPr>
          <w:ilvl w:val="0"/>
          <w:numId w:val="1"/>
        </w:numPr>
        <w:pBdr>
          <w:top w:val="single" w:sz="6" w:space="1" w:color="auto"/>
          <w:left w:val="single" w:sz="6" w:space="1" w:color="auto"/>
          <w:bottom w:val="single" w:sz="4" w:space="1" w:color="auto"/>
          <w:right w:val="single" w:sz="6" w:space="1" w:color="auto"/>
        </w:pBdr>
        <w:suppressAutoHyphens/>
        <w:jc w:val="both"/>
        <w:rPr>
          <w:spacing w:val="-2"/>
        </w:rPr>
      </w:pPr>
      <w:r>
        <w:rPr>
          <w:spacing w:val="-2"/>
        </w:rPr>
        <w:t xml:space="preserve">This agreement is used to </w:t>
      </w:r>
      <w:r>
        <w:rPr>
          <w:spacing w:val="-3"/>
        </w:rPr>
        <w:t>provide appropriate legal coverage</w:t>
      </w:r>
      <w:r>
        <w:rPr>
          <w:spacing w:val="-2"/>
        </w:rPr>
        <w:t xml:space="preserve"> when the UNDP country office provides support s</w:t>
      </w:r>
      <w:r>
        <w:rPr>
          <w:spacing w:val="-2"/>
        </w:rPr>
        <w:t>ervices under national execution</w:t>
      </w:r>
      <w:r>
        <w:rPr>
          <w:spacing w:val="-3"/>
        </w:rPr>
        <w:t xml:space="preserve">. </w:t>
      </w:r>
    </w:p>
    <w:p w:rsidR="00000000" w:rsidRDefault="00021388">
      <w:pPr>
        <w:numPr>
          <w:ilvl w:val="0"/>
          <w:numId w:val="1"/>
        </w:numPr>
        <w:pBdr>
          <w:top w:val="single" w:sz="6" w:space="1" w:color="auto"/>
          <w:left w:val="single" w:sz="6" w:space="1" w:color="auto"/>
          <w:bottom w:val="single" w:sz="4" w:space="1" w:color="auto"/>
          <w:right w:val="single" w:sz="6" w:space="1" w:color="auto"/>
        </w:pBdr>
        <w:suppressAutoHyphens/>
        <w:jc w:val="both"/>
        <w:rPr>
          <w:spacing w:val="-2"/>
        </w:rPr>
      </w:pPr>
      <w:r>
        <w:rPr>
          <w:spacing w:val="-3"/>
        </w:rPr>
        <w:t xml:space="preserve">This agreement must be signed by a governmental body or official </w:t>
      </w:r>
      <w:proofErr w:type="spellStart"/>
      <w:r>
        <w:rPr>
          <w:spacing w:val="-3"/>
        </w:rPr>
        <w:t>authorised</w:t>
      </w:r>
      <w:proofErr w:type="spellEnd"/>
      <w:r>
        <w:rPr>
          <w:spacing w:val="-3"/>
        </w:rPr>
        <w:t xml:space="preserve"> to confer full legal coverage on UNDP. (</w:t>
      </w:r>
      <w:r>
        <w:rPr>
          <w:spacing w:val="-2"/>
        </w:rPr>
        <w:t xml:space="preserve">This is usually the Minister of Foreign Affairs, the Prime Minister /or Head of State.) The UNDP country </w:t>
      </w:r>
      <w:r>
        <w:rPr>
          <w:spacing w:val="-2"/>
        </w:rPr>
        <w:t xml:space="preserve">office must verify that the government signatory has been properly </w:t>
      </w:r>
      <w:proofErr w:type="spellStart"/>
      <w:r>
        <w:rPr>
          <w:spacing w:val="-2"/>
        </w:rPr>
        <w:t>authorised</w:t>
      </w:r>
      <w:proofErr w:type="spellEnd"/>
      <w:r>
        <w:rPr>
          <w:spacing w:val="-2"/>
        </w:rPr>
        <w:t xml:space="preserve"> to confer immunities and privileges.</w:t>
      </w:r>
    </w:p>
    <w:p w:rsidR="00000000" w:rsidRDefault="00021388">
      <w:pPr>
        <w:numPr>
          <w:ilvl w:val="0"/>
          <w:numId w:val="1"/>
        </w:numPr>
        <w:pBdr>
          <w:top w:val="single" w:sz="6" w:space="1" w:color="auto"/>
          <w:left w:val="single" w:sz="6" w:space="1" w:color="auto"/>
          <w:bottom w:val="single" w:sz="4" w:space="1" w:color="auto"/>
          <w:right w:val="single" w:sz="6" w:space="1" w:color="auto"/>
        </w:pBdr>
        <w:suppressAutoHyphens/>
        <w:jc w:val="both"/>
        <w:rPr>
          <w:spacing w:val="-2"/>
        </w:rPr>
      </w:pPr>
      <w:r>
        <w:t>A copy of the signed standard letter will be attached to each PSD and project document requiring such support services.</w:t>
      </w:r>
      <w:r>
        <w:rPr>
          <w:spacing w:val="-3"/>
        </w:rPr>
        <w:t xml:space="preserve"> When doing this, the </w:t>
      </w:r>
      <w:r>
        <w:rPr>
          <w:spacing w:val="-3"/>
        </w:rPr>
        <w:t xml:space="preserve">UNDP country office completes the attachment to the standard letter on </w:t>
      </w:r>
      <w:r>
        <w:t xml:space="preserve">the nature and scope of the services and the responsibilities of the parties involved for that specific PSD/project document. </w:t>
      </w:r>
    </w:p>
    <w:p w:rsidR="00000000" w:rsidRDefault="00021388">
      <w:pPr>
        <w:numPr>
          <w:ilvl w:val="0"/>
          <w:numId w:val="1"/>
        </w:numPr>
        <w:pBdr>
          <w:top w:val="single" w:sz="6" w:space="1" w:color="auto"/>
          <w:left w:val="single" w:sz="6" w:space="1" w:color="auto"/>
          <w:bottom w:val="single" w:sz="4" w:space="1" w:color="auto"/>
          <w:right w:val="single" w:sz="6" w:space="1" w:color="auto"/>
        </w:pBdr>
        <w:suppressAutoHyphens/>
        <w:jc w:val="both"/>
        <w:rPr>
          <w:spacing w:val="-2"/>
        </w:rPr>
      </w:pPr>
      <w:r>
        <w:rPr>
          <w:spacing w:val="-2"/>
        </w:rPr>
        <w:t>The UNDP country office prepares the letter of agreement a</w:t>
      </w:r>
      <w:r>
        <w:rPr>
          <w:spacing w:val="-2"/>
        </w:rPr>
        <w:t xml:space="preserve">nd consults with the regional bureau in case either of the parties wishes to modify the standard text. After signature by the authority </w:t>
      </w:r>
      <w:proofErr w:type="spellStart"/>
      <w:r>
        <w:rPr>
          <w:spacing w:val="-2"/>
        </w:rPr>
        <w:t>authorised</w:t>
      </w:r>
      <w:proofErr w:type="spellEnd"/>
      <w:r>
        <w:rPr>
          <w:spacing w:val="-2"/>
        </w:rPr>
        <w:t xml:space="preserve"> to confer immunities and privileges to UNDP, the government keeps one original and the UNDP country office th</w:t>
      </w:r>
      <w:r>
        <w:rPr>
          <w:spacing w:val="-2"/>
        </w:rPr>
        <w:t xml:space="preserve">e other original. A copy of the agreement should be provided to UNDP headquarters (BOM/OLPS) and </w:t>
      </w:r>
      <w:r>
        <w:rPr>
          <w:spacing w:val="-3"/>
        </w:rPr>
        <w:t>the regional bureau.</w:t>
      </w:r>
    </w:p>
    <w:p w:rsidR="00000000" w:rsidRDefault="00021388">
      <w:pPr>
        <w:tabs>
          <w:tab w:val="left" w:pos="0"/>
          <w:tab w:val="left" w:pos="282"/>
          <w:tab w:val="left" w:pos="1440"/>
          <w:tab w:val="left" w:pos="2880"/>
        </w:tabs>
        <w:suppressAutoHyphens/>
        <w:jc w:val="both"/>
      </w:pPr>
    </w:p>
    <w:p w:rsidR="00000000" w:rsidRDefault="00021388">
      <w:pPr>
        <w:tabs>
          <w:tab w:val="left" w:pos="0"/>
          <w:tab w:val="left" w:pos="282"/>
          <w:tab w:val="left" w:pos="1440"/>
          <w:tab w:val="left" w:pos="2880"/>
        </w:tabs>
        <w:suppressAutoHyphens/>
        <w:jc w:val="both"/>
        <w:rPr>
          <w:spacing w:val="-2"/>
        </w:rPr>
      </w:pPr>
      <w:r>
        <w:rPr>
          <w:spacing w:val="-3"/>
        </w:rPr>
        <w:t xml:space="preserve"> </w:t>
      </w:r>
      <w:r>
        <w:rPr>
          <w:spacing w:val="-2"/>
        </w:rPr>
        <w:t>Dear [</w:t>
      </w:r>
      <w:r>
        <w:rPr>
          <w:i/>
          <w:spacing w:val="-2"/>
        </w:rPr>
        <w:t>name of government official</w:t>
      </w:r>
      <w:r>
        <w:rPr>
          <w:spacing w:val="-2"/>
        </w:rPr>
        <w:t xml:space="preserve">], </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1.</w:t>
      </w:r>
      <w:r>
        <w:rPr>
          <w:spacing w:val="-2"/>
        </w:rPr>
        <w:tab/>
        <w:t>Reference is made to consultations between officials of the Government of</w:t>
      </w:r>
      <w:r>
        <w:rPr>
          <w:i/>
          <w:spacing w:val="-2"/>
        </w:rPr>
        <w:t xml:space="preserve"> [the name of </w:t>
      </w:r>
      <w:proofErr w:type="spellStart"/>
      <w:r>
        <w:rPr>
          <w:i/>
          <w:spacing w:val="-2"/>
        </w:rPr>
        <w:t>programm</w:t>
      </w:r>
      <w:r>
        <w:rPr>
          <w:i/>
          <w:spacing w:val="-2"/>
        </w:rPr>
        <w:t>e</w:t>
      </w:r>
      <w:proofErr w:type="spellEnd"/>
      <w:r>
        <w:rPr>
          <w:i/>
          <w:spacing w:val="-2"/>
        </w:rPr>
        <w:t xml:space="preserve"> country]</w:t>
      </w:r>
      <w:r>
        <w:rPr>
          <w:spacing w:val="-2"/>
        </w:rPr>
        <w:t xml:space="preserve"> (hereinafter referred to as “the Government”) and officials of UNDP with respect to the provision of support services by the UNDP country office for nationally managed </w:t>
      </w:r>
      <w:proofErr w:type="spellStart"/>
      <w:r>
        <w:rPr>
          <w:spacing w:val="-2"/>
        </w:rPr>
        <w:t>programmes</w:t>
      </w:r>
      <w:proofErr w:type="spellEnd"/>
      <w:r>
        <w:rPr>
          <w:spacing w:val="-2"/>
        </w:rPr>
        <w:t xml:space="preserve"> and projects.  UNDP and the Government hereby agree that the UNDP </w:t>
      </w:r>
      <w:r>
        <w:rPr>
          <w:spacing w:val="-2"/>
        </w:rPr>
        <w:t xml:space="preserve">country office may provide such support services at the request of the Government through its institution designated in the relevant </w:t>
      </w:r>
      <w:proofErr w:type="spellStart"/>
      <w:r>
        <w:rPr>
          <w:spacing w:val="-2"/>
        </w:rPr>
        <w:t>programme</w:t>
      </w:r>
      <w:proofErr w:type="spellEnd"/>
      <w:r>
        <w:rPr>
          <w:spacing w:val="-2"/>
        </w:rPr>
        <w:t xml:space="preserve"> support document or project document, as described below.</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2.</w:t>
      </w:r>
      <w:r>
        <w:rPr>
          <w:spacing w:val="-2"/>
        </w:rPr>
        <w:tab/>
        <w:t>The UNDP country office may provide support service</w:t>
      </w:r>
      <w:r>
        <w:rPr>
          <w:spacing w:val="-2"/>
        </w:rPr>
        <w:t xml:space="preserve">s for assistance with reporting requirements and direct payment.  In providing such support services, the UNDP country office shall ensure that the capacity of the Government-designated institution is strengthened to enable it to carry out such activities </w:t>
      </w:r>
      <w:r>
        <w:rPr>
          <w:spacing w:val="-2"/>
        </w:rPr>
        <w:t>directly.  The costs incurred by the UNDP country office in providing such support services shall be recovered from the administrative budget of the office.</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3.</w:t>
      </w:r>
      <w:r>
        <w:rPr>
          <w:spacing w:val="-2"/>
        </w:rPr>
        <w:tab/>
        <w:t>The UNDP country office may provide, at the request of the designated institution, the followin</w:t>
      </w:r>
      <w:r>
        <w:rPr>
          <w:spacing w:val="-2"/>
        </w:rPr>
        <w:t xml:space="preserve">g support services for the activities of the </w:t>
      </w:r>
      <w:proofErr w:type="spellStart"/>
      <w:r>
        <w:rPr>
          <w:spacing w:val="-2"/>
        </w:rPr>
        <w:t>programme</w:t>
      </w:r>
      <w:proofErr w:type="spellEnd"/>
      <w:r>
        <w:rPr>
          <w:spacing w:val="-2"/>
        </w:rPr>
        <w:t>/project:</w:t>
      </w:r>
    </w:p>
    <w:p w:rsidR="00000000" w:rsidRDefault="00021388">
      <w:pPr>
        <w:numPr>
          <w:ilvl w:val="12"/>
          <w:numId w:val="0"/>
        </w:numPr>
        <w:suppressAutoHyphens/>
        <w:ind w:left="720" w:hanging="720"/>
        <w:jc w:val="both"/>
        <w:rPr>
          <w:spacing w:val="-2"/>
        </w:rPr>
      </w:pPr>
      <w:r>
        <w:rPr>
          <w:spacing w:val="-2"/>
        </w:rPr>
        <w:t>(a)</w:t>
      </w:r>
      <w:r>
        <w:rPr>
          <w:spacing w:val="-2"/>
        </w:rPr>
        <w:tab/>
        <w:t>Identification and/or</w:t>
      </w:r>
      <w:r>
        <w:rPr>
          <w:b/>
          <w:spacing w:val="-2"/>
        </w:rPr>
        <w:t xml:space="preserve"> </w:t>
      </w:r>
      <w:r>
        <w:rPr>
          <w:spacing w:val="-2"/>
        </w:rPr>
        <w:t xml:space="preserve">recruitment of project and </w:t>
      </w:r>
      <w:proofErr w:type="spellStart"/>
      <w:r>
        <w:rPr>
          <w:spacing w:val="-2"/>
        </w:rPr>
        <w:t>programme</w:t>
      </w:r>
      <w:proofErr w:type="spellEnd"/>
      <w:r>
        <w:rPr>
          <w:spacing w:val="-2"/>
        </w:rPr>
        <w:t xml:space="preserve"> personnel;</w:t>
      </w:r>
    </w:p>
    <w:p w:rsidR="00000000" w:rsidRDefault="00021388">
      <w:pPr>
        <w:numPr>
          <w:ilvl w:val="12"/>
          <w:numId w:val="0"/>
        </w:numPr>
        <w:tabs>
          <w:tab w:val="left" w:pos="0"/>
          <w:tab w:val="left" w:pos="720"/>
        </w:tabs>
        <w:suppressAutoHyphens/>
        <w:ind w:left="720" w:hanging="720"/>
        <w:jc w:val="both"/>
        <w:rPr>
          <w:spacing w:val="-2"/>
        </w:rPr>
      </w:pPr>
      <w:r>
        <w:rPr>
          <w:spacing w:val="-2"/>
        </w:rPr>
        <w:t>(b)</w:t>
      </w:r>
      <w:r>
        <w:rPr>
          <w:spacing w:val="-2"/>
        </w:rPr>
        <w:tab/>
        <w:t>Identification and facilitation of training activities;</w:t>
      </w:r>
    </w:p>
    <w:p w:rsidR="00000000" w:rsidRDefault="00021388">
      <w:pPr>
        <w:numPr>
          <w:ilvl w:val="0"/>
          <w:numId w:val="2"/>
        </w:numPr>
        <w:tabs>
          <w:tab w:val="left" w:pos="720"/>
        </w:tabs>
        <w:suppressAutoHyphens/>
        <w:jc w:val="both"/>
        <w:rPr>
          <w:spacing w:val="-2"/>
        </w:rPr>
      </w:pPr>
      <w:r>
        <w:rPr>
          <w:spacing w:val="-2"/>
        </w:rPr>
        <w:t>Procurement of goods and services;</w:t>
      </w:r>
    </w:p>
    <w:p w:rsidR="00000000" w:rsidRDefault="00021388">
      <w:pPr>
        <w:tabs>
          <w:tab w:val="left" w:pos="720"/>
        </w:tabs>
        <w:suppressAutoHyphens/>
        <w:jc w:val="both"/>
        <w:rPr>
          <w:spacing w:val="-2"/>
        </w:rPr>
      </w:pPr>
    </w:p>
    <w:p w:rsidR="00000000" w:rsidRDefault="00021388">
      <w:pPr>
        <w:numPr>
          <w:ilvl w:val="12"/>
          <w:numId w:val="0"/>
        </w:numPr>
        <w:tabs>
          <w:tab w:val="left" w:pos="0"/>
        </w:tabs>
        <w:suppressAutoHyphens/>
        <w:jc w:val="both"/>
        <w:rPr>
          <w:spacing w:val="-2"/>
        </w:rPr>
        <w:sectPr w:rsidR="00000000">
          <w:pgSz w:w="12240" w:h="15840" w:code="1"/>
          <w:pgMar w:top="1152" w:right="1008" w:bottom="1152" w:left="1008" w:header="720" w:footer="720" w:gutter="0"/>
          <w:cols w:space="720"/>
          <w:docGrid w:linePitch="326"/>
        </w:sectPr>
      </w:pPr>
      <w:r>
        <w:rPr>
          <w:spacing w:val="-2"/>
        </w:rPr>
        <w:t>4.</w:t>
      </w:r>
      <w:r>
        <w:rPr>
          <w:spacing w:val="-2"/>
        </w:rPr>
        <w:tab/>
        <w:t xml:space="preserve">The procurement of </w:t>
      </w:r>
      <w:r>
        <w:rPr>
          <w:spacing w:val="-2"/>
        </w:rPr>
        <w:t xml:space="preserve">goods and services and the recruitment of project and </w:t>
      </w:r>
      <w:proofErr w:type="spellStart"/>
      <w:r>
        <w:rPr>
          <w:spacing w:val="-2"/>
        </w:rPr>
        <w:t>programme</w:t>
      </w:r>
      <w:proofErr w:type="spellEnd"/>
      <w:r>
        <w:rPr>
          <w:spacing w:val="-2"/>
        </w:rPr>
        <w:t xml:space="preserve"> personnel by the UNDP country office shall be in accordance with the UNDP regulations, rules, policies and procedures.  Support services described in paragraph 3 above shall be detailed in an </w:t>
      </w:r>
      <w:r>
        <w:rPr>
          <w:spacing w:val="-2"/>
        </w:rPr>
        <w:t xml:space="preserve">annex to the </w:t>
      </w:r>
      <w:proofErr w:type="spellStart"/>
      <w:r>
        <w:rPr>
          <w:spacing w:val="-2"/>
        </w:rPr>
        <w:t>programme</w:t>
      </w:r>
      <w:proofErr w:type="spellEnd"/>
      <w:r>
        <w:rPr>
          <w:spacing w:val="-2"/>
        </w:rPr>
        <w:t xml:space="preserve"> support document or project document, in the form provided in the Attachment hereto.  If the requirements for support services by the country office change during the life of a </w:t>
      </w:r>
      <w:proofErr w:type="spellStart"/>
      <w:r>
        <w:rPr>
          <w:spacing w:val="-2"/>
        </w:rPr>
        <w:t>programme</w:t>
      </w:r>
      <w:proofErr w:type="spellEnd"/>
      <w:r>
        <w:rPr>
          <w:spacing w:val="-2"/>
        </w:rPr>
        <w:t xml:space="preserve"> or project, </w:t>
      </w:r>
    </w:p>
    <w:p w:rsidR="00000000" w:rsidRDefault="00021388">
      <w:pPr>
        <w:numPr>
          <w:ilvl w:val="12"/>
          <w:numId w:val="0"/>
        </w:numPr>
        <w:tabs>
          <w:tab w:val="left" w:pos="0"/>
        </w:tabs>
        <w:suppressAutoHyphens/>
        <w:jc w:val="both"/>
        <w:rPr>
          <w:spacing w:val="-2"/>
        </w:rPr>
      </w:pPr>
      <w:r>
        <w:rPr>
          <w:spacing w:val="-2"/>
        </w:rPr>
        <w:lastRenderedPageBreak/>
        <w:t xml:space="preserve">the annex to the </w:t>
      </w:r>
      <w:proofErr w:type="spellStart"/>
      <w:r>
        <w:rPr>
          <w:spacing w:val="-2"/>
        </w:rPr>
        <w:t>programme</w:t>
      </w:r>
      <w:proofErr w:type="spellEnd"/>
      <w:r>
        <w:rPr>
          <w:spacing w:val="-2"/>
        </w:rPr>
        <w:t xml:space="preserve"> suppor</w:t>
      </w:r>
      <w:r>
        <w:rPr>
          <w:spacing w:val="-2"/>
        </w:rPr>
        <w:t xml:space="preserve">t document or project document is revised with the mutual agreement of the UNDP resident representative and the designated institution.  </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5.</w:t>
      </w:r>
      <w:r>
        <w:rPr>
          <w:spacing w:val="-2"/>
        </w:rPr>
        <w:tab/>
        <w:t>The relevant provisions of the [</w:t>
      </w:r>
      <w:r>
        <w:rPr>
          <w:i/>
          <w:spacing w:val="-2"/>
        </w:rPr>
        <w:t>Insert title and date of the UNDP standard basic assistance agreement with</w:t>
      </w:r>
      <w:r>
        <w:rPr>
          <w:spacing w:val="-2"/>
        </w:rPr>
        <w:t xml:space="preserve"> </w:t>
      </w:r>
      <w:r>
        <w:rPr>
          <w:i/>
          <w:spacing w:val="-2"/>
        </w:rPr>
        <w:t>the Gov</w:t>
      </w:r>
      <w:r>
        <w:rPr>
          <w:i/>
          <w:spacing w:val="-2"/>
        </w:rPr>
        <w:t>ernment</w:t>
      </w:r>
      <w:r>
        <w:rPr>
          <w:spacing w:val="-2"/>
        </w:rPr>
        <w:t xml:space="preserve">] (the “SBAA”), including the provisions on liability and privileges and immunities, shall apply to the provision of such support services. The Government shall retain overall responsibility for the nationally managed </w:t>
      </w:r>
      <w:proofErr w:type="spellStart"/>
      <w:r>
        <w:rPr>
          <w:spacing w:val="-2"/>
        </w:rPr>
        <w:t>programme</w:t>
      </w:r>
      <w:proofErr w:type="spellEnd"/>
      <w:r>
        <w:rPr>
          <w:spacing w:val="-2"/>
        </w:rPr>
        <w:t xml:space="preserve"> or project through it</w:t>
      </w:r>
      <w:r>
        <w:rPr>
          <w:spacing w:val="-2"/>
        </w:rPr>
        <w:t xml:space="preserve">s designated institution.  The responsibility of the UNDP country office for the provision of the support services described herein shall be limited to the provision of such support services detailed in the annex to the </w:t>
      </w:r>
      <w:proofErr w:type="spellStart"/>
      <w:r>
        <w:rPr>
          <w:spacing w:val="-2"/>
        </w:rPr>
        <w:t>programme</w:t>
      </w:r>
      <w:proofErr w:type="spellEnd"/>
      <w:r>
        <w:rPr>
          <w:spacing w:val="-2"/>
        </w:rPr>
        <w:t xml:space="preserve"> support document or projec</w:t>
      </w:r>
      <w:r>
        <w:rPr>
          <w:spacing w:val="-2"/>
        </w:rPr>
        <w:t>t document.</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6.</w:t>
      </w:r>
      <w:r>
        <w:rPr>
          <w:spacing w:val="-2"/>
        </w:rPr>
        <w:tab/>
        <w:t>Any claim or dispute arising under or in connection with the provision of support services by the UNDP country office in accordance with this letter shall be handled pursuant to the relevant provisions of the SBAA.</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7.</w:t>
      </w:r>
      <w:r>
        <w:rPr>
          <w:spacing w:val="-2"/>
        </w:rPr>
        <w:tab/>
        <w:t>The manner and method</w:t>
      </w:r>
      <w:r>
        <w:rPr>
          <w:spacing w:val="-2"/>
        </w:rPr>
        <w:t xml:space="preserve"> of cost-recovery by the UNDP country office in providing the support services described in paragraph 3 above shall be specified in the annex to the </w:t>
      </w:r>
      <w:proofErr w:type="spellStart"/>
      <w:r>
        <w:rPr>
          <w:spacing w:val="-2"/>
        </w:rPr>
        <w:t>programme</w:t>
      </w:r>
      <w:proofErr w:type="spellEnd"/>
      <w:r>
        <w:rPr>
          <w:spacing w:val="-2"/>
        </w:rPr>
        <w:t xml:space="preserve"> support document or project document.</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8.</w:t>
      </w:r>
      <w:r>
        <w:rPr>
          <w:spacing w:val="-2"/>
        </w:rPr>
        <w:tab/>
        <w:t>The UNDP country office shall submit progress reports o</w:t>
      </w:r>
      <w:r>
        <w:rPr>
          <w:spacing w:val="-2"/>
        </w:rPr>
        <w:t>n the support services provided and shall report on the costs reimbursed in providing such services, as may be required.</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9.</w:t>
      </w:r>
      <w:r>
        <w:rPr>
          <w:spacing w:val="-2"/>
        </w:rPr>
        <w:tab/>
        <w:t>Any modification of the present arrangements shall be effected by mutual written agreement of the parties hereto.</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10.</w:t>
      </w:r>
      <w:r>
        <w:rPr>
          <w:spacing w:val="-2"/>
        </w:rPr>
        <w:tab/>
        <w:t>If you are i</w:t>
      </w:r>
      <w:r>
        <w:rPr>
          <w:spacing w:val="-2"/>
        </w:rPr>
        <w:t>n agreement with the provisions set forth above, please sign and return to this office two signed copies of this letter.  Upon your signature, this letter shall constitute an agreement between your Government and UNDP on the terms and conditions for the pr</w:t>
      </w:r>
      <w:r>
        <w:rPr>
          <w:spacing w:val="-2"/>
        </w:rPr>
        <w:t xml:space="preserve">ovision of support services by the UNDP country office for nationally managed </w:t>
      </w:r>
      <w:proofErr w:type="spellStart"/>
      <w:r>
        <w:rPr>
          <w:spacing w:val="-2"/>
        </w:rPr>
        <w:t>programmes</w:t>
      </w:r>
      <w:proofErr w:type="spellEnd"/>
      <w:r>
        <w:rPr>
          <w:spacing w:val="-2"/>
        </w:rPr>
        <w:t xml:space="preserve"> and projects.</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center"/>
      </w:pPr>
      <w:r>
        <w:t>Yours sincerely,</w:t>
      </w:r>
    </w:p>
    <w:p w:rsidR="00000000" w:rsidRDefault="00021388">
      <w:pPr>
        <w:numPr>
          <w:ilvl w:val="12"/>
          <w:numId w:val="0"/>
        </w:numPr>
        <w:tabs>
          <w:tab w:val="left" w:pos="0"/>
        </w:tabs>
        <w:suppressAutoHyphens/>
        <w:jc w:val="center"/>
      </w:pPr>
    </w:p>
    <w:p w:rsidR="00000000" w:rsidRDefault="00021388">
      <w:pPr>
        <w:numPr>
          <w:ilvl w:val="12"/>
          <w:numId w:val="0"/>
        </w:numPr>
        <w:tabs>
          <w:tab w:val="left" w:pos="0"/>
        </w:tabs>
        <w:suppressAutoHyphens/>
        <w:jc w:val="center"/>
      </w:pPr>
    </w:p>
    <w:p w:rsidR="00000000" w:rsidRDefault="00021388">
      <w:pPr>
        <w:numPr>
          <w:ilvl w:val="12"/>
          <w:numId w:val="0"/>
        </w:numPr>
        <w:tabs>
          <w:tab w:val="left" w:pos="0"/>
        </w:tabs>
        <w:suppressAutoHyphens/>
        <w:jc w:val="center"/>
      </w:pPr>
    </w:p>
    <w:p w:rsidR="00000000" w:rsidRDefault="00021388">
      <w:pPr>
        <w:numPr>
          <w:ilvl w:val="12"/>
          <w:numId w:val="0"/>
        </w:numPr>
        <w:tabs>
          <w:tab w:val="left" w:pos="0"/>
        </w:tabs>
        <w:suppressAutoHyphens/>
        <w:jc w:val="center"/>
      </w:pPr>
      <w:r>
        <w:t>________________________</w:t>
      </w:r>
    </w:p>
    <w:p w:rsidR="00000000" w:rsidRDefault="00021388">
      <w:pPr>
        <w:numPr>
          <w:ilvl w:val="12"/>
          <w:numId w:val="0"/>
        </w:numPr>
        <w:tabs>
          <w:tab w:val="left" w:pos="0"/>
        </w:tabs>
        <w:suppressAutoHyphens/>
        <w:jc w:val="center"/>
      </w:pPr>
      <w:r>
        <w:t>Signed on behalf of UNDP</w:t>
      </w:r>
    </w:p>
    <w:p w:rsidR="00000000" w:rsidRDefault="00021388">
      <w:pPr>
        <w:numPr>
          <w:ilvl w:val="12"/>
          <w:numId w:val="0"/>
        </w:numPr>
        <w:tabs>
          <w:tab w:val="left" w:pos="0"/>
        </w:tabs>
        <w:suppressAutoHyphens/>
        <w:jc w:val="center"/>
        <w:rPr>
          <w:i/>
        </w:rPr>
      </w:pPr>
      <w:r>
        <w:rPr>
          <w:i/>
        </w:rPr>
        <w:t>[Name]</w:t>
      </w:r>
    </w:p>
    <w:p w:rsidR="00000000" w:rsidRDefault="00021388">
      <w:pPr>
        <w:numPr>
          <w:ilvl w:val="12"/>
          <w:numId w:val="0"/>
        </w:numPr>
        <w:tabs>
          <w:tab w:val="left" w:pos="0"/>
        </w:tabs>
        <w:suppressAutoHyphens/>
        <w:jc w:val="center"/>
      </w:pPr>
      <w:r>
        <w:rPr>
          <w:i/>
        </w:rPr>
        <w:t>[Title: Resident Representative</w:t>
      </w:r>
      <w:r>
        <w:t>]</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_____________________</w:t>
      </w:r>
    </w:p>
    <w:p w:rsidR="00000000" w:rsidRDefault="00021388">
      <w:pPr>
        <w:numPr>
          <w:ilvl w:val="12"/>
          <w:numId w:val="0"/>
        </w:numPr>
        <w:tabs>
          <w:tab w:val="left" w:pos="0"/>
        </w:tabs>
        <w:suppressAutoHyphens/>
        <w:jc w:val="both"/>
        <w:rPr>
          <w:spacing w:val="-2"/>
        </w:rPr>
      </w:pPr>
      <w:r>
        <w:rPr>
          <w:spacing w:val="-2"/>
        </w:rPr>
        <w:t>For the Government</w:t>
      </w:r>
    </w:p>
    <w:p w:rsidR="00000000" w:rsidRDefault="00021388">
      <w:pPr>
        <w:numPr>
          <w:ilvl w:val="12"/>
          <w:numId w:val="0"/>
        </w:numPr>
        <w:tabs>
          <w:tab w:val="left" w:pos="0"/>
        </w:tabs>
        <w:suppressAutoHyphens/>
        <w:jc w:val="both"/>
        <w:rPr>
          <w:spacing w:val="-2"/>
        </w:rPr>
      </w:pPr>
      <w:r>
        <w:rPr>
          <w:spacing w:val="-2"/>
        </w:rPr>
        <w:t>[</w:t>
      </w:r>
      <w:r>
        <w:rPr>
          <w:i/>
          <w:spacing w:val="-2"/>
        </w:rPr>
        <w:t>Name/title</w:t>
      </w:r>
      <w:r>
        <w:rPr>
          <w:spacing w:val="-2"/>
        </w:rPr>
        <w:t>]</w:t>
      </w:r>
    </w:p>
    <w:p w:rsidR="00000000" w:rsidRDefault="00021388">
      <w:pPr>
        <w:suppressAutoHyphens/>
        <w:jc w:val="both"/>
        <w:rPr>
          <w:spacing w:val="-2"/>
        </w:rPr>
      </w:pPr>
      <w:r>
        <w:rPr>
          <w:spacing w:val="-2"/>
        </w:rPr>
        <w:t>[</w:t>
      </w:r>
      <w:r>
        <w:rPr>
          <w:i/>
          <w:spacing w:val="-2"/>
        </w:rPr>
        <w:t>Date</w:t>
      </w:r>
      <w:r>
        <w:rPr>
          <w:spacing w:val="-2"/>
        </w:rPr>
        <w:t>]</w:t>
      </w:r>
    </w:p>
    <w:p w:rsidR="00000000" w:rsidRDefault="00021388">
      <w:pPr>
        <w:tabs>
          <w:tab w:val="left" w:pos="0"/>
          <w:tab w:val="left" w:pos="360"/>
          <w:tab w:val="left" w:pos="720"/>
        </w:tabs>
        <w:suppressAutoHyphens/>
        <w:jc w:val="both"/>
        <w:rPr>
          <w:spacing w:val="-2"/>
        </w:rPr>
      </w:pPr>
    </w:p>
    <w:p w:rsidR="00000000" w:rsidRDefault="00021388">
      <w:pPr>
        <w:tabs>
          <w:tab w:val="left" w:pos="0"/>
          <w:tab w:val="left" w:pos="360"/>
          <w:tab w:val="left" w:pos="720"/>
        </w:tabs>
        <w:suppressAutoHyphens/>
        <w:jc w:val="both"/>
        <w:rPr>
          <w:spacing w:val="-2"/>
        </w:rPr>
        <w:sectPr w:rsidR="00000000">
          <w:pgSz w:w="12240" w:h="15840" w:code="1"/>
          <w:pgMar w:top="1793" w:right="1008" w:bottom="1152" w:left="1008" w:header="720" w:footer="720" w:gutter="0"/>
          <w:cols w:space="720"/>
          <w:docGrid w:linePitch="326"/>
        </w:sectPr>
      </w:pPr>
    </w:p>
    <w:p w:rsidR="00000000" w:rsidRDefault="00021388">
      <w:pPr>
        <w:keepNext/>
        <w:keepLines/>
        <w:numPr>
          <w:ilvl w:val="12"/>
          <w:numId w:val="0"/>
        </w:numPr>
        <w:tabs>
          <w:tab w:val="left" w:pos="0"/>
        </w:tabs>
        <w:suppressAutoHyphens/>
        <w:jc w:val="center"/>
      </w:pPr>
      <w:r>
        <w:rPr>
          <w:u w:val="single"/>
        </w:rPr>
        <w:lastRenderedPageBreak/>
        <w:fldChar w:fldCharType="begin"/>
      </w:r>
      <w:r>
        <w:rPr>
          <w:u w:val="single"/>
        </w:rPr>
        <w:instrText xml:space="preserve">PRIVATE </w:instrText>
      </w:r>
      <w:r>
        <w:rPr>
          <w:u w:val="single"/>
        </w:rPr>
      </w:r>
      <w:r>
        <w:rPr>
          <w:u w:val="single"/>
        </w:rPr>
        <w:fldChar w:fldCharType="end"/>
      </w:r>
      <w:r>
        <w:rPr>
          <w:u w:val="single"/>
        </w:rPr>
        <w:t xml:space="preserve">Attachment </w:t>
      </w:r>
      <w:r>
        <w:rPr>
          <w:u w:val="single"/>
        </w:rPr>
        <w:fldChar w:fldCharType="begin"/>
      </w:r>
      <w:r>
        <w:rPr>
          <w:u w:val="single"/>
        </w:rPr>
        <w:instrText>tc "Attachment "</w:instrText>
      </w:r>
      <w:r>
        <w:rPr>
          <w:u w:val="single"/>
        </w:rPr>
        <w:fldChar w:fldCharType="end"/>
      </w:r>
    </w:p>
    <w:p w:rsidR="00000000" w:rsidRDefault="00021388">
      <w:pPr>
        <w:numPr>
          <w:ilvl w:val="12"/>
          <w:numId w:val="0"/>
        </w:numPr>
        <w:tabs>
          <w:tab w:val="left" w:pos="0"/>
        </w:tabs>
        <w:suppressAutoHyphens/>
        <w:jc w:val="center"/>
      </w:pPr>
    </w:p>
    <w:p w:rsidR="00000000" w:rsidRDefault="00021388">
      <w:pPr>
        <w:pStyle w:val="Heading1"/>
        <w:numPr>
          <w:ilvl w:val="12"/>
          <w:numId w:val="0"/>
        </w:numPr>
        <w:jc w:val="center"/>
        <w:rPr>
          <w:sz w:val="22"/>
        </w:rPr>
      </w:pPr>
      <w:r>
        <w:rPr>
          <w:sz w:val="22"/>
        </w:rPr>
        <w:t>DESCRIPTION OF UNDP COUNTRY OFFICE SUPPORT SERVICES</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1.</w:t>
      </w:r>
      <w:r>
        <w:rPr>
          <w:spacing w:val="-2"/>
        </w:rPr>
        <w:tab/>
        <w:t>Reference is made to consultations between [</w:t>
      </w:r>
      <w:r>
        <w:rPr>
          <w:i/>
          <w:spacing w:val="-2"/>
        </w:rPr>
        <w:t>insert name of Designated institution</w:t>
      </w:r>
      <w:r>
        <w:rPr>
          <w:spacing w:val="-2"/>
        </w:rPr>
        <w:t>], the institution designated by the Government of [</w:t>
      </w:r>
      <w:r>
        <w:rPr>
          <w:i/>
          <w:spacing w:val="-2"/>
        </w:rPr>
        <w:t>nam</w:t>
      </w:r>
      <w:r>
        <w:rPr>
          <w:i/>
          <w:spacing w:val="-2"/>
        </w:rPr>
        <w:t xml:space="preserve">e of </w:t>
      </w:r>
      <w:proofErr w:type="spellStart"/>
      <w:r>
        <w:rPr>
          <w:i/>
          <w:spacing w:val="-2"/>
        </w:rPr>
        <w:t>programme</w:t>
      </w:r>
      <w:proofErr w:type="spellEnd"/>
      <w:r>
        <w:rPr>
          <w:i/>
          <w:spacing w:val="-2"/>
        </w:rPr>
        <w:t xml:space="preserve"> country</w:t>
      </w:r>
      <w:r>
        <w:rPr>
          <w:spacing w:val="-2"/>
        </w:rPr>
        <w:t xml:space="preserve">] and officials of UNDP with respect to the provision of support services by the UNDP country office for the nationally managed </w:t>
      </w:r>
      <w:proofErr w:type="spellStart"/>
      <w:r>
        <w:rPr>
          <w:spacing w:val="-2"/>
        </w:rPr>
        <w:t>programme</w:t>
      </w:r>
      <w:proofErr w:type="spellEnd"/>
      <w:r>
        <w:rPr>
          <w:spacing w:val="-2"/>
        </w:rPr>
        <w:t xml:space="preserve"> or project [</w:t>
      </w:r>
      <w:r>
        <w:rPr>
          <w:i/>
          <w:spacing w:val="-2"/>
        </w:rPr>
        <w:t xml:space="preserve">insert </w:t>
      </w:r>
      <w:proofErr w:type="spellStart"/>
      <w:r>
        <w:rPr>
          <w:i/>
          <w:spacing w:val="-2"/>
        </w:rPr>
        <w:t>programme</w:t>
      </w:r>
      <w:proofErr w:type="spellEnd"/>
      <w:r>
        <w:rPr>
          <w:i/>
          <w:spacing w:val="-2"/>
        </w:rPr>
        <w:t xml:space="preserve"> or project number and title</w:t>
      </w:r>
      <w:r>
        <w:rPr>
          <w:spacing w:val="-2"/>
        </w:rPr>
        <w:t xml:space="preserve">], “the </w:t>
      </w:r>
      <w:proofErr w:type="spellStart"/>
      <w:r>
        <w:rPr>
          <w:spacing w:val="-2"/>
        </w:rPr>
        <w:t>Programme</w:t>
      </w:r>
      <w:proofErr w:type="spellEnd"/>
      <w:r>
        <w:rPr>
          <w:spacing w:val="-2"/>
        </w:rPr>
        <w:t>” [</w:t>
      </w:r>
      <w:r>
        <w:rPr>
          <w:i/>
          <w:spacing w:val="-2"/>
        </w:rPr>
        <w:t>or “the Project</w:t>
      </w:r>
      <w:r>
        <w:rPr>
          <w:spacing w:val="-2"/>
        </w:rPr>
        <w:t>”].</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2.</w:t>
      </w:r>
      <w:r>
        <w:rPr>
          <w:spacing w:val="-2"/>
        </w:rPr>
        <w:tab/>
        <w:t>In accordance with the provisions of the letter of agreement signed on [</w:t>
      </w:r>
      <w:r>
        <w:rPr>
          <w:i/>
          <w:spacing w:val="-2"/>
        </w:rPr>
        <w:t>insert date of agreement</w:t>
      </w:r>
      <w:r>
        <w:rPr>
          <w:spacing w:val="-2"/>
        </w:rPr>
        <w:t xml:space="preserve">] and the </w:t>
      </w:r>
      <w:proofErr w:type="spellStart"/>
      <w:r>
        <w:rPr>
          <w:spacing w:val="-2"/>
        </w:rPr>
        <w:t>programme</w:t>
      </w:r>
      <w:proofErr w:type="spellEnd"/>
      <w:r>
        <w:rPr>
          <w:spacing w:val="-2"/>
        </w:rPr>
        <w:t xml:space="preserve"> support document [</w:t>
      </w:r>
      <w:r>
        <w:rPr>
          <w:i/>
          <w:spacing w:val="-2"/>
        </w:rPr>
        <w:t>or project</w:t>
      </w:r>
      <w:r>
        <w:rPr>
          <w:spacing w:val="-2"/>
        </w:rPr>
        <w:t xml:space="preserve"> </w:t>
      </w:r>
      <w:r>
        <w:rPr>
          <w:i/>
          <w:spacing w:val="-2"/>
        </w:rPr>
        <w:t>document</w:t>
      </w:r>
      <w:r>
        <w:rPr>
          <w:spacing w:val="-2"/>
        </w:rPr>
        <w:t xml:space="preserve">], the UNDP country office shall provide support services for the </w:t>
      </w:r>
      <w:proofErr w:type="spellStart"/>
      <w:r>
        <w:rPr>
          <w:spacing w:val="-2"/>
        </w:rPr>
        <w:t>Programme</w:t>
      </w:r>
      <w:proofErr w:type="spellEnd"/>
      <w:r>
        <w:rPr>
          <w:spacing w:val="-2"/>
        </w:rPr>
        <w:t xml:space="preserve"> [</w:t>
      </w:r>
      <w:r>
        <w:rPr>
          <w:i/>
          <w:spacing w:val="-2"/>
        </w:rPr>
        <w:t>or</w:t>
      </w:r>
      <w:r>
        <w:rPr>
          <w:spacing w:val="-2"/>
        </w:rPr>
        <w:t xml:space="preserve"> </w:t>
      </w:r>
      <w:r>
        <w:rPr>
          <w:i/>
          <w:spacing w:val="-2"/>
        </w:rPr>
        <w:t>Project</w:t>
      </w:r>
      <w:r>
        <w:rPr>
          <w:spacing w:val="-2"/>
        </w:rPr>
        <w:t>] as describ</w:t>
      </w:r>
      <w:r>
        <w:rPr>
          <w:spacing w:val="-2"/>
        </w:rPr>
        <w:t>ed below.</w:t>
      </w: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r>
        <w:rPr>
          <w:spacing w:val="-2"/>
        </w:rPr>
        <w:t>3.</w:t>
      </w:r>
      <w:r>
        <w:rPr>
          <w:spacing w:val="-2"/>
        </w:rPr>
        <w:tab/>
        <w:t>Support services to be provided:</w:t>
      </w:r>
    </w:p>
    <w:tbl>
      <w:tblPr>
        <w:tblW w:w="0" w:type="auto"/>
        <w:tblInd w:w="108" w:type="dxa"/>
        <w:tblLayout w:type="fixed"/>
        <w:tblLook w:val="0000" w:firstRow="0" w:lastRow="0" w:firstColumn="0" w:lastColumn="0" w:noHBand="0" w:noVBand="0"/>
      </w:tblPr>
      <w:tblGrid>
        <w:gridCol w:w="1980"/>
        <w:gridCol w:w="2615"/>
        <w:gridCol w:w="2615"/>
        <w:gridCol w:w="3050"/>
      </w:tblGrid>
      <w:tr w:rsidR="00000000">
        <w:tblPrEx>
          <w:tblCellMar>
            <w:top w:w="0" w:type="dxa"/>
            <w:bottom w:w="0" w:type="dxa"/>
          </w:tblCellMar>
        </w:tblPrEx>
        <w:tc>
          <w:tcPr>
            <w:tcW w:w="1980"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rPr>
                <w:spacing w:val="-2"/>
                <w:lang w:val="fr-FR"/>
              </w:rPr>
            </w:pPr>
            <w:r>
              <w:rPr>
                <w:spacing w:val="-2"/>
              </w:rPr>
              <w:fldChar w:fldCharType="begin"/>
            </w:r>
            <w:r>
              <w:rPr>
                <w:spacing w:val="-2"/>
                <w:lang w:val="fr-FR"/>
              </w:rPr>
              <w:instrText xml:space="preserve">PRIVATE </w:instrText>
            </w:r>
            <w:r>
              <w:rPr>
                <w:spacing w:val="-2"/>
              </w:rPr>
            </w:r>
            <w:r>
              <w:rPr>
                <w:spacing w:val="-2"/>
              </w:rPr>
              <w:fldChar w:fldCharType="end"/>
            </w:r>
            <w:r>
              <w:rPr>
                <w:spacing w:val="-2"/>
                <w:lang w:val="fr-FR"/>
              </w:rPr>
              <w:t>Support services</w:t>
            </w:r>
          </w:p>
          <w:p w:rsidR="00000000" w:rsidRDefault="00021388">
            <w:pPr>
              <w:numPr>
                <w:ilvl w:val="12"/>
                <w:numId w:val="0"/>
              </w:numPr>
              <w:tabs>
                <w:tab w:val="left" w:pos="0"/>
              </w:tabs>
              <w:suppressAutoHyphens/>
              <w:rPr>
                <w:spacing w:val="-2"/>
                <w:lang w:val="fr-FR"/>
              </w:rPr>
            </w:pPr>
            <w:r>
              <w:rPr>
                <w:spacing w:val="-2"/>
                <w:lang w:val="fr-FR"/>
              </w:rPr>
              <w:t>(insert description)</w:t>
            </w:r>
          </w:p>
        </w:tc>
        <w:tc>
          <w:tcPr>
            <w:tcW w:w="2615"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rPr>
                <w:spacing w:val="-2"/>
              </w:rPr>
            </w:pPr>
            <w:r>
              <w:rPr>
                <w:spacing w:val="-2"/>
              </w:rPr>
              <w:t>Schedule for the provision of the support services</w:t>
            </w:r>
          </w:p>
        </w:tc>
        <w:tc>
          <w:tcPr>
            <w:tcW w:w="2615"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rPr>
                <w:spacing w:val="-2"/>
              </w:rPr>
            </w:pPr>
            <w:r>
              <w:rPr>
                <w:spacing w:val="-2"/>
              </w:rPr>
              <w:t>Cost to UNDP of providing such support services (where appropriate)</w:t>
            </w:r>
          </w:p>
        </w:tc>
        <w:tc>
          <w:tcPr>
            <w:tcW w:w="3050" w:type="dxa"/>
            <w:tcBorders>
              <w:top w:val="single" w:sz="6" w:space="0" w:color="auto"/>
              <w:left w:val="single" w:sz="6" w:space="0" w:color="auto"/>
              <w:bottom w:val="single" w:sz="6" w:space="0" w:color="auto"/>
              <w:right w:val="single" w:sz="6" w:space="0" w:color="auto"/>
            </w:tcBorders>
          </w:tcPr>
          <w:p w:rsidR="00000000" w:rsidRDefault="00021388">
            <w:pPr>
              <w:numPr>
                <w:ilvl w:val="12"/>
                <w:numId w:val="0"/>
              </w:numPr>
              <w:tabs>
                <w:tab w:val="left" w:pos="0"/>
              </w:tabs>
              <w:suppressAutoHyphens/>
              <w:rPr>
                <w:spacing w:val="-2"/>
              </w:rPr>
            </w:pPr>
            <w:r>
              <w:rPr>
                <w:spacing w:val="-2"/>
              </w:rPr>
              <w:t>Amount and method of reimbursement of UN</w:t>
            </w:r>
            <w:r>
              <w:rPr>
                <w:spacing w:val="-2"/>
              </w:rPr>
              <w:t>DP (where appropriate)</w:t>
            </w:r>
          </w:p>
        </w:tc>
      </w:tr>
      <w:tr w:rsidR="00000000">
        <w:tblPrEx>
          <w:tblCellMar>
            <w:top w:w="0" w:type="dxa"/>
            <w:bottom w:w="0" w:type="dxa"/>
          </w:tblCellMar>
        </w:tblPrEx>
        <w:tc>
          <w:tcPr>
            <w:tcW w:w="1980" w:type="dxa"/>
            <w:tcBorders>
              <w:left w:val="single" w:sz="6" w:space="0" w:color="auto"/>
            </w:tcBorders>
          </w:tcPr>
          <w:p w:rsidR="00000000" w:rsidRDefault="00021388">
            <w:pPr>
              <w:numPr>
                <w:ilvl w:val="12"/>
                <w:numId w:val="0"/>
              </w:numPr>
              <w:tabs>
                <w:tab w:val="left" w:pos="0"/>
              </w:tabs>
              <w:suppressAutoHyphens/>
              <w:jc w:val="both"/>
              <w:rPr>
                <w:spacing w:val="-2"/>
              </w:rPr>
            </w:pPr>
            <w:r>
              <w:rPr>
                <w:spacing w:val="-2"/>
              </w:rPr>
              <w:t>1.</w:t>
            </w:r>
          </w:p>
        </w:tc>
        <w:tc>
          <w:tcPr>
            <w:tcW w:w="2615" w:type="dxa"/>
            <w:tcBorders>
              <w:left w:val="single" w:sz="6" w:space="0" w:color="auto"/>
            </w:tcBorders>
          </w:tcPr>
          <w:p w:rsidR="00000000" w:rsidRDefault="00021388">
            <w:pPr>
              <w:numPr>
                <w:ilvl w:val="12"/>
                <w:numId w:val="0"/>
              </w:numPr>
              <w:tabs>
                <w:tab w:val="left" w:pos="0"/>
              </w:tabs>
              <w:suppressAutoHyphens/>
              <w:jc w:val="both"/>
              <w:rPr>
                <w:spacing w:val="-2"/>
              </w:rPr>
            </w:pPr>
          </w:p>
        </w:tc>
        <w:tc>
          <w:tcPr>
            <w:tcW w:w="2615" w:type="dxa"/>
            <w:tcBorders>
              <w:left w:val="single" w:sz="6" w:space="0" w:color="auto"/>
            </w:tcBorders>
          </w:tcPr>
          <w:p w:rsidR="00000000" w:rsidRDefault="00021388">
            <w:pPr>
              <w:numPr>
                <w:ilvl w:val="12"/>
                <w:numId w:val="0"/>
              </w:numPr>
              <w:tabs>
                <w:tab w:val="left" w:pos="0"/>
              </w:tabs>
              <w:suppressAutoHyphens/>
              <w:jc w:val="both"/>
              <w:rPr>
                <w:spacing w:val="-2"/>
              </w:rPr>
            </w:pPr>
          </w:p>
        </w:tc>
        <w:tc>
          <w:tcPr>
            <w:tcW w:w="3050" w:type="dxa"/>
            <w:tcBorders>
              <w:left w:val="single" w:sz="6" w:space="0" w:color="auto"/>
              <w:right w:val="single" w:sz="6" w:space="0" w:color="auto"/>
            </w:tcBorders>
          </w:tcPr>
          <w:p w:rsidR="00000000" w:rsidRDefault="00021388">
            <w:pPr>
              <w:numPr>
                <w:ilvl w:val="12"/>
                <w:numId w:val="0"/>
              </w:numPr>
              <w:tabs>
                <w:tab w:val="left" w:pos="0"/>
              </w:tabs>
              <w:suppressAutoHyphens/>
              <w:jc w:val="both"/>
              <w:rPr>
                <w:spacing w:val="-2"/>
              </w:rPr>
            </w:pPr>
          </w:p>
        </w:tc>
      </w:tr>
      <w:tr w:rsidR="00000000">
        <w:tblPrEx>
          <w:tblCellMar>
            <w:top w:w="0" w:type="dxa"/>
            <w:bottom w:w="0" w:type="dxa"/>
          </w:tblCellMar>
        </w:tblPrEx>
        <w:tc>
          <w:tcPr>
            <w:tcW w:w="1980" w:type="dxa"/>
            <w:tcBorders>
              <w:top w:val="single" w:sz="6" w:space="0" w:color="auto"/>
              <w:left w:val="single" w:sz="6" w:space="0" w:color="auto"/>
            </w:tcBorders>
          </w:tcPr>
          <w:p w:rsidR="00000000" w:rsidRDefault="00021388">
            <w:pPr>
              <w:numPr>
                <w:ilvl w:val="12"/>
                <w:numId w:val="0"/>
              </w:numPr>
              <w:tabs>
                <w:tab w:val="left" w:pos="0"/>
              </w:tabs>
              <w:suppressAutoHyphens/>
              <w:jc w:val="both"/>
              <w:rPr>
                <w:spacing w:val="-2"/>
              </w:rPr>
            </w:pPr>
            <w:r>
              <w:rPr>
                <w:spacing w:val="-2"/>
              </w:rPr>
              <w:t>2.</w:t>
            </w:r>
          </w:p>
        </w:tc>
        <w:tc>
          <w:tcPr>
            <w:tcW w:w="2615" w:type="dxa"/>
            <w:tcBorders>
              <w:top w:val="single" w:sz="6" w:space="0" w:color="auto"/>
              <w:left w:val="single" w:sz="6" w:space="0" w:color="auto"/>
            </w:tcBorders>
          </w:tcPr>
          <w:p w:rsidR="00000000" w:rsidRDefault="00021388">
            <w:pPr>
              <w:numPr>
                <w:ilvl w:val="12"/>
                <w:numId w:val="0"/>
              </w:numPr>
              <w:tabs>
                <w:tab w:val="left" w:pos="0"/>
              </w:tabs>
              <w:suppressAutoHyphens/>
              <w:jc w:val="both"/>
              <w:rPr>
                <w:spacing w:val="-2"/>
              </w:rPr>
            </w:pPr>
          </w:p>
        </w:tc>
        <w:tc>
          <w:tcPr>
            <w:tcW w:w="2615" w:type="dxa"/>
            <w:tcBorders>
              <w:top w:val="single" w:sz="6" w:space="0" w:color="auto"/>
              <w:left w:val="single" w:sz="6" w:space="0" w:color="auto"/>
            </w:tcBorders>
          </w:tcPr>
          <w:p w:rsidR="00000000" w:rsidRDefault="00021388">
            <w:pPr>
              <w:numPr>
                <w:ilvl w:val="12"/>
                <w:numId w:val="0"/>
              </w:numPr>
              <w:tabs>
                <w:tab w:val="left" w:pos="0"/>
              </w:tabs>
              <w:suppressAutoHyphens/>
              <w:jc w:val="both"/>
              <w:rPr>
                <w:spacing w:val="-2"/>
              </w:rPr>
            </w:pPr>
          </w:p>
        </w:tc>
        <w:tc>
          <w:tcPr>
            <w:tcW w:w="3050" w:type="dxa"/>
            <w:tcBorders>
              <w:top w:val="single" w:sz="6" w:space="0" w:color="auto"/>
              <w:left w:val="single" w:sz="6" w:space="0" w:color="auto"/>
              <w:right w:val="single" w:sz="6" w:space="0" w:color="auto"/>
            </w:tcBorders>
          </w:tcPr>
          <w:p w:rsidR="00000000" w:rsidRDefault="00021388">
            <w:pPr>
              <w:numPr>
                <w:ilvl w:val="12"/>
                <w:numId w:val="0"/>
              </w:numPr>
              <w:tabs>
                <w:tab w:val="left" w:pos="0"/>
              </w:tabs>
              <w:suppressAutoHyphens/>
              <w:jc w:val="both"/>
              <w:rPr>
                <w:spacing w:val="-2"/>
              </w:rPr>
            </w:pP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jc w:val="both"/>
              <w:rPr>
                <w:spacing w:val="-2"/>
              </w:rPr>
            </w:pPr>
            <w:r>
              <w:rPr>
                <w:spacing w:val="-2"/>
              </w:rPr>
              <w:t>3.</w:t>
            </w:r>
          </w:p>
        </w:tc>
        <w:tc>
          <w:tcPr>
            <w:tcW w:w="2615"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jc w:val="both"/>
              <w:rPr>
                <w:spacing w:val="-2"/>
              </w:rPr>
            </w:pPr>
          </w:p>
        </w:tc>
        <w:tc>
          <w:tcPr>
            <w:tcW w:w="2615" w:type="dxa"/>
            <w:tcBorders>
              <w:top w:val="single" w:sz="6" w:space="0" w:color="auto"/>
              <w:left w:val="single" w:sz="6" w:space="0" w:color="auto"/>
              <w:bottom w:val="single" w:sz="6" w:space="0" w:color="auto"/>
            </w:tcBorders>
          </w:tcPr>
          <w:p w:rsidR="00000000" w:rsidRDefault="00021388">
            <w:pPr>
              <w:numPr>
                <w:ilvl w:val="12"/>
                <w:numId w:val="0"/>
              </w:numPr>
              <w:tabs>
                <w:tab w:val="left" w:pos="0"/>
              </w:tabs>
              <w:suppressAutoHyphens/>
              <w:jc w:val="both"/>
              <w:rPr>
                <w:spacing w:val="-2"/>
              </w:rPr>
            </w:pPr>
          </w:p>
        </w:tc>
        <w:tc>
          <w:tcPr>
            <w:tcW w:w="3050" w:type="dxa"/>
            <w:tcBorders>
              <w:top w:val="single" w:sz="6" w:space="0" w:color="auto"/>
              <w:left w:val="single" w:sz="6" w:space="0" w:color="auto"/>
              <w:bottom w:val="single" w:sz="6" w:space="0" w:color="auto"/>
              <w:right w:val="single" w:sz="6" w:space="0" w:color="auto"/>
            </w:tcBorders>
          </w:tcPr>
          <w:p w:rsidR="00000000" w:rsidRDefault="00021388">
            <w:pPr>
              <w:numPr>
                <w:ilvl w:val="12"/>
                <w:numId w:val="0"/>
              </w:numPr>
              <w:tabs>
                <w:tab w:val="left" w:pos="0"/>
              </w:tabs>
              <w:suppressAutoHyphens/>
              <w:jc w:val="both"/>
              <w:rPr>
                <w:spacing w:val="-2"/>
              </w:rPr>
            </w:pPr>
          </w:p>
        </w:tc>
      </w:tr>
    </w:tbl>
    <w:p w:rsidR="00000000" w:rsidRDefault="00021388">
      <w:pPr>
        <w:numPr>
          <w:ilvl w:val="12"/>
          <w:numId w:val="0"/>
        </w:numPr>
        <w:tabs>
          <w:tab w:val="left" w:pos="0"/>
        </w:tabs>
        <w:suppressAutoHyphens/>
        <w:jc w:val="both"/>
        <w:rPr>
          <w:spacing w:val="-2"/>
        </w:rPr>
      </w:pPr>
    </w:p>
    <w:p w:rsidR="00000000" w:rsidRDefault="00021388">
      <w:pPr>
        <w:numPr>
          <w:ilvl w:val="12"/>
          <w:numId w:val="0"/>
        </w:numPr>
        <w:tabs>
          <w:tab w:val="left" w:pos="0"/>
        </w:tabs>
        <w:suppressAutoHyphens/>
        <w:jc w:val="both"/>
        <w:rPr>
          <w:spacing w:val="-2"/>
        </w:rPr>
      </w:pPr>
    </w:p>
    <w:p w:rsidR="00000000" w:rsidRDefault="00021388">
      <w:pPr>
        <w:tabs>
          <w:tab w:val="left" w:pos="0"/>
          <w:tab w:val="left" w:pos="360"/>
          <w:tab w:val="left" w:pos="720"/>
        </w:tabs>
        <w:suppressAutoHyphens/>
        <w:jc w:val="both"/>
        <w:rPr>
          <w:spacing w:val="-2"/>
        </w:rPr>
      </w:pPr>
      <w:r>
        <w:rPr>
          <w:spacing w:val="-2"/>
        </w:rPr>
        <w:t>4.         Description of functions and responsibilities of the parties involved:</w:t>
      </w:r>
    </w:p>
    <w:p w:rsidR="00000000" w:rsidRDefault="00021388"/>
    <w:sectPr w:rsidR="00000000">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1388">
      <w:r>
        <w:separator/>
      </w:r>
    </w:p>
  </w:endnote>
  <w:endnote w:type="continuationSeparator" w:id="0">
    <w:p w:rsidR="00000000" w:rsidRDefault="0002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1388">
      <w:r>
        <w:separator/>
      </w:r>
    </w:p>
  </w:footnote>
  <w:footnote w:type="continuationSeparator" w:id="0">
    <w:p w:rsidR="00000000" w:rsidRDefault="00021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5708A"/>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num w:numId="1">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88"/>
    <w:rsid w:val="0002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C26E02"/>
  <w15:chartTrackingRefBased/>
  <w15:docId w15:val="{52F53733-8385-4D9E-A5E1-A32F929A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after="120" w:line="480" w:lineRule="auto"/>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9.xml"/><Relationship Id="rId2" Type="http://schemas.openxmlformats.org/officeDocument/2006/relationships/customXml" Target="../customXml/item2.xml"/><Relationship Id="rId16"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0" Type="http://schemas.openxmlformats.org/officeDocument/2006/relationships/webSettings" Target="webSettings.xml"/><Relationship Id="rId14" Type="http://schemas.openxmlformats.org/officeDocument/2006/relationships/theme" Target="theme/theme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Standard LOA between UNDP and the Government for the Provision of Support Services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POPP-11-1560</_dlc_DocId>
    <_dlc_DocIdUrl xmlns="8264c5cc-ec60-4b56-8111-ce635d3d139a">
      <Url>https://popp.undp.org/_layouts/15/DocIdRedir.aspx?ID=POPP-11-1560</Url>
      <Description>POPP-11-1560</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7061-650D-4B4D-88E5-DBF1AF80FE0B}"/>
</file>

<file path=customXml/itemProps2.xml><?xml version="1.0" encoding="utf-8"?>
<ds:datastoreItem xmlns:ds="http://schemas.openxmlformats.org/officeDocument/2006/customXml" ds:itemID="{6E26C152-A81C-418D-B4AD-68A13BC914CC}"/>
</file>

<file path=customXml/itemProps3.xml><?xml version="1.0" encoding="utf-8"?>
<ds:datastoreItem xmlns:ds="http://schemas.openxmlformats.org/officeDocument/2006/customXml" ds:itemID="{7311B652-2C2B-4415-BC11-6BF123AE7C3E}"/>
</file>

<file path=customXml/itemProps4.xml><?xml version="1.0" encoding="utf-8"?>
<ds:datastoreItem xmlns:ds="http://schemas.openxmlformats.org/officeDocument/2006/customXml" ds:itemID="{6E26C152-A81C-418D-B4AD-68A13BC914CC}">
  <ds:schemaRefs>
    <ds:schemaRef ds:uri="http://schemas.microsoft.com/office/2006/metadata/longProperties"/>
  </ds:schemaRefs>
</ds:datastoreItem>
</file>

<file path=customXml/itemProps5.xml><?xml version="1.0" encoding="utf-8"?>
<ds:datastoreItem xmlns:ds="http://schemas.openxmlformats.org/officeDocument/2006/customXml" ds:itemID="{91AFDBB6-19D9-4795-A2C2-83AD6F46CD2C}">
  <ds:schemaRefs>
    <ds:schemaRef ds:uri="http://schemas.microsoft.com/sharepoint/v3/contenttype/forms"/>
  </ds:schemaRefs>
</ds:datastoreItem>
</file>

<file path=customXml/itemProps6.xml><?xml version="1.0" encoding="utf-8"?>
<ds:datastoreItem xmlns:ds="http://schemas.openxmlformats.org/officeDocument/2006/customXml" ds:itemID="{B00A3084-B0EC-4117-A463-AF87598093EB}"/>
</file>

<file path=customXml/itemProps7.xml><?xml version="1.0" encoding="utf-8"?>
<ds:datastoreItem xmlns:ds="http://schemas.openxmlformats.org/officeDocument/2006/customXml" ds:itemID="{B0D87061-650D-4B4D-88E5-DBF1AF80FE0B}"/>
</file>

<file path=customXml/itemProps8.xml><?xml version="1.0" encoding="utf-8"?>
<ds:datastoreItem xmlns:ds="http://schemas.openxmlformats.org/officeDocument/2006/customXml" ds:itemID="{E77046B4-30B1-45C3-B198-148BB5A1C31A}"/>
</file>

<file path=customXml/itemProps9.xml><?xml version="1.0" encoding="utf-8"?>
<ds:datastoreItem xmlns:ds="http://schemas.openxmlformats.org/officeDocument/2006/customXml" ds:itemID="{91AFDBB6-19D9-4795-A2C2-83AD6F46CD2C}"/>
</file>

<file path=docProps/app.xml><?xml version="1.0" encoding="utf-8"?>
<Properties xmlns="http://schemas.openxmlformats.org/officeDocument/2006/extended-properties" xmlns:vt="http://schemas.openxmlformats.org/officeDocument/2006/docPropsVTypes">
  <Template>Normal</Template>
  <TotalTime>0</TotalTime>
  <Pages>8</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Mengting Yang</cp:lastModifiedBy>
  <cp:revision>2</cp:revision>
  <dcterms:created xsi:type="dcterms:W3CDTF">2016-05-23T17:22:00Z</dcterms:created>
  <dcterms:modified xsi:type="dcterms:W3CDTF">2016-05-23T17:22:00Z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UNDPGBL-229-73</vt:lpwstr>
  </property>
  <property fmtid="{D5CDD505-2E9C-101B-9397-08002B2CF9AE}" pid="3" name="_dlc_DocIdItemGuid">
    <vt:lpwstr>92eaf68e-2dd1-4ced-ba65-4eee87dc853d</vt:lpwstr>
  </property>
  <property fmtid="{D5CDD505-2E9C-101B-9397-08002B2CF9AE}" pid="4" name="_dlc_DocIdUrl">
    <vt:lpwstr>https://intranet.undp.org/global/documents/_layouts/DocIdRedir.aspx?ID=UNDPGBL-229-73, UNDPGBL-229-73</vt:lpwstr>
  </property>
  <property fmtid="{D5CDD505-2E9C-101B-9397-08002B2CF9AE}" pid="5" name="UNDPSubject">
    <vt:lpwstr/>
  </property>
  <property fmtid="{D5CDD505-2E9C-101B-9397-08002B2CF9AE}" pid="6" name="UNDPPOPPSubsubprocess">
    <vt:lpwstr/>
  </property>
  <property fmtid="{D5CDD505-2E9C-101B-9397-08002B2CF9AE}" pid="7" name="UNDPPOPPKeywords">
    <vt:lpwstr/>
  </property>
  <property fmtid="{D5CDD505-2E9C-101B-9397-08002B2CF9AE}" pid="8" name="UNDPIsPartOf">
    <vt:lpwstr/>
  </property>
  <property fmtid="{D5CDD505-2E9C-101B-9397-08002B2CF9AE}" pid="9" name="UNDPPOPPSubprocess">
    <vt:lpwstr>Defining a Project</vt:lpwstr>
  </property>
  <property fmtid="{D5CDD505-2E9C-101B-9397-08002B2CF9AE}" pid="10" name="Order">
    <vt:lpwstr>7300.00000000000</vt:lpwstr>
  </property>
  <property fmtid="{D5CDD505-2E9C-101B-9397-08002B2CF9AE}" pid="11" name="BusinessUnit">
    <vt:lpwstr>2;#Programme and Project Management|dea4c69a-7909-43f6-8de1-50c95d5a9f3f</vt:lpwstr>
  </property>
  <property fmtid="{D5CDD505-2E9C-101B-9397-08002B2CF9AE}" pid="12" name="ContentTypeId">
    <vt:lpwstr>0x01010061FF32BFFC2B4E50A3A86F4682D7D367007687F3382310C0489D2A99E053BA6D39</vt:lpwstr>
  </property>
  <property fmtid="{D5CDD505-2E9C-101B-9397-08002B2CF9AE}" pid="13" name="POPPBusinessProcess">
    <vt:lpwstr/>
  </property>
  <property fmtid="{D5CDD505-2E9C-101B-9397-08002B2CF9AE}" pid="14" name="l0e6ef0c43e74560bd7f3acd1f5e8571">
    <vt:lpwstr>Programme and Project Management|dea4c69a-7909-43f6-8de1-50c95d5a9f3f</vt:lpwstr>
  </property>
  <property fmtid="{D5CDD505-2E9C-101B-9397-08002B2CF9AE}" pid="15" name="UNDP_POPP_BUSINESSUNIT">
    <vt:lpwstr>669;#Programme and Project Management|1c019435-9793-447e-8959-0b32d23bf3d5</vt:lpwstr>
  </property>
</Properties>
</file>