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052AC" w14:textId="1D39394B" w:rsidR="008576C0" w:rsidRPr="00BD4C61" w:rsidRDefault="002A7841" w:rsidP="008576C0">
      <w:pPr>
        <w:pStyle w:val="Heading1"/>
        <w:spacing w:before="360" w:after="240" w:line="240" w:lineRule="auto"/>
        <w:ind w:left="360" w:hanging="360"/>
        <w:jc w:val="center"/>
        <w:rPr>
          <w:rFonts w:asciiTheme="minorHAnsi" w:hAnsiTheme="minorHAnsi" w:cstheme="minorHAnsi"/>
          <w:b/>
          <w:color w:val="auto"/>
          <w:sz w:val="28"/>
          <w:szCs w:val="22"/>
          <w:lang w:val="es-ES"/>
        </w:rPr>
      </w:pPr>
      <w:r w:rsidRPr="00BD4C61">
        <w:rPr>
          <w:rFonts w:asciiTheme="minorHAnsi" w:hAnsiTheme="minorHAnsi" w:cstheme="minorHAnsi"/>
          <w:b/>
          <w:color w:val="auto"/>
          <w:sz w:val="28"/>
          <w:szCs w:val="22"/>
          <w:lang w:val="es-ES"/>
        </w:rPr>
        <w:t>Directrices para el Uso de los Resultados del Estudio sobre el Volumen de Trabajo</w:t>
      </w:r>
      <w:r w:rsidR="00E13DD4" w:rsidRPr="00BD4C61">
        <w:rPr>
          <w:rFonts w:asciiTheme="minorHAnsi" w:hAnsiTheme="minorHAnsi" w:cstheme="minorHAnsi"/>
          <w:b/>
          <w:color w:val="auto"/>
          <w:sz w:val="28"/>
          <w:szCs w:val="22"/>
          <w:lang w:val="es-ES"/>
        </w:rPr>
        <w:t xml:space="preserve"> (WLS</w:t>
      </w:r>
      <w:r w:rsidR="009F3142" w:rsidRPr="00BD4C61">
        <w:rPr>
          <w:rFonts w:asciiTheme="minorHAnsi" w:hAnsiTheme="minorHAnsi" w:cstheme="minorHAnsi"/>
          <w:b/>
          <w:color w:val="auto"/>
          <w:sz w:val="28"/>
          <w:szCs w:val="22"/>
          <w:lang w:val="es-ES"/>
        </w:rPr>
        <w:t xml:space="preserve"> </w:t>
      </w:r>
      <w:r w:rsidR="00101C0C" w:rsidRPr="00BD4C61">
        <w:rPr>
          <w:rFonts w:asciiTheme="minorHAnsi" w:hAnsiTheme="minorHAnsi" w:cstheme="minorHAnsi"/>
          <w:b/>
          <w:color w:val="auto"/>
          <w:sz w:val="28"/>
          <w:szCs w:val="22"/>
          <w:lang w:val="es-ES"/>
        </w:rPr>
        <w:t>-</w:t>
      </w:r>
      <w:r w:rsidR="009F3142" w:rsidRPr="00BD4C61">
        <w:rPr>
          <w:rFonts w:asciiTheme="minorHAnsi" w:hAnsiTheme="minorHAnsi" w:cstheme="minorHAnsi"/>
          <w:b/>
          <w:color w:val="auto"/>
          <w:sz w:val="28"/>
          <w:szCs w:val="22"/>
          <w:lang w:val="es-ES"/>
        </w:rPr>
        <w:t xml:space="preserve"> </w:t>
      </w:r>
      <w:proofErr w:type="spellStart"/>
      <w:r w:rsidR="009F3142" w:rsidRPr="00BD4C61">
        <w:rPr>
          <w:rFonts w:asciiTheme="minorHAnsi" w:hAnsiTheme="minorHAnsi" w:cstheme="minorHAnsi"/>
          <w:b/>
          <w:color w:val="auto"/>
          <w:sz w:val="28"/>
          <w:szCs w:val="22"/>
          <w:lang w:val="es-ES"/>
        </w:rPr>
        <w:t>Workload</w:t>
      </w:r>
      <w:proofErr w:type="spellEnd"/>
      <w:r w:rsidR="009F3142" w:rsidRPr="00BD4C61">
        <w:rPr>
          <w:rFonts w:asciiTheme="minorHAnsi" w:hAnsiTheme="minorHAnsi" w:cstheme="minorHAnsi"/>
          <w:b/>
          <w:color w:val="auto"/>
          <w:sz w:val="28"/>
          <w:szCs w:val="22"/>
          <w:lang w:val="es-ES"/>
        </w:rPr>
        <w:t xml:space="preserve"> </w:t>
      </w:r>
      <w:proofErr w:type="spellStart"/>
      <w:r w:rsidR="009F3142" w:rsidRPr="00BD4C61">
        <w:rPr>
          <w:rFonts w:asciiTheme="minorHAnsi" w:hAnsiTheme="minorHAnsi" w:cstheme="minorHAnsi"/>
          <w:b/>
          <w:color w:val="auto"/>
          <w:sz w:val="28"/>
          <w:szCs w:val="22"/>
          <w:lang w:val="es-ES"/>
        </w:rPr>
        <w:t>Survey</w:t>
      </w:r>
      <w:proofErr w:type="spellEnd"/>
      <w:r w:rsidR="00E13DD4" w:rsidRPr="00BD4C61">
        <w:rPr>
          <w:rFonts w:asciiTheme="minorHAnsi" w:hAnsiTheme="minorHAnsi" w:cstheme="minorHAnsi"/>
          <w:b/>
          <w:color w:val="auto"/>
          <w:sz w:val="28"/>
          <w:szCs w:val="22"/>
          <w:lang w:val="es-ES"/>
        </w:rPr>
        <w:t>)</w:t>
      </w:r>
    </w:p>
    <w:p w14:paraId="5031581D" w14:textId="7111CB3A" w:rsidR="00D94C0D" w:rsidRPr="00BD4C61" w:rsidRDefault="00D94C0D" w:rsidP="00D94C0D">
      <w:pPr>
        <w:jc w:val="center"/>
        <w:rPr>
          <w:lang w:val="es-ES"/>
        </w:rPr>
      </w:pPr>
      <w:r w:rsidRPr="00BD4C61">
        <w:rPr>
          <w:lang w:val="es-ES"/>
        </w:rPr>
        <w:t>(BMS/OFM)</w:t>
      </w:r>
    </w:p>
    <w:p w14:paraId="5FB05B43" w14:textId="5FC1AFC2" w:rsidR="008576C0" w:rsidRPr="00BD4C61" w:rsidRDefault="002A7841" w:rsidP="73C5D4AC">
      <w:pPr>
        <w:pStyle w:val="ListParagraph"/>
        <w:numPr>
          <w:ilvl w:val="0"/>
          <w:numId w:val="2"/>
        </w:numPr>
        <w:pBdr>
          <w:top w:val="nil"/>
          <w:left w:val="nil"/>
          <w:bottom w:val="nil"/>
          <w:right w:val="nil"/>
          <w:between w:val="nil"/>
          <w:bar w:val="nil"/>
        </w:pBdr>
        <w:spacing w:before="240" w:after="240" w:line="240" w:lineRule="auto"/>
        <w:contextualSpacing w:val="0"/>
        <w:jc w:val="both"/>
        <w:rPr>
          <w:lang w:val="es-ES"/>
        </w:rPr>
      </w:pPr>
      <w:r w:rsidRPr="00BD4C61">
        <w:rPr>
          <w:lang w:val="es-ES"/>
        </w:rPr>
        <w:t>El PNUD es una organización de financiación múltiple, cuya financiación proviene de múltiples fuentes. En el caso de los puestos de personal de categoría P-5 e inferior y de otro personal (SC, U</w:t>
      </w:r>
      <w:r w:rsidR="006814C6" w:rsidRPr="00BD4C61">
        <w:rPr>
          <w:lang w:val="es-ES"/>
        </w:rPr>
        <w:t>NV</w:t>
      </w:r>
      <w:r w:rsidRPr="00BD4C61">
        <w:rPr>
          <w:lang w:val="es-ES"/>
        </w:rPr>
        <w:t xml:space="preserve">, </w:t>
      </w:r>
      <w:proofErr w:type="spellStart"/>
      <w:r w:rsidRPr="00BD4C61">
        <w:rPr>
          <w:lang w:val="es-ES"/>
        </w:rPr>
        <w:t>IC</w:t>
      </w:r>
      <w:r w:rsidR="15B468F7" w:rsidRPr="00BD4C61">
        <w:rPr>
          <w:lang w:val="es-ES"/>
        </w:rPr>
        <w:t>s</w:t>
      </w:r>
      <w:proofErr w:type="spellEnd"/>
      <w:r w:rsidRPr="00BD4C61">
        <w:rPr>
          <w:lang w:val="es-ES"/>
        </w:rPr>
        <w:t>), los puestos pueden financiarse con cargo a múltiples fuentes de financia</w:t>
      </w:r>
      <w:r w:rsidR="2CED6AB4" w:rsidRPr="00BD4C61">
        <w:rPr>
          <w:lang w:val="es-ES"/>
        </w:rPr>
        <w:t>miento</w:t>
      </w:r>
      <w:r w:rsidRPr="00BD4C61">
        <w:rPr>
          <w:lang w:val="es-ES"/>
        </w:rPr>
        <w:t xml:space="preserve"> en función de las actividades que realice cada uno de los funcionarios.</w:t>
      </w:r>
    </w:p>
    <w:p w14:paraId="644AE536" w14:textId="21670D1A" w:rsidR="00851F62" w:rsidRPr="00BD4C61" w:rsidRDefault="00851F62" w:rsidP="73C5D4AC">
      <w:pPr>
        <w:pStyle w:val="ListParagraph"/>
        <w:numPr>
          <w:ilvl w:val="0"/>
          <w:numId w:val="2"/>
        </w:numPr>
        <w:pBdr>
          <w:top w:val="nil"/>
          <w:left w:val="nil"/>
          <w:bottom w:val="nil"/>
          <w:right w:val="nil"/>
          <w:between w:val="nil"/>
          <w:bar w:val="nil"/>
        </w:pBdr>
        <w:autoSpaceDE w:val="0"/>
        <w:autoSpaceDN w:val="0"/>
        <w:spacing w:before="240" w:after="240" w:line="240" w:lineRule="auto"/>
        <w:jc w:val="both"/>
        <w:rPr>
          <w:lang w:val="es-ES"/>
        </w:rPr>
      </w:pPr>
      <w:r w:rsidRPr="00BD4C61">
        <w:rPr>
          <w:lang w:val="es-ES"/>
        </w:rPr>
        <w:t>Los resultados del WLS (</w:t>
      </w:r>
      <w:proofErr w:type="spellStart"/>
      <w:r w:rsidRPr="00BD4C61">
        <w:rPr>
          <w:lang w:val="es-ES"/>
        </w:rPr>
        <w:t>Workload</w:t>
      </w:r>
      <w:proofErr w:type="spellEnd"/>
      <w:r w:rsidRPr="00BD4C61">
        <w:rPr>
          <w:lang w:val="es-ES"/>
        </w:rPr>
        <w:t xml:space="preserve"> </w:t>
      </w:r>
      <w:proofErr w:type="spellStart"/>
      <w:r w:rsidRPr="00BD4C61">
        <w:rPr>
          <w:lang w:val="es-ES"/>
        </w:rPr>
        <w:t>Survey</w:t>
      </w:r>
      <w:proofErr w:type="spellEnd"/>
      <w:r w:rsidRPr="00BD4C61">
        <w:rPr>
          <w:lang w:val="es-ES"/>
        </w:rPr>
        <w:t xml:space="preserve">, por sus siglas en inglés) informarán en particular a la oficina sobre la forma en que el personal del PNUD emplea el tiempo en todos los proyectos (tanto los de gestión de la oficina </w:t>
      </w:r>
      <w:r w:rsidR="5B57F168" w:rsidRPr="00BD4C61">
        <w:rPr>
          <w:lang w:val="es-ES"/>
        </w:rPr>
        <w:t>de</w:t>
      </w:r>
      <w:r w:rsidRPr="00BD4C61">
        <w:rPr>
          <w:lang w:val="es-ES"/>
        </w:rPr>
        <w:t xml:space="preserve"> país como los proyectos de programas) para las actividades principales. Los resultados del </w:t>
      </w:r>
      <w:r w:rsidR="001F6AEA" w:rsidRPr="00BD4C61">
        <w:rPr>
          <w:lang w:val="es-ES"/>
        </w:rPr>
        <w:t>WLS</w:t>
      </w:r>
      <w:r w:rsidRPr="00BD4C61">
        <w:rPr>
          <w:lang w:val="es-ES"/>
        </w:rPr>
        <w:t xml:space="preserve"> orientan a la dirección de la oficina para alinear las funciones del personal con las fuentes de financia</w:t>
      </w:r>
      <w:r w:rsidR="2E61695B" w:rsidRPr="00BD4C61">
        <w:rPr>
          <w:lang w:val="es-ES"/>
        </w:rPr>
        <w:t>miento</w:t>
      </w:r>
      <w:r w:rsidRPr="00BD4C61">
        <w:rPr>
          <w:lang w:val="es-ES"/>
        </w:rPr>
        <w:t xml:space="preserve"> de su puesto.  De esta manera, los resultados del WLS pueden proporcionar estimaciones razonables del tiempo dedicado a prestar servicios a proyectos específicos y los costos estimados.  Esto permitirá a las oficinas calcular y presupuestar estos costos en los respectivos presupuestos de los proyectos de desarrollo en las diversas etapas de la vida del proyecto. </w:t>
      </w:r>
    </w:p>
    <w:p w14:paraId="5730EEC9" w14:textId="77777777" w:rsidR="00851F62" w:rsidRPr="00BD4C61" w:rsidRDefault="00851F62" w:rsidP="00851F62">
      <w:pPr>
        <w:pStyle w:val="ListParagraph"/>
        <w:pBdr>
          <w:top w:val="nil"/>
          <w:left w:val="nil"/>
          <w:bottom w:val="nil"/>
          <w:right w:val="nil"/>
          <w:between w:val="nil"/>
          <w:bar w:val="nil"/>
        </w:pBdr>
        <w:autoSpaceDE w:val="0"/>
        <w:autoSpaceDN w:val="0"/>
        <w:spacing w:before="240" w:after="240" w:line="240" w:lineRule="auto"/>
        <w:jc w:val="both"/>
        <w:rPr>
          <w:bCs/>
          <w:lang w:val="es-ES"/>
        </w:rPr>
      </w:pPr>
    </w:p>
    <w:p w14:paraId="32ABC860" w14:textId="7B9CC474" w:rsidR="006144ED" w:rsidRPr="00BD4C61" w:rsidRDefault="006144ED" w:rsidP="73C5D4AC">
      <w:pPr>
        <w:pStyle w:val="ListParagraph"/>
        <w:numPr>
          <w:ilvl w:val="0"/>
          <w:numId w:val="2"/>
        </w:numPr>
        <w:pBdr>
          <w:top w:val="nil"/>
          <w:left w:val="nil"/>
          <w:bottom w:val="nil"/>
          <w:right w:val="nil"/>
          <w:between w:val="nil"/>
          <w:bar w:val="nil"/>
        </w:pBdr>
        <w:autoSpaceDE w:val="0"/>
        <w:autoSpaceDN w:val="0"/>
        <w:spacing w:before="240" w:after="240" w:line="240" w:lineRule="auto"/>
        <w:jc w:val="both"/>
        <w:rPr>
          <w:lang w:val="es-ES"/>
        </w:rPr>
      </w:pPr>
      <w:r w:rsidRPr="00BD4C61">
        <w:rPr>
          <w:lang w:val="es-ES"/>
        </w:rPr>
        <w:t>Cada oficina de país (CO, Country Office, por sus siglas en inglés) debe planificar la realización de un WLS anual al menos una vez al año para todo su personal, con independencia de la fuente de financia</w:t>
      </w:r>
      <w:r w:rsidR="34C7FFBF" w:rsidRPr="00BD4C61">
        <w:rPr>
          <w:lang w:val="es-ES"/>
        </w:rPr>
        <w:t>miento</w:t>
      </w:r>
      <w:r w:rsidRPr="00BD4C61">
        <w:rPr>
          <w:lang w:val="es-ES"/>
        </w:rPr>
        <w:t xml:space="preserve"> o la modalidad contractual. Actualmente, la mayoría de las oficinas llevan a cabo un WLS de agosto a septiembre, justo antes del proceso de planificación y </w:t>
      </w:r>
      <w:r w:rsidR="00384594" w:rsidRPr="00BD4C61">
        <w:rPr>
          <w:lang w:val="es-ES"/>
        </w:rPr>
        <w:t>preparación del presupuesto</w:t>
      </w:r>
      <w:r w:rsidRPr="00BD4C61">
        <w:rPr>
          <w:lang w:val="es-ES"/>
        </w:rPr>
        <w:t xml:space="preserve"> del año siguiente. Las oficinas pueden fijar las fechas de sus encuestas de WLS que más les convengan, evitando los momentos de mayor carga de trabajo o las vacaciones anuales para asegurarse de que se recopila la información más representativa sobre la carga de trabajo. Para obtener una encuesta WLS fiable y realista del personal de las oficinas en los países del PNUD, se debe realizar una encuesta por lo menos durante diez días laborables. </w:t>
      </w:r>
    </w:p>
    <w:p w14:paraId="4B79E82B" w14:textId="77777777" w:rsidR="006144ED" w:rsidRPr="00BD4C61" w:rsidRDefault="006144ED" w:rsidP="006144ED">
      <w:pPr>
        <w:pStyle w:val="ListParagraph"/>
        <w:rPr>
          <w:bCs/>
          <w:lang w:val="es-ES"/>
        </w:rPr>
      </w:pPr>
    </w:p>
    <w:p w14:paraId="09FE2462" w14:textId="4860FD4B" w:rsidR="006220EE" w:rsidRPr="00BD4C61" w:rsidRDefault="001624D9" w:rsidP="006220EE">
      <w:pPr>
        <w:pStyle w:val="ListParagraph"/>
        <w:numPr>
          <w:ilvl w:val="0"/>
          <w:numId w:val="2"/>
        </w:numPr>
        <w:pBdr>
          <w:top w:val="nil"/>
          <w:left w:val="nil"/>
          <w:bottom w:val="nil"/>
          <w:right w:val="nil"/>
          <w:between w:val="nil"/>
          <w:bar w:val="nil"/>
        </w:pBdr>
        <w:autoSpaceDE w:val="0"/>
        <w:autoSpaceDN w:val="0"/>
        <w:spacing w:before="240" w:after="240" w:line="240" w:lineRule="auto"/>
        <w:contextualSpacing w:val="0"/>
        <w:jc w:val="both"/>
        <w:rPr>
          <w:bCs/>
          <w:lang w:val="es-ES"/>
        </w:rPr>
      </w:pPr>
      <w:r w:rsidRPr="00BD4C61">
        <w:rPr>
          <w:lang w:val="es-ES"/>
        </w:rPr>
        <w:t xml:space="preserve">No hay ningún requisito corporativo para presentar los resultados anuales de CO WLS a la sede. </w:t>
      </w:r>
      <w:r w:rsidR="006220EE" w:rsidRPr="00BD4C61">
        <w:rPr>
          <w:lang w:val="es-ES"/>
        </w:rPr>
        <w:t xml:space="preserve"> </w:t>
      </w:r>
    </w:p>
    <w:p w14:paraId="73C515EE" w14:textId="2F28EDBD" w:rsidR="008576C0" w:rsidRPr="00BD4C61" w:rsidRDefault="001624D9" w:rsidP="008576C0">
      <w:pPr>
        <w:pStyle w:val="ListParagraph"/>
        <w:numPr>
          <w:ilvl w:val="0"/>
          <w:numId w:val="2"/>
        </w:numPr>
        <w:pBdr>
          <w:top w:val="nil"/>
          <w:left w:val="nil"/>
          <w:bottom w:val="nil"/>
          <w:right w:val="nil"/>
          <w:between w:val="nil"/>
          <w:bar w:val="nil"/>
        </w:pBdr>
        <w:spacing w:before="240" w:after="240" w:line="240" w:lineRule="auto"/>
        <w:contextualSpacing w:val="0"/>
        <w:jc w:val="both"/>
        <w:rPr>
          <w:lang w:val="es-ES"/>
        </w:rPr>
      </w:pPr>
      <w:r w:rsidRPr="00BD4C61">
        <w:rPr>
          <w:lang w:val="es-ES"/>
        </w:rPr>
        <w:t xml:space="preserve">Dada la naturaleza crítica de alinear los servicios/capacidades de las CO del PNUD con varias fuentes de financiamiento (por ejemplo, proyectos de programas o de gestión), cada CO debe designar un coordinador o punto focal superior para el WLS, típicamente un DRR o ARR. Ellos son responsables de asegurar la exactitud, integridad, coherencia y la oportuna compilación y presentación para el WLS. </w:t>
      </w:r>
      <w:r w:rsidR="008576C0" w:rsidRPr="00BD4C61">
        <w:rPr>
          <w:lang w:val="es-ES"/>
        </w:rPr>
        <w:t xml:space="preserve"> </w:t>
      </w:r>
    </w:p>
    <w:p w14:paraId="424C02D8" w14:textId="78CC67EF" w:rsidR="00CD61B5" w:rsidRPr="00BD4C61" w:rsidRDefault="00CD61B5" w:rsidP="00CD61B5">
      <w:pPr>
        <w:pStyle w:val="ListParagraph"/>
        <w:numPr>
          <w:ilvl w:val="0"/>
          <w:numId w:val="2"/>
        </w:numPr>
        <w:pBdr>
          <w:top w:val="nil"/>
          <w:left w:val="nil"/>
          <w:bottom w:val="nil"/>
          <w:right w:val="nil"/>
          <w:between w:val="nil"/>
          <w:bar w:val="nil"/>
        </w:pBdr>
        <w:spacing w:before="120" w:after="120" w:line="240" w:lineRule="auto"/>
        <w:jc w:val="both"/>
        <w:rPr>
          <w:bCs/>
          <w:lang w:val="es-ES"/>
        </w:rPr>
      </w:pPr>
      <w:r w:rsidRPr="00BD4C61">
        <w:rPr>
          <w:bCs/>
          <w:lang w:val="es-ES"/>
        </w:rPr>
        <w:t>Todo tipo de personal (personal, SC y</w:t>
      </w:r>
      <w:r w:rsidR="00C34FEC" w:rsidRPr="00BD4C61">
        <w:rPr>
          <w:bCs/>
          <w:lang w:val="es-ES"/>
        </w:rPr>
        <w:t xml:space="preserve"> UNV</w:t>
      </w:r>
      <w:r w:rsidRPr="00BD4C61">
        <w:rPr>
          <w:bCs/>
          <w:lang w:val="es-ES"/>
        </w:rPr>
        <w:t>) puede ser incluido en el WLS anual.  Se debe llevar a cabo una sesión informativa para todo el personal antes de su encuesta anual de carga de trabajo. Todo el personal debe comprender las diferentes categorías de su función a los proyectos de gestión y desarrollo antes del estudio. El WLS puede excluir al personal que sea contratado directamente y financiado en su totalidad por los proyectos del PNUD y otros organismos de las Naciones Unidas. Cada individuo debe entender la importancia de un registro justo y razonable de su tiempo de carga de trabajo en la plantilla del WLS. Un coordinador superior debería presentar los resultados de los últimos resultados del WLS y cómo se ha utilizado en la alineación de la financiación de los puestos de personal con sus funciones.</w:t>
      </w:r>
    </w:p>
    <w:p w14:paraId="7DA2F5CC" w14:textId="1D5ECE18" w:rsidR="008576C0" w:rsidRPr="00BD4C61" w:rsidRDefault="005E40E2" w:rsidP="008576C0">
      <w:pPr>
        <w:pStyle w:val="ListParagraph"/>
        <w:numPr>
          <w:ilvl w:val="0"/>
          <w:numId w:val="2"/>
        </w:numPr>
        <w:pBdr>
          <w:top w:val="nil"/>
          <w:left w:val="nil"/>
          <w:bottom w:val="nil"/>
          <w:right w:val="nil"/>
          <w:between w:val="nil"/>
          <w:bar w:val="nil"/>
        </w:pBdr>
        <w:autoSpaceDE w:val="0"/>
        <w:autoSpaceDN w:val="0"/>
        <w:spacing w:before="240" w:after="240" w:line="240" w:lineRule="auto"/>
        <w:contextualSpacing w:val="0"/>
        <w:jc w:val="both"/>
        <w:rPr>
          <w:bCs/>
          <w:lang w:val="es-ES"/>
        </w:rPr>
      </w:pPr>
      <w:r w:rsidRPr="00BD4C61">
        <w:rPr>
          <w:bCs/>
          <w:lang w:val="es-ES"/>
        </w:rPr>
        <w:lastRenderedPageBreak/>
        <w:t>Para llevar a cabo el WLS, todo el personal pertinente debe categorizar la parte del tiempo que dedica a realizar diversas funciones en las tres funciones/servicios principales siguientes:</w:t>
      </w:r>
    </w:p>
    <w:p w14:paraId="6FBC915C" w14:textId="55040A8C" w:rsidR="008576C0" w:rsidRPr="00BD4C61" w:rsidRDefault="008A1219" w:rsidP="00410238">
      <w:pPr>
        <w:pStyle w:val="ListParagraph"/>
        <w:numPr>
          <w:ilvl w:val="0"/>
          <w:numId w:val="9"/>
        </w:numPr>
        <w:pBdr>
          <w:top w:val="nil"/>
          <w:left w:val="nil"/>
          <w:bottom w:val="nil"/>
          <w:right w:val="nil"/>
          <w:between w:val="nil"/>
          <w:bar w:val="nil"/>
        </w:pBdr>
        <w:autoSpaceDE w:val="0"/>
        <w:autoSpaceDN w:val="0"/>
        <w:spacing w:before="240" w:after="240" w:line="240" w:lineRule="auto"/>
        <w:ind w:left="1800"/>
        <w:jc w:val="both"/>
        <w:rPr>
          <w:b/>
          <w:lang w:val="es-ES"/>
        </w:rPr>
      </w:pPr>
      <w:r w:rsidRPr="00BD4C61">
        <w:rPr>
          <w:b/>
          <w:lang w:val="es-ES"/>
        </w:rPr>
        <w:t>Actividades de desarrollo – Programar actividades de proyectos y servicios a proyectos</w:t>
      </w:r>
    </w:p>
    <w:p w14:paraId="0E186BFB" w14:textId="77777777" w:rsidR="00DD1B86" w:rsidRPr="00BD4C61" w:rsidRDefault="0004059D" w:rsidP="00DD1B86">
      <w:pPr>
        <w:pStyle w:val="ListParagraph"/>
        <w:numPr>
          <w:ilvl w:val="2"/>
          <w:numId w:val="7"/>
        </w:numPr>
        <w:pBdr>
          <w:top w:val="nil"/>
          <w:left w:val="nil"/>
          <w:bottom w:val="nil"/>
          <w:right w:val="nil"/>
          <w:between w:val="nil"/>
          <w:bar w:val="nil"/>
        </w:pBdr>
        <w:autoSpaceDE w:val="0"/>
        <w:autoSpaceDN w:val="0"/>
        <w:spacing w:after="0" w:line="240" w:lineRule="auto"/>
        <w:jc w:val="both"/>
        <w:rPr>
          <w:bCs/>
          <w:lang w:val="es-ES"/>
        </w:rPr>
      </w:pPr>
      <w:r w:rsidRPr="00BD4C61">
        <w:rPr>
          <w:bCs/>
          <w:lang w:val="es-ES"/>
        </w:rPr>
        <w:t>Supervisión y coordinación del proyecto</w:t>
      </w:r>
    </w:p>
    <w:p w14:paraId="300453A0" w14:textId="59C24D32" w:rsidR="0004059D" w:rsidRPr="00BD4C61" w:rsidRDefault="0004059D" w:rsidP="00DD1B86">
      <w:pPr>
        <w:pStyle w:val="ListParagraph"/>
        <w:numPr>
          <w:ilvl w:val="2"/>
          <w:numId w:val="7"/>
        </w:numPr>
        <w:pBdr>
          <w:top w:val="nil"/>
          <w:left w:val="nil"/>
          <w:bottom w:val="nil"/>
          <w:right w:val="nil"/>
          <w:between w:val="nil"/>
          <w:bar w:val="nil"/>
        </w:pBdr>
        <w:autoSpaceDE w:val="0"/>
        <w:autoSpaceDN w:val="0"/>
        <w:spacing w:after="0" w:line="240" w:lineRule="auto"/>
        <w:jc w:val="both"/>
        <w:rPr>
          <w:bCs/>
          <w:lang w:val="es-ES"/>
        </w:rPr>
      </w:pPr>
      <w:r w:rsidRPr="00BD4C61">
        <w:rPr>
          <w:bCs/>
          <w:lang w:val="es-ES"/>
        </w:rPr>
        <w:t xml:space="preserve">Coordinación del programa </w:t>
      </w:r>
    </w:p>
    <w:p w14:paraId="01BF6386" w14:textId="77777777" w:rsidR="00DD1B86" w:rsidRPr="00BD4C61" w:rsidRDefault="0004059D" w:rsidP="00DD1B86">
      <w:pPr>
        <w:pStyle w:val="ListParagraph"/>
        <w:numPr>
          <w:ilvl w:val="2"/>
          <w:numId w:val="7"/>
        </w:numPr>
        <w:pBdr>
          <w:top w:val="nil"/>
          <w:left w:val="nil"/>
          <w:bottom w:val="nil"/>
          <w:right w:val="nil"/>
          <w:between w:val="nil"/>
          <w:bar w:val="nil"/>
        </w:pBdr>
        <w:autoSpaceDE w:val="0"/>
        <w:autoSpaceDN w:val="0"/>
        <w:spacing w:after="0" w:line="240" w:lineRule="auto"/>
        <w:jc w:val="both"/>
        <w:rPr>
          <w:bCs/>
          <w:lang w:val="es-ES"/>
        </w:rPr>
      </w:pPr>
      <w:r w:rsidRPr="00BD4C61">
        <w:rPr>
          <w:bCs/>
          <w:lang w:val="es-ES"/>
        </w:rPr>
        <w:t xml:space="preserve">Asesoramiento sobre políticas y servicios de garantía de calidad </w:t>
      </w:r>
    </w:p>
    <w:p w14:paraId="68A6724C" w14:textId="77777777" w:rsidR="00DD1B86" w:rsidRPr="00BD4C61" w:rsidRDefault="0004059D" w:rsidP="00DD1B86">
      <w:pPr>
        <w:pStyle w:val="ListParagraph"/>
        <w:numPr>
          <w:ilvl w:val="2"/>
          <w:numId w:val="7"/>
        </w:numPr>
        <w:pBdr>
          <w:top w:val="nil"/>
          <w:left w:val="nil"/>
          <w:bottom w:val="nil"/>
          <w:right w:val="nil"/>
          <w:between w:val="nil"/>
          <w:bar w:val="nil"/>
        </w:pBdr>
        <w:autoSpaceDE w:val="0"/>
        <w:autoSpaceDN w:val="0"/>
        <w:spacing w:after="0" w:line="240" w:lineRule="auto"/>
        <w:jc w:val="both"/>
        <w:rPr>
          <w:bCs/>
          <w:lang w:val="es-ES"/>
        </w:rPr>
      </w:pPr>
      <w:r w:rsidRPr="00BD4C61">
        <w:rPr>
          <w:bCs/>
          <w:lang w:val="es-ES"/>
        </w:rPr>
        <w:t>Visibilidad de los socios de comunicación, promoción y financiación del proyecto</w:t>
      </w:r>
    </w:p>
    <w:p w14:paraId="29DF50C7" w14:textId="22927BDC" w:rsidR="0004059D" w:rsidRPr="00BD4C61" w:rsidRDefault="0004059D" w:rsidP="00DD1B86">
      <w:pPr>
        <w:pStyle w:val="ListParagraph"/>
        <w:numPr>
          <w:ilvl w:val="2"/>
          <w:numId w:val="7"/>
        </w:numPr>
        <w:pBdr>
          <w:top w:val="nil"/>
          <w:left w:val="nil"/>
          <w:bottom w:val="nil"/>
          <w:right w:val="nil"/>
          <w:between w:val="nil"/>
          <w:bar w:val="nil"/>
        </w:pBdr>
        <w:autoSpaceDE w:val="0"/>
        <w:autoSpaceDN w:val="0"/>
        <w:spacing w:after="0" w:line="240" w:lineRule="auto"/>
        <w:jc w:val="both"/>
        <w:rPr>
          <w:bCs/>
          <w:lang w:val="es-ES"/>
        </w:rPr>
      </w:pPr>
      <w:r w:rsidRPr="00BD4C61">
        <w:rPr>
          <w:bCs/>
          <w:lang w:val="es-ES"/>
        </w:rPr>
        <w:t>Los servicios de administración, operación y otros servicios compartidos a los proyectos</w:t>
      </w:r>
    </w:p>
    <w:p w14:paraId="725CBFF8" w14:textId="379E75E1" w:rsidR="007814EC" w:rsidRPr="00BD4C61" w:rsidRDefault="007814EC" w:rsidP="007814EC">
      <w:pPr>
        <w:pStyle w:val="ListParagraph"/>
        <w:numPr>
          <w:ilvl w:val="3"/>
          <w:numId w:val="11"/>
        </w:numPr>
        <w:pBdr>
          <w:top w:val="nil"/>
          <w:left w:val="nil"/>
          <w:bottom w:val="nil"/>
          <w:right w:val="nil"/>
          <w:between w:val="nil"/>
          <w:bar w:val="nil"/>
        </w:pBdr>
        <w:autoSpaceDE w:val="0"/>
        <w:autoSpaceDN w:val="0"/>
        <w:spacing w:after="0" w:line="240" w:lineRule="auto"/>
        <w:jc w:val="both"/>
        <w:rPr>
          <w:bCs/>
          <w:lang w:val="es-ES"/>
        </w:rPr>
      </w:pPr>
      <w:r w:rsidRPr="00BD4C61">
        <w:rPr>
          <w:bCs/>
          <w:lang w:val="es-ES"/>
        </w:rPr>
        <w:t>Creación de documentos relativos al procesamiento de ingresos, presupuesto, gastos, pagos, informes de proveedores y proyectos, solicitudes, órdenes de compra, vales, procesamiento de nóminas</w:t>
      </w:r>
    </w:p>
    <w:p w14:paraId="6B3D84FA" w14:textId="585E5DED" w:rsidR="007814EC" w:rsidRPr="00BD4C61" w:rsidRDefault="007814EC" w:rsidP="007814EC">
      <w:pPr>
        <w:pStyle w:val="ListParagraph"/>
        <w:numPr>
          <w:ilvl w:val="3"/>
          <w:numId w:val="11"/>
        </w:numPr>
        <w:pBdr>
          <w:top w:val="nil"/>
          <w:left w:val="nil"/>
          <w:bottom w:val="nil"/>
          <w:right w:val="nil"/>
          <w:between w:val="nil"/>
          <w:bar w:val="nil"/>
        </w:pBdr>
        <w:autoSpaceDE w:val="0"/>
        <w:autoSpaceDN w:val="0"/>
        <w:spacing w:after="0" w:line="240" w:lineRule="auto"/>
        <w:jc w:val="both"/>
        <w:rPr>
          <w:bCs/>
          <w:lang w:val="es-ES"/>
        </w:rPr>
      </w:pPr>
      <w:r w:rsidRPr="00BD4C61">
        <w:rPr>
          <w:bCs/>
          <w:lang w:val="es-ES"/>
        </w:rPr>
        <w:t>Adquisición de bienes y servicios</w:t>
      </w:r>
    </w:p>
    <w:p w14:paraId="32235CA3" w14:textId="1BC61A8A" w:rsidR="007814EC" w:rsidRPr="00BD4C61" w:rsidRDefault="007814EC" w:rsidP="007814EC">
      <w:pPr>
        <w:pStyle w:val="ListParagraph"/>
        <w:numPr>
          <w:ilvl w:val="3"/>
          <w:numId w:val="11"/>
        </w:numPr>
        <w:pBdr>
          <w:top w:val="nil"/>
          <w:left w:val="nil"/>
          <w:bottom w:val="nil"/>
          <w:right w:val="nil"/>
          <w:between w:val="nil"/>
          <w:bar w:val="nil"/>
        </w:pBdr>
        <w:autoSpaceDE w:val="0"/>
        <w:autoSpaceDN w:val="0"/>
        <w:spacing w:after="0" w:line="240" w:lineRule="auto"/>
        <w:jc w:val="both"/>
        <w:rPr>
          <w:bCs/>
          <w:lang w:val="es-ES"/>
        </w:rPr>
      </w:pPr>
      <w:r w:rsidRPr="00BD4C61">
        <w:rPr>
          <w:bCs/>
          <w:lang w:val="es-ES"/>
        </w:rPr>
        <w:t xml:space="preserve">Servicios de recursos humanos (RRHH): contratación y gestión del personal de proyectos (gestión del personal recurrente, sesiones informativas sobre seguridad y administración general, capacitación e instrumentos de aprendizaje) </w:t>
      </w:r>
    </w:p>
    <w:p w14:paraId="11A5AFC3" w14:textId="3EDB58BC" w:rsidR="007814EC" w:rsidRPr="00BD4C61" w:rsidRDefault="007814EC" w:rsidP="73C5D4AC">
      <w:pPr>
        <w:pStyle w:val="ListParagraph"/>
        <w:numPr>
          <w:ilvl w:val="3"/>
          <w:numId w:val="11"/>
        </w:numPr>
        <w:pBdr>
          <w:top w:val="nil"/>
          <w:left w:val="nil"/>
          <w:bottom w:val="nil"/>
          <w:right w:val="nil"/>
          <w:between w:val="nil"/>
          <w:bar w:val="nil"/>
        </w:pBdr>
        <w:autoSpaceDE w:val="0"/>
        <w:autoSpaceDN w:val="0"/>
        <w:spacing w:after="0" w:line="240" w:lineRule="auto"/>
        <w:jc w:val="both"/>
        <w:rPr>
          <w:lang w:val="es-ES"/>
        </w:rPr>
      </w:pPr>
      <w:r w:rsidRPr="00BD4C61">
        <w:rPr>
          <w:lang w:val="es-ES"/>
        </w:rPr>
        <w:t xml:space="preserve">Servicios logísticos relacionados con los locales de oficinas </w:t>
      </w:r>
    </w:p>
    <w:p w14:paraId="1C547773" w14:textId="64817DB3" w:rsidR="007814EC" w:rsidRPr="00BD4C61" w:rsidRDefault="007814EC" w:rsidP="007814EC">
      <w:pPr>
        <w:pStyle w:val="ListParagraph"/>
        <w:numPr>
          <w:ilvl w:val="3"/>
          <w:numId w:val="11"/>
        </w:numPr>
        <w:pBdr>
          <w:top w:val="nil"/>
          <w:left w:val="nil"/>
          <w:bottom w:val="nil"/>
          <w:right w:val="nil"/>
          <w:between w:val="nil"/>
          <w:bar w:val="nil"/>
        </w:pBdr>
        <w:autoSpaceDE w:val="0"/>
        <w:autoSpaceDN w:val="0"/>
        <w:spacing w:after="0" w:line="240" w:lineRule="auto"/>
        <w:jc w:val="both"/>
        <w:rPr>
          <w:bCs/>
          <w:lang w:val="es-ES"/>
        </w:rPr>
      </w:pPr>
      <w:r w:rsidRPr="00BD4C61">
        <w:rPr>
          <w:bCs/>
          <w:lang w:val="es-ES"/>
        </w:rPr>
        <w:t>Servicios de apoyo logístico como viajes, gestión de eventos</w:t>
      </w:r>
    </w:p>
    <w:p w14:paraId="6F7745AD" w14:textId="6D3A4FBF" w:rsidR="007814EC" w:rsidRPr="00BD4C61" w:rsidRDefault="00BB0538" w:rsidP="007814EC">
      <w:pPr>
        <w:pStyle w:val="ListParagraph"/>
        <w:numPr>
          <w:ilvl w:val="3"/>
          <w:numId w:val="11"/>
        </w:numPr>
        <w:pBdr>
          <w:top w:val="nil"/>
          <w:left w:val="nil"/>
          <w:bottom w:val="nil"/>
          <w:right w:val="nil"/>
          <w:between w:val="nil"/>
          <w:bar w:val="nil"/>
        </w:pBdr>
        <w:autoSpaceDE w:val="0"/>
        <w:autoSpaceDN w:val="0"/>
        <w:spacing w:after="0" w:line="240" w:lineRule="auto"/>
        <w:jc w:val="both"/>
        <w:rPr>
          <w:bCs/>
          <w:lang w:val="es-ES"/>
        </w:rPr>
      </w:pPr>
      <w:r w:rsidRPr="00BD4C61">
        <w:rPr>
          <w:bCs/>
          <w:lang w:val="es-ES"/>
        </w:rPr>
        <w:t>A</w:t>
      </w:r>
      <w:r w:rsidR="007814EC" w:rsidRPr="00BD4C61">
        <w:rPr>
          <w:bCs/>
          <w:lang w:val="es-ES"/>
        </w:rPr>
        <w:t>poyo de comunicación para el personal y las actividades del proyecto</w:t>
      </w:r>
    </w:p>
    <w:p w14:paraId="4DB8E1F4" w14:textId="5322142E" w:rsidR="007814EC" w:rsidRPr="00BD4C61" w:rsidRDefault="007814EC" w:rsidP="007814EC">
      <w:pPr>
        <w:pStyle w:val="ListParagraph"/>
        <w:numPr>
          <w:ilvl w:val="3"/>
          <w:numId w:val="11"/>
        </w:numPr>
        <w:pBdr>
          <w:top w:val="nil"/>
          <w:left w:val="nil"/>
          <w:bottom w:val="nil"/>
          <w:right w:val="nil"/>
          <w:between w:val="nil"/>
          <w:bar w:val="nil"/>
        </w:pBdr>
        <w:autoSpaceDE w:val="0"/>
        <w:autoSpaceDN w:val="0"/>
        <w:spacing w:after="0" w:line="240" w:lineRule="auto"/>
        <w:jc w:val="both"/>
        <w:rPr>
          <w:bCs/>
          <w:lang w:val="es-ES"/>
        </w:rPr>
      </w:pPr>
      <w:r w:rsidRPr="00BD4C61">
        <w:rPr>
          <w:bCs/>
          <w:lang w:val="es-ES"/>
        </w:rPr>
        <w:t>Servicios de gestión de equipo y activos, incluido el equipo de tecnología de la información (TI), mantenimiento, licencias y apoyo al equipo y las actividades del proyecto</w:t>
      </w:r>
    </w:p>
    <w:p w14:paraId="71306313" w14:textId="3B0CA6BD" w:rsidR="007814EC" w:rsidRPr="00BD4C61" w:rsidRDefault="007814EC" w:rsidP="73C5D4AC">
      <w:pPr>
        <w:pStyle w:val="ListParagraph"/>
        <w:numPr>
          <w:ilvl w:val="3"/>
          <w:numId w:val="11"/>
        </w:numPr>
        <w:pBdr>
          <w:top w:val="nil"/>
          <w:left w:val="nil"/>
          <w:bottom w:val="nil"/>
          <w:right w:val="nil"/>
          <w:between w:val="nil"/>
          <w:bar w:val="nil"/>
        </w:pBdr>
        <w:autoSpaceDE w:val="0"/>
        <w:autoSpaceDN w:val="0"/>
        <w:spacing w:after="0" w:line="240" w:lineRule="auto"/>
        <w:contextualSpacing w:val="0"/>
        <w:jc w:val="both"/>
        <w:rPr>
          <w:lang w:val="es-ES"/>
        </w:rPr>
      </w:pPr>
      <w:r w:rsidRPr="00BD4C61">
        <w:rPr>
          <w:lang w:val="es-ES"/>
        </w:rPr>
        <w:t>Actividades conducentes al cierre del proyecto según la lista de verificación</w:t>
      </w:r>
      <w:r w:rsidR="2172C603" w:rsidRPr="00BD4C61">
        <w:rPr>
          <w:lang w:val="es-ES"/>
        </w:rPr>
        <w:t xml:space="preserve"> (Project </w:t>
      </w:r>
      <w:proofErr w:type="spellStart"/>
      <w:r w:rsidR="2172C603" w:rsidRPr="00BD4C61">
        <w:rPr>
          <w:lang w:val="es-ES"/>
        </w:rPr>
        <w:t>closure</w:t>
      </w:r>
      <w:proofErr w:type="spellEnd"/>
      <w:r w:rsidR="2172C603" w:rsidRPr="00BD4C61">
        <w:rPr>
          <w:lang w:val="es-ES"/>
        </w:rPr>
        <w:t xml:space="preserve"> </w:t>
      </w:r>
      <w:proofErr w:type="spellStart"/>
      <w:r w:rsidR="2172C603" w:rsidRPr="00BD4C61">
        <w:rPr>
          <w:lang w:val="es-ES"/>
        </w:rPr>
        <w:t>checklist</w:t>
      </w:r>
      <w:proofErr w:type="spellEnd"/>
      <w:r w:rsidR="2172C603" w:rsidRPr="00BD4C61">
        <w:rPr>
          <w:lang w:val="es-ES"/>
        </w:rPr>
        <w:t>, por sus siglas en inglés)</w:t>
      </w:r>
    </w:p>
    <w:p w14:paraId="7B07CD69" w14:textId="77777777" w:rsidR="009A2058" w:rsidRPr="00BD4C61" w:rsidRDefault="009A2058" w:rsidP="00410238">
      <w:pPr>
        <w:pStyle w:val="ListParagraph"/>
        <w:pBdr>
          <w:top w:val="nil"/>
          <w:left w:val="nil"/>
          <w:bottom w:val="nil"/>
          <w:right w:val="nil"/>
          <w:between w:val="nil"/>
          <w:bar w:val="nil"/>
        </w:pBdr>
        <w:autoSpaceDE w:val="0"/>
        <w:autoSpaceDN w:val="0"/>
        <w:spacing w:after="0" w:line="240" w:lineRule="auto"/>
        <w:ind w:left="2880"/>
        <w:contextualSpacing w:val="0"/>
        <w:jc w:val="both"/>
        <w:rPr>
          <w:bCs/>
          <w:lang w:val="es-ES"/>
        </w:rPr>
      </w:pPr>
    </w:p>
    <w:p w14:paraId="6DFB8991" w14:textId="400003AA" w:rsidR="008576C0" w:rsidRPr="00BD4C61" w:rsidRDefault="00EB5279" w:rsidP="73C5D4AC">
      <w:pPr>
        <w:pStyle w:val="ListParagraph"/>
        <w:numPr>
          <w:ilvl w:val="0"/>
          <w:numId w:val="9"/>
        </w:numPr>
        <w:pBdr>
          <w:top w:val="nil"/>
          <w:left w:val="nil"/>
          <w:bottom w:val="nil"/>
          <w:right w:val="nil"/>
          <w:between w:val="nil"/>
          <w:bar w:val="nil"/>
        </w:pBdr>
        <w:autoSpaceDE w:val="0"/>
        <w:autoSpaceDN w:val="0"/>
        <w:spacing w:before="120" w:after="120" w:line="240" w:lineRule="auto"/>
        <w:ind w:left="1800"/>
        <w:contextualSpacing w:val="0"/>
        <w:rPr>
          <w:b/>
          <w:bCs/>
          <w:lang w:val="es-ES"/>
        </w:rPr>
      </w:pPr>
      <w:r w:rsidRPr="00BD4C61">
        <w:rPr>
          <w:b/>
          <w:bCs/>
          <w:lang w:val="es-ES"/>
        </w:rPr>
        <w:t>Servicios de Organismos de la ONU</w:t>
      </w:r>
      <w:r w:rsidR="0D0E3342" w:rsidRPr="00BD4C61">
        <w:rPr>
          <w:b/>
          <w:bCs/>
          <w:lang w:val="es-ES"/>
        </w:rPr>
        <w:t xml:space="preserve"> (UN Agency </w:t>
      </w:r>
      <w:proofErr w:type="spellStart"/>
      <w:r w:rsidR="0D0E3342" w:rsidRPr="00BD4C61">
        <w:rPr>
          <w:b/>
          <w:bCs/>
          <w:lang w:val="es-ES"/>
        </w:rPr>
        <w:t>Services</w:t>
      </w:r>
      <w:proofErr w:type="spellEnd"/>
      <w:r w:rsidR="0D0E3342" w:rsidRPr="00BD4C61">
        <w:rPr>
          <w:b/>
          <w:bCs/>
          <w:lang w:val="es-ES"/>
        </w:rPr>
        <w:t>, por sus siglas en ingles)</w:t>
      </w:r>
      <w:r w:rsidR="008576C0" w:rsidRPr="00BD4C61">
        <w:rPr>
          <w:b/>
          <w:bCs/>
          <w:lang w:val="es-ES"/>
        </w:rPr>
        <w:t xml:space="preserve"> </w:t>
      </w:r>
    </w:p>
    <w:p w14:paraId="65D97829" w14:textId="386ADF33" w:rsidR="008576C0" w:rsidRPr="00BD4C61" w:rsidRDefault="008B3C1A" w:rsidP="001B30E2">
      <w:pPr>
        <w:pBdr>
          <w:top w:val="nil"/>
          <w:left w:val="nil"/>
          <w:bottom w:val="nil"/>
          <w:right w:val="nil"/>
          <w:between w:val="nil"/>
          <w:bar w:val="nil"/>
        </w:pBdr>
        <w:spacing w:before="120" w:after="120" w:line="240" w:lineRule="auto"/>
        <w:ind w:left="1440"/>
        <w:jc w:val="both"/>
        <w:rPr>
          <w:lang w:val="es-ES"/>
        </w:rPr>
      </w:pPr>
      <w:r w:rsidRPr="00BD4C61">
        <w:rPr>
          <w:lang w:val="es-ES"/>
        </w:rPr>
        <w:t xml:space="preserve">Todo el personal que presta servicios de apoyo administrativo y logístico a otros organismos </w:t>
      </w:r>
      <w:r w:rsidR="1E385E44" w:rsidRPr="00BD4C61">
        <w:rPr>
          <w:lang w:val="es-ES"/>
        </w:rPr>
        <w:t xml:space="preserve">y agencias </w:t>
      </w:r>
      <w:r w:rsidRPr="00BD4C61">
        <w:rPr>
          <w:lang w:val="es-ES"/>
        </w:rPr>
        <w:t>de las Naciones Unidas (incluida la UNRCO) puede ingresar su tiempo en esta categoría.</w:t>
      </w:r>
    </w:p>
    <w:p w14:paraId="62E399BB" w14:textId="70A8F8E0" w:rsidR="008576C0" w:rsidRPr="00BD4C61" w:rsidRDefault="00BA2B93" w:rsidP="001B30E2">
      <w:pPr>
        <w:pStyle w:val="ListParagraph"/>
        <w:numPr>
          <w:ilvl w:val="0"/>
          <w:numId w:val="9"/>
        </w:numPr>
        <w:pBdr>
          <w:top w:val="nil"/>
          <w:left w:val="nil"/>
          <w:bottom w:val="nil"/>
          <w:right w:val="nil"/>
          <w:between w:val="nil"/>
          <w:bar w:val="nil"/>
        </w:pBdr>
        <w:autoSpaceDE w:val="0"/>
        <w:autoSpaceDN w:val="0"/>
        <w:spacing w:before="120" w:after="120" w:line="240" w:lineRule="auto"/>
        <w:ind w:left="1800"/>
        <w:contextualSpacing w:val="0"/>
        <w:rPr>
          <w:b/>
          <w:lang w:val="es-ES"/>
        </w:rPr>
      </w:pPr>
      <w:r w:rsidRPr="00BD4C61">
        <w:rPr>
          <w:b/>
          <w:lang w:val="es-ES"/>
        </w:rPr>
        <w:t>Actividades de gestión</w:t>
      </w:r>
    </w:p>
    <w:p w14:paraId="508D76CC" w14:textId="2E71DC01" w:rsidR="008576C0" w:rsidRPr="00BD4C61" w:rsidRDefault="00622B8E" w:rsidP="001B30E2">
      <w:pPr>
        <w:spacing w:before="120" w:after="120" w:line="240" w:lineRule="auto"/>
        <w:ind w:left="1440"/>
        <w:jc w:val="both"/>
        <w:rPr>
          <w:lang w:val="es-ES"/>
        </w:rPr>
      </w:pPr>
      <w:r w:rsidRPr="00BD4C61">
        <w:rPr>
          <w:lang w:val="es-ES"/>
        </w:rPr>
        <w:t>Se trata de actividades relacionadas con la promoción de la identidad del PNUD, la dirección ejecutiva, la representación, la rendición de cuentas y el bienestar de la Oficina del PNUD en el país. Estas actividades pueden agruparse en tres subgrupos aplicables al personal de la oficina en el país:</w:t>
      </w:r>
    </w:p>
    <w:p w14:paraId="02D93FFD" w14:textId="0004E432" w:rsidR="00BD0914" w:rsidRPr="00BD4C61" w:rsidRDefault="000819D0" w:rsidP="00BD0914">
      <w:pPr>
        <w:pStyle w:val="ListParagraph"/>
        <w:numPr>
          <w:ilvl w:val="0"/>
          <w:numId w:val="15"/>
        </w:numPr>
        <w:spacing w:before="120" w:after="120" w:line="240" w:lineRule="auto"/>
        <w:jc w:val="both"/>
        <w:rPr>
          <w:lang w:val="es-ES"/>
        </w:rPr>
      </w:pPr>
      <w:r w:rsidRPr="00BD4C61">
        <w:rPr>
          <w:lang w:val="es-ES"/>
        </w:rPr>
        <w:t>Liderazgo y representación del</w:t>
      </w:r>
      <w:r w:rsidR="09E4F747" w:rsidRPr="00BD4C61">
        <w:rPr>
          <w:lang w:val="es-ES"/>
        </w:rPr>
        <w:t xml:space="preserve"> </w:t>
      </w:r>
      <w:r w:rsidRPr="00BD4C61">
        <w:rPr>
          <w:lang w:val="es-ES"/>
        </w:rPr>
        <w:t>país</w:t>
      </w:r>
    </w:p>
    <w:p w14:paraId="235A8B30" w14:textId="77777777" w:rsidR="00BD0914" w:rsidRPr="00BD4C61" w:rsidRDefault="00BD0914" w:rsidP="00BD0914">
      <w:pPr>
        <w:pStyle w:val="ListParagraph"/>
        <w:spacing w:before="120" w:after="120" w:line="240" w:lineRule="auto"/>
        <w:ind w:left="2160"/>
        <w:jc w:val="both"/>
        <w:rPr>
          <w:lang w:val="es-ES"/>
        </w:rPr>
      </w:pPr>
    </w:p>
    <w:p w14:paraId="3A757A71" w14:textId="18765F62" w:rsidR="00BD0914" w:rsidRPr="00BD4C61" w:rsidRDefault="00EB4F17" w:rsidP="00BD0914">
      <w:pPr>
        <w:pStyle w:val="ListParagraph"/>
        <w:numPr>
          <w:ilvl w:val="0"/>
          <w:numId w:val="15"/>
        </w:numPr>
        <w:spacing w:before="120" w:after="120" w:line="240" w:lineRule="auto"/>
        <w:jc w:val="both"/>
        <w:rPr>
          <w:lang w:val="es-ES"/>
        </w:rPr>
      </w:pPr>
      <w:r w:rsidRPr="00BD4C61">
        <w:rPr>
          <w:lang w:val="es-ES"/>
        </w:rPr>
        <w:t>Dirección del Programa y Rendición de Cuentas</w:t>
      </w:r>
    </w:p>
    <w:p w14:paraId="7DF3A881" w14:textId="77777777" w:rsidR="00BD0914" w:rsidRPr="00BD4C61" w:rsidRDefault="00BD0914" w:rsidP="00BD0914">
      <w:pPr>
        <w:pStyle w:val="ListParagraph"/>
        <w:rPr>
          <w:lang w:val="es-ES"/>
        </w:rPr>
      </w:pPr>
    </w:p>
    <w:p w14:paraId="4246305C" w14:textId="3363F3D7" w:rsidR="00C937EA" w:rsidRPr="00BD4C61" w:rsidRDefault="7D6FD15E" w:rsidP="00BD0914">
      <w:pPr>
        <w:pStyle w:val="ListParagraph"/>
        <w:numPr>
          <w:ilvl w:val="0"/>
          <w:numId w:val="14"/>
        </w:numPr>
        <w:spacing w:before="120" w:after="120" w:line="240" w:lineRule="auto"/>
        <w:contextualSpacing w:val="0"/>
        <w:jc w:val="both"/>
        <w:rPr>
          <w:lang w:val="es-ES"/>
        </w:rPr>
      </w:pPr>
      <w:r w:rsidRPr="00BD4C61">
        <w:rPr>
          <w:lang w:val="es-ES"/>
        </w:rPr>
        <w:t xml:space="preserve">Actividades relacionas con la </w:t>
      </w:r>
      <w:r w:rsidR="00B301BD" w:rsidRPr="00BD4C61">
        <w:rPr>
          <w:lang w:val="es-ES"/>
        </w:rPr>
        <w:t xml:space="preserve">Gestión y administración de operaciones  </w:t>
      </w:r>
      <w:r w:rsidR="008576C0" w:rsidRPr="00BD4C61">
        <w:rPr>
          <w:lang w:val="es-ES"/>
        </w:rPr>
        <w:t xml:space="preserve">  </w:t>
      </w:r>
      <w:r w:rsidR="77B9985E" w:rsidRPr="00BD4C61">
        <w:rPr>
          <w:lang w:val="es-ES"/>
        </w:rPr>
        <w:t>de</w:t>
      </w:r>
      <w:r w:rsidR="00B301BD" w:rsidRPr="00BD4C61">
        <w:rPr>
          <w:lang w:val="es-ES"/>
        </w:rPr>
        <w:t xml:space="preserve"> la oficina del PNUD propiamente dicha: gestión general de personal/oficina y prestación de servicios de apoyo en el lugar de trabajo (ICT, finanzas, recursos humanos, seguridad del PNUD, viajes, bienes y servicios generales) que permitan al PNUD llevar a cabo la misión de la organización (pero excluyendo el apoyo </w:t>
      </w:r>
      <w:r w:rsidR="00B301BD" w:rsidRPr="00BD4C61">
        <w:rPr>
          <w:lang w:val="es-ES"/>
        </w:rPr>
        <w:lastRenderedPageBreak/>
        <w:t xml:space="preserve">directo a la ejecución de proyectos). También deben incluirse aquí las actividades relacionadas con la armonización y simplificación de los procesos operacionales y las prácticas institucionales de las Naciones Unidas. </w:t>
      </w:r>
    </w:p>
    <w:p w14:paraId="0DC06A30" w14:textId="10DA80A1" w:rsidR="00436ECD" w:rsidRPr="00BD4C61" w:rsidRDefault="00106FCD" w:rsidP="00C937EA">
      <w:pPr>
        <w:pStyle w:val="ListParagraph"/>
        <w:numPr>
          <w:ilvl w:val="0"/>
          <w:numId w:val="12"/>
        </w:numPr>
        <w:spacing w:before="120" w:after="120" w:line="240" w:lineRule="auto"/>
        <w:jc w:val="both"/>
        <w:rPr>
          <w:color w:val="000000" w:themeColor="text1"/>
          <w:lang w:val="es-ES"/>
        </w:rPr>
      </w:pPr>
      <w:r w:rsidRPr="00BD4C61">
        <w:rPr>
          <w:bCs/>
          <w:lang w:val="es-ES"/>
        </w:rPr>
        <w:t xml:space="preserve">La definición amplia de las categorías de clasificación de gastos (desarrollo, gestión, coordinación del desarrollo de las Naciones Unidas y fines especiales), aprobada por la Junta Ejecutiva del PNUD/UNFPA en su decisión 2010/32, la Junta Ejecutiva del UNICEF en su decisión 2010/20 y la Junta Ejecutiva de ONU-Mujeres en su decisión 2013/2 se presentan </w:t>
      </w:r>
      <w:hyperlink r:id="rId13" w:history="1">
        <w:r w:rsidRPr="00BD4C61">
          <w:rPr>
            <w:rStyle w:val="Hyperlink"/>
            <w:bCs/>
            <w:lang w:val="es-ES"/>
          </w:rPr>
          <w:t>AQUÍ</w:t>
        </w:r>
      </w:hyperlink>
      <w:r w:rsidRPr="00BD4C61">
        <w:rPr>
          <w:bCs/>
          <w:lang w:val="es-ES"/>
        </w:rPr>
        <w:t>.</w:t>
      </w:r>
    </w:p>
    <w:p w14:paraId="528E7EC6" w14:textId="3B1ECFD9" w:rsidR="005551D9" w:rsidRPr="00BD4C61" w:rsidRDefault="00106FCD" w:rsidP="00C8003D">
      <w:pPr>
        <w:pStyle w:val="ListParagraph"/>
        <w:numPr>
          <w:ilvl w:val="0"/>
          <w:numId w:val="13"/>
        </w:numPr>
        <w:pBdr>
          <w:top w:val="nil"/>
          <w:left w:val="nil"/>
          <w:bottom w:val="nil"/>
          <w:right w:val="nil"/>
          <w:between w:val="nil"/>
          <w:bar w:val="nil"/>
        </w:pBdr>
        <w:spacing w:before="240" w:after="240" w:line="240" w:lineRule="auto"/>
        <w:contextualSpacing w:val="0"/>
        <w:jc w:val="both"/>
        <w:rPr>
          <w:lang w:val="es-ES"/>
        </w:rPr>
      </w:pPr>
      <w:r w:rsidRPr="00BD4C61">
        <w:rPr>
          <w:lang w:val="es-ES"/>
        </w:rPr>
        <w:t xml:space="preserve">Una vez comprendidas las agrupaciones funcionales en los tres grandes grupos de actividades antes mencionados (desarrollo, servicios a organismos y gestión), el personal deberá atribuir su tiempo diario, utilizando una hoja de horas del personal. Plantillas opcionales de WLS para un personal individual que realiza actividades de desarrollo proporcionadas en la intranet de la OFM </w:t>
      </w:r>
      <w:hyperlink r:id="rId14" w:history="1">
        <w:r w:rsidRPr="00BD4C61">
          <w:rPr>
            <w:rStyle w:val="Hyperlink"/>
            <w:lang w:val="es-ES"/>
          </w:rPr>
          <w:t>AQUÍ</w:t>
        </w:r>
      </w:hyperlink>
      <w:r w:rsidRPr="00BD4C61">
        <w:rPr>
          <w:lang w:val="es-ES"/>
        </w:rPr>
        <w:t>. Estas plantillas pueden modificarse, simplificarse o personalizarse aún más para cada personal o una naturaleza del programa de la oficina en el país.</w:t>
      </w:r>
    </w:p>
    <w:p w14:paraId="203B1893" w14:textId="1DDBA5EE" w:rsidR="008576C0" w:rsidRPr="00BD4C61" w:rsidRDefault="000E6D14" w:rsidP="00C8003D">
      <w:pPr>
        <w:pStyle w:val="ListParagraph"/>
        <w:numPr>
          <w:ilvl w:val="0"/>
          <w:numId w:val="13"/>
        </w:numPr>
        <w:pBdr>
          <w:top w:val="nil"/>
          <w:left w:val="nil"/>
          <w:bottom w:val="nil"/>
          <w:right w:val="nil"/>
          <w:between w:val="nil"/>
          <w:bar w:val="nil"/>
        </w:pBdr>
        <w:spacing w:before="240" w:after="240" w:line="240" w:lineRule="auto"/>
        <w:contextualSpacing w:val="0"/>
        <w:jc w:val="both"/>
        <w:rPr>
          <w:lang w:val="es-ES"/>
        </w:rPr>
      </w:pPr>
      <w:r w:rsidRPr="00BD4C61">
        <w:rPr>
          <w:lang w:val="es-ES"/>
        </w:rPr>
        <w:t xml:space="preserve">Al final del período de la encuesta, las oficinas deben realizar una validación / revisión de dos niveles de los resultados de la carga de trabajo (por ejemplo, hojas de tiempo) de cada personal. Una persona que presentó la hoja de tiempo y su supervisor directo deben asegurarse de que el tiempo </w:t>
      </w:r>
      <w:proofErr w:type="spellStart"/>
      <w:r w:rsidRPr="00BD4C61">
        <w:rPr>
          <w:lang w:val="es-ES"/>
        </w:rPr>
        <w:t>auto</w:t>
      </w:r>
      <w:r w:rsidR="005F6118" w:rsidRPr="00BD4C61">
        <w:rPr>
          <w:lang w:val="es-ES"/>
        </w:rPr>
        <w:t>-</w:t>
      </w:r>
      <w:r w:rsidRPr="00BD4C61">
        <w:rPr>
          <w:lang w:val="es-ES"/>
        </w:rPr>
        <w:t>informado</w:t>
      </w:r>
      <w:proofErr w:type="spellEnd"/>
      <w:r w:rsidRPr="00BD4C61">
        <w:rPr>
          <w:lang w:val="es-ES"/>
        </w:rPr>
        <w:t xml:space="preserve"> asignado a los principales servicios y proyectos sea razonablemente preciso y coherente en general con las descripciones de trabajo / términos de referencia y sus funciones.</w:t>
      </w:r>
    </w:p>
    <w:p w14:paraId="57CF2E11" w14:textId="2FAD3819" w:rsidR="000F1347" w:rsidRPr="00BD4C61" w:rsidRDefault="00C922B7" w:rsidP="00C937EA">
      <w:pPr>
        <w:pStyle w:val="ListParagraph"/>
        <w:numPr>
          <w:ilvl w:val="0"/>
          <w:numId w:val="13"/>
        </w:numPr>
        <w:pBdr>
          <w:top w:val="nil"/>
          <w:left w:val="nil"/>
          <w:bottom w:val="nil"/>
          <w:right w:val="nil"/>
          <w:between w:val="nil"/>
          <w:bar w:val="nil"/>
        </w:pBdr>
        <w:spacing w:before="240" w:after="240" w:line="240" w:lineRule="auto"/>
        <w:contextualSpacing w:val="0"/>
        <w:jc w:val="both"/>
        <w:rPr>
          <w:rFonts w:ascii="Calibri" w:eastAsia="Calibri" w:hAnsi="Calibri" w:cs="Calibri"/>
          <w:lang w:val="es-ES"/>
        </w:rPr>
      </w:pPr>
      <w:r w:rsidRPr="00BD4C61">
        <w:rPr>
          <w:color w:val="000000" w:themeColor="text1"/>
          <w:lang w:val="es-ES"/>
        </w:rPr>
        <w:t>Una vez finalizado el estudio, el coordinador superior de la oficina en el país para el WLS debería consolidar las distribuciones de tiempo individuales en el archivo Excel de la plantilla del WLS (una línea por personal).  Dado que los estudios sobre el volumen de trabajo se realizan actualmente sobre la base de archivos Excel manuales, se recomienda compartir una hoja de tiempo individual consolidada con cada personal y sus directivos para comprobar que está completa y es exacta.</w:t>
      </w:r>
    </w:p>
    <w:p w14:paraId="562E6D5B" w14:textId="11835AB2" w:rsidR="00C51327" w:rsidRPr="00BD4C61" w:rsidRDefault="00640368" w:rsidP="00504A54">
      <w:pPr>
        <w:pStyle w:val="ListParagraph"/>
        <w:numPr>
          <w:ilvl w:val="0"/>
          <w:numId w:val="13"/>
        </w:numPr>
        <w:pBdr>
          <w:top w:val="nil"/>
          <w:left w:val="nil"/>
          <w:bottom w:val="nil"/>
          <w:right w:val="nil"/>
          <w:between w:val="nil"/>
          <w:bar w:val="nil"/>
        </w:pBdr>
        <w:spacing w:before="240" w:after="240" w:line="240" w:lineRule="auto"/>
        <w:jc w:val="both"/>
        <w:rPr>
          <w:rFonts w:ascii="Calibri" w:eastAsia="Calibri" w:hAnsi="Calibri" w:cs="Calibri"/>
          <w:lang w:val="es-ES"/>
        </w:rPr>
      </w:pPr>
      <w:r w:rsidRPr="00BD4C61">
        <w:rPr>
          <w:color w:val="000000" w:themeColor="text1"/>
          <w:lang w:val="es-ES"/>
        </w:rPr>
        <w:t xml:space="preserve">Una vez validados, los resultados del WLS pueden orientar a la dirección de la oficina en el país sobre la forma de financiar el personal procedente de diversas fuentes de financiación (proyectos de desarrollo o fondos de gestión) y servir de base para planificar y financiar los puestos y contratos de la oficina en el país.  </w:t>
      </w:r>
    </w:p>
    <w:p w14:paraId="773B1881" w14:textId="77777777" w:rsidR="00640368" w:rsidRPr="00BD4C61" w:rsidRDefault="00640368" w:rsidP="00640368">
      <w:pPr>
        <w:pStyle w:val="ListParagraph"/>
        <w:pBdr>
          <w:top w:val="nil"/>
          <w:left w:val="nil"/>
          <w:bottom w:val="nil"/>
          <w:right w:val="nil"/>
          <w:between w:val="nil"/>
          <w:bar w:val="nil"/>
        </w:pBdr>
        <w:spacing w:before="240" w:after="240" w:line="240" w:lineRule="auto"/>
        <w:jc w:val="both"/>
        <w:rPr>
          <w:rFonts w:ascii="Calibri" w:eastAsia="Calibri" w:hAnsi="Calibri" w:cs="Calibri"/>
          <w:lang w:val="es-ES"/>
        </w:rPr>
      </w:pPr>
    </w:p>
    <w:p w14:paraId="13832F27" w14:textId="045535A1" w:rsidR="00B0347B" w:rsidRPr="00BD4C61" w:rsidRDefault="00773954" w:rsidP="00C937EA">
      <w:pPr>
        <w:pStyle w:val="ListParagraph"/>
        <w:numPr>
          <w:ilvl w:val="0"/>
          <w:numId w:val="13"/>
        </w:numPr>
        <w:pBdr>
          <w:top w:val="nil"/>
          <w:left w:val="nil"/>
          <w:bottom w:val="nil"/>
          <w:right w:val="nil"/>
          <w:between w:val="nil"/>
          <w:bar w:val="nil"/>
        </w:pBdr>
        <w:spacing w:before="240" w:after="240" w:line="240" w:lineRule="auto"/>
        <w:contextualSpacing w:val="0"/>
        <w:jc w:val="both"/>
        <w:rPr>
          <w:rFonts w:ascii="Calibri" w:eastAsia="Calibri" w:hAnsi="Calibri" w:cs="Calibri"/>
          <w:lang w:val="es-ES"/>
        </w:rPr>
      </w:pPr>
      <w:r w:rsidRPr="00BD4C61">
        <w:rPr>
          <w:color w:val="000000" w:themeColor="text1"/>
          <w:lang w:val="es-ES"/>
        </w:rPr>
        <w:t>Al final del WLS, el coordinador superior del CO para el WLS debería analizar y compartir los resultados y conclusiones del WLS a la dirección del CO, para su revisión y aprobación. En ese análisis se podrían examinar e identificar las siguientes esferas</w:t>
      </w:r>
      <w:r w:rsidR="00340B4B" w:rsidRPr="00BD4C61">
        <w:rPr>
          <w:color w:val="000000" w:themeColor="text1"/>
          <w:lang w:val="es-ES"/>
        </w:rPr>
        <w:t>:</w:t>
      </w:r>
    </w:p>
    <w:p w14:paraId="282953A4" w14:textId="64F258FC" w:rsidR="009D1B1D" w:rsidRPr="00BD4C61" w:rsidRDefault="009D1B1D" w:rsidP="009D1B1D">
      <w:pPr>
        <w:pStyle w:val="ListParagraph"/>
        <w:numPr>
          <w:ilvl w:val="1"/>
          <w:numId w:val="8"/>
        </w:numPr>
        <w:pBdr>
          <w:top w:val="nil"/>
          <w:left w:val="nil"/>
          <w:bottom w:val="nil"/>
          <w:right w:val="nil"/>
          <w:between w:val="nil"/>
          <w:bar w:val="nil"/>
        </w:pBdr>
        <w:spacing w:before="240" w:after="240" w:line="240" w:lineRule="auto"/>
        <w:jc w:val="both"/>
        <w:rPr>
          <w:rFonts w:ascii="Calibri" w:eastAsia="Calibri" w:hAnsi="Calibri" w:cs="Calibri"/>
          <w:lang w:val="es-ES"/>
        </w:rPr>
      </w:pPr>
      <w:r w:rsidRPr="00BD4C61">
        <w:rPr>
          <w:rFonts w:ascii="Calibri" w:eastAsia="Calibri" w:hAnsi="Calibri" w:cs="Calibri"/>
          <w:lang w:val="es-ES"/>
        </w:rPr>
        <w:t>Volumen de trabajo del personal de la oficina en el país por categorías principales (desarrollo, servicios de los organismos y gestión) en comparación con la financiación disponible (prevista) (presupuesto institucional (fondos básicos, servicios de gestión general, ingresos por servicios de los organismos y presupuestos por programas)</w:t>
      </w:r>
    </w:p>
    <w:p w14:paraId="52E39D07" w14:textId="77777777" w:rsidR="009D1B1D" w:rsidRPr="00BD4C61" w:rsidRDefault="009D1B1D" w:rsidP="009D1B1D">
      <w:pPr>
        <w:pStyle w:val="ListParagraph"/>
        <w:pBdr>
          <w:top w:val="nil"/>
          <w:left w:val="nil"/>
          <w:bottom w:val="nil"/>
          <w:right w:val="nil"/>
          <w:between w:val="nil"/>
          <w:bar w:val="nil"/>
        </w:pBdr>
        <w:spacing w:before="240" w:after="240" w:line="240" w:lineRule="auto"/>
        <w:ind w:left="1440"/>
        <w:jc w:val="both"/>
        <w:rPr>
          <w:rFonts w:ascii="Calibri" w:eastAsia="Calibri" w:hAnsi="Calibri" w:cs="Calibri"/>
          <w:lang w:val="es-ES"/>
        </w:rPr>
      </w:pPr>
    </w:p>
    <w:p w14:paraId="547A95D7" w14:textId="4DBAC45E" w:rsidR="009D1B1D" w:rsidRPr="00BD4C61" w:rsidRDefault="009D1B1D" w:rsidP="009D1B1D">
      <w:pPr>
        <w:pStyle w:val="ListParagraph"/>
        <w:numPr>
          <w:ilvl w:val="1"/>
          <w:numId w:val="8"/>
        </w:numPr>
        <w:pBdr>
          <w:top w:val="nil"/>
          <w:left w:val="nil"/>
          <w:bottom w:val="nil"/>
          <w:right w:val="nil"/>
          <w:between w:val="nil"/>
          <w:bar w:val="nil"/>
        </w:pBdr>
        <w:spacing w:before="240" w:after="240" w:line="240" w:lineRule="auto"/>
        <w:jc w:val="both"/>
        <w:rPr>
          <w:rFonts w:ascii="Calibri" w:eastAsia="Calibri" w:hAnsi="Calibri" w:cs="Calibri"/>
          <w:lang w:val="es-ES"/>
        </w:rPr>
      </w:pPr>
      <w:r w:rsidRPr="00BD4C61">
        <w:rPr>
          <w:rFonts w:ascii="Calibri" w:eastAsia="Calibri" w:hAnsi="Calibri" w:cs="Calibri"/>
          <w:lang w:val="es-ES"/>
        </w:rPr>
        <w:t>Volumen de trabajo del personal de la oficina de enlace para las actividades de desarrollo por proyecto en comparación con los costos directos aprobados en el presupuesto del proyecto respectivo y la financiación disponible</w:t>
      </w:r>
    </w:p>
    <w:p w14:paraId="195D57A1" w14:textId="77777777" w:rsidR="009D1B1D" w:rsidRPr="00BD4C61" w:rsidRDefault="009D1B1D" w:rsidP="009D1B1D">
      <w:pPr>
        <w:pStyle w:val="ListParagraph"/>
        <w:rPr>
          <w:rFonts w:ascii="Calibri" w:eastAsia="Calibri" w:hAnsi="Calibri" w:cs="Calibri"/>
          <w:lang w:val="es-ES"/>
        </w:rPr>
      </w:pPr>
    </w:p>
    <w:p w14:paraId="7DD33C15" w14:textId="0F5CE6B5" w:rsidR="009D1B1D" w:rsidRPr="00BD4C61" w:rsidRDefault="009D1B1D" w:rsidP="009D1B1D">
      <w:pPr>
        <w:pStyle w:val="ListParagraph"/>
        <w:numPr>
          <w:ilvl w:val="1"/>
          <w:numId w:val="8"/>
        </w:numPr>
        <w:pBdr>
          <w:top w:val="nil"/>
          <w:left w:val="nil"/>
          <w:bottom w:val="nil"/>
          <w:right w:val="nil"/>
          <w:between w:val="nil"/>
          <w:bar w:val="nil"/>
        </w:pBdr>
        <w:spacing w:before="240" w:after="240" w:line="240" w:lineRule="auto"/>
        <w:jc w:val="both"/>
        <w:rPr>
          <w:rFonts w:ascii="Calibri" w:eastAsia="Calibri" w:hAnsi="Calibri" w:cs="Calibri"/>
          <w:lang w:val="es-ES"/>
        </w:rPr>
      </w:pPr>
      <w:r w:rsidRPr="00BD4C61">
        <w:rPr>
          <w:rFonts w:ascii="Calibri" w:eastAsia="Calibri" w:hAnsi="Calibri" w:cs="Calibri"/>
          <w:lang w:val="es-ES"/>
        </w:rPr>
        <w:t>El volumen de trabajo del personal de las oficinas en el país para los servicios de los principales organismos de las Naciones Unidas frente a los ingresos de los organismos</w:t>
      </w:r>
    </w:p>
    <w:p w14:paraId="22EB571B" w14:textId="77777777" w:rsidR="009D1B1D" w:rsidRPr="00BD4C61" w:rsidRDefault="009D1B1D" w:rsidP="009D1B1D">
      <w:pPr>
        <w:pStyle w:val="ListParagraph"/>
        <w:rPr>
          <w:rFonts w:ascii="Calibri" w:eastAsia="Calibri" w:hAnsi="Calibri" w:cs="Calibri"/>
          <w:lang w:val="es-ES"/>
        </w:rPr>
      </w:pPr>
    </w:p>
    <w:p w14:paraId="2BB4EFCF" w14:textId="07B9876F" w:rsidR="009D1B1D" w:rsidRPr="00BD4C61" w:rsidRDefault="009D1B1D" w:rsidP="009D1B1D">
      <w:pPr>
        <w:pStyle w:val="ListParagraph"/>
        <w:numPr>
          <w:ilvl w:val="1"/>
          <w:numId w:val="8"/>
        </w:numPr>
        <w:pBdr>
          <w:top w:val="nil"/>
          <w:left w:val="nil"/>
          <w:bottom w:val="nil"/>
          <w:right w:val="nil"/>
          <w:between w:val="nil"/>
          <w:bar w:val="nil"/>
        </w:pBdr>
        <w:spacing w:before="240" w:after="240" w:line="240" w:lineRule="auto"/>
        <w:jc w:val="both"/>
        <w:rPr>
          <w:rFonts w:ascii="Calibri" w:eastAsia="Calibri" w:hAnsi="Calibri" w:cs="Calibri"/>
          <w:lang w:val="es-ES"/>
        </w:rPr>
      </w:pPr>
      <w:r w:rsidRPr="00BD4C61">
        <w:rPr>
          <w:rFonts w:ascii="Calibri" w:eastAsia="Calibri" w:hAnsi="Calibri" w:cs="Calibri"/>
          <w:lang w:val="es-ES"/>
        </w:rPr>
        <w:lastRenderedPageBreak/>
        <w:t xml:space="preserve">Cualquier desajuste del volumen de trabajo real del personal con la financiación de su puesto </w:t>
      </w:r>
    </w:p>
    <w:p w14:paraId="118B0CDD" w14:textId="77777777" w:rsidR="009D1B1D" w:rsidRPr="00BD4C61" w:rsidRDefault="009D1B1D" w:rsidP="009D1B1D">
      <w:pPr>
        <w:pStyle w:val="ListParagraph"/>
        <w:rPr>
          <w:rFonts w:ascii="Calibri" w:eastAsia="Calibri" w:hAnsi="Calibri" w:cs="Calibri"/>
          <w:lang w:val="es-ES"/>
        </w:rPr>
      </w:pPr>
    </w:p>
    <w:p w14:paraId="5760AD8B" w14:textId="53CFD81E" w:rsidR="009D1B1D" w:rsidRPr="00BD4C61" w:rsidRDefault="009D1B1D" w:rsidP="009D1B1D">
      <w:pPr>
        <w:pStyle w:val="ListParagraph"/>
        <w:numPr>
          <w:ilvl w:val="1"/>
          <w:numId w:val="8"/>
        </w:numPr>
        <w:pBdr>
          <w:top w:val="nil"/>
          <w:left w:val="nil"/>
          <w:bottom w:val="nil"/>
          <w:right w:val="nil"/>
          <w:between w:val="nil"/>
          <w:bar w:val="nil"/>
        </w:pBdr>
        <w:spacing w:before="240" w:after="240" w:line="240" w:lineRule="auto"/>
        <w:jc w:val="both"/>
        <w:rPr>
          <w:rFonts w:ascii="Calibri" w:eastAsia="Calibri" w:hAnsi="Calibri" w:cs="Calibri"/>
          <w:lang w:val="es-ES"/>
        </w:rPr>
      </w:pPr>
      <w:r w:rsidRPr="00BD4C61">
        <w:rPr>
          <w:rFonts w:ascii="Calibri" w:eastAsia="Calibri" w:hAnsi="Calibri" w:cs="Calibri"/>
          <w:lang w:val="es-ES"/>
        </w:rPr>
        <w:t xml:space="preserve">Estrategias a corto y largo plazo para resolver el desajuste de la financiación de los puestos en relación con sus funciones </w:t>
      </w:r>
    </w:p>
    <w:p w14:paraId="6E119E9A" w14:textId="77777777" w:rsidR="009D1B1D" w:rsidRPr="00BD4C61" w:rsidRDefault="009D1B1D" w:rsidP="009D1B1D">
      <w:pPr>
        <w:pStyle w:val="ListParagraph"/>
        <w:rPr>
          <w:rFonts w:ascii="Calibri" w:eastAsia="Calibri" w:hAnsi="Calibri" w:cs="Calibri"/>
          <w:lang w:val="es-ES"/>
        </w:rPr>
      </w:pPr>
    </w:p>
    <w:p w14:paraId="1EFE0AC3" w14:textId="526D037F" w:rsidR="009D1B1D" w:rsidRPr="00BD4C61" w:rsidRDefault="009D1B1D" w:rsidP="009D1B1D">
      <w:pPr>
        <w:pStyle w:val="ListParagraph"/>
        <w:numPr>
          <w:ilvl w:val="1"/>
          <w:numId w:val="8"/>
        </w:numPr>
        <w:pBdr>
          <w:top w:val="nil"/>
          <w:left w:val="nil"/>
          <w:bottom w:val="nil"/>
          <w:right w:val="nil"/>
          <w:between w:val="nil"/>
          <w:bar w:val="nil"/>
        </w:pBdr>
        <w:spacing w:before="240" w:after="240" w:line="240" w:lineRule="auto"/>
        <w:contextualSpacing w:val="0"/>
        <w:jc w:val="both"/>
        <w:rPr>
          <w:rFonts w:ascii="Calibri" w:eastAsia="Calibri" w:hAnsi="Calibri" w:cs="Calibri"/>
          <w:lang w:val="es-ES"/>
        </w:rPr>
      </w:pPr>
      <w:r w:rsidRPr="00BD4C61">
        <w:rPr>
          <w:rFonts w:ascii="Calibri" w:eastAsia="Calibri" w:hAnsi="Calibri" w:cs="Calibri"/>
          <w:lang w:val="es-ES"/>
        </w:rPr>
        <w:t>Una estrategia de comunicación para los principales interesados (los interesados en los proyectos para las revisiones anuales del presupuesto</w:t>
      </w:r>
    </w:p>
    <w:p w14:paraId="5D1B9B11" w14:textId="174E19FD" w:rsidR="00C42E6D" w:rsidRPr="00986BF9" w:rsidRDefault="001E6ED7" w:rsidP="00C42E6D">
      <w:pPr>
        <w:pStyle w:val="ListParagraph"/>
        <w:numPr>
          <w:ilvl w:val="0"/>
          <w:numId w:val="13"/>
        </w:numPr>
        <w:pBdr>
          <w:top w:val="nil"/>
          <w:left w:val="nil"/>
          <w:bottom w:val="nil"/>
          <w:right w:val="nil"/>
          <w:between w:val="nil"/>
          <w:bar w:val="nil"/>
        </w:pBdr>
        <w:spacing w:before="240" w:after="240" w:line="240" w:lineRule="auto"/>
        <w:jc w:val="both"/>
        <w:rPr>
          <w:rFonts w:ascii="Calibri" w:eastAsia="Calibri" w:hAnsi="Calibri" w:cs="Calibri"/>
          <w:lang w:val="es-ES"/>
        </w:rPr>
      </w:pPr>
      <w:r w:rsidRPr="00BD4C61">
        <w:rPr>
          <w:color w:val="000000" w:themeColor="text1"/>
          <w:lang w:val="es-ES"/>
        </w:rPr>
        <w:t xml:space="preserve">Las decisiones de planificación de puestos deberían reflejarse además en el ejercicio de planificación de trabajo anual de la oficina en el país, </w:t>
      </w:r>
      <w:r w:rsidR="0067474A" w:rsidRPr="00BD4C61">
        <w:rPr>
          <w:color w:val="000000" w:themeColor="text1"/>
          <w:lang w:val="es-ES"/>
        </w:rPr>
        <w:t>mostrando</w:t>
      </w:r>
      <w:r w:rsidRPr="00BD4C61">
        <w:rPr>
          <w:color w:val="000000" w:themeColor="text1"/>
          <w:lang w:val="es-ES"/>
        </w:rPr>
        <w:t xml:space="preserve"> con precisión la financiación prevista y los presupuestos aprobados/disponibles de cada puesto de la oficina en el país. Los costos anuales que deben recuperarse mediante el cálculo directo de los costos de los proyectos en la presentación del plan de trabajo anual de la oficina de país deberían basarse en los resultados del WLS y en los presupuestos aprobados o disponibles en los proyectos de desarrollo.</w:t>
      </w:r>
    </w:p>
    <w:p w14:paraId="2A47C665" w14:textId="77777777" w:rsidR="00C42E6D" w:rsidRPr="00986BF9" w:rsidRDefault="00C42E6D" w:rsidP="00986BF9">
      <w:pPr>
        <w:pStyle w:val="ListParagraph"/>
        <w:pBdr>
          <w:top w:val="nil"/>
          <w:left w:val="nil"/>
          <w:bottom w:val="nil"/>
          <w:right w:val="nil"/>
          <w:between w:val="nil"/>
          <w:bar w:val="nil"/>
        </w:pBdr>
        <w:spacing w:before="240" w:after="240" w:line="240" w:lineRule="auto"/>
        <w:jc w:val="both"/>
        <w:rPr>
          <w:rFonts w:ascii="Calibri" w:eastAsia="Calibri" w:hAnsi="Calibri" w:cs="Calibri"/>
          <w:lang w:val="es-ES"/>
        </w:rPr>
      </w:pPr>
    </w:p>
    <w:p w14:paraId="7F53A552" w14:textId="77777777" w:rsidR="00430CE1" w:rsidRPr="00430CE1" w:rsidRDefault="00C42E6D" w:rsidP="00430CE1">
      <w:pPr>
        <w:pStyle w:val="ListParagraph"/>
        <w:numPr>
          <w:ilvl w:val="0"/>
          <w:numId w:val="13"/>
        </w:numPr>
        <w:pBdr>
          <w:top w:val="nil"/>
          <w:left w:val="nil"/>
          <w:bottom w:val="nil"/>
          <w:right w:val="nil"/>
          <w:between w:val="nil"/>
          <w:bar w:val="nil"/>
        </w:pBdr>
        <w:spacing w:before="240" w:after="240" w:line="240" w:lineRule="auto"/>
        <w:jc w:val="both"/>
        <w:rPr>
          <w:color w:val="000000" w:themeColor="text1"/>
          <w:lang w:val="es-AR"/>
        </w:rPr>
      </w:pPr>
      <w:r>
        <w:rPr>
          <w:color w:val="000000" w:themeColor="text1"/>
          <w:lang w:val="es-ES"/>
        </w:rPr>
        <w:t xml:space="preserve">Sírvase consultar el procedimiento para </w:t>
      </w:r>
      <w:hyperlink r:id="rId15" w:history="1">
        <w:r w:rsidRPr="00C42E6D">
          <w:rPr>
            <w:rStyle w:val="Hyperlink"/>
            <w:lang w:val="es-ES"/>
          </w:rPr>
          <w:t>Formular Proyectos de Desarrollo</w:t>
        </w:r>
      </w:hyperlink>
      <w:r>
        <w:rPr>
          <w:color w:val="000000" w:themeColor="text1"/>
          <w:lang w:val="es-ES"/>
        </w:rPr>
        <w:t xml:space="preserve"> -, paso 3.2 -  </w:t>
      </w:r>
      <w:r w:rsidRPr="00C42E6D">
        <w:rPr>
          <w:color w:val="000000" w:themeColor="text1"/>
          <w:lang w:val="es-ES"/>
        </w:rPr>
        <w:t>Preparar los presupuestos de los proyectos con todos los costes para garantizar que se identifican todos los costes programáticos y operativos previstos, incluida la eficacia del desarrollo y los acuerdos de apoyo a la ejecución, con todos los costes incluidos en el presupuesto.</w:t>
      </w:r>
      <w:r>
        <w:rPr>
          <w:color w:val="000000" w:themeColor="text1"/>
          <w:lang w:val="es-ES"/>
        </w:rPr>
        <w:t xml:space="preserve"> Los requisitos para desarrollar un presupuesto de proyecto están delineados en </w:t>
      </w:r>
      <w:hyperlink r:id="rId16" w:tgtFrame="_blank" w:history="1">
        <w:r w:rsidR="00430CE1" w:rsidRPr="00986BF9">
          <w:rPr>
            <w:rStyle w:val="Hyperlink"/>
            <w:lang w:val="es-AR"/>
          </w:rPr>
          <w:t>Preparación de presupuestos totalmente calculados para proyectos</w:t>
        </w:r>
      </w:hyperlink>
      <w:r w:rsidR="00430CE1" w:rsidRPr="00986BF9">
        <w:rPr>
          <w:color w:val="000000" w:themeColor="text1"/>
          <w:lang w:val="es-AR"/>
        </w:rPr>
        <w:t>.</w:t>
      </w:r>
      <w:r w:rsidR="00430CE1">
        <w:rPr>
          <w:color w:val="000000" w:themeColor="text1"/>
          <w:lang w:val="es-AR"/>
        </w:rPr>
        <w:t xml:space="preserve"> </w:t>
      </w:r>
      <w:r w:rsidR="00430CE1" w:rsidRPr="00430CE1">
        <w:rPr>
          <w:color w:val="000000" w:themeColor="text1"/>
          <w:lang w:val="es-AR"/>
        </w:rPr>
        <w:t>Consulte los procedimientos detallados para el cálculo de costes y presupuestos de los proyectos financiados por los siguientes socios:</w:t>
      </w:r>
    </w:p>
    <w:p w14:paraId="420F83FB" w14:textId="79249598" w:rsidR="00C42E6D" w:rsidRPr="00986BF9" w:rsidRDefault="00AB398E" w:rsidP="00430CE1">
      <w:pPr>
        <w:pStyle w:val="ListParagraph"/>
        <w:numPr>
          <w:ilvl w:val="1"/>
          <w:numId w:val="13"/>
        </w:numPr>
        <w:pBdr>
          <w:top w:val="nil"/>
          <w:left w:val="nil"/>
          <w:bottom w:val="nil"/>
          <w:right w:val="nil"/>
          <w:between w:val="nil"/>
          <w:bar w:val="nil"/>
        </w:pBdr>
        <w:spacing w:before="240" w:after="240" w:line="240" w:lineRule="auto"/>
        <w:jc w:val="both"/>
        <w:rPr>
          <w:rFonts w:ascii="Calibri" w:eastAsia="Calibri" w:hAnsi="Calibri" w:cs="Calibri"/>
          <w:lang w:val="es-ES"/>
        </w:rPr>
      </w:pPr>
      <w:hyperlink r:id="rId17" w:history="1">
        <w:r w:rsidR="00430CE1" w:rsidRPr="00430CE1">
          <w:rPr>
            <w:rStyle w:val="Hyperlink"/>
            <w:lang w:val="es-AR"/>
          </w:rPr>
          <w:t>Unión Europea (UE)</w:t>
        </w:r>
      </w:hyperlink>
    </w:p>
    <w:p w14:paraId="0B8BE7C0" w14:textId="142A4C1A" w:rsidR="00430CE1" w:rsidRPr="00986BF9" w:rsidRDefault="00AB398E" w:rsidP="00430CE1">
      <w:pPr>
        <w:pStyle w:val="ListParagraph"/>
        <w:numPr>
          <w:ilvl w:val="1"/>
          <w:numId w:val="13"/>
        </w:numPr>
        <w:pBdr>
          <w:top w:val="nil"/>
          <w:left w:val="nil"/>
          <w:bottom w:val="nil"/>
          <w:right w:val="nil"/>
          <w:between w:val="nil"/>
          <w:bar w:val="nil"/>
        </w:pBdr>
        <w:spacing w:before="240" w:after="240" w:line="240" w:lineRule="auto"/>
        <w:jc w:val="both"/>
        <w:rPr>
          <w:rFonts w:ascii="Arial" w:eastAsia="Calibri" w:hAnsi="Arial" w:cs="Arial"/>
          <w:lang w:val="es-ES"/>
        </w:rPr>
      </w:pPr>
      <w:hyperlink r:id="rId18" w:history="1">
        <w:r w:rsidR="00E35906" w:rsidRPr="003407E4">
          <w:rPr>
            <w:rStyle w:val="Hyperlink"/>
            <w:rFonts w:ascii="Arial" w:hAnsi="Arial" w:cs="Arial"/>
            <w:shd w:val="clear" w:color="auto" w:fill="FFFFFF"/>
          </w:rPr>
          <w:t>FMAM</w:t>
        </w:r>
      </w:hyperlink>
    </w:p>
    <w:p w14:paraId="4EA3BBF4" w14:textId="680274D4" w:rsidR="00E35906" w:rsidRPr="00C42E6D" w:rsidRDefault="00AB398E" w:rsidP="00986BF9">
      <w:pPr>
        <w:pStyle w:val="ListParagraph"/>
        <w:numPr>
          <w:ilvl w:val="1"/>
          <w:numId w:val="13"/>
        </w:numPr>
        <w:pBdr>
          <w:top w:val="nil"/>
          <w:left w:val="nil"/>
          <w:bottom w:val="nil"/>
          <w:right w:val="nil"/>
          <w:between w:val="nil"/>
          <w:bar w:val="nil"/>
        </w:pBdr>
        <w:spacing w:before="240" w:after="240" w:line="240" w:lineRule="auto"/>
        <w:jc w:val="both"/>
        <w:rPr>
          <w:rFonts w:ascii="Calibri" w:eastAsia="Calibri" w:hAnsi="Calibri" w:cs="Calibri"/>
          <w:lang w:val="es-ES"/>
        </w:rPr>
      </w:pPr>
      <w:hyperlink r:id="rId19" w:history="1">
        <w:r w:rsidR="003407E4" w:rsidRPr="003407E4">
          <w:rPr>
            <w:rStyle w:val="Hyperlink"/>
            <w:rFonts w:ascii="Calibri" w:eastAsia="Calibri" w:hAnsi="Calibri" w:cs="Calibri"/>
            <w:lang w:val="es-ES"/>
          </w:rPr>
          <w:t>Fondo Mundial</w:t>
        </w:r>
      </w:hyperlink>
    </w:p>
    <w:p w14:paraId="5DE207FF" w14:textId="77777777" w:rsidR="00C51327" w:rsidRPr="00BD4C61" w:rsidRDefault="00C51327" w:rsidP="00C51327">
      <w:pPr>
        <w:pStyle w:val="ListParagraph"/>
        <w:pBdr>
          <w:top w:val="nil"/>
          <w:left w:val="nil"/>
          <w:bottom w:val="nil"/>
          <w:right w:val="nil"/>
          <w:between w:val="nil"/>
          <w:bar w:val="nil"/>
        </w:pBdr>
        <w:spacing w:before="240" w:after="240" w:line="240" w:lineRule="auto"/>
        <w:jc w:val="both"/>
        <w:rPr>
          <w:rFonts w:ascii="Calibri" w:eastAsia="Calibri" w:hAnsi="Calibri" w:cs="Calibri"/>
          <w:lang w:val="es-ES"/>
        </w:rPr>
      </w:pPr>
    </w:p>
    <w:p w14:paraId="3FFBC4A7" w14:textId="0A57082D" w:rsidR="00C51327" w:rsidRPr="00BD4C61" w:rsidRDefault="004E3F61" w:rsidP="00C937EA">
      <w:pPr>
        <w:pStyle w:val="ListParagraph"/>
        <w:numPr>
          <w:ilvl w:val="0"/>
          <w:numId w:val="13"/>
        </w:numPr>
        <w:pBdr>
          <w:top w:val="nil"/>
          <w:left w:val="nil"/>
          <w:bottom w:val="nil"/>
          <w:right w:val="nil"/>
          <w:between w:val="nil"/>
          <w:bar w:val="nil"/>
        </w:pBdr>
        <w:spacing w:before="240" w:after="240" w:line="240" w:lineRule="auto"/>
        <w:jc w:val="both"/>
        <w:rPr>
          <w:rFonts w:ascii="Calibri" w:eastAsia="Calibri" w:hAnsi="Calibri" w:cs="Calibri"/>
          <w:lang w:val="es-ES"/>
        </w:rPr>
      </w:pPr>
      <w:r w:rsidRPr="00BD4C61">
        <w:rPr>
          <w:rFonts w:ascii="Calibri" w:eastAsia="Calibri" w:hAnsi="Calibri" w:cs="Calibri"/>
          <w:lang w:val="es-ES"/>
        </w:rPr>
        <w:t xml:space="preserve">Los resultados del </w:t>
      </w:r>
      <w:r w:rsidR="000C713A" w:rsidRPr="00BD4C61">
        <w:rPr>
          <w:rFonts w:ascii="Calibri" w:eastAsia="Calibri" w:hAnsi="Calibri" w:cs="Calibri"/>
          <w:lang w:val="es-ES"/>
        </w:rPr>
        <w:t>WLS</w:t>
      </w:r>
      <w:r w:rsidRPr="00BD4C61">
        <w:rPr>
          <w:rFonts w:ascii="Calibri" w:eastAsia="Calibri" w:hAnsi="Calibri" w:cs="Calibri"/>
          <w:lang w:val="es-ES"/>
        </w:rPr>
        <w:t xml:space="preserve"> y las respectivas decisiones de gestión deberían conservarse y ponerse a disposición localmente para futuras auditorías y evaluación/supervisión de las actividades de la OC o de los proyectos.</w:t>
      </w:r>
    </w:p>
    <w:p w14:paraId="5CB1F5CB" w14:textId="77777777" w:rsidR="00C51327" w:rsidRPr="00BD4C61" w:rsidRDefault="00C51327" w:rsidP="00C51327">
      <w:pPr>
        <w:pStyle w:val="ListParagraph"/>
        <w:pBdr>
          <w:top w:val="nil"/>
          <w:left w:val="nil"/>
          <w:bottom w:val="nil"/>
          <w:right w:val="nil"/>
          <w:between w:val="nil"/>
          <w:bar w:val="nil"/>
        </w:pBdr>
        <w:spacing w:before="240" w:after="240" w:line="240" w:lineRule="auto"/>
        <w:jc w:val="both"/>
        <w:rPr>
          <w:rFonts w:ascii="Calibri" w:eastAsia="Calibri" w:hAnsi="Calibri" w:cs="Calibri"/>
          <w:lang w:val="es-ES"/>
        </w:rPr>
      </w:pPr>
    </w:p>
    <w:p w14:paraId="25DDED55" w14:textId="2EC3005C" w:rsidR="00C51327" w:rsidRPr="00BD4C61" w:rsidRDefault="00277018" w:rsidP="00C937EA">
      <w:pPr>
        <w:pStyle w:val="ListParagraph"/>
        <w:numPr>
          <w:ilvl w:val="0"/>
          <w:numId w:val="13"/>
        </w:numPr>
        <w:pBdr>
          <w:top w:val="nil"/>
          <w:left w:val="nil"/>
          <w:bottom w:val="nil"/>
          <w:right w:val="nil"/>
          <w:between w:val="nil"/>
          <w:bar w:val="nil"/>
        </w:pBdr>
        <w:spacing w:before="240" w:after="240" w:line="240" w:lineRule="auto"/>
        <w:jc w:val="both"/>
        <w:rPr>
          <w:rFonts w:ascii="Calibri" w:eastAsia="Calibri" w:hAnsi="Calibri" w:cs="Calibri"/>
          <w:lang w:val="es-ES"/>
        </w:rPr>
      </w:pPr>
      <w:r w:rsidRPr="00BD4C61">
        <w:rPr>
          <w:color w:val="000000" w:themeColor="text1"/>
          <w:lang w:val="es-ES"/>
        </w:rPr>
        <w:t>Sobre la base de la decisión de la dirección de la oficina de país como resultado del análisis y el examen del sistema de alerta temprana, es posible que la oficina de país tenga que actualizar las distribuciones del personal y del personal directivo de la oficina de país en el Atlas. Por ejemplo, si los resultados del WLS revelan que el personal o un SC cuyo puesto se financia íntegramente con fondos de la administración dedica su tiempo en un 70% al desarrollo y en un 30% a actividades de gestión, el tipo de puesto respectivo y la COA podrían actualizarse para reflejar el volumen de trabajo real</w:t>
      </w:r>
      <w:r w:rsidR="00EB6A0B" w:rsidRPr="00BD4C61">
        <w:rPr>
          <w:color w:val="000000" w:themeColor="text1"/>
          <w:lang w:val="es-ES"/>
        </w:rPr>
        <w:t>,</w:t>
      </w:r>
      <w:r w:rsidRPr="00BD4C61">
        <w:rPr>
          <w:color w:val="000000" w:themeColor="text1"/>
          <w:lang w:val="es-ES"/>
        </w:rPr>
        <w:t xml:space="preserve"> pero respetando los presupuestos aprobados y disponibles.  En el caso de los IC, las oficinas deberían modificar las órdenes de compra para reflejar la fuente de financiación apropiada sobre la base de los resultados del WLS</w:t>
      </w:r>
      <w:r w:rsidR="00C0450F" w:rsidRPr="00BD4C61">
        <w:rPr>
          <w:color w:val="000000" w:themeColor="text1"/>
          <w:lang w:val="es-ES"/>
        </w:rPr>
        <w:t>,</w:t>
      </w:r>
      <w:r w:rsidRPr="00BD4C61">
        <w:rPr>
          <w:color w:val="000000" w:themeColor="text1"/>
          <w:lang w:val="es-ES"/>
        </w:rPr>
        <w:t xml:space="preserve"> pero dentro de los presupuestos aprobados y disponibles. </w:t>
      </w:r>
      <w:r w:rsidR="00AB398E" w:rsidRPr="00AB398E">
        <w:rPr>
          <w:color w:val="000000" w:themeColor="text1"/>
          <w:lang w:val="es-ES"/>
        </w:rPr>
        <w:t xml:space="preserve">Si desea más información sobre cómo utilizar los resultados de los </w:t>
      </w:r>
      <w:r w:rsidR="00AB398E">
        <w:rPr>
          <w:color w:val="000000" w:themeColor="text1"/>
          <w:lang w:val="es-ES"/>
        </w:rPr>
        <w:t>WLS</w:t>
      </w:r>
      <w:r w:rsidR="00AB398E" w:rsidRPr="00AB398E">
        <w:rPr>
          <w:color w:val="000000" w:themeColor="text1"/>
          <w:lang w:val="es-ES"/>
        </w:rPr>
        <w:t xml:space="preserve">, consulte </w:t>
      </w:r>
      <w:hyperlink r:id="rId20" w:history="1">
        <w:r w:rsidR="00AB398E" w:rsidRPr="00AB398E">
          <w:rPr>
            <w:rStyle w:val="Hyperlink"/>
            <w:lang w:val="es-ES"/>
          </w:rPr>
          <w:t>Planificación y pago de la prestación de servicios de apoyo a proyectos</w:t>
        </w:r>
      </w:hyperlink>
      <w:r w:rsidR="00AB398E" w:rsidRPr="00AB398E">
        <w:rPr>
          <w:color w:val="000000" w:themeColor="text1"/>
          <w:lang w:val="es-ES"/>
        </w:rPr>
        <w:t xml:space="preserve"> y </w:t>
      </w:r>
      <w:hyperlink r:id="rId21" w:history="1">
        <w:r w:rsidR="00AB398E" w:rsidRPr="00AB398E">
          <w:rPr>
            <w:rStyle w:val="Hyperlink"/>
            <w:lang w:val="es-ES"/>
          </w:rPr>
          <w:t>líneas de financiación múltiple para puestos</w:t>
        </w:r>
      </w:hyperlink>
      <w:r w:rsidRPr="00BD4C61">
        <w:rPr>
          <w:color w:val="000000" w:themeColor="text1"/>
          <w:lang w:val="es-ES"/>
        </w:rPr>
        <w:t>.</w:t>
      </w:r>
    </w:p>
    <w:p w14:paraId="4A6A4D11" w14:textId="77777777" w:rsidR="00410238" w:rsidRPr="00BD4C61" w:rsidRDefault="00410238" w:rsidP="008956D5">
      <w:pPr>
        <w:pBdr>
          <w:top w:val="nil"/>
          <w:left w:val="nil"/>
          <w:bottom w:val="nil"/>
          <w:right w:val="nil"/>
          <w:between w:val="nil"/>
          <w:bar w:val="nil"/>
        </w:pBdr>
        <w:spacing w:before="240" w:after="240" w:line="240" w:lineRule="auto"/>
        <w:jc w:val="both"/>
        <w:rPr>
          <w:rFonts w:ascii="Calibri" w:eastAsia="Calibri" w:hAnsi="Calibri" w:cs="Calibri"/>
          <w:lang w:val="es-ES"/>
        </w:rPr>
      </w:pPr>
    </w:p>
    <w:p w14:paraId="5089C70D" w14:textId="77777777" w:rsidR="008956D5" w:rsidRPr="00C42E6D" w:rsidRDefault="008956D5" w:rsidP="008956D5">
      <w:pPr>
        <w:pStyle w:val="NormalWeb"/>
        <w:shd w:val="clear" w:color="auto" w:fill="FFFFFF"/>
        <w:spacing w:before="0" w:beforeAutospacing="0" w:after="0" w:afterAutospacing="0"/>
        <w:jc w:val="center"/>
        <w:rPr>
          <w:rFonts w:ascii="Calibri" w:hAnsi="Calibri" w:cs="Calibri"/>
          <w:color w:val="201F1E"/>
          <w:sz w:val="23"/>
          <w:szCs w:val="23"/>
          <w:lang w:val="en-GB"/>
        </w:rPr>
      </w:pPr>
      <w:r w:rsidRPr="00C42E6D">
        <w:rPr>
          <w:rFonts w:ascii="Calibri" w:hAnsi="Calibri" w:cs="Calibri"/>
          <w:i/>
          <w:iCs/>
          <w:color w:val="000000"/>
          <w:bdr w:val="none" w:sz="0" w:space="0" w:color="auto" w:frame="1"/>
          <w:lang w:val="en-GB"/>
        </w:rPr>
        <w:lastRenderedPageBreak/>
        <w:t>Disclaimer: This document was translated from English into Spanish. In the event of any discrepancy between this translation and the original English document, the original English document shall prevail.</w:t>
      </w:r>
    </w:p>
    <w:p w14:paraId="50A6201A" w14:textId="77777777" w:rsidR="008956D5" w:rsidRPr="00C42E6D" w:rsidRDefault="008956D5" w:rsidP="008956D5">
      <w:pPr>
        <w:pStyle w:val="NormalWeb"/>
        <w:shd w:val="clear" w:color="auto" w:fill="FFFFFF"/>
        <w:spacing w:before="0" w:beforeAutospacing="0" w:after="0" w:afterAutospacing="0"/>
        <w:jc w:val="center"/>
        <w:rPr>
          <w:rFonts w:ascii="Calibri" w:hAnsi="Calibri" w:cs="Calibri"/>
          <w:color w:val="201F1E"/>
          <w:sz w:val="23"/>
          <w:szCs w:val="23"/>
          <w:lang w:val="en-GB"/>
        </w:rPr>
      </w:pPr>
      <w:r w:rsidRPr="00C42E6D">
        <w:rPr>
          <w:rFonts w:ascii="Calibri" w:hAnsi="Calibri" w:cs="Calibri"/>
          <w:i/>
          <w:iCs/>
          <w:color w:val="000000"/>
          <w:bdr w:val="none" w:sz="0" w:space="0" w:color="auto" w:frame="1"/>
          <w:lang w:val="en-GB"/>
        </w:rPr>
        <w:t> </w:t>
      </w:r>
    </w:p>
    <w:p w14:paraId="102A723F" w14:textId="77777777" w:rsidR="008956D5" w:rsidRPr="00BD4C61" w:rsidRDefault="008956D5" w:rsidP="008956D5">
      <w:pPr>
        <w:pStyle w:val="NormalWeb"/>
        <w:shd w:val="clear" w:color="auto" w:fill="FFFFFF"/>
        <w:spacing w:before="0" w:beforeAutospacing="0" w:after="0" w:afterAutospacing="0"/>
        <w:jc w:val="center"/>
        <w:rPr>
          <w:rFonts w:ascii="Calibri" w:hAnsi="Calibri" w:cs="Calibri"/>
          <w:color w:val="201F1E"/>
          <w:sz w:val="23"/>
          <w:szCs w:val="23"/>
          <w:lang w:val="es-ES"/>
        </w:rPr>
      </w:pPr>
      <w:r w:rsidRPr="00BD4C61">
        <w:rPr>
          <w:rFonts w:ascii="Calibri" w:hAnsi="Calibri" w:cs="Calibri"/>
          <w:i/>
          <w:iCs/>
          <w:color w:val="000000"/>
          <w:bdr w:val="none" w:sz="0" w:space="0" w:color="auto" w:frame="1"/>
          <w:shd w:val="clear" w:color="auto" w:fill="FFFFFF"/>
          <w:lang w:val="es-ES"/>
        </w:rPr>
        <w:t>Descargo de responsabilidad: esta es una traducción de un documento original en inglés. En caso de discrepancias entre esta traducción y el documento original en inglés, prevalecerá el documento original en inglés.</w:t>
      </w:r>
    </w:p>
    <w:p w14:paraId="6DE60EEF" w14:textId="79086353" w:rsidR="00B327D8" w:rsidRPr="00BD4C61" w:rsidRDefault="008956D5" w:rsidP="008956D5">
      <w:pPr>
        <w:pStyle w:val="NormalWeb"/>
        <w:shd w:val="clear" w:color="auto" w:fill="FFFFFF"/>
        <w:spacing w:before="0" w:beforeAutospacing="0" w:after="0" w:afterAutospacing="0"/>
        <w:jc w:val="center"/>
        <w:rPr>
          <w:rFonts w:ascii="Calibri" w:hAnsi="Calibri" w:cs="Calibri"/>
          <w:color w:val="201F1E"/>
          <w:sz w:val="23"/>
          <w:szCs w:val="23"/>
          <w:lang w:val="es-ES"/>
        </w:rPr>
      </w:pPr>
      <w:r w:rsidRPr="00BD4C61">
        <w:rPr>
          <w:rFonts w:ascii="inherit" w:hAnsi="inherit" w:cs="Calibri"/>
          <w:color w:val="000000"/>
          <w:bdr w:val="none" w:sz="0" w:space="0" w:color="auto" w:frame="1"/>
          <w:lang w:val="es-ES"/>
        </w:rPr>
        <w:t> </w:t>
      </w:r>
    </w:p>
    <w:sectPr w:rsidR="00B327D8" w:rsidRPr="00BD4C61" w:rsidSect="003E3EAB">
      <w:headerReference w:type="even" r:id="rId22"/>
      <w:headerReference w:type="default" r:id="rId23"/>
      <w:footerReference w:type="even" r:id="rId24"/>
      <w:footerReference w:type="default" r:id="rId25"/>
      <w:headerReference w:type="first" r:id="rId26"/>
      <w:footerReference w:type="first" r:id="rId27"/>
      <w:pgSz w:w="12240" w:h="15840"/>
      <w:pgMar w:top="12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BDBA4" w14:textId="77777777" w:rsidR="0011402C" w:rsidRDefault="0011402C" w:rsidP="008576C0">
      <w:pPr>
        <w:spacing w:after="0" w:line="240" w:lineRule="auto"/>
      </w:pPr>
      <w:r>
        <w:separator/>
      </w:r>
    </w:p>
  </w:endnote>
  <w:endnote w:type="continuationSeparator" w:id="0">
    <w:p w14:paraId="4EEF2869" w14:textId="77777777" w:rsidR="0011402C" w:rsidRDefault="0011402C" w:rsidP="00857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820F" w14:textId="77777777" w:rsidR="00C94741" w:rsidRDefault="00CB07BE" w:rsidP="00061AA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26E57" w14:textId="77777777" w:rsidR="00C94741" w:rsidRDefault="00AB398E" w:rsidP="000C46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E681" w14:textId="77777777" w:rsidR="00C94741" w:rsidRDefault="00CB07BE" w:rsidP="00061AA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36E5C565" w14:textId="77777777" w:rsidR="00C94741" w:rsidRDefault="00AB398E" w:rsidP="00DB18E7">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A216" w14:textId="77777777" w:rsidR="00B52146" w:rsidRDefault="00B52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0F06A" w14:textId="77777777" w:rsidR="0011402C" w:rsidRDefault="0011402C" w:rsidP="008576C0">
      <w:pPr>
        <w:spacing w:after="0" w:line="240" w:lineRule="auto"/>
      </w:pPr>
      <w:r>
        <w:separator/>
      </w:r>
    </w:p>
  </w:footnote>
  <w:footnote w:type="continuationSeparator" w:id="0">
    <w:p w14:paraId="2FFB51D8" w14:textId="77777777" w:rsidR="0011402C" w:rsidRDefault="0011402C" w:rsidP="00857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C3B5" w14:textId="77777777" w:rsidR="00B52146" w:rsidRDefault="00B52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537B" w14:textId="38B59115" w:rsidR="00B52146" w:rsidRDefault="00B52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724F" w14:textId="77777777" w:rsidR="00B52146" w:rsidRDefault="00B52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79EA"/>
    <w:multiLevelType w:val="hybridMultilevel"/>
    <w:tmpl w:val="A7E68E0A"/>
    <w:lvl w:ilvl="0" w:tplc="312825C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2211C"/>
    <w:multiLevelType w:val="hybridMultilevel"/>
    <w:tmpl w:val="CDBA0486"/>
    <w:lvl w:ilvl="0" w:tplc="312825C6">
      <w:start w:val="3"/>
      <w:numFmt w:val="bullet"/>
      <w:lvlText w:val="-"/>
      <w:lvlJc w:val="left"/>
      <w:pPr>
        <w:ind w:left="720" w:hanging="360"/>
      </w:pPr>
      <w:rPr>
        <w:rFonts w:ascii="Calibri" w:eastAsiaTheme="minorHAnsi" w:hAnsi="Calibri" w:cs="Calibri" w:hint="default"/>
        <w:b w:val="0"/>
        <w:bCs/>
      </w:rPr>
    </w:lvl>
    <w:lvl w:ilvl="1" w:tplc="312825C6">
      <w:start w:val="3"/>
      <w:numFmt w:val="bullet"/>
      <w:lvlText w:val="-"/>
      <w:lvlJc w:val="left"/>
      <w:pPr>
        <w:ind w:left="1440" w:hanging="360"/>
      </w:pPr>
      <w:rPr>
        <w:rFonts w:ascii="Calibri" w:eastAsiaTheme="minorHAnsi" w:hAnsi="Calibri" w:cs="Calibri" w:hint="default"/>
        <w:b w:val="0"/>
        <w:bCs/>
      </w:rPr>
    </w:lvl>
    <w:lvl w:ilvl="2" w:tplc="0409001B">
      <w:start w:val="1"/>
      <w:numFmt w:val="lowerRoman"/>
      <w:lvlText w:val="%3."/>
      <w:lvlJc w:val="right"/>
      <w:pPr>
        <w:ind w:left="2160" w:hanging="180"/>
      </w:pPr>
    </w:lvl>
    <w:lvl w:ilvl="3" w:tplc="AA64671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30069"/>
    <w:multiLevelType w:val="multilevel"/>
    <w:tmpl w:val="DECCBF6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D4A7EED"/>
    <w:multiLevelType w:val="hybridMultilevel"/>
    <w:tmpl w:val="2B2CA9A6"/>
    <w:lvl w:ilvl="0" w:tplc="312825C6">
      <w:start w:val="3"/>
      <w:numFmt w:val="bullet"/>
      <w:lvlText w:val="-"/>
      <w:lvlJc w:val="left"/>
      <w:pPr>
        <w:ind w:left="720" w:hanging="360"/>
      </w:pPr>
      <w:rPr>
        <w:rFonts w:ascii="Calibri" w:eastAsiaTheme="minorHAnsi" w:hAnsi="Calibri" w:cs="Calibri"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A64671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B49A5"/>
    <w:multiLevelType w:val="hybridMultilevel"/>
    <w:tmpl w:val="19C4E2C2"/>
    <w:lvl w:ilvl="0" w:tplc="312825C6">
      <w:start w:val="3"/>
      <w:numFmt w:val="bullet"/>
      <w:lvlText w:val="-"/>
      <w:lvlJc w:val="left"/>
      <w:pPr>
        <w:ind w:left="2160" w:hanging="360"/>
      </w:pPr>
      <w:rPr>
        <w:rFonts w:ascii="Calibri" w:eastAsiaTheme="minorHAnsi" w:hAnsi="Calibri" w:cs="Calibri" w:hint="default"/>
        <w:b w:val="0"/>
        <w:bC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3490FFA"/>
    <w:multiLevelType w:val="hybridMultilevel"/>
    <w:tmpl w:val="34D8CFCA"/>
    <w:lvl w:ilvl="0" w:tplc="8C7AC056">
      <w:start w:val="9"/>
      <w:numFmt w:val="decimal"/>
      <w:lvlText w:val="%1."/>
      <w:lvlJc w:val="left"/>
      <w:pPr>
        <w:ind w:left="720" w:hanging="360"/>
      </w:pPr>
      <w:rPr>
        <w:rFonts w:asciiTheme="minorHAnsi" w:eastAsiaTheme="minorHAnsi" w:hAnsiTheme="minorHAnsi" w:cstheme="minorBidi" w:hint="default"/>
        <w:b w:val="0"/>
        <w:bCs/>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F7B51"/>
    <w:multiLevelType w:val="hybridMultilevel"/>
    <w:tmpl w:val="F22AF8FA"/>
    <w:lvl w:ilvl="0" w:tplc="312825C6">
      <w:start w:val="3"/>
      <w:numFmt w:val="bullet"/>
      <w:lvlText w:val="-"/>
      <w:lvlJc w:val="left"/>
      <w:pPr>
        <w:ind w:left="720" w:hanging="360"/>
      </w:pPr>
      <w:rPr>
        <w:rFonts w:ascii="Calibri" w:eastAsiaTheme="minorHAnsi" w:hAnsi="Calibri" w:cs="Calibri" w:hint="default"/>
      </w:rPr>
    </w:lvl>
    <w:lvl w:ilvl="1" w:tplc="312825C6">
      <w:start w:val="3"/>
      <w:numFmt w:val="bullet"/>
      <w:lvlText w:val="-"/>
      <w:lvlJc w:val="left"/>
      <w:pPr>
        <w:ind w:left="1440" w:hanging="360"/>
      </w:pPr>
      <w:rPr>
        <w:rFonts w:ascii="Calibri" w:eastAsiaTheme="minorHAnsi" w:hAnsi="Calibri" w:cs="Calibri" w:hint="default"/>
      </w:rPr>
    </w:lvl>
    <w:lvl w:ilvl="2" w:tplc="312825C6">
      <w:start w:val="3"/>
      <w:numFmt w:val="bullet"/>
      <w:lvlText w:val="-"/>
      <w:lvlJc w:val="left"/>
      <w:pPr>
        <w:ind w:left="2160" w:hanging="360"/>
      </w:pPr>
      <w:rPr>
        <w:rFonts w:ascii="Calibri" w:eastAsiaTheme="minorHAnsi" w:hAnsi="Calibri" w:cs="Calibri" w:hint="default"/>
        <w:b w:val="0"/>
        <w:bCs/>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16D67"/>
    <w:multiLevelType w:val="hybridMultilevel"/>
    <w:tmpl w:val="EA86C78A"/>
    <w:lvl w:ilvl="0" w:tplc="F2FAF17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A43F0D"/>
    <w:multiLevelType w:val="hybridMultilevel"/>
    <w:tmpl w:val="754A1832"/>
    <w:lvl w:ilvl="0" w:tplc="A70058EE">
      <w:start w:val="1"/>
      <w:numFmt w:val="decimal"/>
      <w:lvlText w:val="%1."/>
      <w:lvlJc w:val="left"/>
      <w:pPr>
        <w:ind w:left="720" w:hanging="360"/>
      </w:pPr>
      <w:rPr>
        <w:rFonts w:asciiTheme="minorHAnsi" w:eastAsiaTheme="minorHAnsi" w:hAnsiTheme="minorHAnsi" w:cstheme="minorBidi"/>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A64671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A902B7"/>
    <w:multiLevelType w:val="hybridMultilevel"/>
    <w:tmpl w:val="022CA2F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3078F0"/>
    <w:multiLevelType w:val="hybridMultilevel"/>
    <w:tmpl w:val="AB6CE256"/>
    <w:lvl w:ilvl="0" w:tplc="BB3A4012">
      <w:start w:val="1"/>
      <w:numFmt w:val="decimal"/>
      <w:lvlText w:val="%1."/>
      <w:lvlJc w:val="left"/>
      <w:pPr>
        <w:ind w:left="720" w:hanging="360"/>
      </w:pPr>
    </w:lvl>
    <w:lvl w:ilvl="1" w:tplc="582C2062">
      <w:start w:val="1"/>
      <w:numFmt w:val="lowerLetter"/>
      <w:lvlText w:val="%2."/>
      <w:lvlJc w:val="left"/>
      <w:pPr>
        <w:ind w:left="1440" w:hanging="360"/>
      </w:pPr>
    </w:lvl>
    <w:lvl w:ilvl="2" w:tplc="BF500A3C">
      <w:start w:val="1"/>
      <w:numFmt w:val="lowerRoman"/>
      <w:lvlText w:val="%3."/>
      <w:lvlJc w:val="right"/>
      <w:pPr>
        <w:ind w:left="2160" w:hanging="180"/>
      </w:pPr>
    </w:lvl>
    <w:lvl w:ilvl="3" w:tplc="F39A1D9A">
      <w:start w:val="1"/>
      <w:numFmt w:val="decimal"/>
      <w:lvlText w:val="%4."/>
      <w:lvlJc w:val="left"/>
      <w:pPr>
        <w:ind w:left="2880" w:hanging="360"/>
      </w:pPr>
    </w:lvl>
    <w:lvl w:ilvl="4" w:tplc="13A03FC8">
      <w:start w:val="1"/>
      <w:numFmt w:val="lowerLetter"/>
      <w:lvlText w:val="%5."/>
      <w:lvlJc w:val="left"/>
      <w:pPr>
        <w:ind w:left="3600" w:hanging="360"/>
      </w:pPr>
    </w:lvl>
    <w:lvl w:ilvl="5" w:tplc="54C099DE">
      <w:start w:val="1"/>
      <w:numFmt w:val="lowerRoman"/>
      <w:lvlText w:val="%6."/>
      <w:lvlJc w:val="right"/>
      <w:pPr>
        <w:ind w:left="4320" w:hanging="180"/>
      </w:pPr>
    </w:lvl>
    <w:lvl w:ilvl="6" w:tplc="3F24ACC4">
      <w:start w:val="1"/>
      <w:numFmt w:val="decimal"/>
      <w:lvlText w:val="%7."/>
      <w:lvlJc w:val="left"/>
      <w:pPr>
        <w:ind w:left="5040" w:hanging="360"/>
      </w:pPr>
    </w:lvl>
    <w:lvl w:ilvl="7" w:tplc="7ECAAE04">
      <w:start w:val="1"/>
      <w:numFmt w:val="lowerLetter"/>
      <w:lvlText w:val="%8."/>
      <w:lvlJc w:val="left"/>
      <w:pPr>
        <w:ind w:left="5760" w:hanging="360"/>
      </w:pPr>
    </w:lvl>
    <w:lvl w:ilvl="8" w:tplc="7E3AD33E">
      <w:start w:val="1"/>
      <w:numFmt w:val="lowerRoman"/>
      <w:lvlText w:val="%9."/>
      <w:lvlJc w:val="right"/>
      <w:pPr>
        <w:ind w:left="6480" w:hanging="180"/>
      </w:pPr>
    </w:lvl>
  </w:abstractNum>
  <w:abstractNum w:abstractNumId="11" w15:restartNumberingAfterBreak="0">
    <w:nsid w:val="643051FE"/>
    <w:multiLevelType w:val="hybridMultilevel"/>
    <w:tmpl w:val="94AE4448"/>
    <w:lvl w:ilvl="0" w:tplc="EE641D70">
      <w:start w:val="1"/>
      <w:numFmt w:val="lowerLetter"/>
      <w:lvlText w:val="%1)"/>
      <w:lvlJc w:val="left"/>
      <w:pPr>
        <w:ind w:left="1080" w:hanging="360"/>
      </w:pPr>
      <w:rPr>
        <w:rFonts w:asciiTheme="minorHAnsi" w:eastAsiaTheme="minorHAnsi" w:hAnsiTheme="minorHAnsi" w:cstheme="minorBidi"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50037A"/>
    <w:multiLevelType w:val="hybridMultilevel"/>
    <w:tmpl w:val="2DAA2E2A"/>
    <w:lvl w:ilvl="0" w:tplc="312825C6">
      <w:start w:val="3"/>
      <w:numFmt w:val="bullet"/>
      <w:lvlText w:val="-"/>
      <w:lvlJc w:val="left"/>
      <w:pPr>
        <w:ind w:left="720" w:hanging="360"/>
      </w:pPr>
      <w:rPr>
        <w:rFonts w:ascii="Calibri" w:eastAsiaTheme="minorHAnsi" w:hAnsi="Calibri" w:cs="Calibri" w:hint="default"/>
      </w:rPr>
    </w:lvl>
    <w:lvl w:ilvl="1" w:tplc="312825C6">
      <w:start w:val="3"/>
      <w:numFmt w:val="bullet"/>
      <w:lvlText w:val="-"/>
      <w:lvlJc w:val="left"/>
      <w:pPr>
        <w:ind w:left="1440" w:hanging="360"/>
      </w:pPr>
      <w:rPr>
        <w:rFonts w:ascii="Calibri" w:eastAsiaTheme="minorHAnsi" w:hAnsi="Calibri" w:cs="Calibri" w:hint="default"/>
      </w:rPr>
    </w:lvl>
    <w:lvl w:ilvl="2" w:tplc="312825C6">
      <w:start w:val="3"/>
      <w:numFmt w:val="bullet"/>
      <w:lvlText w:val="-"/>
      <w:lvlJc w:val="left"/>
      <w:pPr>
        <w:ind w:left="2160" w:hanging="360"/>
      </w:pPr>
      <w:rPr>
        <w:rFonts w:ascii="Calibri" w:eastAsiaTheme="minorHAnsi" w:hAnsi="Calibri" w:cs="Calibr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417A2E"/>
    <w:multiLevelType w:val="hybridMultilevel"/>
    <w:tmpl w:val="025850C2"/>
    <w:lvl w:ilvl="0" w:tplc="312825C6">
      <w:start w:val="3"/>
      <w:numFmt w:val="bullet"/>
      <w:lvlText w:val="-"/>
      <w:lvlJc w:val="left"/>
      <w:pPr>
        <w:ind w:left="2160" w:hanging="360"/>
      </w:pPr>
      <w:rPr>
        <w:rFonts w:ascii="Calibri" w:eastAsiaTheme="minorHAnsi" w:hAnsi="Calibri" w:cs="Calibri" w:hint="default"/>
        <w:b w:val="0"/>
        <w:bC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ED0516F"/>
    <w:multiLevelType w:val="hybridMultilevel"/>
    <w:tmpl w:val="AF3C395E"/>
    <w:lvl w:ilvl="0" w:tplc="312825C6">
      <w:start w:val="3"/>
      <w:numFmt w:val="bullet"/>
      <w:lvlText w:val="-"/>
      <w:lvlJc w:val="left"/>
      <w:pPr>
        <w:ind w:left="720" w:hanging="360"/>
      </w:pPr>
      <w:rPr>
        <w:rFonts w:ascii="Calibri" w:eastAsiaTheme="minorHAnsi" w:hAnsi="Calibri" w:cs="Calibri" w:hint="default"/>
      </w:rPr>
    </w:lvl>
    <w:lvl w:ilvl="1" w:tplc="312825C6">
      <w:start w:val="3"/>
      <w:numFmt w:val="bullet"/>
      <w:lvlText w:val="-"/>
      <w:lvlJc w:val="left"/>
      <w:pPr>
        <w:ind w:left="1440" w:hanging="360"/>
      </w:pPr>
      <w:rPr>
        <w:rFonts w:ascii="Calibri" w:eastAsiaTheme="minorHAnsi" w:hAnsi="Calibri" w:cs="Calibri" w:hint="default"/>
      </w:rPr>
    </w:lvl>
    <w:lvl w:ilvl="2" w:tplc="312825C6">
      <w:start w:val="3"/>
      <w:numFmt w:val="bullet"/>
      <w:lvlText w:val="-"/>
      <w:lvlJc w:val="left"/>
      <w:pPr>
        <w:ind w:left="2160" w:hanging="360"/>
      </w:pPr>
      <w:rPr>
        <w:rFonts w:ascii="Calibri" w:eastAsiaTheme="minorHAnsi" w:hAnsi="Calibri" w:cs="Calibri" w:hint="default"/>
      </w:rPr>
    </w:lvl>
    <w:lvl w:ilvl="3" w:tplc="312825C6">
      <w:start w:val="3"/>
      <w:numFmt w:val="bullet"/>
      <w:lvlText w:val="-"/>
      <w:lvlJc w:val="left"/>
      <w:pPr>
        <w:ind w:left="2880" w:hanging="360"/>
      </w:pPr>
      <w:rPr>
        <w:rFonts w:ascii="Calibri" w:eastAsiaTheme="minorHAnsi" w:hAnsi="Calibri" w:cs="Calibri" w:hint="default"/>
        <w:b w:val="0"/>
        <w:bCs/>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3958785">
    <w:abstractNumId w:val="10"/>
  </w:num>
  <w:num w:numId="2" w16cid:durableId="256327457">
    <w:abstractNumId w:val="8"/>
  </w:num>
  <w:num w:numId="3" w16cid:durableId="1354264417">
    <w:abstractNumId w:val="3"/>
  </w:num>
  <w:num w:numId="4" w16cid:durableId="483011336">
    <w:abstractNumId w:val="2"/>
  </w:num>
  <w:num w:numId="5" w16cid:durableId="1586959104">
    <w:abstractNumId w:val="1"/>
  </w:num>
  <w:num w:numId="6" w16cid:durableId="104155471">
    <w:abstractNumId w:val="0"/>
  </w:num>
  <w:num w:numId="7" w16cid:durableId="1453207964">
    <w:abstractNumId w:val="6"/>
  </w:num>
  <w:num w:numId="8" w16cid:durableId="1950773858">
    <w:abstractNumId w:val="12"/>
  </w:num>
  <w:num w:numId="9" w16cid:durableId="848762362">
    <w:abstractNumId w:val="9"/>
  </w:num>
  <w:num w:numId="10" w16cid:durableId="1747268552">
    <w:abstractNumId w:val="11"/>
  </w:num>
  <w:num w:numId="11" w16cid:durableId="406923798">
    <w:abstractNumId w:val="14"/>
  </w:num>
  <w:num w:numId="12" w16cid:durableId="773552833">
    <w:abstractNumId w:val="7"/>
  </w:num>
  <w:num w:numId="13" w16cid:durableId="823861029">
    <w:abstractNumId w:val="5"/>
  </w:num>
  <w:num w:numId="14" w16cid:durableId="1319841885">
    <w:abstractNumId w:val="4"/>
  </w:num>
  <w:num w:numId="15" w16cid:durableId="14602278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6C0"/>
    <w:rsid w:val="00001E35"/>
    <w:rsid w:val="0004059D"/>
    <w:rsid w:val="0006539A"/>
    <w:rsid w:val="000711AA"/>
    <w:rsid w:val="000819D0"/>
    <w:rsid w:val="000A3192"/>
    <w:rsid w:val="000B2036"/>
    <w:rsid w:val="000B7B8C"/>
    <w:rsid w:val="000C713A"/>
    <w:rsid w:val="000E391E"/>
    <w:rsid w:val="000E6D14"/>
    <w:rsid w:val="000F1347"/>
    <w:rsid w:val="000F350B"/>
    <w:rsid w:val="00101C0C"/>
    <w:rsid w:val="00106FCD"/>
    <w:rsid w:val="0011402C"/>
    <w:rsid w:val="00133C83"/>
    <w:rsid w:val="001624D9"/>
    <w:rsid w:val="001742BA"/>
    <w:rsid w:val="001A137A"/>
    <w:rsid w:val="001B30E2"/>
    <w:rsid w:val="001C25C1"/>
    <w:rsid w:val="001D3E95"/>
    <w:rsid w:val="001E6ED7"/>
    <w:rsid w:val="001F6AEA"/>
    <w:rsid w:val="002257A5"/>
    <w:rsid w:val="00257261"/>
    <w:rsid w:val="00277018"/>
    <w:rsid w:val="002A7841"/>
    <w:rsid w:val="002D76AB"/>
    <w:rsid w:val="002E2719"/>
    <w:rsid w:val="002F57D3"/>
    <w:rsid w:val="00317683"/>
    <w:rsid w:val="003253D1"/>
    <w:rsid w:val="003407E4"/>
    <w:rsid w:val="00340B4B"/>
    <w:rsid w:val="0037288B"/>
    <w:rsid w:val="00384594"/>
    <w:rsid w:val="00387329"/>
    <w:rsid w:val="00392BB4"/>
    <w:rsid w:val="0039563F"/>
    <w:rsid w:val="00396384"/>
    <w:rsid w:val="003A51D4"/>
    <w:rsid w:val="003C0F66"/>
    <w:rsid w:val="003E2E67"/>
    <w:rsid w:val="003F653E"/>
    <w:rsid w:val="00410238"/>
    <w:rsid w:val="00430CE1"/>
    <w:rsid w:val="00436ECD"/>
    <w:rsid w:val="004E3F61"/>
    <w:rsid w:val="00503194"/>
    <w:rsid w:val="00514C69"/>
    <w:rsid w:val="00524221"/>
    <w:rsid w:val="005271A5"/>
    <w:rsid w:val="00531528"/>
    <w:rsid w:val="0053332A"/>
    <w:rsid w:val="005551D9"/>
    <w:rsid w:val="0056419E"/>
    <w:rsid w:val="005763A0"/>
    <w:rsid w:val="00576F25"/>
    <w:rsid w:val="00582918"/>
    <w:rsid w:val="005C29C3"/>
    <w:rsid w:val="005C2F17"/>
    <w:rsid w:val="005E40E2"/>
    <w:rsid w:val="005E5477"/>
    <w:rsid w:val="005F6118"/>
    <w:rsid w:val="00611320"/>
    <w:rsid w:val="006144ED"/>
    <w:rsid w:val="00617DC1"/>
    <w:rsid w:val="006220EE"/>
    <w:rsid w:val="00622B8E"/>
    <w:rsid w:val="00622EA6"/>
    <w:rsid w:val="00640368"/>
    <w:rsid w:val="0067474A"/>
    <w:rsid w:val="00676993"/>
    <w:rsid w:val="006814C6"/>
    <w:rsid w:val="00686EA8"/>
    <w:rsid w:val="006B45BE"/>
    <w:rsid w:val="006F75D6"/>
    <w:rsid w:val="007011CF"/>
    <w:rsid w:val="00731F6F"/>
    <w:rsid w:val="0076624D"/>
    <w:rsid w:val="00773954"/>
    <w:rsid w:val="00781496"/>
    <w:rsid w:val="007814EC"/>
    <w:rsid w:val="007A4B9C"/>
    <w:rsid w:val="007D390D"/>
    <w:rsid w:val="007E42AF"/>
    <w:rsid w:val="007E45C5"/>
    <w:rsid w:val="008006C5"/>
    <w:rsid w:val="00804E3D"/>
    <w:rsid w:val="0080780E"/>
    <w:rsid w:val="00820D03"/>
    <w:rsid w:val="00851F62"/>
    <w:rsid w:val="008576C0"/>
    <w:rsid w:val="0086167C"/>
    <w:rsid w:val="00874941"/>
    <w:rsid w:val="008956D5"/>
    <w:rsid w:val="008A1219"/>
    <w:rsid w:val="008A1D0A"/>
    <w:rsid w:val="008B3C1A"/>
    <w:rsid w:val="008C4A1B"/>
    <w:rsid w:val="008E6A16"/>
    <w:rsid w:val="00922D68"/>
    <w:rsid w:val="00986BF9"/>
    <w:rsid w:val="009A2058"/>
    <w:rsid w:val="009D1B1D"/>
    <w:rsid w:val="009F3142"/>
    <w:rsid w:val="00A03281"/>
    <w:rsid w:val="00A1019C"/>
    <w:rsid w:val="00A20332"/>
    <w:rsid w:val="00A25B36"/>
    <w:rsid w:val="00A54A7B"/>
    <w:rsid w:val="00A64CD2"/>
    <w:rsid w:val="00A914FD"/>
    <w:rsid w:val="00A95906"/>
    <w:rsid w:val="00A975A7"/>
    <w:rsid w:val="00AB398E"/>
    <w:rsid w:val="00AC702D"/>
    <w:rsid w:val="00B00D48"/>
    <w:rsid w:val="00B0347B"/>
    <w:rsid w:val="00B14BAB"/>
    <w:rsid w:val="00B301BD"/>
    <w:rsid w:val="00B327D8"/>
    <w:rsid w:val="00B33BFA"/>
    <w:rsid w:val="00B3485A"/>
    <w:rsid w:val="00B52146"/>
    <w:rsid w:val="00B72BDA"/>
    <w:rsid w:val="00B8222D"/>
    <w:rsid w:val="00BA2B93"/>
    <w:rsid w:val="00BB0538"/>
    <w:rsid w:val="00BD0914"/>
    <w:rsid w:val="00BD4C61"/>
    <w:rsid w:val="00C0450F"/>
    <w:rsid w:val="00C07A22"/>
    <w:rsid w:val="00C24193"/>
    <w:rsid w:val="00C26ED3"/>
    <w:rsid w:val="00C34FEC"/>
    <w:rsid w:val="00C42E6D"/>
    <w:rsid w:val="00C51327"/>
    <w:rsid w:val="00C55945"/>
    <w:rsid w:val="00C766D7"/>
    <w:rsid w:val="00C777FF"/>
    <w:rsid w:val="00C922B7"/>
    <w:rsid w:val="00C937EA"/>
    <w:rsid w:val="00C94A36"/>
    <w:rsid w:val="00CA353F"/>
    <w:rsid w:val="00CB07BE"/>
    <w:rsid w:val="00CD2317"/>
    <w:rsid w:val="00CD61B5"/>
    <w:rsid w:val="00D2202A"/>
    <w:rsid w:val="00D5352C"/>
    <w:rsid w:val="00D63883"/>
    <w:rsid w:val="00D72414"/>
    <w:rsid w:val="00D74CC7"/>
    <w:rsid w:val="00D94C0D"/>
    <w:rsid w:val="00DC20E8"/>
    <w:rsid w:val="00DC739A"/>
    <w:rsid w:val="00DD1B86"/>
    <w:rsid w:val="00E13DD4"/>
    <w:rsid w:val="00E27B1E"/>
    <w:rsid w:val="00E35906"/>
    <w:rsid w:val="00E41801"/>
    <w:rsid w:val="00E72912"/>
    <w:rsid w:val="00E855D3"/>
    <w:rsid w:val="00E93A1F"/>
    <w:rsid w:val="00EB4F17"/>
    <w:rsid w:val="00EB5279"/>
    <w:rsid w:val="00EB6A0B"/>
    <w:rsid w:val="00ED2533"/>
    <w:rsid w:val="00EF247A"/>
    <w:rsid w:val="00F22034"/>
    <w:rsid w:val="00F248D3"/>
    <w:rsid w:val="00FB40F6"/>
    <w:rsid w:val="00FE743E"/>
    <w:rsid w:val="00FF2F23"/>
    <w:rsid w:val="092A514D"/>
    <w:rsid w:val="09E4F747"/>
    <w:rsid w:val="0AC621AE"/>
    <w:rsid w:val="0D0E3342"/>
    <w:rsid w:val="15B468F7"/>
    <w:rsid w:val="1E385E44"/>
    <w:rsid w:val="2172C603"/>
    <w:rsid w:val="2CED6AB4"/>
    <w:rsid w:val="2E61695B"/>
    <w:rsid w:val="348184EC"/>
    <w:rsid w:val="34C7FFBF"/>
    <w:rsid w:val="357BD3A4"/>
    <w:rsid w:val="4CDBD388"/>
    <w:rsid w:val="4E467882"/>
    <w:rsid w:val="520EF78E"/>
    <w:rsid w:val="5638620A"/>
    <w:rsid w:val="58C79D20"/>
    <w:rsid w:val="5B57F168"/>
    <w:rsid w:val="70D002B0"/>
    <w:rsid w:val="73C5D4AC"/>
    <w:rsid w:val="77B9985E"/>
    <w:rsid w:val="7D6FD1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51711F"/>
  <w15:chartTrackingRefBased/>
  <w15:docId w15:val="{8237AC79-1032-4C4B-961C-2BA3B2B1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6C0"/>
  </w:style>
  <w:style w:type="paragraph" w:styleId="Heading1">
    <w:name w:val="heading 1"/>
    <w:basedOn w:val="Normal"/>
    <w:next w:val="Normal"/>
    <w:link w:val="Heading1Char"/>
    <w:uiPriority w:val="9"/>
    <w:qFormat/>
    <w:rsid w:val="008576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6C0"/>
    <w:rPr>
      <w:rFonts w:asciiTheme="majorHAnsi" w:eastAsiaTheme="majorEastAsia" w:hAnsiTheme="majorHAnsi" w:cstheme="majorBidi"/>
      <w:color w:val="2F5496" w:themeColor="accent1" w:themeShade="BF"/>
      <w:sz w:val="32"/>
      <w:szCs w:val="32"/>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8576C0"/>
    <w:pPr>
      <w:ind w:left="720"/>
      <w:contextualSpacing/>
    </w:p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8576C0"/>
  </w:style>
  <w:style w:type="paragraph" w:styleId="Header">
    <w:name w:val="header"/>
    <w:basedOn w:val="Normal"/>
    <w:link w:val="HeaderChar"/>
    <w:uiPriority w:val="99"/>
    <w:unhideWhenUsed/>
    <w:rsid w:val="00857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6C0"/>
  </w:style>
  <w:style w:type="paragraph" w:styleId="Footer">
    <w:name w:val="footer"/>
    <w:basedOn w:val="Normal"/>
    <w:link w:val="FooterChar"/>
    <w:uiPriority w:val="99"/>
    <w:unhideWhenUsed/>
    <w:rsid w:val="00857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6C0"/>
  </w:style>
  <w:style w:type="character" w:styleId="PageNumber">
    <w:name w:val="page number"/>
    <w:basedOn w:val="DefaultParagraphFont"/>
    <w:uiPriority w:val="99"/>
    <w:semiHidden/>
    <w:unhideWhenUsed/>
    <w:rsid w:val="008576C0"/>
  </w:style>
  <w:style w:type="paragraph" w:styleId="BalloonText">
    <w:name w:val="Balloon Text"/>
    <w:basedOn w:val="Normal"/>
    <w:link w:val="BalloonTextChar"/>
    <w:uiPriority w:val="99"/>
    <w:semiHidden/>
    <w:unhideWhenUsed/>
    <w:rsid w:val="008576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6C0"/>
    <w:rPr>
      <w:rFonts w:ascii="Segoe UI" w:hAnsi="Segoe UI" w:cs="Segoe UI"/>
      <w:sz w:val="18"/>
      <w:szCs w:val="18"/>
    </w:rPr>
  </w:style>
  <w:style w:type="character" w:styleId="Hyperlink">
    <w:name w:val="Hyperlink"/>
    <w:basedOn w:val="DefaultParagraphFont"/>
    <w:uiPriority w:val="99"/>
    <w:unhideWhenUsed/>
    <w:rsid w:val="00F22034"/>
    <w:rPr>
      <w:color w:val="0563C1" w:themeColor="hyperlink"/>
      <w:u w:val="single"/>
    </w:rPr>
  </w:style>
  <w:style w:type="character" w:styleId="UnresolvedMention">
    <w:name w:val="Unresolved Mention"/>
    <w:basedOn w:val="DefaultParagraphFont"/>
    <w:uiPriority w:val="99"/>
    <w:semiHidden/>
    <w:unhideWhenUsed/>
    <w:rsid w:val="00F22034"/>
    <w:rPr>
      <w:color w:val="605E5C"/>
      <w:shd w:val="clear" w:color="auto" w:fill="E1DFDD"/>
    </w:rPr>
  </w:style>
  <w:style w:type="character" w:styleId="CommentReference">
    <w:name w:val="annotation reference"/>
    <w:basedOn w:val="DefaultParagraphFont"/>
    <w:uiPriority w:val="99"/>
    <w:semiHidden/>
    <w:unhideWhenUsed/>
    <w:rsid w:val="0053332A"/>
    <w:rPr>
      <w:sz w:val="16"/>
      <w:szCs w:val="16"/>
    </w:rPr>
  </w:style>
  <w:style w:type="paragraph" w:styleId="CommentText">
    <w:name w:val="annotation text"/>
    <w:basedOn w:val="Normal"/>
    <w:link w:val="CommentTextChar"/>
    <w:uiPriority w:val="99"/>
    <w:semiHidden/>
    <w:unhideWhenUsed/>
    <w:rsid w:val="0053332A"/>
    <w:pPr>
      <w:spacing w:line="240" w:lineRule="auto"/>
    </w:pPr>
    <w:rPr>
      <w:sz w:val="20"/>
      <w:szCs w:val="20"/>
    </w:rPr>
  </w:style>
  <w:style w:type="character" w:customStyle="1" w:styleId="CommentTextChar">
    <w:name w:val="Comment Text Char"/>
    <w:basedOn w:val="DefaultParagraphFont"/>
    <w:link w:val="CommentText"/>
    <w:uiPriority w:val="99"/>
    <w:semiHidden/>
    <w:rsid w:val="0053332A"/>
    <w:rPr>
      <w:sz w:val="20"/>
      <w:szCs w:val="20"/>
    </w:rPr>
  </w:style>
  <w:style w:type="paragraph" w:styleId="CommentSubject">
    <w:name w:val="annotation subject"/>
    <w:basedOn w:val="CommentText"/>
    <w:next w:val="CommentText"/>
    <w:link w:val="CommentSubjectChar"/>
    <w:uiPriority w:val="99"/>
    <w:semiHidden/>
    <w:unhideWhenUsed/>
    <w:rsid w:val="0053332A"/>
    <w:rPr>
      <w:b/>
      <w:bCs/>
    </w:rPr>
  </w:style>
  <w:style w:type="character" w:customStyle="1" w:styleId="CommentSubjectChar">
    <w:name w:val="Comment Subject Char"/>
    <w:basedOn w:val="CommentTextChar"/>
    <w:link w:val="CommentSubject"/>
    <w:uiPriority w:val="99"/>
    <w:semiHidden/>
    <w:rsid w:val="0053332A"/>
    <w:rPr>
      <w:b/>
      <w:bCs/>
      <w:sz w:val="20"/>
      <w:szCs w:val="20"/>
    </w:rPr>
  </w:style>
  <w:style w:type="character" w:styleId="FollowedHyperlink">
    <w:name w:val="FollowedHyperlink"/>
    <w:basedOn w:val="DefaultParagraphFont"/>
    <w:uiPriority w:val="99"/>
    <w:semiHidden/>
    <w:unhideWhenUsed/>
    <w:rsid w:val="001B30E2"/>
    <w:rPr>
      <w:color w:val="954F72" w:themeColor="followedHyperlink"/>
      <w:u w:val="single"/>
    </w:rPr>
  </w:style>
  <w:style w:type="paragraph" w:styleId="Revision">
    <w:name w:val="Revision"/>
    <w:hidden/>
    <w:uiPriority w:val="99"/>
    <w:semiHidden/>
    <w:rsid w:val="00410238"/>
    <w:pPr>
      <w:spacing w:after="0" w:line="240" w:lineRule="auto"/>
    </w:pPr>
  </w:style>
  <w:style w:type="paragraph" w:styleId="NormalWeb">
    <w:name w:val="Normal (Web)"/>
    <w:basedOn w:val="Normal"/>
    <w:uiPriority w:val="99"/>
    <w:unhideWhenUsed/>
    <w:rsid w:val="008956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167898">
      <w:bodyDiv w:val="1"/>
      <w:marLeft w:val="0"/>
      <w:marRight w:val="0"/>
      <w:marTop w:val="0"/>
      <w:marBottom w:val="0"/>
      <w:divBdr>
        <w:top w:val="none" w:sz="0" w:space="0" w:color="auto"/>
        <w:left w:val="none" w:sz="0" w:space="0" w:color="auto"/>
        <w:bottom w:val="none" w:sz="0" w:space="0" w:color="auto"/>
        <w:right w:val="none" w:sz="0" w:space="0" w:color="auto"/>
      </w:divBdr>
    </w:div>
    <w:div w:id="771709879">
      <w:bodyDiv w:val="1"/>
      <w:marLeft w:val="0"/>
      <w:marRight w:val="0"/>
      <w:marTop w:val="0"/>
      <w:marBottom w:val="0"/>
      <w:divBdr>
        <w:top w:val="none" w:sz="0" w:space="0" w:color="auto"/>
        <w:left w:val="none" w:sz="0" w:space="0" w:color="auto"/>
        <w:bottom w:val="none" w:sz="0" w:space="0" w:color="auto"/>
        <w:right w:val="none" w:sz="0" w:space="0" w:color="auto"/>
      </w:divBdr>
      <w:divsChild>
        <w:div w:id="1771468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es/node/3661" TargetMode="External"/><Relationship Id="rId18" Type="http://schemas.openxmlformats.org/officeDocument/2006/relationships/hyperlink" Target="https://popp.undp.org/node/1456"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popp.undp.org/es/node/11136"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170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opp.undp.org/node/1706" TargetMode="External"/><Relationship Id="rId20" Type="http://schemas.openxmlformats.org/officeDocument/2006/relationships/hyperlink" Target="https://popp.undp.org/node/1127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popp.undp.org/es/node/10826"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popp.undp.org/node/170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net.undp.org/unit/ofrm/Financial%20Resource%20Management%20Policies/Forms/fba_other.aspx?RootFolder=%2funit%2fofrm%2fFinancial%20Resource%20Management%20Policies%2fWorkload%20Survey&amp;FolderCTID=0x0120009837A6491BE4B440B59E74738CBA3637"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1</UNDP_POPP_REFITEM_VERSION>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FRM_Resource Planning and Cost Recovery_Guidelines for Using the Results of the Workload Survey_Spanish</UNDP_POPP_TITLE_EN>
    <Location xmlns="e560140e-7b2f-4392-90df-e7567e3021a3" xsi:nil="true"/>
    <TaxCatchAll xmlns="8264c5cc-ec60-4b56-8111-ce635d3d139a">
      <Value>350</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Lock xmlns="e560140e-7b2f-4392-90df-e7567e3021a3" xsi:nil="true"/>
    <DLCPolicyLabelClientValue xmlns="e560140e-7b2f-4392-90df-e7567e3021a3">Effective Date: {Effective Date}                                                Version #: {POPPRefItemVersion}</DLCPolicyLabelClientValue>
    <UNDP_POPP_BUSINESSUNITID_HIDDEN xmlns="8264c5cc-ec60-4b56-8111-ce635d3d139a" xsi:nil="true"/>
    <_dlc_DocId xmlns="8264c5cc-ec60-4b56-8111-ce635d3d139a">POPP-11-2587</_dlc_DocId>
    <_dlc_DocIdUrl xmlns="8264c5cc-ec60-4b56-8111-ce635d3d139a">
      <Url>https://popp.undp.org/_layouts/15/DocIdRedir.aspx?ID=POPP-11-2587</Url>
      <Description>POPP-11-2587</Description>
    </_dlc_DocIdUrl>
    <DLCPolicyLabelValue xmlns="e560140e-7b2f-4392-90df-e7567e3021a3">Effective Date: {Effective Date}                                                Version #: 1</DLCPolicyLabelValue>
  </documentManagement>
</p:properties>
</file>

<file path=customXml/itemProps1.xml><?xml version="1.0" encoding="utf-8"?>
<ds:datastoreItem xmlns:ds="http://schemas.openxmlformats.org/officeDocument/2006/customXml" ds:itemID="{3EA050ED-B244-400E-AFDD-ED506EF2FB0B}">
  <ds:schemaRefs>
    <ds:schemaRef ds:uri="http://schemas.openxmlformats.org/officeDocument/2006/bibliography"/>
  </ds:schemaRefs>
</ds:datastoreItem>
</file>

<file path=customXml/itemProps2.xml><?xml version="1.0" encoding="utf-8"?>
<ds:datastoreItem xmlns:ds="http://schemas.openxmlformats.org/officeDocument/2006/customXml" ds:itemID="{C78D502C-24AA-4195-8415-D7197FF24C11}">
  <ds:schemaRefs>
    <ds:schemaRef ds:uri="office.server.policy"/>
  </ds:schemaRefs>
</ds:datastoreItem>
</file>

<file path=customXml/itemProps3.xml><?xml version="1.0" encoding="utf-8"?>
<ds:datastoreItem xmlns:ds="http://schemas.openxmlformats.org/officeDocument/2006/customXml" ds:itemID="{898ED739-BBCE-4DBB-AC15-83EF5177972F}">
  <ds:schemaRefs>
    <ds:schemaRef ds:uri="http://schemas.microsoft.com/sharepoint/events"/>
  </ds:schemaRefs>
</ds:datastoreItem>
</file>

<file path=customXml/itemProps4.xml><?xml version="1.0" encoding="utf-8"?>
<ds:datastoreItem xmlns:ds="http://schemas.openxmlformats.org/officeDocument/2006/customXml" ds:itemID="{2B2F92DD-3760-4D01-A74F-B7E51EED1798}">
  <ds:schemaRefs>
    <ds:schemaRef ds:uri="http://schemas.microsoft.com/sharepoint/v3/contenttype/forms"/>
  </ds:schemaRefs>
</ds:datastoreItem>
</file>

<file path=customXml/itemProps5.xml><?xml version="1.0" encoding="utf-8"?>
<ds:datastoreItem xmlns:ds="http://schemas.openxmlformats.org/officeDocument/2006/customXml" ds:itemID="{DD5F1DAC-DA2F-4BFB-940C-2F86BF32F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02A5FC-784B-4392-B9D4-25F70809495F}">
  <ds:schemaRefs>
    <ds:schemaRef ds:uri="http://www.w3.org/XML/1998/namespace"/>
    <ds:schemaRef ds:uri="http://schemas.microsoft.com/office/infopath/2007/PartnerControls"/>
    <ds:schemaRef ds:uri="http://purl.org/dc/elements/1.1/"/>
    <ds:schemaRef ds:uri="http://schemas.microsoft.com/office/2006/metadata/properties"/>
    <ds:schemaRef ds:uri="e560140e-7b2f-4392-90df-e7567e3021a3"/>
    <ds:schemaRef ds:uri="http://purl.org/dc/terms/"/>
    <ds:schemaRef ds:uri="http://purl.org/dc/dcmitype/"/>
    <ds:schemaRef ds:uri="http://schemas.microsoft.com/office/2006/documentManagement/types"/>
    <ds:schemaRef ds:uri="http://schemas.microsoft.com/sharepoint/v3"/>
    <ds:schemaRef ds:uri="http://schemas.openxmlformats.org/package/2006/metadata/core-properties"/>
    <ds:schemaRef ds:uri="8264c5cc-ec60-4b56-8111-ce635d3d139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2285</Words>
  <Characters>11769</Characters>
  <Application>Microsoft Office Word</Application>
  <DocSecurity>0</DocSecurity>
  <Lines>309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Batdolgor Chuluun</dc:creator>
  <cp:keywords/>
  <dc:description/>
  <cp:lastModifiedBy>Pablo Morete</cp:lastModifiedBy>
  <cp:revision>7</cp:revision>
  <dcterms:created xsi:type="dcterms:W3CDTF">2021-08-20T21:18:00Z</dcterms:created>
  <dcterms:modified xsi:type="dcterms:W3CDTF">2023-03-15T08:47:00Z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350;#Financial Resources Management|682d4c54-a288-412d-bfec-ce5587bbd25c</vt:lpwstr>
  </property>
  <property fmtid="{D5CDD505-2E9C-101B-9397-08002B2CF9AE}" pid="4" name="POPPBusinessProcess">
    <vt:lpwstr/>
  </property>
  <property fmtid="{D5CDD505-2E9C-101B-9397-08002B2CF9AE}" pid="5" name="_dlc_DocIdItemGuid">
    <vt:lpwstr>c6d988dc-309a-4615-8777-f6de7ab49239</vt:lpwstr>
  </property>
</Properties>
</file>