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A3C7" w14:textId="77777777" w:rsidR="00C1647E" w:rsidRPr="00C1647E" w:rsidRDefault="00C1647E" w:rsidP="00C1647E">
      <w:pPr>
        <w:pStyle w:val="Subtitle"/>
        <w:rPr>
          <w:rFonts w:asciiTheme="minorHAnsi" w:hAnsiTheme="minorHAnsi" w:cs="Arial"/>
          <w:i/>
          <w:sz w:val="16"/>
          <w:szCs w:val="16"/>
        </w:rPr>
      </w:pPr>
    </w:p>
    <w:p w14:paraId="1B54A3C8" w14:textId="77777777" w:rsidR="006B62C0" w:rsidRPr="00812609" w:rsidRDefault="006B62C0" w:rsidP="006B62C0">
      <w:pPr>
        <w:pStyle w:val="Subtitle"/>
        <w:jc w:val="center"/>
        <w:rPr>
          <w:rFonts w:asciiTheme="minorHAnsi" w:hAnsiTheme="minorHAnsi" w:cs="Arial"/>
          <w:b/>
          <w:sz w:val="28"/>
          <w:szCs w:val="28"/>
        </w:rPr>
      </w:pPr>
      <w:r w:rsidRPr="00812609">
        <w:rPr>
          <w:rFonts w:asciiTheme="minorHAnsi" w:hAnsiTheme="minorHAnsi" w:cs="Arial"/>
          <w:b/>
          <w:sz w:val="28"/>
          <w:szCs w:val="28"/>
        </w:rPr>
        <w:t>Guidance Note on Resource Mobilization</w:t>
      </w:r>
      <w:r w:rsidR="002560B7" w:rsidRPr="00812609">
        <w:rPr>
          <w:rFonts w:asciiTheme="minorHAnsi" w:hAnsiTheme="minorHAnsi" w:cs="Arial"/>
          <w:b/>
          <w:sz w:val="28"/>
          <w:szCs w:val="28"/>
        </w:rPr>
        <w:t xml:space="preserve"> Target</w:t>
      </w:r>
      <w:r w:rsidRPr="00812609">
        <w:rPr>
          <w:rFonts w:asciiTheme="minorHAnsi" w:hAnsiTheme="minorHAnsi" w:cs="Arial"/>
          <w:b/>
          <w:sz w:val="28"/>
          <w:szCs w:val="28"/>
        </w:rPr>
        <w:t xml:space="preserve"> </w:t>
      </w:r>
      <w:r w:rsidR="00302C3D" w:rsidRPr="00812609">
        <w:rPr>
          <w:rFonts w:asciiTheme="minorHAnsi" w:hAnsiTheme="minorHAnsi" w:cs="Arial"/>
          <w:b/>
          <w:sz w:val="28"/>
          <w:szCs w:val="28"/>
        </w:rPr>
        <w:t>(RMT)</w:t>
      </w:r>
      <w:r w:rsidR="002560B7" w:rsidRPr="00812609">
        <w:rPr>
          <w:rFonts w:asciiTheme="minorHAnsi" w:hAnsiTheme="minorHAnsi" w:cs="Arial"/>
          <w:b/>
          <w:sz w:val="28"/>
          <w:szCs w:val="28"/>
        </w:rPr>
        <w:t xml:space="preserve"> Table</w:t>
      </w:r>
    </w:p>
    <w:p w14:paraId="1B54A3C9" w14:textId="77777777" w:rsidR="006B62C0" w:rsidRPr="00812609" w:rsidRDefault="006B62C0" w:rsidP="00804B0D">
      <w:pPr>
        <w:pStyle w:val="Subtitle"/>
        <w:rPr>
          <w:rFonts w:asciiTheme="minorHAnsi" w:hAnsiTheme="minorHAnsi" w:cs="Arial"/>
          <w:sz w:val="22"/>
        </w:rPr>
      </w:pPr>
    </w:p>
    <w:p w14:paraId="1B54A3CA" w14:textId="77777777" w:rsidR="00302C3D" w:rsidRPr="00812609" w:rsidRDefault="00926224" w:rsidP="00144729">
      <w:pPr>
        <w:pStyle w:val="Subtitle"/>
        <w:rPr>
          <w:rFonts w:asciiTheme="minorHAnsi" w:hAnsiTheme="minorHAnsi" w:cs="Arial"/>
          <w:sz w:val="22"/>
        </w:rPr>
      </w:pPr>
      <w:r w:rsidRPr="00812609">
        <w:rPr>
          <w:rFonts w:asciiTheme="minorHAnsi" w:hAnsiTheme="minorHAnsi" w:cs="Arial"/>
          <w:sz w:val="22"/>
        </w:rPr>
        <w:t>T</w:t>
      </w:r>
      <w:r w:rsidR="00E00938" w:rsidRPr="00812609">
        <w:rPr>
          <w:rFonts w:asciiTheme="minorHAnsi" w:hAnsiTheme="minorHAnsi" w:cs="Arial"/>
          <w:sz w:val="22"/>
        </w:rPr>
        <w:t>his guidance note</w:t>
      </w:r>
      <w:r w:rsidR="00302C3D" w:rsidRPr="00812609">
        <w:rPr>
          <w:rFonts w:asciiTheme="minorHAnsi" w:hAnsiTheme="minorHAnsi" w:cs="Arial"/>
          <w:sz w:val="22"/>
        </w:rPr>
        <w:t xml:space="preserve"> is provided</w:t>
      </w:r>
      <w:r w:rsidR="00E00938" w:rsidRPr="00812609">
        <w:rPr>
          <w:rFonts w:asciiTheme="minorHAnsi" w:hAnsiTheme="minorHAnsi" w:cs="Arial"/>
          <w:sz w:val="22"/>
        </w:rPr>
        <w:t xml:space="preserve"> to assist UNDP Country Offices in preparing </w:t>
      </w:r>
      <w:r w:rsidR="005D493E" w:rsidRPr="00812609">
        <w:rPr>
          <w:rFonts w:asciiTheme="minorHAnsi" w:hAnsiTheme="minorHAnsi" w:cs="Arial"/>
          <w:sz w:val="22"/>
        </w:rPr>
        <w:t xml:space="preserve">the </w:t>
      </w:r>
      <w:r w:rsidR="00E00938" w:rsidRPr="00812609">
        <w:rPr>
          <w:rFonts w:asciiTheme="minorHAnsi" w:hAnsiTheme="minorHAnsi" w:cs="Arial"/>
          <w:sz w:val="22"/>
        </w:rPr>
        <w:t>Resource M</w:t>
      </w:r>
      <w:r w:rsidR="00302C3D" w:rsidRPr="00812609">
        <w:rPr>
          <w:rFonts w:asciiTheme="minorHAnsi" w:hAnsiTheme="minorHAnsi" w:cs="Arial"/>
          <w:sz w:val="22"/>
        </w:rPr>
        <w:t xml:space="preserve">obilization </w:t>
      </w:r>
      <w:r w:rsidR="002560B7" w:rsidRPr="00812609">
        <w:rPr>
          <w:rFonts w:asciiTheme="minorHAnsi" w:hAnsiTheme="minorHAnsi" w:cs="Arial"/>
          <w:sz w:val="22"/>
        </w:rPr>
        <w:t>Target</w:t>
      </w:r>
      <w:r w:rsidR="00302C3D" w:rsidRPr="00812609">
        <w:rPr>
          <w:rFonts w:asciiTheme="minorHAnsi" w:hAnsiTheme="minorHAnsi" w:cs="Arial"/>
          <w:sz w:val="22"/>
        </w:rPr>
        <w:t xml:space="preserve"> (RMT)</w:t>
      </w:r>
      <w:r w:rsidR="002560B7" w:rsidRPr="00812609">
        <w:rPr>
          <w:rFonts w:asciiTheme="minorHAnsi" w:hAnsiTheme="minorHAnsi" w:cs="Arial"/>
          <w:sz w:val="22"/>
        </w:rPr>
        <w:t xml:space="preserve"> table</w:t>
      </w:r>
      <w:r w:rsidRPr="00812609">
        <w:rPr>
          <w:rFonts w:asciiTheme="minorHAnsi" w:hAnsiTheme="minorHAnsi" w:cs="Arial"/>
          <w:sz w:val="22"/>
        </w:rPr>
        <w:t xml:space="preserve"> which forms an integral part of the Country Programme Document (CPD)</w:t>
      </w:r>
      <w:r w:rsidR="00302C3D" w:rsidRPr="00812609">
        <w:rPr>
          <w:rFonts w:asciiTheme="minorHAnsi" w:hAnsiTheme="minorHAnsi" w:cs="Arial"/>
          <w:sz w:val="22"/>
        </w:rPr>
        <w:t xml:space="preserve">.  The RMT represents the summary of </w:t>
      </w:r>
      <w:r w:rsidRPr="00812609">
        <w:rPr>
          <w:rFonts w:asciiTheme="minorHAnsi" w:hAnsiTheme="minorHAnsi" w:cs="Arial"/>
          <w:sz w:val="22"/>
        </w:rPr>
        <w:t xml:space="preserve">UNDP </w:t>
      </w:r>
      <w:proofErr w:type="spellStart"/>
      <w:r w:rsidRPr="00812609">
        <w:rPr>
          <w:rFonts w:asciiTheme="minorHAnsi" w:hAnsiTheme="minorHAnsi" w:cs="Arial"/>
          <w:sz w:val="22"/>
        </w:rPr>
        <w:t>programme</w:t>
      </w:r>
      <w:proofErr w:type="spellEnd"/>
      <w:r w:rsidRPr="00812609">
        <w:rPr>
          <w:rFonts w:asciiTheme="minorHAnsi" w:hAnsiTheme="minorHAnsi" w:cs="Arial"/>
          <w:sz w:val="22"/>
        </w:rPr>
        <w:t xml:space="preserve"> </w:t>
      </w:r>
      <w:r w:rsidR="00302C3D" w:rsidRPr="00812609">
        <w:rPr>
          <w:rFonts w:asciiTheme="minorHAnsi" w:hAnsiTheme="minorHAnsi" w:cs="Arial"/>
          <w:sz w:val="22"/>
        </w:rPr>
        <w:t xml:space="preserve">resources, by funding source, </w:t>
      </w:r>
      <w:r w:rsidRPr="00812609">
        <w:rPr>
          <w:rFonts w:asciiTheme="minorHAnsi" w:hAnsiTheme="minorHAnsi" w:cs="Arial"/>
          <w:sz w:val="22"/>
        </w:rPr>
        <w:t xml:space="preserve">targeted for mobilization.  Accordingly, it represents the total UNDP </w:t>
      </w:r>
      <w:proofErr w:type="spellStart"/>
      <w:r w:rsidRPr="00812609">
        <w:rPr>
          <w:rFonts w:asciiTheme="minorHAnsi" w:hAnsiTheme="minorHAnsi" w:cs="Arial"/>
          <w:sz w:val="22"/>
        </w:rPr>
        <w:t>programme</w:t>
      </w:r>
      <w:proofErr w:type="spellEnd"/>
      <w:r w:rsidRPr="00812609">
        <w:rPr>
          <w:rFonts w:asciiTheme="minorHAnsi" w:hAnsiTheme="minorHAnsi" w:cs="Arial"/>
          <w:sz w:val="22"/>
        </w:rPr>
        <w:t xml:space="preserve"> resources estimated as </w:t>
      </w:r>
      <w:r w:rsidR="00302C3D" w:rsidRPr="00812609">
        <w:rPr>
          <w:rFonts w:asciiTheme="minorHAnsi" w:hAnsiTheme="minorHAnsi" w:cs="Arial"/>
          <w:sz w:val="22"/>
        </w:rPr>
        <w:t>available during the CP</w:t>
      </w:r>
      <w:r w:rsidRPr="00812609">
        <w:rPr>
          <w:rFonts w:asciiTheme="minorHAnsi" w:hAnsiTheme="minorHAnsi" w:cs="Arial"/>
          <w:sz w:val="22"/>
        </w:rPr>
        <w:t>D</w:t>
      </w:r>
      <w:r w:rsidR="00302C3D" w:rsidRPr="00812609">
        <w:rPr>
          <w:rFonts w:asciiTheme="minorHAnsi" w:hAnsiTheme="minorHAnsi" w:cs="Arial"/>
          <w:sz w:val="22"/>
        </w:rPr>
        <w:t xml:space="preserve"> </w:t>
      </w:r>
      <w:proofErr w:type="gramStart"/>
      <w:r w:rsidR="00302C3D" w:rsidRPr="00812609">
        <w:rPr>
          <w:rFonts w:asciiTheme="minorHAnsi" w:hAnsiTheme="minorHAnsi" w:cs="Arial"/>
          <w:sz w:val="22"/>
        </w:rPr>
        <w:t>time period</w:t>
      </w:r>
      <w:proofErr w:type="gramEnd"/>
      <w:r w:rsidR="00302C3D" w:rsidRPr="00812609">
        <w:rPr>
          <w:rFonts w:asciiTheme="minorHAnsi" w:hAnsiTheme="minorHAnsi" w:cs="Arial"/>
          <w:sz w:val="22"/>
        </w:rPr>
        <w:t xml:space="preserve">.  </w:t>
      </w:r>
      <w:r w:rsidR="00195227" w:rsidRPr="00195227">
        <w:rPr>
          <w:rFonts w:asciiTheme="minorHAnsi" w:hAnsiTheme="minorHAnsi" w:cs="Arial"/>
          <w:sz w:val="22"/>
        </w:rPr>
        <w:t xml:space="preserve">It is integrally linked to and summarizes the financial parameters within the Results and Resources Framework of the </w:t>
      </w:r>
      <w:r w:rsidR="00195227">
        <w:rPr>
          <w:rFonts w:asciiTheme="minorHAnsi" w:hAnsiTheme="minorHAnsi" w:cs="Arial"/>
          <w:sz w:val="22"/>
        </w:rPr>
        <w:t>CPD</w:t>
      </w:r>
      <w:r w:rsidR="00195227" w:rsidRPr="00195227">
        <w:rPr>
          <w:rFonts w:asciiTheme="minorHAnsi" w:hAnsiTheme="minorHAnsi" w:cs="Arial"/>
          <w:sz w:val="22"/>
        </w:rPr>
        <w:t xml:space="preserve"> (‘Indicative resources by outcome’ column).</w:t>
      </w:r>
    </w:p>
    <w:p w14:paraId="1B54A3CB" w14:textId="77777777" w:rsidR="00260794" w:rsidRPr="00812609" w:rsidRDefault="00260794" w:rsidP="00804B0D">
      <w:pPr>
        <w:pStyle w:val="Subtitle"/>
        <w:rPr>
          <w:rFonts w:asciiTheme="minorHAnsi" w:hAnsiTheme="minorHAnsi" w:cs="Arial"/>
          <w:sz w:val="22"/>
        </w:rPr>
      </w:pPr>
    </w:p>
    <w:p w14:paraId="1B54A3CC" w14:textId="77777777" w:rsidR="00E00938" w:rsidRPr="00812609" w:rsidRDefault="00E00938" w:rsidP="00804B0D">
      <w:pPr>
        <w:pStyle w:val="Subtitle"/>
        <w:rPr>
          <w:rFonts w:asciiTheme="minorHAnsi" w:hAnsiTheme="minorHAnsi" w:cs="Arial"/>
          <w:sz w:val="22"/>
        </w:rPr>
      </w:pPr>
    </w:p>
    <w:p w14:paraId="1B54A3CD" w14:textId="77777777" w:rsidR="00E00938" w:rsidRPr="00812609" w:rsidRDefault="00D07A41" w:rsidP="00D07A41">
      <w:pPr>
        <w:pStyle w:val="Subtitle"/>
        <w:jc w:val="center"/>
        <w:rPr>
          <w:rFonts w:asciiTheme="minorHAnsi" w:hAnsiTheme="minorHAnsi" w:cs="Arial"/>
          <w:caps/>
          <w:sz w:val="22"/>
          <w:u w:val="single"/>
        </w:rPr>
      </w:pPr>
      <w:r w:rsidRPr="00812609">
        <w:rPr>
          <w:rFonts w:asciiTheme="minorHAnsi" w:hAnsiTheme="minorHAnsi" w:cs="Arial"/>
          <w:caps/>
          <w:sz w:val="22"/>
          <w:u w:val="single"/>
        </w:rPr>
        <w:t xml:space="preserve">I. </w:t>
      </w:r>
      <w:r w:rsidR="006C3339" w:rsidRPr="00812609">
        <w:rPr>
          <w:rFonts w:asciiTheme="minorHAnsi" w:hAnsiTheme="minorHAnsi" w:cs="Arial"/>
          <w:caps/>
          <w:sz w:val="22"/>
          <w:u w:val="single"/>
        </w:rPr>
        <w:t>Format and time period</w:t>
      </w:r>
    </w:p>
    <w:p w14:paraId="1B54A3CE" w14:textId="77777777" w:rsidR="00E00938" w:rsidRPr="00812609" w:rsidRDefault="00E00938" w:rsidP="006B62C0">
      <w:pPr>
        <w:pStyle w:val="Subtitle"/>
        <w:rPr>
          <w:rFonts w:asciiTheme="minorHAnsi" w:hAnsiTheme="minorHAnsi" w:cs="Arial"/>
          <w:sz w:val="22"/>
        </w:rPr>
      </w:pPr>
    </w:p>
    <w:p w14:paraId="1B54A3CF" w14:textId="77777777" w:rsidR="00222B74" w:rsidRPr="00812609" w:rsidRDefault="00E00938" w:rsidP="00222B74">
      <w:pPr>
        <w:pStyle w:val="Subtitle"/>
        <w:rPr>
          <w:rFonts w:asciiTheme="minorHAnsi" w:hAnsiTheme="minorHAnsi" w:cs="Arial"/>
          <w:sz w:val="22"/>
        </w:rPr>
      </w:pPr>
      <w:r w:rsidRPr="00812609">
        <w:rPr>
          <w:rFonts w:asciiTheme="minorHAnsi" w:hAnsiTheme="minorHAnsi" w:cs="Arial"/>
          <w:sz w:val="22"/>
        </w:rPr>
        <w:t xml:space="preserve">The standard format </w:t>
      </w:r>
      <w:r w:rsidR="00222B74" w:rsidRPr="00812609">
        <w:rPr>
          <w:rFonts w:asciiTheme="minorHAnsi" w:hAnsiTheme="minorHAnsi" w:cs="Arial"/>
          <w:sz w:val="22"/>
        </w:rPr>
        <w:t>of the RMT table, provided at the end of this document</w:t>
      </w:r>
      <w:r w:rsidRPr="00812609">
        <w:rPr>
          <w:rFonts w:asciiTheme="minorHAnsi" w:hAnsiTheme="minorHAnsi" w:cs="Arial"/>
          <w:sz w:val="22"/>
        </w:rPr>
        <w:t xml:space="preserve">, </w:t>
      </w:r>
      <w:r w:rsidR="00260794" w:rsidRPr="00812609">
        <w:rPr>
          <w:rFonts w:asciiTheme="minorHAnsi" w:hAnsiTheme="minorHAnsi" w:cs="Arial"/>
          <w:sz w:val="22"/>
        </w:rPr>
        <w:t>should</w:t>
      </w:r>
      <w:r w:rsidRPr="00812609">
        <w:rPr>
          <w:rFonts w:asciiTheme="minorHAnsi" w:hAnsiTheme="minorHAnsi" w:cs="Arial"/>
          <w:sz w:val="22"/>
        </w:rPr>
        <w:t xml:space="preserve"> be followed. The RMT table consists of two sections: UNDP Regular Resources (core) and UNDP Other Resources (non-core) and three columns: Source</w:t>
      </w:r>
      <w:r w:rsidR="00222B74" w:rsidRPr="00812609">
        <w:rPr>
          <w:rFonts w:asciiTheme="minorHAnsi" w:hAnsiTheme="minorHAnsi" w:cs="Arial"/>
          <w:sz w:val="22"/>
        </w:rPr>
        <w:t xml:space="preserve"> of Funding</w:t>
      </w:r>
      <w:r w:rsidRPr="00812609">
        <w:rPr>
          <w:rFonts w:asciiTheme="minorHAnsi" w:hAnsiTheme="minorHAnsi" w:cs="Arial"/>
          <w:sz w:val="22"/>
        </w:rPr>
        <w:t xml:space="preserve">, Amount and Comments. </w:t>
      </w:r>
    </w:p>
    <w:p w14:paraId="1B54A3D0" w14:textId="77777777" w:rsidR="00E00938" w:rsidRPr="00812609" w:rsidRDefault="00E00938" w:rsidP="00222B74">
      <w:pPr>
        <w:pStyle w:val="Subtitle"/>
        <w:rPr>
          <w:rFonts w:asciiTheme="minorHAnsi" w:hAnsiTheme="minorHAnsi" w:cs="Arial"/>
          <w:b/>
          <w:color w:val="548DD4"/>
        </w:rPr>
      </w:pPr>
      <w:r w:rsidRPr="00812609">
        <w:rPr>
          <w:rFonts w:asciiTheme="minorHAnsi" w:hAnsiTheme="minorHAnsi" w:cs="Arial"/>
          <w:b/>
          <w:color w:val="548DD4"/>
        </w:rPr>
        <w:t xml:space="preserve"> </w:t>
      </w:r>
    </w:p>
    <w:p w14:paraId="1B54A3D1" w14:textId="77777777" w:rsidR="00145140" w:rsidRPr="00812609" w:rsidRDefault="00E00938" w:rsidP="00145140">
      <w:pPr>
        <w:pStyle w:val="Subtitle"/>
        <w:rPr>
          <w:rFonts w:asciiTheme="minorHAnsi" w:hAnsiTheme="minorHAnsi" w:cs="Arial"/>
          <w:sz w:val="22"/>
        </w:rPr>
      </w:pPr>
      <w:r w:rsidRPr="00812609">
        <w:rPr>
          <w:rFonts w:asciiTheme="minorHAnsi" w:hAnsiTheme="minorHAnsi" w:cs="Arial"/>
          <w:sz w:val="22"/>
        </w:rPr>
        <w:t xml:space="preserve">The </w:t>
      </w:r>
      <w:proofErr w:type="gramStart"/>
      <w:r w:rsidRPr="00812609">
        <w:rPr>
          <w:rFonts w:asciiTheme="minorHAnsi" w:hAnsiTheme="minorHAnsi" w:cs="Arial"/>
          <w:sz w:val="22"/>
        </w:rPr>
        <w:t>period of time</w:t>
      </w:r>
      <w:proofErr w:type="gramEnd"/>
      <w:r w:rsidRPr="00812609">
        <w:rPr>
          <w:rFonts w:asciiTheme="minorHAnsi" w:hAnsiTheme="minorHAnsi" w:cs="Arial"/>
          <w:sz w:val="22"/>
        </w:rPr>
        <w:t xml:space="preserve"> covered by the </w:t>
      </w:r>
      <w:r w:rsidR="00D728BD" w:rsidRPr="00812609">
        <w:rPr>
          <w:rFonts w:asciiTheme="minorHAnsi" w:hAnsiTheme="minorHAnsi" w:cs="Arial"/>
          <w:sz w:val="22"/>
        </w:rPr>
        <w:t>RMT table is the same as the CPD</w:t>
      </w:r>
      <w:r w:rsidRPr="00812609">
        <w:rPr>
          <w:rFonts w:asciiTheme="minorHAnsi" w:hAnsiTheme="minorHAnsi" w:cs="Arial"/>
          <w:sz w:val="22"/>
        </w:rPr>
        <w:t xml:space="preserve"> time period. </w:t>
      </w:r>
      <w:r w:rsidR="00D728BD" w:rsidRPr="00812609">
        <w:rPr>
          <w:rFonts w:asciiTheme="minorHAnsi" w:hAnsiTheme="minorHAnsi" w:cs="Arial"/>
          <w:sz w:val="22"/>
        </w:rPr>
        <w:t>CPD</w:t>
      </w:r>
      <w:r w:rsidRPr="00812609">
        <w:rPr>
          <w:rFonts w:asciiTheme="minorHAnsi" w:hAnsiTheme="minorHAnsi" w:cs="Arial"/>
          <w:sz w:val="22"/>
        </w:rPr>
        <w:t xml:space="preserve"> periods normally range from three to five years. One- or two-year extensions of </w:t>
      </w:r>
      <w:r w:rsidR="00D728BD" w:rsidRPr="00812609">
        <w:rPr>
          <w:rFonts w:asciiTheme="minorHAnsi" w:hAnsiTheme="minorHAnsi" w:cs="Arial"/>
          <w:sz w:val="22"/>
        </w:rPr>
        <w:t>CPD</w:t>
      </w:r>
      <w:r w:rsidR="003D3C51" w:rsidRPr="00812609">
        <w:rPr>
          <w:rFonts w:asciiTheme="minorHAnsi" w:hAnsiTheme="minorHAnsi" w:cs="Arial"/>
          <w:sz w:val="22"/>
        </w:rPr>
        <w:t>s</w:t>
      </w:r>
      <w:r w:rsidRPr="00812609">
        <w:rPr>
          <w:rFonts w:asciiTheme="minorHAnsi" w:hAnsiTheme="minorHAnsi" w:cs="Arial"/>
          <w:sz w:val="22"/>
        </w:rPr>
        <w:t xml:space="preserve"> are permitted under certain circumstances. </w:t>
      </w:r>
      <w:r w:rsidR="00145140" w:rsidRPr="00812609">
        <w:rPr>
          <w:rFonts w:asciiTheme="minorHAnsi" w:hAnsiTheme="minorHAnsi" w:cs="Arial"/>
          <w:sz w:val="22"/>
        </w:rPr>
        <w:t>The RMT table also needs to be prepared when a CPD is extended.</w:t>
      </w:r>
    </w:p>
    <w:p w14:paraId="1B54A3D2" w14:textId="77777777" w:rsidR="00D728BD" w:rsidRPr="00812609" w:rsidRDefault="00D728BD" w:rsidP="007D4A48">
      <w:pPr>
        <w:pStyle w:val="Subtitle"/>
        <w:rPr>
          <w:rFonts w:asciiTheme="minorHAnsi" w:hAnsiTheme="minorHAnsi" w:cs="Arial"/>
          <w:sz w:val="22"/>
        </w:rPr>
      </w:pPr>
    </w:p>
    <w:p w14:paraId="1B54A3D3" w14:textId="77777777" w:rsidR="005A0F4D" w:rsidRPr="00812609" w:rsidRDefault="00E00938" w:rsidP="005A0F4D">
      <w:pPr>
        <w:pStyle w:val="BodyText"/>
        <w:rPr>
          <w:rFonts w:asciiTheme="minorHAnsi" w:hAnsiTheme="minorHAnsi" w:cs="Arial"/>
          <w:b w:val="0"/>
          <w:sz w:val="22"/>
        </w:rPr>
      </w:pPr>
      <w:r w:rsidRPr="00812609">
        <w:rPr>
          <w:rFonts w:asciiTheme="minorHAnsi" w:hAnsiTheme="minorHAnsi" w:cs="Arial"/>
          <w:b w:val="0"/>
          <w:sz w:val="22"/>
        </w:rPr>
        <w:t xml:space="preserve">In case of </w:t>
      </w:r>
      <w:r w:rsidR="00D728BD" w:rsidRPr="00812609">
        <w:rPr>
          <w:rFonts w:asciiTheme="minorHAnsi" w:hAnsiTheme="minorHAnsi" w:cs="Arial"/>
          <w:b w:val="0"/>
          <w:sz w:val="22"/>
        </w:rPr>
        <w:t>CPD</w:t>
      </w:r>
      <w:r w:rsidRPr="00812609">
        <w:rPr>
          <w:rFonts w:asciiTheme="minorHAnsi" w:hAnsiTheme="minorHAnsi" w:cs="Arial"/>
          <w:b w:val="0"/>
          <w:sz w:val="22"/>
        </w:rPr>
        <w:t xml:space="preserve"> </w:t>
      </w:r>
      <w:r w:rsidR="003D3C51" w:rsidRPr="00812609">
        <w:rPr>
          <w:rFonts w:asciiTheme="minorHAnsi" w:hAnsiTheme="minorHAnsi" w:cs="Arial"/>
          <w:b w:val="0"/>
          <w:sz w:val="22"/>
        </w:rPr>
        <w:t>extensions</w:t>
      </w:r>
      <w:r w:rsidRPr="00812609">
        <w:rPr>
          <w:rFonts w:asciiTheme="minorHAnsi" w:hAnsiTheme="minorHAnsi" w:cs="Arial"/>
          <w:b w:val="0"/>
          <w:sz w:val="22"/>
        </w:rPr>
        <w:t xml:space="preserve"> please indicate the original </w:t>
      </w:r>
      <w:r w:rsidR="00D728BD" w:rsidRPr="00812609">
        <w:rPr>
          <w:rFonts w:asciiTheme="minorHAnsi" w:hAnsiTheme="minorHAnsi" w:cs="Arial"/>
          <w:b w:val="0"/>
          <w:sz w:val="22"/>
        </w:rPr>
        <w:t>CPD</w:t>
      </w:r>
      <w:r w:rsidRPr="00812609">
        <w:rPr>
          <w:rFonts w:asciiTheme="minorHAnsi" w:hAnsiTheme="minorHAnsi" w:cs="Arial"/>
          <w:b w:val="0"/>
          <w:sz w:val="22"/>
        </w:rPr>
        <w:t xml:space="preserve"> period, the years for which the </w:t>
      </w:r>
      <w:r w:rsidR="00D728BD" w:rsidRPr="00812609">
        <w:rPr>
          <w:rFonts w:asciiTheme="minorHAnsi" w:hAnsiTheme="minorHAnsi" w:cs="Arial"/>
          <w:b w:val="0"/>
          <w:sz w:val="22"/>
        </w:rPr>
        <w:t>CPD</w:t>
      </w:r>
      <w:r w:rsidRPr="00812609">
        <w:rPr>
          <w:rFonts w:asciiTheme="minorHAnsi" w:hAnsiTheme="minorHAnsi" w:cs="Arial"/>
          <w:b w:val="0"/>
          <w:sz w:val="22"/>
        </w:rPr>
        <w:t xml:space="preserve"> has been extended and the new revised/extended </w:t>
      </w:r>
      <w:r w:rsidR="00D728BD" w:rsidRPr="00812609">
        <w:rPr>
          <w:rFonts w:asciiTheme="minorHAnsi" w:hAnsiTheme="minorHAnsi" w:cs="Arial"/>
          <w:b w:val="0"/>
          <w:sz w:val="22"/>
        </w:rPr>
        <w:t>CPD</w:t>
      </w:r>
      <w:r w:rsidRPr="00812609">
        <w:rPr>
          <w:rFonts w:asciiTheme="minorHAnsi" w:hAnsiTheme="minorHAnsi" w:cs="Arial"/>
          <w:b w:val="0"/>
          <w:sz w:val="22"/>
        </w:rPr>
        <w:t xml:space="preserve"> period. The RMT should reflect figures for the entire revised/extended </w:t>
      </w:r>
      <w:r w:rsidR="00D728BD" w:rsidRPr="00812609">
        <w:rPr>
          <w:rFonts w:asciiTheme="minorHAnsi" w:hAnsiTheme="minorHAnsi" w:cs="Arial"/>
          <w:b w:val="0"/>
          <w:sz w:val="22"/>
        </w:rPr>
        <w:t>CPD</w:t>
      </w:r>
      <w:r w:rsidR="00DF4F70" w:rsidRPr="00812609">
        <w:rPr>
          <w:rFonts w:asciiTheme="minorHAnsi" w:hAnsiTheme="minorHAnsi" w:cs="Arial"/>
          <w:b w:val="0"/>
          <w:sz w:val="22"/>
        </w:rPr>
        <w:t xml:space="preserve"> period.  For example,</w:t>
      </w:r>
      <w:r w:rsidR="005A0F4D" w:rsidRPr="00812609">
        <w:rPr>
          <w:rFonts w:asciiTheme="minorHAnsi" w:hAnsiTheme="minorHAnsi" w:cs="Arial"/>
          <w:b w:val="0"/>
          <w:sz w:val="22"/>
        </w:rPr>
        <w:t xml:space="preserve"> enter the TRAC</w:t>
      </w:r>
      <w:r w:rsidR="004152A6">
        <w:rPr>
          <w:rFonts w:asciiTheme="minorHAnsi" w:hAnsiTheme="minorHAnsi" w:cs="Arial"/>
          <w:b w:val="0"/>
          <w:sz w:val="22"/>
        </w:rPr>
        <w:t>-1</w:t>
      </w:r>
      <w:r w:rsidR="005A0F4D" w:rsidRPr="00812609">
        <w:rPr>
          <w:rFonts w:asciiTheme="minorHAnsi" w:hAnsiTheme="minorHAnsi" w:cs="Arial"/>
          <w:b w:val="0"/>
          <w:sz w:val="22"/>
        </w:rPr>
        <w:t xml:space="preserve"> assignments </w:t>
      </w:r>
      <w:r w:rsidR="003F0014" w:rsidRPr="00812609">
        <w:rPr>
          <w:rFonts w:asciiTheme="minorHAnsi" w:hAnsiTheme="minorHAnsi" w:cs="Arial"/>
          <w:b w:val="0"/>
          <w:sz w:val="22"/>
        </w:rPr>
        <w:t>from</w:t>
      </w:r>
      <w:r w:rsidR="005A0F4D" w:rsidRPr="00812609">
        <w:rPr>
          <w:rFonts w:asciiTheme="minorHAnsi" w:hAnsiTheme="minorHAnsi" w:cs="Arial"/>
          <w:b w:val="0"/>
          <w:sz w:val="22"/>
        </w:rPr>
        <w:t xml:space="preserve"> the original CPD period plus the new TRAC</w:t>
      </w:r>
      <w:r w:rsidR="004152A6">
        <w:rPr>
          <w:rFonts w:asciiTheme="minorHAnsi" w:hAnsiTheme="minorHAnsi" w:cs="Arial"/>
          <w:b w:val="0"/>
          <w:sz w:val="22"/>
        </w:rPr>
        <w:t>-1</w:t>
      </w:r>
      <w:r w:rsidR="005A0F4D" w:rsidRPr="00812609">
        <w:rPr>
          <w:rFonts w:asciiTheme="minorHAnsi" w:hAnsiTheme="minorHAnsi" w:cs="Arial"/>
          <w:b w:val="0"/>
          <w:sz w:val="22"/>
        </w:rPr>
        <w:t xml:space="preserve"> assignments for the years of extension.</w:t>
      </w:r>
    </w:p>
    <w:p w14:paraId="1B54A3D4" w14:textId="77777777" w:rsidR="00E00938" w:rsidRPr="00812609" w:rsidRDefault="00E00938" w:rsidP="007D4A48">
      <w:pPr>
        <w:pStyle w:val="Subtitle"/>
        <w:rPr>
          <w:rFonts w:asciiTheme="minorHAnsi" w:hAnsiTheme="minorHAnsi" w:cs="Arial"/>
          <w:sz w:val="22"/>
        </w:rPr>
      </w:pPr>
    </w:p>
    <w:p w14:paraId="1B54A3D5" w14:textId="77777777" w:rsidR="00E00938" w:rsidRPr="00812609" w:rsidRDefault="00E00938" w:rsidP="00D07A41">
      <w:pPr>
        <w:pStyle w:val="Subtitle"/>
        <w:jc w:val="center"/>
        <w:rPr>
          <w:rFonts w:asciiTheme="minorHAnsi" w:hAnsiTheme="minorHAnsi" w:cs="Arial"/>
          <w:sz w:val="22"/>
          <w:u w:val="single"/>
        </w:rPr>
      </w:pPr>
      <w:r w:rsidRPr="00812609">
        <w:rPr>
          <w:rFonts w:asciiTheme="minorHAnsi" w:hAnsiTheme="minorHAnsi" w:cs="Arial"/>
          <w:sz w:val="22"/>
          <w:u w:val="single"/>
        </w:rPr>
        <w:t>II</w:t>
      </w:r>
      <w:r w:rsidR="00D07A41" w:rsidRPr="00812609">
        <w:rPr>
          <w:rFonts w:asciiTheme="minorHAnsi" w:hAnsiTheme="minorHAnsi" w:cs="Arial"/>
          <w:sz w:val="22"/>
          <w:u w:val="single"/>
        </w:rPr>
        <w:t>. METHODOLOGY</w:t>
      </w:r>
      <w:r w:rsidRPr="00812609">
        <w:rPr>
          <w:rFonts w:asciiTheme="minorHAnsi" w:hAnsiTheme="minorHAnsi" w:cs="Arial"/>
          <w:sz w:val="22"/>
          <w:u w:val="single"/>
        </w:rPr>
        <w:t xml:space="preserve"> AND SOURCES OF DATA</w:t>
      </w:r>
    </w:p>
    <w:p w14:paraId="1B54A3D6" w14:textId="77777777" w:rsidR="00E00938" w:rsidRPr="00812609" w:rsidRDefault="00E00938" w:rsidP="007D4A48">
      <w:pPr>
        <w:pStyle w:val="Subtitle"/>
        <w:rPr>
          <w:rFonts w:asciiTheme="minorHAnsi" w:hAnsiTheme="minorHAnsi" w:cs="Arial"/>
          <w:b/>
          <w:sz w:val="22"/>
        </w:rPr>
      </w:pPr>
    </w:p>
    <w:p w14:paraId="1B54A3D7" w14:textId="77777777" w:rsidR="00E00938" w:rsidRPr="00812609" w:rsidRDefault="00CA7E60" w:rsidP="007D4A48">
      <w:pPr>
        <w:pStyle w:val="Subtitle"/>
        <w:rPr>
          <w:rFonts w:asciiTheme="minorHAnsi" w:hAnsiTheme="minorHAnsi" w:cs="Arial"/>
          <w:b/>
          <w:sz w:val="22"/>
        </w:rPr>
      </w:pPr>
      <w:r w:rsidRPr="00812609">
        <w:rPr>
          <w:rFonts w:asciiTheme="minorHAnsi" w:hAnsiTheme="minorHAnsi" w:cs="Arial"/>
          <w:b/>
          <w:sz w:val="22"/>
        </w:rPr>
        <w:t xml:space="preserve">1. </w:t>
      </w:r>
      <w:r w:rsidR="00D07A41" w:rsidRPr="00812609">
        <w:rPr>
          <w:rFonts w:asciiTheme="minorHAnsi" w:hAnsiTheme="minorHAnsi" w:cs="Arial"/>
          <w:b/>
          <w:sz w:val="22"/>
        </w:rPr>
        <w:t xml:space="preserve"> </w:t>
      </w:r>
      <w:r w:rsidRPr="00812609">
        <w:rPr>
          <w:rFonts w:asciiTheme="minorHAnsi" w:hAnsiTheme="minorHAnsi" w:cs="Arial"/>
          <w:b/>
          <w:sz w:val="22"/>
        </w:rPr>
        <w:t>Estimated carry</w:t>
      </w:r>
      <w:r w:rsidR="00CC50AE" w:rsidRPr="00812609">
        <w:rPr>
          <w:rFonts w:asciiTheme="minorHAnsi" w:hAnsiTheme="minorHAnsi" w:cs="Arial"/>
          <w:b/>
          <w:sz w:val="22"/>
        </w:rPr>
        <w:t>over (TRAC-</w:t>
      </w:r>
      <w:r w:rsidR="005610C4" w:rsidRPr="00812609">
        <w:rPr>
          <w:rFonts w:asciiTheme="minorHAnsi" w:hAnsiTheme="minorHAnsi" w:cs="Arial"/>
          <w:b/>
          <w:sz w:val="22"/>
        </w:rPr>
        <w:t xml:space="preserve">1 </w:t>
      </w:r>
      <w:r w:rsidR="00370FB0">
        <w:rPr>
          <w:rFonts w:asciiTheme="minorHAnsi" w:hAnsiTheme="minorHAnsi" w:cs="Arial"/>
          <w:b/>
          <w:sz w:val="22"/>
        </w:rPr>
        <w:t>+</w:t>
      </w:r>
      <w:r w:rsidR="00370FB0" w:rsidRPr="00812609">
        <w:rPr>
          <w:rFonts w:asciiTheme="minorHAnsi" w:hAnsiTheme="minorHAnsi" w:cs="Arial"/>
          <w:b/>
          <w:sz w:val="22"/>
        </w:rPr>
        <w:t xml:space="preserve"> </w:t>
      </w:r>
      <w:r w:rsidR="00CC50AE" w:rsidRPr="00812609">
        <w:rPr>
          <w:rFonts w:asciiTheme="minorHAnsi" w:hAnsiTheme="minorHAnsi" w:cs="Arial"/>
          <w:b/>
          <w:sz w:val="22"/>
        </w:rPr>
        <w:t>TRAC-</w:t>
      </w:r>
      <w:r w:rsidR="005610C4" w:rsidRPr="00812609">
        <w:rPr>
          <w:rFonts w:asciiTheme="minorHAnsi" w:hAnsiTheme="minorHAnsi" w:cs="Arial"/>
          <w:b/>
          <w:sz w:val="22"/>
        </w:rPr>
        <w:t xml:space="preserve">2 </w:t>
      </w:r>
      <w:r w:rsidR="00E00938" w:rsidRPr="00812609">
        <w:rPr>
          <w:rFonts w:asciiTheme="minorHAnsi" w:hAnsiTheme="minorHAnsi" w:cs="Arial"/>
          <w:b/>
          <w:sz w:val="22"/>
        </w:rPr>
        <w:t>resources only)</w:t>
      </w:r>
    </w:p>
    <w:p w14:paraId="1B54A3D8" w14:textId="77777777" w:rsidR="00E00938" w:rsidRPr="00812609" w:rsidRDefault="00E00938" w:rsidP="007D4A48">
      <w:pPr>
        <w:pStyle w:val="Subtitle"/>
        <w:rPr>
          <w:rFonts w:asciiTheme="minorHAnsi" w:hAnsiTheme="minorHAnsi" w:cs="Arial"/>
          <w:b/>
          <w:sz w:val="22"/>
        </w:rPr>
      </w:pPr>
    </w:p>
    <w:p w14:paraId="1B54A3D9" w14:textId="2F02A60D" w:rsidR="00E00938" w:rsidRPr="00812609" w:rsidRDefault="00E00938" w:rsidP="007D4A48">
      <w:pPr>
        <w:pStyle w:val="Subtitle"/>
        <w:rPr>
          <w:rFonts w:asciiTheme="minorHAnsi" w:hAnsiTheme="minorHAnsi" w:cs="Arial"/>
          <w:b/>
        </w:rPr>
      </w:pPr>
      <w:r w:rsidRPr="00812609">
        <w:rPr>
          <w:rFonts w:asciiTheme="minorHAnsi" w:hAnsiTheme="minorHAnsi" w:cs="Arial"/>
          <w:sz w:val="22"/>
        </w:rPr>
        <w:t xml:space="preserve">In this column enter the amount of </w:t>
      </w:r>
      <w:r w:rsidR="009F3167" w:rsidRPr="00812609">
        <w:rPr>
          <w:rFonts w:asciiTheme="minorHAnsi" w:hAnsiTheme="minorHAnsi" w:cs="Arial"/>
          <w:sz w:val="22"/>
        </w:rPr>
        <w:t xml:space="preserve">the </w:t>
      </w:r>
      <w:r w:rsidR="00145140" w:rsidRPr="00812609">
        <w:rPr>
          <w:rFonts w:asciiTheme="minorHAnsi" w:hAnsiTheme="minorHAnsi" w:cs="Arial"/>
          <w:sz w:val="22"/>
        </w:rPr>
        <w:t>estimated carry</w:t>
      </w:r>
      <w:r w:rsidR="00CC50AE" w:rsidRPr="00812609">
        <w:rPr>
          <w:rFonts w:asciiTheme="minorHAnsi" w:hAnsiTheme="minorHAnsi" w:cs="Arial"/>
          <w:sz w:val="22"/>
        </w:rPr>
        <w:t>over of TRAC-1 and TRAC-</w:t>
      </w:r>
      <w:r w:rsidR="00CA7E60" w:rsidRPr="00812609">
        <w:rPr>
          <w:rFonts w:asciiTheme="minorHAnsi" w:hAnsiTheme="minorHAnsi" w:cs="Arial"/>
          <w:sz w:val="22"/>
        </w:rPr>
        <w:t xml:space="preserve">2 </w:t>
      </w:r>
      <w:r w:rsidRPr="00812609">
        <w:rPr>
          <w:rFonts w:asciiTheme="minorHAnsi" w:hAnsiTheme="minorHAnsi" w:cs="Arial"/>
          <w:sz w:val="22"/>
        </w:rPr>
        <w:t xml:space="preserve">resources into the first year of the </w:t>
      </w:r>
      <w:r w:rsidR="00D728BD" w:rsidRPr="00812609">
        <w:rPr>
          <w:rFonts w:asciiTheme="minorHAnsi" w:hAnsiTheme="minorHAnsi" w:cs="Arial"/>
          <w:sz w:val="22"/>
        </w:rPr>
        <w:t>CPD</w:t>
      </w:r>
      <w:r w:rsidRPr="00812609">
        <w:rPr>
          <w:rFonts w:asciiTheme="minorHAnsi" w:hAnsiTheme="minorHAnsi" w:cs="Arial"/>
          <w:sz w:val="22"/>
        </w:rPr>
        <w:t xml:space="preserve"> period.</w:t>
      </w:r>
      <w:r w:rsidR="003F0014" w:rsidRPr="00812609">
        <w:rPr>
          <w:rFonts w:asciiTheme="minorHAnsi" w:hAnsiTheme="minorHAnsi" w:cs="Arial"/>
          <w:sz w:val="22"/>
        </w:rPr>
        <w:t xml:space="preserve"> </w:t>
      </w:r>
      <w:r w:rsidRPr="00812609">
        <w:rPr>
          <w:rFonts w:asciiTheme="minorHAnsi" w:hAnsiTheme="minorHAnsi" w:cs="Arial"/>
          <w:sz w:val="22"/>
        </w:rPr>
        <w:t xml:space="preserve">This figure can be </w:t>
      </w:r>
      <w:r w:rsidR="00350551">
        <w:rPr>
          <w:rFonts w:asciiTheme="minorHAnsi" w:hAnsiTheme="minorHAnsi" w:cs="Arial"/>
          <w:sz w:val="22"/>
        </w:rPr>
        <w:t>derived from</w:t>
      </w:r>
      <w:r w:rsidRPr="00812609">
        <w:rPr>
          <w:rFonts w:asciiTheme="minorHAnsi" w:hAnsiTheme="minorHAnsi" w:cs="Arial"/>
          <w:sz w:val="22"/>
        </w:rPr>
        <w:t xml:space="preserve"> </w:t>
      </w:r>
      <w:r w:rsidR="009F3167" w:rsidRPr="00812609">
        <w:rPr>
          <w:rFonts w:asciiTheme="minorHAnsi" w:hAnsiTheme="minorHAnsi" w:cs="Arial"/>
          <w:sz w:val="22"/>
        </w:rPr>
        <w:t xml:space="preserve">the </w:t>
      </w:r>
      <w:r w:rsidRPr="00812609">
        <w:rPr>
          <w:rFonts w:asciiTheme="minorHAnsi" w:hAnsiTheme="minorHAnsi" w:cs="Arial"/>
          <w:sz w:val="22"/>
        </w:rPr>
        <w:t>“</w:t>
      </w:r>
      <w:hyperlink r:id="rId13" w:history="1">
        <w:r w:rsidRPr="00812609">
          <w:rPr>
            <w:rStyle w:val="Hyperlink"/>
            <w:rFonts w:asciiTheme="minorHAnsi" w:hAnsiTheme="minorHAnsi" w:cs="Arial"/>
            <w:sz w:val="22"/>
          </w:rPr>
          <w:t>RMT Assistant</w:t>
        </w:r>
      </w:hyperlink>
      <w:r w:rsidRPr="00812609">
        <w:rPr>
          <w:rFonts w:asciiTheme="minorHAnsi" w:hAnsiTheme="minorHAnsi" w:cs="Arial"/>
          <w:sz w:val="22"/>
        </w:rPr>
        <w:t>”.</w:t>
      </w:r>
    </w:p>
    <w:p w14:paraId="1B54A3DA" w14:textId="77777777" w:rsidR="00E00938" w:rsidRPr="00812609" w:rsidRDefault="00E00938" w:rsidP="007D4A48">
      <w:pPr>
        <w:rPr>
          <w:rFonts w:asciiTheme="minorHAnsi" w:hAnsiTheme="minorHAnsi" w:cs="Arial"/>
        </w:rPr>
      </w:pPr>
    </w:p>
    <w:p w14:paraId="1B54A3DB" w14:textId="712CA212" w:rsidR="00E00938" w:rsidRDefault="00CA7E60" w:rsidP="00CC6828">
      <w:pPr>
        <w:pStyle w:val="Heading2"/>
        <w:rPr>
          <w:rFonts w:asciiTheme="minorHAnsi" w:hAnsiTheme="minorHAnsi" w:cs="Arial"/>
          <w:sz w:val="22"/>
        </w:rPr>
      </w:pPr>
      <w:r w:rsidRPr="00812609">
        <w:rPr>
          <w:rFonts w:asciiTheme="minorHAnsi" w:hAnsiTheme="minorHAnsi" w:cs="Arial"/>
          <w:sz w:val="22"/>
        </w:rPr>
        <w:t>The carryover is the resources carried over</w:t>
      </w:r>
      <w:r w:rsidR="008F3DCA" w:rsidRPr="00812609">
        <w:rPr>
          <w:rFonts w:asciiTheme="minorHAnsi" w:hAnsiTheme="minorHAnsi" w:cs="Arial"/>
          <w:sz w:val="22"/>
        </w:rPr>
        <w:t xml:space="preserve"> from the previous CPD </w:t>
      </w:r>
      <w:r w:rsidR="009F3167" w:rsidRPr="00812609">
        <w:rPr>
          <w:rFonts w:asciiTheme="minorHAnsi" w:hAnsiTheme="minorHAnsi" w:cs="Arial"/>
          <w:sz w:val="22"/>
        </w:rPr>
        <w:t xml:space="preserve">period </w:t>
      </w:r>
      <w:r w:rsidRPr="00812609">
        <w:rPr>
          <w:rFonts w:asciiTheme="minorHAnsi" w:hAnsiTheme="minorHAnsi" w:cs="Arial"/>
          <w:sz w:val="22"/>
        </w:rPr>
        <w:t xml:space="preserve">into the first year of the </w:t>
      </w:r>
      <w:r w:rsidR="0043167C" w:rsidRPr="00812609">
        <w:rPr>
          <w:rFonts w:asciiTheme="minorHAnsi" w:hAnsiTheme="minorHAnsi" w:cs="Arial"/>
          <w:sz w:val="22"/>
        </w:rPr>
        <w:t xml:space="preserve">new </w:t>
      </w:r>
      <w:r w:rsidRPr="00812609">
        <w:rPr>
          <w:rFonts w:asciiTheme="minorHAnsi" w:hAnsiTheme="minorHAnsi" w:cs="Arial"/>
          <w:sz w:val="22"/>
        </w:rPr>
        <w:t>CPD period.  It includes all</w:t>
      </w:r>
      <w:r w:rsidR="00DF064A" w:rsidRPr="00812609">
        <w:rPr>
          <w:rFonts w:asciiTheme="minorHAnsi" w:hAnsiTheme="minorHAnsi" w:cs="Arial"/>
          <w:sz w:val="22"/>
        </w:rPr>
        <w:t xml:space="preserve"> resources up to the </w:t>
      </w:r>
      <w:r w:rsidR="009F3167" w:rsidRPr="00812609">
        <w:rPr>
          <w:rFonts w:asciiTheme="minorHAnsi" w:hAnsiTheme="minorHAnsi" w:cs="Arial"/>
          <w:sz w:val="22"/>
        </w:rPr>
        <w:t>last year of the previous CPD</w:t>
      </w:r>
      <w:r w:rsidR="00DF064A" w:rsidRPr="00812609">
        <w:rPr>
          <w:rFonts w:asciiTheme="minorHAnsi" w:hAnsiTheme="minorHAnsi" w:cs="Arial"/>
          <w:sz w:val="22"/>
        </w:rPr>
        <w:t xml:space="preserve">.  </w:t>
      </w:r>
      <w:r w:rsidR="00E00938" w:rsidRPr="00812609">
        <w:rPr>
          <w:rFonts w:asciiTheme="minorHAnsi" w:hAnsiTheme="minorHAnsi" w:cs="Arial"/>
          <w:sz w:val="22"/>
        </w:rPr>
        <w:t xml:space="preserve">In case of </w:t>
      </w:r>
      <w:r w:rsidR="00DF064A" w:rsidRPr="00812609">
        <w:rPr>
          <w:rFonts w:asciiTheme="minorHAnsi" w:hAnsiTheme="minorHAnsi" w:cs="Arial"/>
          <w:sz w:val="22"/>
        </w:rPr>
        <w:t xml:space="preserve">a </w:t>
      </w:r>
      <w:r w:rsidR="00D728BD" w:rsidRPr="00812609">
        <w:rPr>
          <w:rFonts w:asciiTheme="minorHAnsi" w:hAnsiTheme="minorHAnsi" w:cs="Arial"/>
          <w:sz w:val="22"/>
        </w:rPr>
        <w:t>CPD</w:t>
      </w:r>
      <w:r w:rsidR="00E00938" w:rsidRPr="00812609">
        <w:rPr>
          <w:rFonts w:asciiTheme="minorHAnsi" w:hAnsiTheme="minorHAnsi" w:cs="Arial"/>
          <w:sz w:val="22"/>
        </w:rPr>
        <w:t xml:space="preserve"> extension, there is no need to </w:t>
      </w:r>
      <w:r w:rsidR="00CC6828" w:rsidRPr="00812609">
        <w:rPr>
          <w:rFonts w:asciiTheme="minorHAnsi" w:hAnsiTheme="minorHAnsi" w:cs="Arial"/>
          <w:sz w:val="22"/>
        </w:rPr>
        <w:t>recalculate this amount.</w:t>
      </w:r>
      <w:r w:rsidR="00E00938" w:rsidRPr="00812609">
        <w:rPr>
          <w:rFonts w:asciiTheme="minorHAnsi" w:hAnsiTheme="minorHAnsi" w:cs="Arial"/>
          <w:sz w:val="22"/>
        </w:rPr>
        <w:t xml:space="preserve"> </w:t>
      </w:r>
      <w:r w:rsidR="003F0014" w:rsidRPr="00812609">
        <w:rPr>
          <w:rFonts w:asciiTheme="minorHAnsi" w:hAnsiTheme="minorHAnsi" w:cs="Arial"/>
          <w:sz w:val="22"/>
        </w:rPr>
        <w:t>Use</w:t>
      </w:r>
      <w:r w:rsidR="00CC6828" w:rsidRPr="00812609">
        <w:rPr>
          <w:rFonts w:asciiTheme="minorHAnsi" w:hAnsiTheme="minorHAnsi" w:cs="Arial"/>
          <w:sz w:val="22"/>
        </w:rPr>
        <w:t xml:space="preserve"> the carry</w:t>
      </w:r>
      <w:r w:rsidR="00E00938" w:rsidRPr="00812609">
        <w:rPr>
          <w:rFonts w:asciiTheme="minorHAnsi" w:hAnsiTheme="minorHAnsi" w:cs="Arial"/>
          <w:sz w:val="22"/>
        </w:rPr>
        <w:t xml:space="preserve">over figure indicated in the RMT </w:t>
      </w:r>
      <w:r w:rsidR="00CC6828" w:rsidRPr="00812609">
        <w:rPr>
          <w:rFonts w:asciiTheme="minorHAnsi" w:hAnsiTheme="minorHAnsi" w:cs="Arial"/>
          <w:sz w:val="22"/>
        </w:rPr>
        <w:t>of</w:t>
      </w:r>
      <w:r w:rsidR="00E00938" w:rsidRPr="00812609">
        <w:rPr>
          <w:rFonts w:asciiTheme="minorHAnsi" w:hAnsiTheme="minorHAnsi" w:cs="Arial"/>
          <w:sz w:val="22"/>
        </w:rPr>
        <w:t xml:space="preserve"> the original </w:t>
      </w:r>
      <w:r w:rsidR="00D728BD" w:rsidRPr="00812609">
        <w:rPr>
          <w:rFonts w:asciiTheme="minorHAnsi" w:hAnsiTheme="minorHAnsi" w:cs="Arial"/>
          <w:sz w:val="22"/>
        </w:rPr>
        <w:t>CPD</w:t>
      </w:r>
      <w:r w:rsidR="00E00938" w:rsidRPr="00812609">
        <w:rPr>
          <w:rFonts w:asciiTheme="minorHAnsi" w:hAnsiTheme="minorHAnsi" w:cs="Arial"/>
          <w:sz w:val="22"/>
        </w:rPr>
        <w:t xml:space="preserve"> period.</w:t>
      </w:r>
    </w:p>
    <w:p w14:paraId="5852888B" w14:textId="77777777" w:rsidR="00B57BBA" w:rsidRPr="00B57BBA" w:rsidRDefault="00B57BBA" w:rsidP="00B57BBA"/>
    <w:p w14:paraId="1B54A3DC" w14:textId="77777777" w:rsidR="00E00938" w:rsidRPr="00812609" w:rsidRDefault="00E00938" w:rsidP="007D4A48">
      <w:pPr>
        <w:pStyle w:val="FootnoteText"/>
        <w:rPr>
          <w:rFonts w:asciiTheme="minorHAnsi" w:hAnsiTheme="minorHAnsi" w:cs="Arial"/>
          <w:sz w:val="22"/>
        </w:rPr>
      </w:pPr>
    </w:p>
    <w:p w14:paraId="1B54A3DD" w14:textId="77777777" w:rsidR="00E00938" w:rsidRPr="00812609" w:rsidRDefault="00812609" w:rsidP="007D4A48">
      <w:pPr>
        <w:pStyle w:val="Heading1"/>
        <w:rPr>
          <w:rFonts w:asciiTheme="minorHAnsi" w:hAnsiTheme="minorHAnsi" w:cs="Arial"/>
          <w:b/>
          <w:sz w:val="22"/>
          <w:u w:val="none"/>
        </w:rPr>
      </w:pPr>
      <w:r>
        <w:rPr>
          <w:rFonts w:asciiTheme="minorHAnsi" w:hAnsiTheme="minorHAnsi" w:cs="Arial"/>
          <w:b/>
          <w:sz w:val="22"/>
          <w:u w:val="none"/>
        </w:rPr>
        <w:t>2. TRAC-1</w:t>
      </w:r>
    </w:p>
    <w:p w14:paraId="1B54A3DE" w14:textId="77777777" w:rsidR="00E00938" w:rsidRPr="00812609" w:rsidRDefault="00E00938" w:rsidP="007D4A48">
      <w:pPr>
        <w:pStyle w:val="BodyText"/>
        <w:rPr>
          <w:rFonts w:asciiTheme="minorHAnsi" w:hAnsiTheme="minorHAnsi" w:cs="Arial"/>
          <w:b w:val="0"/>
          <w:sz w:val="22"/>
        </w:rPr>
      </w:pPr>
    </w:p>
    <w:p w14:paraId="1B54A3DF" w14:textId="5A9DDBD3" w:rsidR="006B265D" w:rsidRDefault="00FB4DB1" w:rsidP="00350551">
      <w:pPr>
        <w:rPr>
          <w:rFonts w:asciiTheme="minorHAnsi" w:hAnsiTheme="minorHAnsi" w:cs="Arial"/>
          <w:sz w:val="22"/>
        </w:rPr>
      </w:pPr>
      <w:r w:rsidRPr="00812609">
        <w:rPr>
          <w:rFonts w:asciiTheme="minorHAnsi" w:hAnsiTheme="minorHAnsi" w:cs="Arial"/>
          <w:sz w:val="22"/>
        </w:rPr>
        <w:t xml:space="preserve">Enter the total </w:t>
      </w:r>
      <w:r w:rsidR="00812609">
        <w:rPr>
          <w:rFonts w:asciiTheme="minorHAnsi" w:hAnsiTheme="minorHAnsi" w:cs="Arial"/>
          <w:sz w:val="22"/>
        </w:rPr>
        <w:t>annual TRAC-1</w:t>
      </w:r>
      <w:r w:rsidR="00E00938" w:rsidRPr="00812609">
        <w:rPr>
          <w:rFonts w:asciiTheme="minorHAnsi" w:hAnsiTheme="minorHAnsi" w:cs="Arial"/>
          <w:sz w:val="22"/>
        </w:rPr>
        <w:t xml:space="preserve"> assignments for the </w:t>
      </w:r>
      <w:proofErr w:type="spellStart"/>
      <w:r w:rsidR="00E00938" w:rsidRPr="00812609">
        <w:rPr>
          <w:rFonts w:asciiTheme="minorHAnsi" w:hAnsiTheme="minorHAnsi" w:cs="Arial"/>
          <w:sz w:val="22"/>
        </w:rPr>
        <w:t>years</w:t>
      </w:r>
      <w:proofErr w:type="spellEnd"/>
      <w:r w:rsidR="00E00938" w:rsidRPr="00812609">
        <w:rPr>
          <w:rFonts w:asciiTheme="minorHAnsi" w:hAnsiTheme="minorHAnsi" w:cs="Arial"/>
          <w:sz w:val="22"/>
        </w:rPr>
        <w:t xml:space="preserve"> corresponding to the </w:t>
      </w:r>
      <w:proofErr w:type="gramStart"/>
      <w:r w:rsidR="00E00938" w:rsidRPr="00812609">
        <w:rPr>
          <w:rFonts w:asciiTheme="minorHAnsi" w:hAnsiTheme="minorHAnsi" w:cs="Arial"/>
          <w:sz w:val="22"/>
        </w:rPr>
        <w:t>time period</w:t>
      </w:r>
      <w:proofErr w:type="gramEnd"/>
      <w:r w:rsidR="00E00938" w:rsidRPr="00812609">
        <w:rPr>
          <w:rFonts w:asciiTheme="minorHAnsi" w:hAnsiTheme="minorHAnsi" w:cs="Arial"/>
          <w:sz w:val="22"/>
        </w:rPr>
        <w:t xml:space="preserve"> of the </w:t>
      </w:r>
      <w:r w:rsidR="00D728BD" w:rsidRPr="00812609">
        <w:rPr>
          <w:rFonts w:asciiTheme="minorHAnsi" w:hAnsiTheme="minorHAnsi" w:cs="Arial"/>
          <w:sz w:val="22"/>
        </w:rPr>
        <w:t>CPD</w:t>
      </w:r>
      <w:r w:rsidR="00E00938" w:rsidRPr="00812609">
        <w:rPr>
          <w:rFonts w:asciiTheme="minorHAnsi" w:hAnsiTheme="minorHAnsi" w:cs="Arial"/>
          <w:sz w:val="22"/>
        </w:rPr>
        <w:t>.</w:t>
      </w:r>
      <w:r w:rsidR="00CE45D1" w:rsidRPr="00812609">
        <w:rPr>
          <w:rFonts w:asciiTheme="minorHAnsi" w:hAnsiTheme="minorHAnsi" w:cs="Arial"/>
          <w:sz w:val="22"/>
        </w:rPr>
        <w:t xml:space="preserve">  </w:t>
      </w:r>
      <w:r w:rsidR="008F3DCA" w:rsidRPr="00812609">
        <w:rPr>
          <w:rFonts w:asciiTheme="minorHAnsi" w:hAnsiTheme="minorHAnsi" w:cs="Arial"/>
          <w:sz w:val="22"/>
          <w:szCs w:val="22"/>
        </w:rPr>
        <w:t>I</w:t>
      </w:r>
      <w:r w:rsidR="00812609">
        <w:rPr>
          <w:rFonts w:asciiTheme="minorHAnsi" w:hAnsiTheme="minorHAnsi" w:cs="Arial"/>
          <w:sz w:val="22"/>
          <w:szCs w:val="22"/>
        </w:rPr>
        <w:t>t should be noted that the TRAC-</w:t>
      </w:r>
      <w:r w:rsidR="008F3DCA" w:rsidRPr="00812609">
        <w:rPr>
          <w:rFonts w:asciiTheme="minorHAnsi" w:hAnsiTheme="minorHAnsi" w:cs="Arial"/>
          <w:sz w:val="22"/>
          <w:szCs w:val="22"/>
        </w:rPr>
        <w:t>1 resources indicated in the RMT are estimates. The actual amount released may differ from the figures in the RMT depending on the actual level of voluntary contributions to UNDP regular resources.</w:t>
      </w:r>
      <w:r w:rsidR="00350551">
        <w:rPr>
          <w:rFonts w:asciiTheme="minorHAnsi" w:hAnsiTheme="minorHAnsi" w:cs="Arial"/>
          <w:sz w:val="22"/>
          <w:szCs w:val="22"/>
        </w:rPr>
        <w:t xml:space="preserve">  Decision 2013/4 endorsed a </w:t>
      </w:r>
      <w:r w:rsidR="00350551" w:rsidRPr="00350551">
        <w:rPr>
          <w:rFonts w:asciiTheme="minorHAnsi" w:hAnsiTheme="minorHAnsi" w:cs="Arial"/>
          <w:sz w:val="22"/>
          <w:szCs w:val="22"/>
        </w:rPr>
        <w:t>protection measure to shield resource allocations with respect to TRAC-1 from the impact of</w:t>
      </w:r>
      <w:r w:rsidR="00350551">
        <w:rPr>
          <w:rFonts w:asciiTheme="minorHAnsi" w:hAnsiTheme="minorHAnsi" w:cs="Arial"/>
          <w:sz w:val="22"/>
          <w:szCs w:val="22"/>
        </w:rPr>
        <w:t xml:space="preserve"> </w:t>
      </w:r>
      <w:r w:rsidR="00350551" w:rsidRPr="00350551">
        <w:rPr>
          <w:rFonts w:asciiTheme="minorHAnsi" w:hAnsiTheme="minorHAnsi" w:cs="Arial"/>
          <w:sz w:val="22"/>
          <w:szCs w:val="22"/>
        </w:rPr>
        <w:t>programming base levels potenti</w:t>
      </w:r>
      <w:r w:rsidR="00350551">
        <w:rPr>
          <w:rFonts w:asciiTheme="minorHAnsi" w:hAnsiTheme="minorHAnsi" w:cs="Arial"/>
          <w:sz w:val="22"/>
          <w:szCs w:val="22"/>
        </w:rPr>
        <w:t>ally falling below $700 million.</w:t>
      </w:r>
      <w:r w:rsidR="008F3DCA" w:rsidRPr="00812609">
        <w:rPr>
          <w:rFonts w:asciiTheme="minorHAnsi" w:hAnsiTheme="minorHAnsi" w:cs="Arial"/>
          <w:sz w:val="22"/>
          <w:szCs w:val="22"/>
        </w:rPr>
        <w:t xml:space="preserve">  </w:t>
      </w:r>
      <w:r w:rsidR="006B265D" w:rsidRPr="00812609">
        <w:rPr>
          <w:rFonts w:asciiTheme="minorHAnsi" w:hAnsiTheme="minorHAnsi" w:cs="Arial"/>
          <w:sz w:val="22"/>
        </w:rPr>
        <w:t xml:space="preserve">This figure can be </w:t>
      </w:r>
      <w:r w:rsidR="00350551">
        <w:rPr>
          <w:rFonts w:asciiTheme="minorHAnsi" w:hAnsiTheme="minorHAnsi" w:cs="Arial"/>
          <w:sz w:val="22"/>
        </w:rPr>
        <w:t>derived from</w:t>
      </w:r>
      <w:r w:rsidR="006B265D" w:rsidRPr="00812609">
        <w:rPr>
          <w:rFonts w:asciiTheme="minorHAnsi" w:hAnsiTheme="minorHAnsi" w:cs="Arial"/>
          <w:sz w:val="22"/>
        </w:rPr>
        <w:t xml:space="preserve"> </w:t>
      </w:r>
      <w:r w:rsidRPr="00812609">
        <w:rPr>
          <w:rFonts w:asciiTheme="minorHAnsi" w:hAnsiTheme="minorHAnsi" w:cs="Arial"/>
          <w:sz w:val="22"/>
        </w:rPr>
        <w:t xml:space="preserve">the </w:t>
      </w:r>
      <w:r w:rsidR="006B265D" w:rsidRPr="00812609">
        <w:rPr>
          <w:rFonts w:asciiTheme="minorHAnsi" w:hAnsiTheme="minorHAnsi" w:cs="Arial"/>
          <w:sz w:val="22"/>
        </w:rPr>
        <w:t>“</w:t>
      </w:r>
      <w:hyperlink r:id="rId14" w:history="1">
        <w:r w:rsidR="003C57FF" w:rsidRPr="00812609">
          <w:rPr>
            <w:rStyle w:val="Hyperlink"/>
            <w:rFonts w:asciiTheme="minorHAnsi" w:hAnsiTheme="minorHAnsi" w:cs="Arial"/>
            <w:sz w:val="22"/>
          </w:rPr>
          <w:t>RMT Assistant</w:t>
        </w:r>
      </w:hyperlink>
      <w:r w:rsidR="006B265D" w:rsidRPr="00812609">
        <w:rPr>
          <w:rFonts w:asciiTheme="minorHAnsi" w:hAnsiTheme="minorHAnsi" w:cs="Arial"/>
          <w:sz w:val="22"/>
        </w:rPr>
        <w:t>”.</w:t>
      </w:r>
    </w:p>
    <w:p w14:paraId="36D133B8" w14:textId="77777777" w:rsidR="00606A70" w:rsidRPr="00812609" w:rsidRDefault="00606A70" w:rsidP="00350551">
      <w:pPr>
        <w:rPr>
          <w:rFonts w:asciiTheme="minorHAnsi" w:hAnsiTheme="minorHAnsi" w:cs="Arial"/>
        </w:rPr>
      </w:pPr>
    </w:p>
    <w:p w14:paraId="1B54A3E0" w14:textId="77777777" w:rsidR="00E00938" w:rsidRPr="00812609" w:rsidRDefault="00E00938" w:rsidP="007D4A48">
      <w:pPr>
        <w:pStyle w:val="Heading2"/>
        <w:rPr>
          <w:rFonts w:asciiTheme="minorHAnsi" w:hAnsiTheme="minorHAnsi" w:cs="Arial"/>
          <w:b/>
          <w:sz w:val="22"/>
        </w:rPr>
      </w:pPr>
    </w:p>
    <w:p w14:paraId="1B54A3E1" w14:textId="77777777" w:rsidR="00E00938" w:rsidRPr="00812609" w:rsidRDefault="00350551" w:rsidP="007D4A48">
      <w:pPr>
        <w:pStyle w:val="Heading1"/>
        <w:rPr>
          <w:rFonts w:asciiTheme="minorHAnsi" w:hAnsiTheme="minorHAnsi" w:cs="Arial"/>
          <w:b/>
          <w:sz w:val="22"/>
          <w:u w:val="none"/>
        </w:rPr>
      </w:pPr>
      <w:r>
        <w:rPr>
          <w:rFonts w:asciiTheme="minorHAnsi" w:hAnsiTheme="minorHAnsi" w:cs="Arial"/>
          <w:b/>
          <w:sz w:val="22"/>
          <w:u w:val="none"/>
        </w:rPr>
        <w:t>3. TRAC-2</w:t>
      </w:r>
    </w:p>
    <w:p w14:paraId="1B54A3E2" w14:textId="77777777" w:rsidR="00E00938" w:rsidRPr="00812609" w:rsidRDefault="00E00938" w:rsidP="007D4A48">
      <w:pPr>
        <w:rPr>
          <w:rFonts w:asciiTheme="minorHAnsi" w:hAnsiTheme="minorHAnsi" w:cs="Arial"/>
          <w:sz w:val="22"/>
          <w:u w:val="single"/>
        </w:rPr>
      </w:pPr>
    </w:p>
    <w:p w14:paraId="1B54A3E3" w14:textId="77777777" w:rsidR="00846206" w:rsidRDefault="00350551" w:rsidP="00E90F6C">
      <w:pPr>
        <w:rPr>
          <w:rFonts w:asciiTheme="minorHAnsi" w:hAnsiTheme="minorHAnsi" w:cs="Arial"/>
          <w:sz w:val="22"/>
        </w:rPr>
      </w:pPr>
      <w:r>
        <w:rPr>
          <w:rFonts w:asciiTheme="minorHAnsi" w:hAnsiTheme="minorHAnsi" w:cs="Arial"/>
          <w:sz w:val="22"/>
        </w:rPr>
        <w:t xml:space="preserve">Enter the total annual TRAC-2 assignments for </w:t>
      </w:r>
      <w:r w:rsidRPr="00812609">
        <w:rPr>
          <w:rFonts w:asciiTheme="minorHAnsi" w:hAnsiTheme="minorHAnsi" w:cs="Arial"/>
          <w:sz w:val="22"/>
        </w:rPr>
        <w:t xml:space="preserve">the </w:t>
      </w:r>
      <w:proofErr w:type="spellStart"/>
      <w:r w:rsidRPr="00812609">
        <w:rPr>
          <w:rFonts w:asciiTheme="minorHAnsi" w:hAnsiTheme="minorHAnsi" w:cs="Arial"/>
          <w:sz w:val="22"/>
        </w:rPr>
        <w:t>years</w:t>
      </w:r>
      <w:proofErr w:type="spellEnd"/>
      <w:r w:rsidRPr="00812609">
        <w:rPr>
          <w:rFonts w:asciiTheme="minorHAnsi" w:hAnsiTheme="minorHAnsi" w:cs="Arial"/>
          <w:sz w:val="22"/>
        </w:rPr>
        <w:t xml:space="preserve"> corresponding to the </w:t>
      </w:r>
      <w:proofErr w:type="gramStart"/>
      <w:r w:rsidRPr="00812609">
        <w:rPr>
          <w:rFonts w:asciiTheme="minorHAnsi" w:hAnsiTheme="minorHAnsi" w:cs="Arial"/>
          <w:sz w:val="22"/>
        </w:rPr>
        <w:t>time period</w:t>
      </w:r>
      <w:proofErr w:type="gramEnd"/>
      <w:r w:rsidRPr="00812609">
        <w:rPr>
          <w:rFonts w:asciiTheme="minorHAnsi" w:hAnsiTheme="minorHAnsi" w:cs="Arial"/>
          <w:sz w:val="22"/>
        </w:rPr>
        <w:t xml:space="preserve"> of the CPD</w:t>
      </w:r>
      <w:r>
        <w:rPr>
          <w:rFonts w:asciiTheme="minorHAnsi" w:hAnsiTheme="minorHAnsi" w:cs="Arial"/>
          <w:sz w:val="22"/>
        </w:rPr>
        <w:t>.  TRAC-2 resources are assigned by Regional Bureaux.</w:t>
      </w:r>
    </w:p>
    <w:p w14:paraId="1B54A3E4" w14:textId="77777777" w:rsidR="00846206" w:rsidRPr="00812609" w:rsidRDefault="00846206" w:rsidP="008F3DCA">
      <w:pPr>
        <w:rPr>
          <w:rFonts w:asciiTheme="minorHAnsi" w:hAnsiTheme="minorHAnsi" w:cs="Arial"/>
          <w:sz w:val="22"/>
        </w:rPr>
      </w:pPr>
    </w:p>
    <w:p w14:paraId="1B54A3E5" w14:textId="77777777" w:rsidR="00E00938" w:rsidRPr="00812609" w:rsidRDefault="0033704F" w:rsidP="007D4A48">
      <w:pPr>
        <w:pStyle w:val="Heading1"/>
        <w:rPr>
          <w:rFonts w:asciiTheme="minorHAnsi" w:hAnsiTheme="minorHAnsi" w:cs="Arial"/>
          <w:b/>
          <w:sz w:val="22"/>
          <w:u w:val="none"/>
        </w:rPr>
      </w:pPr>
      <w:r>
        <w:rPr>
          <w:rFonts w:asciiTheme="minorHAnsi" w:hAnsiTheme="minorHAnsi" w:cs="Arial"/>
          <w:b/>
          <w:sz w:val="22"/>
          <w:u w:val="none"/>
        </w:rPr>
        <w:t>4</w:t>
      </w:r>
      <w:r w:rsidR="00350551">
        <w:rPr>
          <w:rFonts w:asciiTheme="minorHAnsi" w:hAnsiTheme="minorHAnsi" w:cs="Arial"/>
          <w:b/>
          <w:sz w:val="22"/>
          <w:u w:val="none"/>
        </w:rPr>
        <w:t>. TRAC-3</w:t>
      </w:r>
    </w:p>
    <w:p w14:paraId="1B54A3E6" w14:textId="77777777" w:rsidR="00E00938" w:rsidRPr="00812609" w:rsidRDefault="00E00938" w:rsidP="007D4A48">
      <w:pPr>
        <w:rPr>
          <w:rFonts w:asciiTheme="minorHAnsi" w:hAnsiTheme="minorHAnsi" w:cs="Arial"/>
          <w:sz w:val="22"/>
        </w:rPr>
      </w:pPr>
    </w:p>
    <w:p w14:paraId="1B54A3E7" w14:textId="77777777" w:rsidR="00E00938" w:rsidRDefault="002F4325" w:rsidP="007D4A48">
      <w:pPr>
        <w:pStyle w:val="BodyText3"/>
        <w:tabs>
          <w:tab w:val="clear" w:pos="-720"/>
          <w:tab w:val="clear" w:pos="0"/>
          <w:tab w:val="clear" w:pos="607"/>
          <w:tab w:val="clear" w:pos="1180"/>
          <w:tab w:val="clear" w:pos="1411"/>
          <w:tab w:val="clear" w:pos="2116"/>
          <w:tab w:val="clear" w:pos="2822"/>
          <w:tab w:val="clear" w:pos="3528"/>
          <w:tab w:val="clear" w:pos="4233"/>
          <w:tab w:val="clear" w:pos="4939"/>
          <w:tab w:val="clear" w:pos="5762"/>
          <w:tab w:val="clear" w:pos="6468"/>
          <w:tab w:val="clear" w:pos="7173"/>
          <w:tab w:val="clear" w:pos="7879"/>
          <w:tab w:val="clear" w:pos="8584"/>
          <w:tab w:val="clear" w:pos="9290"/>
          <w:tab w:val="clear" w:pos="9996"/>
          <w:tab w:val="clear" w:pos="10701"/>
          <w:tab w:val="clear" w:pos="11407"/>
        </w:tabs>
        <w:suppressAutoHyphens w:val="0"/>
        <w:jc w:val="left"/>
        <w:rPr>
          <w:rFonts w:asciiTheme="minorHAnsi" w:hAnsiTheme="minorHAnsi" w:cs="Arial"/>
          <w:sz w:val="22"/>
        </w:rPr>
      </w:pPr>
      <w:r w:rsidRPr="00812609">
        <w:rPr>
          <w:rFonts w:asciiTheme="minorHAnsi" w:hAnsiTheme="minorHAnsi" w:cs="Arial"/>
          <w:sz w:val="22"/>
        </w:rPr>
        <w:t>E</w:t>
      </w:r>
      <w:r w:rsidR="00E00938" w:rsidRPr="00812609">
        <w:rPr>
          <w:rFonts w:asciiTheme="minorHAnsi" w:hAnsiTheme="minorHAnsi" w:cs="Arial"/>
          <w:sz w:val="22"/>
        </w:rPr>
        <w:t xml:space="preserve">nter the amount </w:t>
      </w:r>
      <w:r w:rsidRPr="00812609">
        <w:rPr>
          <w:rFonts w:asciiTheme="minorHAnsi" w:hAnsiTheme="minorHAnsi" w:cs="Arial"/>
          <w:sz w:val="22"/>
        </w:rPr>
        <w:t xml:space="preserve">attributable to </w:t>
      </w:r>
      <w:r w:rsidR="00C839DA" w:rsidRPr="00812609">
        <w:rPr>
          <w:rFonts w:asciiTheme="minorHAnsi" w:hAnsiTheme="minorHAnsi" w:cs="Arial"/>
          <w:sz w:val="22"/>
        </w:rPr>
        <w:t xml:space="preserve">the CPD period as </w:t>
      </w:r>
      <w:r w:rsidR="00E00938" w:rsidRPr="00812609">
        <w:rPr>
          <w:rFonts w:asciiTheme="minorHAnsi" w:hAnsiTheme="minorHAnsi" w:cs="Arial"/>
          <w:sz w:val="22"/>
        </w:rPr>
        <w:t xml:space="preserve">confirmed by </w:t>
      </w:r>
      <w:r w:rsidR="00846206">
        <w:rPr>
          <w:rFonts w:asciiTheme="minorHAnsi" w:hAnsiTheme="minorHAnsi" w:cs="Arial"/>
          <w:sz w:val="22"/>
        </w:rPr>
        <w:t xml:space="preserve">the </w:t>
      </w:r>
      <w:r w:rsidR="00370FB0">
        <w:rPr>
          <w:rFonts w:asciiTheme="minorHAnsi" w:hAnsiTheme="minorHAnsi" w:cs="Arial"/>
          <w:sz w:val="22"/>
        </w:rPr>
        <w:t>fund manager of TRAC-3 resources</w:t>
      </w:r>
      <w:r w:rsidR="0043167C" w:rsidRPr="00812609">
        <w:rPr>
          <w:rFonts w:asciiTheme="minorHAnsi" w:hAnsiTheme="minorHAnsi" w:cs="Arial"/>
          <w:sz w:val="22"/>
        </w:rPr>
        <w:t>.</w:t>
      </w:r>
    </w:p>
    <w:p w14:paraId="1B54A3E8" w14:textId="77777777" w:rsidR="00846206" w:rsidRDefault="00846206" w:rsidP="007D4A48">
      <w:pPr>
        <w:pStyle w:val="BodyText3"/>
        <w:tabs>
          <w:tab w:val="clear" w:pos="-720"/>
          <w:tab w:val="clear" w:pos="0"/>
          <w:tab w:val="clear" w:pos="607"/>
          <w:tab w:val="clear" w:pos="1180"/>
          <w:tab w:val="clear" w:pos="1411"/>
          <w:tab w:val="clear" w:pos="2116"/>
          <w:tab w:val="clear" w:pos="2822"/>
          <w:tab w:val="clear" w:pos="3528"/>
          <w:tab w:val="clear" w:pos="4233"/>
          <w:tab w:val="clear" w:pos="4939"/>
          <w:tab w:val="clear" w:pos="5762"/>
          <w:tab w:val="clear" w:pos="6468"/>
          <w:tab w:val="clear" w:pos="7173"/>
          <w:tab w:val="clear" w:pos="7879"/>
          <w:tab w:val="clear" w:pos="8584"/>
          <w:tab w:val="clear" w:pos="9290"/>
          <w:tab w:val="clear" w:pos="9996"/>
          <w:tab w:val="clear" w:pos="10701"/>
          <w:tab w:val="clear" w:pos="11407"/>
        </w:tabs>
        <w:suppressAutoHyphens w:val="0"/>
        <w:jc w:val="left"/>
        <w:rPr>
          <w:rFonts w:asciiTheme="minorHAnsi" w:hAnsiTheme="minorHAnsi" w:cs="Arial"/>
          <w:sz w:val="22"/>
        </w:rPr>
      </w:pPr>
    </w:p>
    <w:p w14:paraId="1B54A3E9" w14:textId="77777777" w:rsidR="00846206" w:rsidRPr="006C2199" w:rsidRDefault="0033704F" w:rsidP="00846206">
      <w:pPr>
        <w:rPr>
          <w:rFonts w:asciiTheme="minorHAnsi" w:hAnsiTheme="minorHAnsi" w:cs="Arial"/>
          <w:sz w:val="22"/>
        </w:rPr>
      </w:pPr>
      <w:r>
        <w:rPr>
          <w:rFonts w:asciiTheme="minorHAnsi" w:hAnsiTheme="minorHAnsi" w:cs="Arial"/>
          <w:b/>
          <w:sz w:val="22"/>
        </w:rPr>
        <w:t>5</w:t>
      </w:r>
      <w:r w:rsidR="00846206">
        <w:rPr>
          <w:rFonts w:asciiTheme="minorHAnsi" w:hAnsiTheme="minorHAnsi" w:cs="Arial"/>
          <w:b/>
          <w:sz w:val="22"/>
        </w:rPr>
        <w:t>. South-South contributions</w:t>
      </w:r>
    </w:p>
    <w:p w14:paraId="1B54A3EA" w14:textId="77777777" w:rsidR="00846206" w:rsidRDefault="00846206" w:rsidP="00846206">
      <w:pPr>
        <w:pStyle w:val="Subtitle"/>
        <w:ind w:left="720"/>
        <w:rPr>
          <w:rFonts w:asciiTheme="minorHAnsi" w:hAnsiTheme="minorHAnsi" w:cs="Arial"/>
          <w:b/>
          <w:sz w:val="22"/>
        </w:rPr>
      </w:pPr>
    </w:p>
    <w:p w14:paraId="1B54A3EB" w14:textId="77777777" w:rsidR="00846206" w:rsidRDefault="00846206" w:rsidP="00846206">
      <w:pPr>
        <w:pStyle w:val="Subtitle"/>
        <w:rPr>
          <w:rFonts w:asciiTheme="minorHAnsi" w:hAnsiTheme="minorHAnsi" w:cs="Arial"/>
          <w:sz w:val="22"/>
        </w:rPr>
      </w:pPr>
      <w:r w:rsidRPr="00812609">
        <w:rPr>
          <w:rFonts w:asciiTheme="minorHAnsi" w:hAnsiTheme="minorHAnsi" w:cs="Arial"/>
          <w:sz w:val="22"/>
        </w:rPr>
        <w:t xml:space="preserve">Enter the total of </w:t>
      </w:r>
      <w:r>
        <w:rPr>
          <w:rFonts w:asciiTheme="minorHAnsi" w:hAnsiTheme="minorHAnsi" w:cs="Arial"/>
          <w:sz w:val="22"/>
        </w:rPr>
        <w:t>south-south contributions</w:t>
      </w:r>
      <w:r w:rsidRPr="00812609">
        <w:rPr>
          <w:rFonts w:asciiTheme="minorHAnsi" w:hAnsiTheme="minorHAnsi" w:cs="Arial"/>
          <w:sz w:val="22"/>
        </w:rPr>
        <w:t xml:space="preserve"> expected to be mobilized during the </w:t>
      </w:r>
      <w:r>
        <w:rPr>
          <w:rFonts w:asciiTheme="minorHAnsi" w:hAnsiTheme="minorHAnsi" w:cs="Arial"/>
          <w:sz w:val="22"/>
        </w:rPr>
        <w:t>CPD</w:t>
      </w:r>
      <w:r w:rsidRPr="00812609">
        <w:rPr>
          <w:rFonts w:asciiTheme="minorHAnsi" w:hAnsiTheme="minorHAnsi" w:cs="Arial"/>
          <w:sz w:val="22"/>
        </w:rPr>
        <w:t xml:space="preserve"> period</w:t>
      </w:r>
      <w:r>
        <w:rPr>
          <w:rFonts w:asciiTheme="minorHAnsi" w:hAnsiTheme="minorHAnsi" w:cs="Arial"/>
          <w:sz w:val="22"/>
        </w:rPr>
        <w:t>.</w:t>
      </w:r>
    </w:p>
    <w:p w14:paraId="1B54A3EC" w14:textId="77777777" w:rsidR="00E00938" w:rsidRPr="00812609" w:rsidRDefault="00E00938" w:rsidP="007D4A48">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rPr>
          <w:rFonts w:asciiTheme="minorHAnsi" w:hAnsiTheme="minorHAnsi" w:cs="Arial"/>
          <w:b/>
          <w:sz w:val="22"/>
        </w:rPr>
      </w:pPr>
    </w:p>
    <w:p w14:paraId="1B54A3ED" w14:textId="3F71EC4A" w:rsidR="00E00938" w:rsidRPr="00812609" w:rsidRDefault="0033704F" w:rsidP="007D4A48">
      <w:pPr>
        <w:pStyle w:val="Subtitle"/>
        <w:rPr>
          <w:rFonts w:asciiTheme="minorHAnsi" w:hAnsiTheme="minorHAnsi" w:cs="Arial"/>
          <w:b/>
          <w:sz w:val="22"/>
        </w:rPr>
      </w:pPr>
      <w:r>
        <w:rPr>
          <w:rFonts w:asciiTheme="minorHAnsi" w:hAnsiTheme="minorHAnsi" w:cs="Arial"/>
          <w:b/>
          <w:sz w:val="22"/>
        </w:rPr>
        <w:t>6</w:t>
      </w:r>
      <w:r w:rsidR="00DF4F70" w:rsidRPr="00812609">
        <w:rPr>
          <w:rFonts w:asciiTheme="minorHAnsi" w:hAnsiTheme="minorHAnsi" w:cs="Arial"/>
          <w:b/>
          <w:sz w:val="22"/>
        </w:rPr>
        <w:t>. Government Cost Sharing and Third</w:t>
      </w:r>
      <w:r w:rsidR="00222897">
        <w:rPr>
          <w:rFonts w:asciiTheme="minorHAnsi" w:hAnsiTheme="minorHAnsi" w:cs="Arial"/>
          <w:b/>
          <w:sz w:val="22"/>
        </w:rPr>
        <w:t>-</w:t>
      </w:r>
      <w:r w:rsidR="00DF4F70" w:rsidRPr="00812609">
        <w:rPr>
          <w:rFonts w:asciiTheme="minorHAnsi" w:hAnsiTheme="minorHAnsi" w:cs="Arial"/>
          <w:b/>
          <w:sz w:val="22"/>
        </w:rPr>
        <w:t>Party Cost Sharing</w:t>
      </w:r>
    </w:p>
    <w:p w14:paraId="1B54A3EE" w14:textId="77777777" w:rsidR="00E00938" w:rsidRPr="00812609" w:rsidRDefault="00E00938" w:rsidP="007D4A48">
      <w:pPr>
        <w:pStyle w:val="Subtitle"/>
        <w:rPr>
          <w:rFonts w:asciiTheme="minorHAnsi" w:hAnsiTheme="minorHAnsi" w:cs="Arial"/>
          <w:sz w:val="22"/>
        </w:rPr>
      </w:pPr>
    </w:p>
    <w:p w14:paraId="1B54A3EF" w14:textId="7F710F27" w:rsidR="00E00938" w:rsidRDefault="003C7C76" w:rsidP="007D4A48">
      <w:pPr>
        <w:pStyle w:val="Subtitle"/>
        <w:rPr>
          <w:rFonts w:asciiTheme="minorHAnsi" w:hAnsiTheme="minorHAnsi" w:cs="Arial"/>
          <w:sz w:val="22"/>
        </w:rPr>
      </w:pPr>
      <w:r w:rsidRPr="00812609">
        <w:rPr>
          <w:rFonts w:asciiTheme="minorHAnsi" w:hAnsiTheme="minorHAnsi" w:cs="Arial"/>
          <w:sz w:val="22"/>
        </w:rPr>
        <w:t xml:space="preserve">Enter separately the total of government and </w:t>
      </w:r>
      <w:r w:rsidR="00222897" w:rsidRPr="00812609">
        <w:rPr>
          <w:rFonts w:asciiTheme="minorHAnsi" w:hAnsiTheme="minorHAnsi" w:cs="Arial"/>
          <w:sz w:val="22"/>
        </w:rPr>
        <w:t>third-party</w:t>
      </w:r>
      <w:r w:rsidRPr="00812609">
        <w:rPr>
          <w:rFonts w:asciiTheme="minorHAnsi" w:hAnsiTheme="minorHAnsi" w:cs="Arial"/>
          <w:sz w:val="22"/>
        </w:rPr>
        <w:t xml:space="preserve"> </w:t>
      </w:r>
      <w:r w:rsidR="00DF4F70" w:rsidRPr="00812609">
        <w:rPr>
          <w:rFonts w:asciiTheme="minorHAnsi" w:hAnsiTheme="minorHAnsi" w:cs="Arial"/>
          <w:sz w:val="22"/>
        </w:rPr>
        <w:t xml:space="preserve">cost sharing </w:t>
      </w:r>
      <w:r w:rsidR="00E00938" w:rsidRPr="00812609">
        <w:rPr>
          <w:rFonts w:asciiTheme="minorHAnsi" w:hAnsiTheme="minorHAnsi" w:cs="Arial"/>
          <w:sz w:val="22"/>
        </w:rPr>
        <w:t xml:space="preserve">expected to be mobilized </w:t>
      </w:r>
      <w:r w:rsidRPr="00812609">
        <w:rPr>
          <w:rFonts w:asciiTheme="minorHAnsi" w:hAnsiTheme="minorHAnsi" w:cs="Arial"/>
          <w:sz w:val="22"/>
        </w:rPr>
        <w:t xml:space="preserve">during </w:t>
      </w:r>
      <w:r w:rsidR="00E00938" w:rsidRPr="00812609">
        <w:rPr>
          <w:rFonts w:asciiTheme="minorHAnsi" w:hAnsiTheme="minorHAnsi" w:cs="Arial"/>
          <w:sz w:val="22"/>
        </w:rPr>
        <w:t xml:space="preserve">the </w:t>
      </w:r>
      <w:r w:rsidR="00D728BD" w:rsidRPr="00812609">
        <w:rPr>
          <w:rFonts w:asciiTheme="minorHAnsi" w:hAnsiTheme="minorHAnsi" w:cs="Arial"/>
          <w:sz w:val="22"/>
        </w:rPr>
        <w:t>CPD</w:t>
      </w:r>
      <w:r w:rsidRPr="00812609">
        <w:rPr>
          <w:rFonts w:asciiTheme="minorHAnsi" w:hAnsiTheme="minorHAnsi" w:cs="Arial"/>
          <w:sz w:val="22"/>
        </w:rPr>
        <w:t xml:space="preserve"> period as reflected in the </w:t>
      </w:r>
      <w:r w:rsidRPr="00812609">
        <w:rPr>
          <w:rFonts w:asciiTheme="minorHAnsi" w:hAnsiTheme="minorHAnsi" w:cs="Arial"/>
          <w:i/>
          <w:sz w:val="22"/>
        </w:rPr>
        <w:t>Results and Resources Framework</w:t>
      </w:r>
      <w:r w:rsidRPr="00812609">
        <w:rPr>
          <w:rFonts w:asciiTheme="minorHAnsi" w:hAnsiTheme="minorHAnsi" w:cs="Arial"/>
          <w:sz w:val="22"/>
        </w:rPr>
        <w:t xml:space="preserve"> of the </w:t>
      </w:r>
      <w:r w:rsidR="00350551" w:rsidRPr="00812609">
        <w:rPr>
          <w:rFonts w:asciiTheme="minorHAnsi" w:hAnsiTheme="minorHAnsi" w:cs="Arial"/>
          <w:i/>
          <w:sz w:val="22"/>
        </w:rPr>
        <w:t xml:space="preserve">Indicative resources by outcome </w:t>
      </w:r>
      <w:r w:rsidR="00350551" w:rsidRPr="00812609">
        <w:rPr>
          <w:rFonts w:asciiTheme="minorHAnsi" w:hAnsiTheme="minorHAnsi" w:cs="Arial"/>
          <w:sz w:val="22"/>
        </w:rPr>
        <w:t xml:space="preserve">column). </w:t>
      </w:r>
      <w:r w:rsidRPr="00812609">
        <w:rPr>
          <w:rFonts w:asciiTheme="minorHAnsi" w:hAnsiTheme="minorHAnsi" w:cs="Arial"/>
          <w:sz w:val="22"/>
        </w:rPr>
        <w:t xml:space="preserve"> </w:t>
      </w:r>
      <w:r w:rsidR="00E00938" w:rsidRPr="00812609">
        <w:rPr>
          <w:rFonts w:asciiTheme="minorHAnsi" w:hAnsiTheme="minorHAnsi" w:cs="Arial"/>
          <w:sz w:val="22"/>
        </w:rPr>
        <w:t>Please note that all amounts should be denominated in US dollars</w:t>
      </w:r>
      <w:r w:rsidR="00DF4F70" w:rsidRPr="00812609">
        <w:rPr>
          <w:rFonts w:asciiTheme="minorHAnsi" w:hAnsiTheme="minorHAnsi" w:cs="Arial"/>
          <w:sz w:val="22"/>
        </w:rPr>
        <w:t>.</w:t>
      </w:r>
    </w:p>
    <w:p w14:paraId="1B54A3F0" w14:textId="77777777" w:rsidR="0035794C" w:rsidRDefault="0035794C" w:rsidP="007D4A48">
      <w:pPr>
        <w:pStyle w:val="Subtitle"/>
        <w:rPr>
          <w:rFonts w:asciiTheme="minorHAnsi" w:hAnsiTheme="minorHAnsi" w:cs="Arial"/>
          <w:sz w:val="22"/>
        </w:rPr>
      </w:pPr>
    </w:p>
    <w:p w14:paraId="1B54A3F1" w14:textId="77777777" w:rsidR="0035794C" w:rsidRPr="00E90F6C" w:rsidRDefault="0035794C" w:rsidP="0035794C">
      <w:pPr>
        <w:pStyle w:val="Subtitle"/>
        <w:rPr>
          <w:rFonts w:asciiTheme="minorHAnsi" w:hAnsiTheme="minorHAnsi" w:cs="Arial"/>
          <w:b/>
          <w:sz w:val="22"/>
        </w:rPr>
      </w:pPr>
      <w:r>
        <w:rPr>
          <w:rFonts w:asciiTheme="minorHAnsi" w:hAnsiTheme="minorHAnsi" w:cs="Arial"/>
          <w:b/>
          <w:sz w:val="22"/>
        </w:rPr>
        <w:t xml:space="preserve">7. </w:t>
      </w:r>
      <w:r w:rsidRPr="00E90F6C">
        <w:rPr>
          <w:rFonts w:asciiTheme="minorHAnsi" w:hAnsiTheme="minorHAnsi" w:cs="Arial"/>
          <w:b/>
          <w:sz w:val="22"/>
        </w:rPr>
        <w:t>Thematic funds</w:t>
      </w:r>
    </w:p>
    <w:p w14:paraId="1B54A3F2" w14:textId="77777777" w:rsidR="0035794C" w:rsidRPr="0035794C" w:rsidRDefault="0035794C" w:rsidP="0035794C">
      <w:pPr>
        <w:pStyle w:val="Subtitle"/>
        <w:rPr>
          <w:rFonts w:asciiTheme="minorHAnsi" w:hAnsiTheme="minorHAnsi" w:cs="Arial"/>
          <w:sz w:val="22"/>
        </w:rPr>
      </w:pPr>
    </w:p>
    <w:p w14:paraId="1B54A3F3" w14:textId="77777777" w:rsidR="0035794C" w:rsidRPr="00812609" w:rsidRDefault="0035794C" w:rsidP="0035794C">
      <w:pPr>
        <w:pStyle w:val="Subtitle"/>
        <w:rPr>
          <w:rFonts w:asciiTheme="minorHAnsi" w:hAnsiTheme="minorHAnsi" w:cs="Arial"/>
          <w:sz w:val="22"/>
        </w:rPr>
      </w:pPr>
      <w:r w:rsidRPr="0035794C">
        <w:rPr>
          <w:rFonts w:asciiTheme="minorHAnsi" w:hAnsiTheme="minorHAnsi" w:cs="Arial"/>
          <w:sz w:val="22"/>
        </w:rPr>
        <w:t>This includes funds from UNDP-administered thematic trust funds, and other resources mobilized that are tied to specific themes. Indicate each source of funding and corresponding amount.</w:t>
      </w:r>
    </w:p>
    <w:p w14:paraId="1B54A3F4" w14:textId="77777777" w:rsidR="00DF4F70" w:rsidRPr="00812609" w:rsidRDefault="00DF4F70" w:rsidP="007D4A48">
      <w:pPr>
        <w:pStyle w:val="Subtitle"/>
        <w:rPr>
          <w:rFonts w:asciiTheme="minorHAnsi" w:hAnsiTheme="minorHAnsi" w:cs="Arial"/>
          <w:sz w:val="22"/>
        </w:rPr>
      </w:pPr>
    </w:p>
    <w:p w14:paraId="1B54A3F5" w14:textId="77777777" w:rsidR="00E00938" w:rsidRPr="00812609" w:rsidRDefault="0035794C" w:rsidP="007D4A48">
      <w:pPr>
        <w:pStyle w:val="Subtitle"/>
        <w:rPr>
          <w:rFonts w:asciiTheme="minorHAnsi" w:hAnsiTheme="minorHAnsi" w:cs="Arial"/>
          <w:b/>
          <w:sz w:val="22"/>
        </w:rPr>
      </w:pPr>
      <w:r>
        <w:rPr>
          <w:rFonts w:asciiTheme="minorHAnsi" w:hAnsiTheme="minorHAnsi" w:cs="Arial"/>
          <w:b/>
          <w:sz w:val="22"/>
        </w:rPr>
        <w:t>8</w:t>
      </w:r>
      <w:r w:rsidR="00E00938" w:rsidRPr="00812609">
        <w:rPr>
          <w:rFonts w:asciiTheme="minorHAnsi" w:hAnsiTheme="minorHAnsi" w:cs="Arial"/>
          <w:b/>
          <w:sz w:val="22"/>
        </w:rPr>
        <w:t>. Funds, trust funds and other</w:t>
      </w:r>
      <w:r w:rsidR="00207E7E" w:rsidRPr="00812609">
        <w:rPr>
          <w:rFonts w:asciiTheme="minorHAnsi" w:hAnsiTheme="minorHAnsi" w:cs="Arial"/>
          <w:b/>
          <w:sz w:val="22"/>
        </w:rPr>
        <w:t xml:space="preserve"> resources</w:t>
      </w:r>
    </w:p>
    <w:p w14:paraId="1B54A3F6" w14:textId="77777777" w:rsidR="00E00938" w:rsidRPr="00812609" w:rsidRDefault="00E00938" w:rsidP="007D4A48">
      <w:pPr>
        <w:pStyle w:val="Subtitle"/>
        <w:rPr>
          <w:rFonts w:asciiTheme="minorHAnsi" w:hAnsiTheme="minorHAnsi" w:cs="Arial"/>
          <w:b/>
          <w:sz w:val="22"/>
        </w:rPr>
      </w:pPr>
    </w:p>
    <w:p w14:paraId="1B54A3F7" w14:textId="2ABDAB75" w:rsidR="00E00938" w:rsidRPr="00812609" w:rsidRDefault="00E00938" w:rsidP="007D4A48">
      <w:pPr>
        <w:pStyle w:val="Subtitle"/>
        <w:rPr>
          <w:rFonts w:asciiTheme="minorHAnsi" w:hAnsiTheme="minorHAnsi" w:cs="Arial"/>
          <w:sz w:val="22"/>
        </w:rPr>
      </w:pPr>
      <w:r w:rsidRPr="00812609">
        <w:rPr>
          <w:rFonts w:asciiTheme="minorHAnsi" w:hAnsiTheme="minorHAnsi" w:cs="Arial"/>
          <w:sz w:val="22"/>
        </w:rPr>
        <w:t>These include funds from UNDP-administered funds such as UNCDF and UNV, sustainable development funds such as GEF, Montreal Protocol and Capacity 21 and other trust funds. In “Source</w:t>
      </w:r>
      <w:r w:rsidR="00DF4F70" w:rsidRPr="00812609">
        <w:rPr>
          <w:rFonts w:asciiTheme="minorHAnsi" w:hAnsiTheme="minorHAnsi" w:cs="Arial"/>
          <w:sz w:val="22"/>
        </w:rPr>
        <w:t xml:space="preserve"> of funding</w:t>
      </w:r>
      <w:r w:rsidRPr="00812609">
        <w:rPr>
          <w:rFonts w:asciiTheme="minorHAnsi" w:hAnsiTheme="minorHAnsi" w:cs="Arial"/>
          <w:sz w:val="22"/>
        </w:rPr>
        <w:t>” column list each source</w:t>
      </w:r>
      <w:r w:rsidR="00DF4F70" w:rsidRPr="00812609">
        <w:rPr>
          <w:rFonts w:asciiTheme="minorHAnsi" w:hAnsiTheme="minorHAnsi" w:cs="Arial"/>
          <w:sz w:val="22"/>
        </w:rPr>
        <w:t xml:space="preserve"> of funding</w:t>
      </w:r>
      <w:r w:rsidRPr="00812609">
        <w:rPr>
          <w:rFonts w:asciiTheme="minorHAnsi" w:hAnsiTheme="minorHAnsi" w:cs="Arial"/>
          <w:sz w:val="22"/>
        </w:rPr>
        <w:t xml:space="preserve"> individually. In “Amount” column, first enter the total amount to be mobilized from all funds, and then, under “of which” specify the amount per </w:t>
      </w:r>
      <w:r w:rsidR="00DF4F70" w:rsidRPr="00812609">
        <w:rPr>
          <w:rFonts w:asciiTheme="minorHAnsi" w:hAnsiTheme="minorHAnsi" w:cs="Arial"/>
          <w:sz w:val="22"/>
        </w:rPr>
        <w:t xml:space="preserve">source of </w:t>
      </w:r>
      <w:r w:rsidRPr="00812609">
        <w:rPr>
          <w:rFonts w:asciiTheme="minorHAnsi" w:hAnsiTheme="minorHAnsi" w:cs="Arial"/>
          <w:sz w:val="22"/>
        </w:rPr>
        <w:t>fund</w:t>
      </w:r>
      <w:r w:rsidR="00DF4F70" w:rsidRPr="00812609">
        <w:rPr>
          <w:rFonts w:asciiTheme="minorHAnsi" w:hAnsiTheme="minorHAnsi" w:cs="Arial"/>
          <w:sz w:val="22"/>
        </w:rPr>
        <w:t>ing</w:t>
      </w:r>
      <w:r w:rsidR="002F4325" w:rsidRPr="00812609">
        <w:rPr>
          <w:rFonts w:asciiTheme="minorHAnsi" w:hAnsiTheme="minorHAnsi" w:cs="Arial"/>
          <w:sz w:val="22"/>
        </w:rPr>
        <w:t xml:space="preserve"> as reflected in the </w:t>
      </w:r>
      <w:r w:rsidR="002F4325" w:rsidRPr="00812609">
        <w:rPr>
          <w:rFonts w:asciiTheme="minorHAnsi" w:hAnsiTheme="minorHAnsi" w:cs="Arial"/>
          <w:i/>
          <w:sz w:val="22"/>
        </w:rPr>
        <w:t>Results and Resources Framework</w:t>
      </w:r>
      <w:r w:rsidR="002F4325" w:rsidRPr="00812609">
        <w:rPr>
          <w:rFonts w:asciiTheme="minorHAnsi" w:hAnsiTheme="minorHAnsi" w:cs="Arial"/>
          <w:sz w:val="22"/>
        </w:rPr>
        <w:t xml:space="preserve"> of the CPD </w:t>
      </w:r>
      <w:r w:rsidR="00350551">
        <w:rPr>
          <w:rFonts w:asciiTheme="minorHAnsi" w:hAnsiTheme="minorHAnsi" w:cs="Arial"/>
          <w:sz w:val="22"/>
        </w:rPr>
        <w:t>(</w:t>
      </w:r>
      <w:r w:rsidR="00350551" w:rsidRPr="00812609">
        <w:rPr>
          <w:rFonts w:asciiTheme="minorHAnsi" w:hAnsiTheme="minorHAnsi" w:cs="Arial"/>
          <w:sz w:val="22"/>
        </w:rPr>
        <w:t xml:space="preserve">see </w:t>
      </w:r>
      <w:r w:rsidR="00350551" w:rsidRPr="00812609">
        <w:rPr>
          <w:rFonts w:asciiTheme="minorHAnsi" w:hAnsiTheme="minorHAnsi" w:cs="Arial"/>
          <w:i/>
          <w:sz w:val="22"/>
        </w:rPr>
        <w:t xml:space="preserve">Indicative resources by outcome </w:t>
      </w:r>
      <w:r w:rsidR="00350551" w:rsidRPr="00812609">
        <w:rPr>
          <w:rFonts w:asciiTheme="minorHAnsi" w:hAnsiTheme="minorHAnsi" w:cs="Arial"/>
          <w:sz w:val="22"/>
        </w:rPr>
        <w:t xml:space="preserve">column). </w:t>
      </w:r>
      <w:r w:rsidR="002F4325" w:rsidRPr="00812609">
        <w:rPr>
          <w:rFonts w:asciiTheme="minorHAnsi" w:hAnsiTheme="minorHAnsi" w:cs="Arial"/>
          <w:sz w:val="22"/>
        </w:rPr>
        <w:t xml:space="preserve"> </w:t>
      </w:r>
      <w:r w:rsidRPr="00812609">
        <w:rPr>
          <w:rFonts w:asciiTheme="minorHAnsi" w:hAnsiTheme="minorHAnsi" w:cs="Arial"/>
          <w:sz w:val="22"/>
        </w:rPr>
        <w:t xml:space="preserve"> </w:t>
      </w:r>
      <w:r w:rsidR="00DF4F70" w:rsidRPr="00812609">
        <w:rPr>
          <w:rFonts w:asciiTheme="minorHAnsi" w:hAnsiTheme="minorHAnsi" w:cs="Arial"/>
          <w:b/>
          <w:sz w:val="22"/>
        </w:rPr>
        <w:t>(</w:t>
      </w:r>
      <w:r w:rsidRPr="00812609">
        <w:rPr>
          <w:rFonts w:asciiTheme="minorHAnsi" w:hAnsiTheme="minorHAnsi" w:cs="Arial"/>
          <w:b/>
          <w:sz w:val="22"/>
        </w:rPr>
        <w:t xml:space="preserve">Do not include funds from regional and global </w:t>
      </w:r>
      <w:proofErr w:type="spellStart"/>
      <w:r w:rsidRPr="00812609">
        <w:rPr>
          <w:rFonts w:asciiTheme="minorHAnsi" w:hAnsiTheme="minorHAnsi" w:cs="Arial"/>
          <w:b/>
          <w:sz w:val="22"/>
        </w:rPr>
        <w:t>programmes</w:t>
      </w:r>
      <w:proofErr w:type="spellEnd"/>
      <w:r w:rsidRPr="00812609">
        <w:rPr>
          <w:rFonts w:asciiTheme="minorHAnsi" w:hAnsiTheme="minorHAnsi" w:cs="Arial"/>
          <w:b/>
          <w:sz w:val="22"/>
        </w:rPr>
        <w:t xml:space="preserve">, </w:t>
      </w:r>
      <w:r w:rsidR="005A121D" w:rsidRPr="00812609">
        <w:rPr>
          <w:rFonts w:asciiTheme="minorHAnsi" w:hAnsiTheme="minorHAnsi" w:cs="Arial"/>
          <w:b/>
          <w:sz w:val="22"/>
        </w:rPr>
        <w:t>or MSAs</w:t>
      </w:r>
      <w:r w:rsidRPr="00812609">
        <w:rPr>
          <w:rFonts w:asciiTheme="minorHAnsi" w:hAnsiTheme="minorHAnsi" w:cs="Arial"/>
          <w:b/>
          <w:sz w:val="22"/>
        </w:rPr>
        <w:t>.</w:t>
      </w:r>
      <w:r w:rsidR="00DF4F70" w:rsidRPr="00812609">
        <w:rPr>
          <w:rFonts w:asciiTheme="minorHAnsi" w:hAnsiTheme="minorHAnsi" w:cs="Arial"/>
          <w:b/>
          <w:sz w:val="22"/>
        </w:rPr>
        <w:t>)</w:t>
      </w:r>
      <w:r w:rsidR="00207E7E" w:rsidRPr="00812609">
        <w:rPr>
          <w:rFonts w:asciiTheme="minorHAnsi" w:hAnsiTheme="minorHAnsi" w:cs="Arial"/>
          <w:b/>
          <w:sz w:val="22"/>
        </w:rPr>
        <w:t xml:space="preserve">  </w:t>
      </w:r>
    </w:p>
    <w:p w14:paraId="1B54A3F8" w14:textId="77777777" w:rsidR="00E00938" w:rsidRPr="00812609" w:rsidRDefault="00E00938" w:rsidP="007D4A48">
      <w:pPr>
        <w:pStyle w:val="Subtitle"/>
        <w:rPr>
          <w:rFonts w:asciiTheme="minorHAnsi" w:hAnsiTheme="minorHAnsi" w:cs="Arial"/>
          <w:b/>
          <w:sz w:val="22"/>
        </w:rPr>
      </w:pPr>
    </w:p>
    <w:p w14:paraId="1B54A3F9" w14:textId="77777777" w:rsidR="00C17780" w:rsidRPr="00350551" w:rsidRDefault="00C17780" w:rsidP="00C17780">
      <w:pPr>
        <w:pStyle w:val="Subtitle"/>
        <w:jc w:val="center"/>
        <w:rPr>
          <w:rFonts w:asciiTheme="minorHAnsi" w:hAnsiTheme="minorHAnsi" w:cs="Arial"/>
          <w:sz w:val="22"/>
          <w:u w:val="single"/>
        </w:rPr>
      </w:pPr>
      <w:r w:rsidRPr="00350551">
        <w:rPr>
          <w:rFonts w:asciiTheme="minorHAnsi" w:hAnsiTheme="minorHAnsi" w:cs="Arial"/>
          <w:sz w:val="22"/>
          <w:u w:val="single"/>
        </w:rPr>
        <w:t>III. CLEARANCE</w:t>
      </w:r>
    </w:p>
    <w:p w14:paraId="1B54A3FA" w14:textId="77777777" w:rsidR="000E701F" w:rsidRPr="00812609" w:rsidRDefault="000E701F" w:rsidP="007D4A48">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rPr>
          <w:rFonts w:asciiTheme="minorHAnsi" w:hAnsiTheme="minorHAnsi" w:cs="Arial"/>
          <w:sz w:val="22"/>
        </w:rPr>
      </w:pPr>
    </w:p>
    <w:p w14:paraId="1B54A3FB" w14:textId="77777777" w:rsidR="000E701F" w:rsidRPr="00812609" w:rsidRDefault="00350551" w:rsidP="00350551">
      <w:pPr>
        <w:pStyle w:val="Subtitle"/>
        <w:rPr>
          <w:rFonts w:asciiTheme="minorHAnsi" w:hAnsiTheme="minorHAnsi" w:cs="Arial"/>
          <w:sz w:val="22"/>
        </w:rPr>
      </w:pPr>
      <w:r>
        <w:rPr>
          <w:rFonts w:asciiTheme="minorHAnsi" w:hAnsiTheme="minorHAnsi" w:cs="Arial"/>
          <w:sz w:val="22"/>
        </w:rPr>
        <w:t xml:space="preserve">The </w:t>
      </w:r>
      <w:r w:rsidR="000E701F" w:rsidRPr="00812609">
        <w:rPr>
          <w:rFonts w:asciiTheme="minorHAnsi" w:hAnsiTheme="minorHAnsi" w:cs="Arial"/>
          <w:sz w:val="22"/>
        </w:rPr>
        <w:t xml:space="preserve">Regional Bureau </w:t>
      </w:r>
      <w:r w:rsidR="002F4325" w:rsidRPr="00812609">
        <w:rPr>
          <w:rFonts w:asciiTheme="minorHAnsi" w:hAnsiTheme="minorHAnsi" w:cs="Arial"/>
          <w:sz w:val="22"/>
        </w:rPr>
        <w:t>confirm</w:t>
      </w:r>
      <w:r>
        <w:rPr>
          <w:rFonts w:asciiTheme="minorHAnsi" w:hAnsiTheme="minorHAnsi" w:cs="Arial"/>
          <w:sz w:val="22"/>
        </w:rPr>
        <w:t>s</w:t>
      </w:r>
      <w:r w:rsidR="002F4325" w:rsidRPr="00812609">
        <w:rPr>
          <w:rFonts w:asciiTheme="minorHAnsi" w:hAnsiTheme="minorHAnsi" w:cs="Arial"/>
          <w:sz w:val="22"/>
        </w:rPr>
        <w:t xml:space="preserve"> the reasonableness </w:t>
      </w:r>
      <w:r w:rsidR="000E701F" w:rsidRPr="00812609">
        <w:rPr>
          <w:rFonts w:asciiTheme="minorHAnsi" w:hAnsiTheme="minorHAnsi" w:cs="Arial"/>
          <w:sz w:val="22"/>
        </w:rPr>
        <w:t xml:space="preserve">of the estimated resources for </w:t>
      </w:r>
      <w:r w:rsidR="002F4325" w:rsidRPr="00812609">
        <w:rPr>
          <w:rFonts w:asciiTheme="minorHAnsi" w:hAnsiTheme="minorHAnsi" w:cs="Arial"/>
          <w:sz w:val="22"/>
        </w:rPr>
        <w:t xml:space="preserve">each </w:t>
      </w:r>
      <w:r w:rsidR="000E701F" w:rsidRPr="00812609">
        <w:rPr>
          <w:rFonts w:asciiTheme="minorHAnsi" w:hAnsiTheme="minorHAnsi" w:cs="Arial"/>
          <w:sz w:val="22"/>
        </w:rPr>
        <w:t>funding source</w:t>
      </w:r>
      <w:r w:rsidR="002F4325" w:rsidRPr="00812609">
        <w:rPr>
          <w:rFonts w:asciiTheme="minorHAnsi" w:hAnsiTheme="minorHAnsi" w:cs="Arial"/>
          <w:sz w:val="22"/>
        </w:rPr>
        <w:t xml:space="preserve">.  </w:t>
      </w:r>
      <w:r>
        <w:rPr>
          <w:rFonts w:asciiTheme="minorHAnsi" w:hAnsiTheme="minorHAnsi" w:cs="Arial"/>
          <w:sz w:val="22"/>
        </w:rPr>
        <w:t xml:space="preserve">It </w:t>
      </w:r>
      <w:r w:rsidR="002F4325" w:rsidRPr="00812609">
        <w:rPr>
          <w:rFonts w:asciiTheme="minorHAnsi" w:hAnsiTheme="minorHAnsi" w:cs="Arial"/>
          <w:sz w:val="22"/>
        </w:rPr>
        <w:t>also confirm</w:t>
      </w:r>
      <w:r>
        <w:rPr>
          <w:rFonts w:asciiTheme="minorHAnsi" w:hAnsiTheme="minorHAnsi" w:cs="Arial"/>
          <w:sz w:val="22"/>
        </w:rPr>
        <w:t>s</w:t>
      </w:r>
      <w:r w:rsidR="002F4325" w:rsidRPr="00812609">
        <w:rPr>
          <w:rFonts w:asciiTheme="minorHAnsi" w:hAnsiTheme="minorHAnsi" w:cs="Arial"/>
          <w:sz w:val="22"/>
        </w:rPr>
        <w:t xml:space="preserve"> the alignment of the financial resources included in the RMT with the CPD (</w:t>
      </w:r>
      <w:r w:rsidRPr="00812609">
        <w:rPr>
          <w:rFonts w:asciiTheme="minorHAnsi" w:hAnsiTheme="minorHAnsi" w:cs="Arial"/>
          <w:sz w:val="22"/>
        </w:rPr>
        <w:t xml:space="preserve">see </w:t>
      </w:r>
      <w:r w:rsidRPr="00812609">
        <w:rPr>
          <w:rFonts w:asciiTheme="minorHAnsi" w:hAnsiTheme="minorHAnsi" w:cs="Arial"/>
          <w:i/>
          <w:sz w:val="22"/>
        </w:rPr>
        <w:t xml:space="preserve">Indicative resources by outcome </w:t>
      </w:r>
      <w:r w:rsidRPr="00812609">
        <w:rPr>
          <w:rFonts w:asciiTheme="minorHAnsi" w:hAnsiTheme="minorHAnsi" w:cs="Arial"/>
          <w:sz w:val="22"/>
        </w:rPr>
        <w:t xml:space="preserve">column). </w:t>
      </w:r>
    </w:p>
    <w:p w14:paraId="1B54A3FC" w14:textId="77777777" w:rsidR="005A121D" w:rsidRPr="00812609" w:rsidRDefault="005A121D" w:rsidP="007D4A48">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rPr>
          <w:rFonts w:asciiTheme="minorHAnsi" w:hAnsiTheme="minorHAnsi" w:cs="Arial"/>
          <w:sz w:val="22"/>
        </w:rPr>
      </w:pPr>
    </w:p>
    <w:p w14:paraId="1B54A3FE" w14:textId="344764BC" w:rsidR="0033704F" w:rsidRDefault="002F4325" w:rsidP="00CA4DC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rPr>
          <w:rFonts w:asciiTheme="minorHAnsi" w:hAnsiTheme="minorHAnsi" w:cs="Arial"/>
          <w:sz w:val="22"/>
        </w:rPr>
        <w:sectPr w:rsidR="0033704F" w:rsidSect="004E294D">
          <w:headerReference w:type="default" r:id="rId15"/>
          <w:footerReference w:type="even" r:id="rId16"/>
          <w:footerReference w:type="default" r:id="rId17"/>
          <w:pgSz w:w="12240" w:h="15840"/>
          <w:pgMar w:top="1152" w:right="1440" w:bottom="1152" w:left="1440" w:header="720" w:footer="720" w:gutter="0"/>
          <w:cols w:space="720"/>
          <w:docGrid w:linePitch="272"/>
        </w:sectPr>
      </w:pPr>
      <w:r w:rsidRPr="00812609">
        <w:rPr>
          <w:rFonts w:asciiTheme="minorHAnsi" w:hAnsiTheme="minorHAnsi" w:cs="Arial"/>
          <w:sz w:val="22"/>
        </w:rPr>
        <w:t xml:space="preserve">The </w:t>
      </w:r>
      <w:r w:rsidR="00CC50AE" w:rsidRPr="00812609">
        <w:rPr>
          <w:rFonts w:asciiTheme="minorHAnsi" w:hAnsiTheme="minorHAnsi" w:cs="Arial"/>
          <w:sz w:val="22"/>
        </w:rPr>
        <w:t>Office of Financial Management (OFM</w:t>
      </w:r>
      <w:r w:rsidRPr="00812609">
        <w:rPr>
          <w:rFonts w:asciiTheme="minorHAnsi" w:hAnsiTheme="minorHAnsi" w:cs="Arial"/>
          <w:sz w:val="22"/>
        </w:rPr>
        <w:t xml:space="preserve">) </w:t>
      </w:r>
      <w:r w:rsidR="005A6461">
        <w:rPr>
          <w:rFonts w:asciiTheme="minorHAnsi" w:hAnsiTheme="minorHAnsi" w:cs="Arial"/>
          <w:sz w:val="22"/>
        </w:rPr>
        <w:t>confirms the estimated TRAC-</w:t>
      </w:r>
      <w:r w:rsidRPr="00812609">
        <w:rPr>
          <w:rFonts w:asciiTheme="minorHAnsi" w:hAnsiTheme="minorHAnsi" w:cs="Arial"/>
          <w:sz w:val="22"/>
        </w:rPr>
        <w:t>1</w:t>
      </w:r>
      <w:r w:rsidR="005A6461">
        <w:rPr>
          <w:rFonts w:asciiTheme="minorHAnsi" w:hAnsiTheme="minorHAnsi" w:cs="Arial"/>
          <w:sz w:val="22"/>
        </w:rPr>
        <w:t xml:space="preserve"> and TRAC-2</w:t>
      </w:r>
      <w:r w:rsidRPr="00812609">
        <w:rPr>
          <w:rFonts w:asciiTheme="minorHAnsi" w:hAnsiTheme="minorHAnsi" w:cs="Arial"/>
          <w:sz w:val="22"/>
        </w:rPr>
        <w:t xml:space="preserve"> carryover</w:t>
      </w:r>
      <w:r w:rsidR="005A6461">
        <w:rPr>
          <w:rFonts w:asciiTheme="minorHAnsi" w:hAnsiTheme="minorHAnsi" w:cs="Arial"/>
          <w:sz w:val="22"/>
        </w:rPr>
        <w:t>,</w:t>
      </w:r>
      <w:r w:rsidRPr="00812609">
        <w:rPr>
          <w:rFonts w:asciiTheme="minorHAnsi" w:hAnsiTheme="minorHAnsi" w:cs="Arial"/>
          <w:sz w:val="22"/>
        </w:rPr>
        <w:t xml:space="preserve"> and TR</w:t>
      </w:r>
      <w:r w:rsidR="005A6461">
        <w:rPr>
          <w:rFonts w:asciiTheme="minorHAnsi" w:hAnsiTheme="minorHAnsi" w:cs="Arial"/>
          <w:sz w:val="22"/>
        </w:rPr>
        <w:t>AC-</w:t>
      </w:r>
      <w:r w:rsidRPr="00812609">
        <w:rPr>
          <w:rFonts w:asciiTheme="minorHAnsi" w:hAnsiTheme="minorHAnsi" w:cs="Arial"/>
          <w:sz w:val="22"/>
        </w:rPr>
        <w:t xml:space="preserve">1 </w:t>
      </w:r>
      <w:r w:rsidR="005A6461">
        <w:rPr>
          <w:rFonts w:asciiTheme="minorHAnsi" w:hAnsiTheme="minorHAnsi" w:cs="Arial"/>
          <w:sz w:val="22"/>
        </w:rPr>
        <w:t>and TRAC-2 assignments covering the CPD period</w:t>
      </w:r>
      <w:r w:rsidRPr="00812609">
        <w:rPr>
          <w:rFonts w:asciiTheme="minorHAnsi" w:hAnsiTheme="minorHAnsi" w:cs="Arial"/>
          <w:sz w:val="22"/>
        </w:rPr>
        <w:t>.</w:t>
      </w:r>
      <w:r w:rsidR="00804B0D" w:rsidRPr="00812609">
        <w:rPr>
          <w:rFonts w:asciiTheme="minorHAnsi" w:hAnsiTheme="minorHAnsi" w:cs="Arial"/>
          <w:sz w:val="22"/>
        </w:rPr>
        <w:br w:type="page"/>
      </w:r>
    </w:p>
    <w:p w14:paraId="1B54A3FF" w14:textId="77777777" w:rsidR="00804B0D" w:rsidRPr="00D728BD" w:rsidRDefault="00804B0D" w:rsidP="007F6AEF">
      <w:pPr>
        <w:pStyle w:val="Subtitle"/>
        <w:jc w:val="center"/>
        <w:rPr>
          <w:rFonts w:ascii="Arial" w:hAnsi="Arial" w:cs="Arial"/>
        </w:rPr>
      </w:pPr>
      <w:r w:rsidRPr="00D728BD">
        <w:rPr>
          <w:rFonts w:ascii="Arial" w:hAnsi="Arial" w:cs="Arial"/>
        </w:rPr>
        <w:lastRenderedPageBreak/>
        <w:t>Country Programme Document (CPD)</w:t>
      </w:r>
    </w:p>
    <w:p w14:paraId="1B54A400" w14:textId="77777777" w:rsidR="00804B0D" w:rsidRPr="007F6AEF" w:rsidRDefault="00804B0D" w:rsidP="00804B0D">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rPr>
          <w:rFonts w:ascii="Arial" w:hAnsi="Arial" w:cs="Arial"/>
          <w:b/>
          <w:sz w:val="24"/>
        </w:rPr>
      </w:pPr>
      <w:r w:rsidRPr="007F6AEF">
        <w:rPr>
          <w:rFonts w:ascii="Arial" w:hAnsi="Arial" w:cs="Arial"/>
          <w:b/>
          <w:sz w:val="24"/>
        </w:rPr>
        <w:t>RESOURCE MOBILIZATION TARGET TABLE</w:t>
      </w:r>
    </w:p>
    <w:p w14:paraId="1B54A401" w14:textId="77777777" w:rsidR="00804B0D" w:rsidRPr="007F6AEF" w:rsidRDefault="00804B0D" w:rsidP="00804B0D">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rPr>
          <w:rFonts w:ascii="Arial" w:hAnsi="Arial" w:cs="Arial"/>
          <w:sz w:val="22"/>
          <w:szCs w:val="22"/>
        </w:rPr>
      </w:pPr>
      <w:r w:rsidRPr="007F6AEF">
        <w:rPr>
          <w:rFonts w:ascii="Arial" w:hAnsi="Arial" w:cs="Arial"/>
          <w:sz w:val="22"/>
          <w:szCs w:val="22"/>
        </w:rPr>
        <w:t>(In thousands of United States dollars)</w:t>
      </w:r>
    </w:p>
    <w:p w14:paraId="1B54A402" w14:textId="77777777" w:rsidR="00804B0D" w:rsidRPr="00D728BD" w:rsidRDefault="00804B0D" w:rsidP="00804B0D">
      <w:pPr>
        <w:pStyle w:val="Heading2"/>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rPr>
          <w:rFonts w:ascii="Arial" w:hAnsi="Arial" w:cs="Arial"/>
          <w:b/>
          <w:sz w:val="20"/>
        </w:rPr>
      </w:pPr>
    </w:p>
    <w:p w14:paraId="1B54A403" w14:textId="77777777" w:rsidR="00804B0D" w:rsidRPr="00CA7E60" w:rsidRDefault="00804B0D" w:rsidP="00804B0D">
      <w:pPr>
        <w:pStyle w:val="Heading2"/>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rPr>
          <w:rFonts w:ascii="Arial" w:hAnsi="Arial" w:cs="Arial"/>
          <w:i/>
          <w:sz w:val="20"/>
        </w:rPr>
      </w:pPr>
      <w:r w:rsidRPr="00D728BD">
        <w:rPr>
          <w:rFonts w:ascii="Arial" w:hAnsi="Arial" w:cs="Arial"/>
          <w:b/>
          <w:sz w:val="20"/>
        </w:rPr>
        <w:t>Country:</w:t>
      </w:r>
      <w:r w:rsidRPr="00D728BD">
        <w:rPr>
          <w:rFonts w:ascii="Arial" w:hAnsi="Arial" w:cs="Arial"/>
          <w:sz w:val="20"/>
        </w:rPr>
        <w:tab/>
      </w:r>
      <w:r w:rsidRPr="00CA7E60">
        <w:rPr>
          <w:rFonts w:ascii="Arial" w:hAnsi="Arial" w:cs="Arial"/>
          <w:i/>
          <w:sz w:val="20"/>
        </w:rPr>
        <w:t>(name of country)</w:t>
      </w:r>
    </w:p>
    <w:p w14:paraId="1B54A404" w14:textId="77777777" w:rsidR="00804B0D" w:rsidRPr="00D728BD" w:rsidRDefault="00804B0D" w:rsidP="00804B0D">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rPr>
          <w:rFonts w:ascii="Arial" w:hAnsi="Arial" w:cs="Arial"/>
          <w:b/>
          <w:vanish/>
        </w:rPr>
      </w:pPr>
    </w:p>
    <w:p w14:paraId="1B54A405" w14:textId="77777777" w:rsidR="00804B0D" w:rsidRPr="00D728BD" w:rsidRDefault="00804B0D" w:rsidP="00804B0D">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rPr>
          <w:rFonts w:ascii="Arial" w:hAnsi="Arial" w:cs="Arial"/>
          <w:b/>
          <w:vanish/>
        </w:rPr>
      </w:pPr>
      <w:r w:rsidRPr="00D728BD">
        <w:rPr>
          <w:rFonts w:ascii="Arial" w:hAnsi="Arial" w:cs="Arial"/>
          <w:b/>
          <w:vanish/>
        </w:rPr>
        <w:t>Country:</w:t>
      </w:r>
    </w:p>
    <w:p w14:paraId="1B54A406" w14:textId="77777777" w:rsidR="00804B0D" w:rsidRPr="00D728BD" w:rsidRDefault="00804B0D" w:rsidP="00804B0D">
      <w:pPr>
        <w:pStyle w:val="BodyText2"/>
        <w:tabs>
          <w:tab w:val="left" w:pos="1170"/>
          <w:tab w:val="left" w:pos="1260"/>
        </w:tabs>
        <w:suppressAutoHyphens/>
        <w:spacing w:line="281" w:lineRule="auto"/>
        <w:rPr>
          <w:rFonts w:ascii="Arial" w:hAnsi="Arial" w:cs="Arial"/>
          <w:sz w:val="20"/>
        </w:rPr>
      </w:pPr>
      <w:r w:rsidRPr="00D728BD">
        <w:rPr>
          <w:rFonts w:ascii="Arial" w:hAnsi="Arial" w:cs="Arial"/>
          <w:b/>
          <w:sz w:val="20"/>
        </w:rPr>
        <w:t>Period:</w:t>
      </w:r>
      <w:r w:rsidRPr="00D728BD">
        <w:rPr>
          <w:rFonts w:ascii="Arial" w:hAnsi="Arial" w:cs="Arial"/>
          <w:sz w:val="20"/>
        </w:rPr>
        <w:tab/>
      </w:r>
      <w:r w:rsidRPr="00CA7E60">
        <w:rPr>
          <w:rFonts w:ascii="Arial" w:hAnsi="Arial" w:cs="Arial"/>
          <w:i/>
          <w:sz w:val="20"/>
        </w:rPr>
        <w:t>(from start year – to end year)</w:t>
      </w:r>
    </w:p>
    <w:p w14:paraId="1B54A407" w14:textId="77777777" w:rsidR="00804B0D" w:rsidRPr="00D728BD" w:rsidRDefault="00804B0D" w:rsidP="00804B0D">
      <w:pPr>
        <w:tabs>
          <w:tab w:val="center" w:pos="4824"/>
        </w:tabs>
        <w:suppressAutoHyphens/>
        <w:spacing w:line="281" w:lineRule="auto"/>
        <w:rPr>
          <w:rFonts w:ascii="Arial" w:hAnsi="Arial" w:cs="Arial"/>
          <w:b/>
        </w:rPr>
      </w:pPr>
    </w:p>
    <w:p w14:paraId="1B54A408" w14:textId="77777777" w:rsidR="00804B0D" w:rsidRDefault="00804B0D" w:rsidP="00804B0D">
      <w:pPr>
        <w:pStyle w:val="FootnoteText"/>
        <w:tabs>
          <w:tab w:val="center" w:pos="4824"/>
        </w:tabs>
        <w:suppressAutoHyphens/>
        <w:spacing w:line="281" w:lineRule="auto"/>
        <w:rPr>
          <w:rFonts w:ascii="Arial" w:hAnsi="Arial" w:cs="Arial"/>
          <w:b/>
          <w:color w:val="000000"/>
        </w:rPr>
      </w:pPr>
      <w:r w:rsidRPr="00CA7E60">
        <w:rPr>
          <w:rFonts w:ascii="Arial" w:hAnsi="Arial" w:cs="Arial"/>
          <w:b/>
          <w:color w:val="000000"/>
        </w:rPr>
        <w:t>For CPD extensions only:</w:t>
      </w:r>
    </w:p>
    <w:p w14:paraId="1B54A409" w14:textId="77777777" w:rsidR="00804B0D" w:rsidRPr="00D728BD" w:rsidRDefault="00804B0D" w:rsidP="00804B0D">
      <w:pPr>
        <w:tabs>
          <w:tab w:val="center" w:pos="4824"/>
        </w:tabs>
        <w:suppressAutoHyphens/>
        <w:spacing w:line="281" w:lineRule="auto"/>
        <w:ind w:left="720"/>
        <w:rPr>
          <w:rFonts w:ascii="Arial" w:hAnsi="Arial" w:cs="Arial"/>
          <w:b/>
        </w:rPr>
      </w:pPr>
      <w:r w:rsidRPr="00D728BD">
        <w:rPr>
          <w:rFonts w:ascii="Arial" w:hAnsi="Arial" w:cs="Arial"/>
          <w:b/>
        </w:rPr>
        <w:t xml:space="preserve">Original </w:t>
      </w:r>
      <w:r>
        <w:rPr>
          <w:rFonts w:ascii="Arial" w:hAnsi="Arial" w:cs="Arial"/>
          <w:b/>
        </w:rPr>
        <w:t>CPD</w:t>
      </w:r>
      <w:r w:rsidRPr="00D728BD">
        <w:rPr>
          <w:rFonts w:ascii="Arial" w:hAnsi="Arial" w:cs="Arial"/>
          <w:b/>
        </w:rPr>
        <w:t xml:space="preserve"> period:</w:t>
      </w:r>
      <w:r>
        <w:rPr>
          <w:rFonts w:ascii="Arial" w:hAnsi="Arial" w:cs="Arial"/>
          <w:b/>
        </w:rPr>
        <w:t xml:space="preserve"> </w:t>
      </w:r>
      <w:r w:rsidRPr="00CA7E60">
        <w:rPr>
          <w:rFonts w:ascii="Arial" w:hAnsi="Arial" w:cs="Arial"/>
          <w:i/>
        </w:rPr>
        <w:t>(from start year – to end year)</w:t>
      </w:r>
    </w:p>
    <w:p w14:paraId="1B54A40A" w14:textId="77777777" w:rsidR="00804B0D" w:rsidRPr="00D728BD" w:rsidRDefault="00804B0D" w:rsidP="00804B0D">
      <w:pPr>
        <w:tabs>
          <w:tab w:val="center" w:pos="4824"/>
        </w:tabs>
        <w:suppressAutoHyphens/>
        <w:spacing w:line="281" w:lineRule="auto"/>
        <w:ind w:left="720"/>
        <w:rPr>
          <w:rFonts w:ascii="Arial" w:hAnsi="Arial" w:cs="Arial"/>
          <w:b/>
        </w:rPr>
      </w:pPr>
      <w:r w:rsidRPr="00D728BD">
        <w:rPr>
          <w:rFonts w:ascii="Arial" w:hAnsi="Arial" w:cs="Arial"/>
          <w:b/>
        </w:rPr>
        <w:t xml:space="preserve">Extended for </w:t>
      </w:r>
      <w:r w:rsidRPr="00D728BD">
        <w:rPr>
          <w:rFonts w:ascii="Arial" w:hAnsi="Arial" w:cs="Arial"/>
          <w:i/>
        </w:rPr>
        <w:t>(number of years)</w:t>
      </w:r>
      <w:r w:rsidRPr="00D728BD">
        <w:rPr>
          <w:rFonts w:ascii="Arial" w:hAnsi="Arial" w:cs="Arial"/>
          <w:b/>
        </w:rPr>
        <w:t xml:space="preserve"> from </w:t>
      </w:r>
      <w:r w:rsidRPr="00D728BD">
        <w:rPr>
          <w:rFonts w:ascii="Arial" w:hAnsi="Arial" w:cs="Arial"/>
          <w:i/>
        </w:rPr>
        <w:t>(year)</w:t>
      </w:r>
      <w:r w:rsidRPr="00D728BD">
        <w:rPr>
          <w:rFonts w:ascii="Arial" w:hAnsi="Arial" w:cs="Arial"/>
          <w:b/>
        </w:rPr>
        <w:t xml:space="preserve"> to end of </w:t>
      </w:r>
      <w:r w:rsidRPr="00D728BD">
        <w:rPr>
          <w:rFonts w:ascii="Arial" w:hAnsi="Arial" w:cs="Arial"/>
          <w:i/>
        </w:rPr>
        <w:t>(year)</w:t>
      </w:r>
      <w:r w:rsidRPr="00D728BD">
        <w:rPr>
          <w:rFonts w:ascii="Arial" w:hAnsi="Arial" w:cs="Arial"/>
          <w:b/>
        </w:rPr>
        <w:t xml:space="preserve"> </w:t>
      </w:r>
    </w:p>
    <w:p w14:paraId="1B54A40B" w14:textId="77777777" w:rsidR="00804B0D" w:rsidRPr="00D728BD" w:rsidRDefault="00804B0D" w:rsidP="00804B0D">
      <w:pPr>
        <w:tabs>
          <w:tab w:val="center" w:pos="4824"/>
        </w:tabs>
        <w:suppressAutoHyphens/>
        <w:spacing w:line="281" w:lineRule="auto"/>
        <w:ind w:left="720"/>
        <w:rPr>
          <w:rFonts w:ascii="Arial" w:hAnsi="Arial" w:cs="Arial"/>
          <w:b/>
        </w:rPr>
      </w:pPr>
      <w:r w:rsidRPr="00D728BD">
        <w:rPr>
          <w:rFonts w:ascii="Arial" w:hAnsi="Arial" w:cs="Arial"/>
          <w:b/>
        </w:rPr>
        <w:t xml:space="preserve">Revised period: </w:t>
      </w:r>
      <w:r w:rsidR="003D3C51" w:rsidRPr="00CA7E60">
        <w:rPr>
          <w:rFonts w:ascii="Arial" w:hAnsi="Arial" w:cs="Arial"/>
          <w:i/>
        </w:rPr>
        <w:t>(from start year – to end year</w:t>
      </w:r>
      <w:r w:rsidR="003D3C51">
        <w:rPr>
          <w:rFonts w:ascii="Arial" w:hAnsi="Arial" w:cs="Arial"/>
          <w:i/>
        </w:rPr>
        <w:t>)</w:t>
      </w:r>
    </w:p>
    <w:p w14:paraId="1B54A40C" w14:textId="77777777" w:rsidR="00804B0D" w:rsidRPr="00D728BD" w:rsidRDefault="00804B0D" w:rsidP="00804B0D">
      <w:pPr>
        <w:tabs>
          <w:tab w:val="center" w:pos="4824"/>
        </w:tabs>
        <w:suppressAutoHyphens/>
        <w:spacing w:line="281" w:lineRule="auto"/>
        <w:jc w:val="center"/>
        <w:rPr>
          <w:rFonts w:ascii="Arial" w:hAnsi="Arial" w:cs="Arial"/>
          <w:sz w:val="16"/>
        </w:rPr>
      </w:pPr>
    </w:p>
    <w:tbl>
      <w:tblPr>
        <w:tblW w:w="9360" w:type="dxa"/>
        <w:tblInd w:w="72" w:type="dxa"/>
        <w:tblLayout w:type="fixed"/>
        <w:tblCellMar>
          <w:left w:w="72" w:type="dxa"/>
          <w:right w:w="72" w:type="dxa"/>
        </w:tblCellMar>
        <w:tblLook w:val="0000" w:firstRow="0" w:lastRow="0" w:firstColumn="0" w:lastColumn="0" w:noHBand="0" w:noVBand="0"/>
      </w:tblPr>
      <w:tblGrid>
        <w:gridCol w:w="4194"/>
        <w:gridCol w:w="1614"/>
        <w:gridCol w:w="3552"/>
      </w:tblGrid>
      <w:tr w:rsidR="00804B0D" w:rsidRPr="00D728BD" w14:paraId="1B54A410" w14:textId="77777777" w:rsidTr="00E90F6C">
        <w:tc>
          <w:tcPr>
            <w:tcW w:w="4194" w:type="dxa"/>
            <w:tcBorders>
              <w:top w:val="single" w:sz="6" w:space="0" w:color="auto"/>
              <w:left w:val="single" w:sz="6" w:space="0" w:color="auto"/>
              <w:bottom w:val="double" w:sz="6" w:space="0" w:color="auto"/>
            </w:tcBorders>
          </w:tcPr>
          <w:p w14:paraId="1B54A40D" w14:textId="77777777" w:rsidR="00804B0D" w:rsidRPr="00D728BD" w:rsidRDefault="000E157A"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center"/>
              <w:rPr>
                <w:rFonts w:ascii="Arial" w:hAnsi="Arial" w:cs="Arial"/>
                <w:sz w:val="16"/>
              </w:rPr>
            </w:pPr>
            <w:r w:rsidRPr="00D728BD">
              <w:rPr>
                <w:rFonts w:ascii="Arial" w:hAnsi="Arial" w:cs="Arial"/>
                <w:sz w:val="16"/>
              </w:rPr>
              <w:fldChar w:fldCharType="begin"/>
            </w:r>
            <w:r w:rsidR="00804B0D" w:rsidRPr="00D728BD">
              <w:rPr>
                <w:rFonts w:ascii="Arial" w:hAnsi="Arial" w:cs="Arial"/>
                <w:sz w:val="16"/>
              </w:rPr>
              <w:instrText xml:space="preserve">PRIVATE </w:instrText>
            </w:r>
            <w:r w:rsidRPr="00D728BD">
              <w:rPr>
                <w:rFonts w:ascii="Arial" w:hAnsi="Arial" w:cs="Arial"/>
                <w:sz w:val="16"/>
              </w:rPr>
              <w:fldChar w:fldCharType="end"/>
            </w:r>
            <w:r w:rsidR="00804B0D" w:rsidRPr="00D728BD">
              <w:rPr>
                <w:rFonts w:ascii="Arial" w:hAnsi="Arial" w:cs="Arial"/>
                <w:sz w:val="16"/>
              </w:rPr>
              <w:t>Source</w:t>
            </w:r>
            <w:r w:rsidR="00222B74">
              <w:rPr>
                <w:rFonts w:ascii="Arial" w:hAnsi="Arial" w:cs="Arial"/>
                <w:sz w:val="16"/>
              </w:rPr>
              <w:t xml:space="preserve"> of Funding</w:t>
            </w:r>
          </w:p>
        </w:tc>
        <w:tc>
          <w:tcPr>
            <w:tcW w:w="1614" w:type="dxa"/>
            <w:tcBorders>
              <w:top w:val="single" w:sz="6" w:space="0" w:color="auto"/>
              <w:left w:val="single" w:sz="6" w:space="0" w:color="auto"/>
              <w:bottom w:val="double" w:sz="6" w:space="0" w:color="auto"/>
            </w:tcBorders>
          </w:tcPr>
          <w:p w14:paraId="1B54A40E"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center"/>
              <w:rPr>
                <w:rFonts w:ascii="Arial" w:hAnsi="Arial" w:cs="Arial"/>
                <w:sz w:val="16"/>
              </w:rPr>
            </w:pPr>
            <w:r w:rsidRPr="00D728BD">
              <w:rPr>
                <w:rFonts w:ascii="Arial" w:hAnsi="Arial" w:cs="Arial"/>
                <w:sz w:val="16"/>
              </w:rPr>
              <w:t>Amount</w:t>
            </w:r>
          </w:p>
        </w:tc>
        <w:tc>
          <w:tcPr>
            <w:tcW w:w="3552" w:type="dxa"/>
            <w:tcBorders>
              <w:top w:val="single" w:sz="6" w:space="0" w:color="auto"/>
              <w:left w:val="single" w:sz="6" w:space="0" w:color="auto"/>
              <w:bottom w:val="double" w:sz="6" w:space="0" w:color="auto"/>
              <w:right w:val="single" w:sz="6" w:space="0" w:color="auto"/>
            </w:tcBorders>
          </w:tcPr>
          <w:p w14:paraId="1B54A40F"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center"/>
              <w:rPr>
                <w:rFonts w:ascii="Arial" w:hAnsi="Arial" w:cs="Arial"/>
                <w:sz w:val="16"/>
              </w:rPr>
            </w:pPr>
            <w:r w:rsidRPr="00D728BD">
              <w:rPr>
                <w:rFonts w:ascii="Arial" w:hAnsi="Arial" w:cs="Arial"/>
                <w:sz w:val="16"/>
              </w:rPr>
              <w:t>Comments</w:t>
            </w:r>
          </w:p>
        </w:tc>
      </w:tr>
      <w:tr w:rsidR="00804B0D" w:rsidRPr="00D728BD" w14:paraId="1B54A414" w14:textId="77777777" w:rsidTr="00E90F6C">
        <w:tc>
          <w:tcPr>
            <w:tcW w:w="4194" w:type="dxa"/>
            <w:tcBorders>
              <w:left w:val="single" w:sz="6" w:space="0" w:color="auto"/>
            </w:tcBorders>
          </w:tcPr>
          <w:p w14:paraId="1B54A411"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b/>
                <w:sz w:val="16"/>
              </w:rPr>
            </w:pPr>
            <w:r w:rsidRPr="00D728BD">
              <w:rPr>
                <w:rFonts w:ascii="Arial" w:hAnsi="Arial" w:cs="Arial"/>
                <w:b/>
                <w:sz w:val="16"/>
              </w:rPr>
              <w:t>UNDP REGULAR RESOURCES</w:t>
            </w:r>
          </w:p>
        </w:tc>
        <w:tc>
          <w:tcPr>
            <w:tcW w:w="1614" w:type="dxa"/>
            <w:tcBorders>
              <w:left w:val="single" w:sz="6" w:space="0" w:color="auto"/>
            </w:tcBorders>
          </w:tcPr>
          <w:p w14:paraId="1B54A412"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p>
        </w:tc>
        <w:tc>
          <w:tcPr>
            <w:tcW w:w="3552" w:type="dxa"/>
            <w:tcBorders>
              <w:left w:val="single" w:sz="6" w:space="0" w:color="auto"/>
              <w:right w:val="single" w:sz="6" w:space="0" w:color="auto"/>
            </w:tcBorders>
          </w:tcPr>
          <w:p w14:paraId="1B54A413"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p>
        </w:tc>
      </w:tr>
      <w:tr w:rsidR="00804B0D" w:rsidRPr="00D728BD" w14:paraId="1B54A418" w14:textId="77777777" w:rsidTr="00E90F6C">
        <w:tc>
          <w:tcPr>
            <w:tcW w:w="4194" w:type="dxa"/>
            <w:tcBorders>
              <w:top w:val="single" w:sz="6" w:space="0" w:color="auto"/>
              <w:left w:val="single" w:sz="6" w:space="0" w:color="auto"/>
            </w:tcBorders>
          </w:tcPr>
          <w:p w14:paraId="1B54A415" w14:textId="77777777" w:rsidR="00804B0D" w:rsidRPr="00D728BD" w:rsidRDefault="005A6461"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ind w:firstLine="18"/>
              <w:rPr>
                <w:rFonts w:ascii="Arial" w:hAnsi="Arial" w:cs="Arial"/>
                <w:sz w:val="16"/>
              </w:rPr>
            </w:pPr>
            <w:r>
              <w:rPr>
                <w:rFonts w:ascii="Arial" w:hAnsi="Arial" w:cs="Arial"/>
                <w:sz w:val="16"/>
              </w:rPr>
              <w:t>TRAC-1 and TRAC-2</w:t>
            </w:r>
            <w:r w:rsidR="00992517">
              <w:rPr>
                <w:rFonts w:ascii="Arial" w:hAnsi="Arial" w:cs="Arial"/>
                <w:sz w:val="16"/>
              </w:rPr>
              <w:t xml:space="preserve"> estimated carry</w:t>
            </w:r>
            <w:r w:rsidR="00804B0D" w:rsidRPr="00D728BD">
              <w:rPr>
                <w:rFonts w:ascii="Arial" w:hAnsi="Arial" w:cs="Arial"/>
                <w:sz w:val="16"/>
              </w:rPr>
              <w:t>over</w:t>
            </w:r>
          </w:p>
        </w:tc>
        <w:tc>
          <w:tcPr>
            <w:tcW w:w="1614" w:type="dxa"/>
            <w:tcBorders>
              <w:top w:val="single" w:sz="6" w:space="0" w:color="auto"/>
              <w:left w:val="single" w:sz="6" w:space="0" w:color="auto"/>
            </w:tcBorders>
          </w:tcPr>
          <w:p w14:paraId="1B54A416"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p>
        </w:tc>
        <w:tc>
          <w:tcPr>
            <w:tcW w:w="3552" w:type="dxa"/>
            <w:tcBorders>
              <w:top w:val="single" w:sz="6" w:space="0" w:color="auto"/>
              <w:left w:val="single" w:sz="6" w:space="0" w:color="auto"/>
              <w:right w:val="single" w:sz="6" w:space="0" w:color="auto"/>
            </w:tcBorders>
          </w:tcPr>
          <w:p w14:paraId="1B54A417" w14:textId="77777777" w:rsidR="00804B0D" w:rsidRPr="005A351B" w:rsidRDefault="005A6461"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i/>
                <w:sz w:val="16"/>
              </w:rPr>
            </w:pPr>
            <w:r w:rsidRPr="005A351B">
              <w:rPr>
                <w:rFonts w:ascii="Arial" w:hAnsi="Arial" w:cs="Arial"/>
                <w:i/>
                <w:color w:val="0070C0"/>
                <w:sz w:val="16"/>
              </w:rPr>
              <w:t>[This can also be negative]</w:t>
            </w:r>
          </w:p>
        </w:tc>
      </w:tr>
      <w:tr w:rsidR="00804B0D" w:rsidRPr="00D728BD" w14:paraId="1B54A41C" w14:textId="77777777" w:rsidTr="00E90F6C">
        <w:tc>
          <w:tcPr>
            <w:tcW w:w="4194" w:type="dxa"/>
            <w:tcBorders>
              <w:top w:val="single" w:sz="6" w:space="0" w:color="auto"/>
              <w:left w:val="single" w:sz="6" w:space="0" w:color="auto"/>
            </w:tcBorders>
          </w:tcPr>
          <w:p w14:paraId="1B54A419" w14:textId="77777777" w:rsidR="00804B0D" w:rsidRPr="00D728BD" w:rsidRDefault="005A6461" w:rsidP="005A6461">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Pr>
                <w:rFonts w:ascii="Arial" w:hAnsi="Arial" w:cs="Arial"/>
                <w:sz w:val="16"/>
              </w:rPr>
              <w:t xml:space="preserve">TRAC-1 </w:t>
            </w:r>
            <w:r w:rsidR="00015A1C">
              <w:rPr>
                <w:rFonts w:ascii="Arial" w:hAnsi="Arial" w:cs="Arial"/>
                <w:sz w:val="16"/>
              </w:rPr>
              <w:t>*</w:t>
            </w:r>
            <w:r w:rsidR="00804B0D" w:rsidRPr="00D728BD">
              <w:rPr>
                <w:rFonts w:ascii="Arial" w:hAnsi="Arial" w:cs="Arial"/>
                <w:sz w:val="16"/>
              </w:rPr>
              <w:tab/>
            </w:r>
          </w:p>
        </w:tc>
        <w:tc>
          <w:tcPr>
            <w:tcW w:w="1614" w:type="dxa"/>
            <w:tcBorders>
              <w:top w:val="single" w:sz="6" w:space="0" w:color="auto"/>
              <w:left w:val="single" w:sz="6" w:space="0" w:color="auto"/>
            </w:tcBorders>
          </w:tcPr>
          <w:p w14:paraId="1B54A41A"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r w:rsidRPr="00D728BD">
              <w:rPr>
                <w:rFonts w:ascii="Arial" w:hAnsi="Arial" w:cs="Arial"/>
                <w:sz w:val="16"/>
              </w:rPr>
              <w:t xml:space="preserve">   </w:t>
            </w:r>
          </w:p>
        </w:tc>
        <w:tc>
          <w:tcPr>
            <w:tcW w:w="3552" w:type="dxa"/>
            <w:tcBorders>
              <w:top w:val="single" w:sz="6" w:space="0" w:color="auto"/>
              <w:left w:val="single" w:sz="6" w:space="0" w:color="auto"/>
              <w:right w:val="single" w:sz="6" w:space="0" w:color="auto"/>
            </w:tcBorders>
          </w:tcPr>
          <w:p w14:paraId="1B54A41B"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sidRPr="005A6461">
              <w:rPr>
                <w:rFonts w:ascii="Arial" w:hAnsi="Arial" w:cs="Arial"/>
                <w:sz w:val="16"/>
              </w:rPr>
              <w:t>Assigned immediately to country for the CPD period</w:t>
            </w:r>
          </w:p>
        </w:tc>
      </w:tr>
      <w:tr w:rsidR="00804B0D" w:rsidRPr="00D728BD" w14:paraId="1B54A420" w14:textId="77777777" w:rsidTr="00E90F6C">
        <w:tc>
          <w:tcPr>
            <w:tcW w:w="4194" w:type="dxa"/>
            <w:tcBorders>
              <w:top w:val="single" w:sz="6" w:space="0" w:color="auto"/>
              <w:left w:val="single" w:sz="6" w:space="0" w:color="auto"/>
            </w:tcBorders>
          </w:tcPr>
          <w:p w14:paraId="1B54A41D" w14:textId="20AF46B2" w:rsidR="00804B0D" w:rsidRPr="00D728BD" w:rsidRDefault="005A6461"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Pr>
                <w:rFonts w:ascii="Arial" w:hAnsi="Arial" w:cs="Arial"/>
                <w:sz w:val="16"/>
              </w:rPr>
              <w:t>TRAC-2</w:t>
            </w:r>
            <w:r w:rsidR="002607F5">
              <w:rPr>
                <w:rFonts w:ascii="Arial" w:hAnsi="Arial" w:cs="Arial"/>
                <w:sz w:val="16"/>
              </w:rPr>
              <w:t xml:space="preserve"> *</w:t>
            </w:r>
          </w:p>
        </w:tc>
        <w:tc>
          <w:tcPr>
            <w:tcW w:w="1614" w:type="dxa"/>
            <w:tcBorders>
              <w:top w:val="single" w:sz="6" w:space="0" w:color="auto"/>
              <w:left w:val="single" w:sz="6" w:space="0" w:color="auto"/>
            </w:tcBorders>
          </w:tcPr>
          <w:p w14:paraId="1B54A41E"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sidRPr="00D728BD">
              <w:rPr>
                <w:rFonts w:ascii="Arial" w:hAnsi="Arial" w:cs="Arial"/>
                <w:sz w:val="16"/>
              </w:rPr>
              <w:t xml:space="preserve">   </w:t>
            </w:r>
          </w:p>
        </w:tc>
        <w:tc>
          <w:tcPr>
            <w:tcW w:w="3552" w:type="dxa"/>
            <w:tcBorders>
              <w:top w:val="single" w:sz="6" w:space="0" w:color="auto"/>
              <w:left w:val="single" w:sz="6" w:space="0" w:color="auto"/>
              <w:right w:val="single" w:sz="6" w:space="0" w:color="auto"/>
            </w:tcBorders>
          </w:tcPr>
          <w:p w14:paraId="1B54A41F" w14:textId="77777777" w:rsidR="00804B0D" w:rsidRPr="00D728BD" w:rsidRDefault="005A6461" w:rsidP="00260794">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Pr>
                <w:rFonts w:ascii="Arial" w:hAnsi="Arial" w:cs="Arial"/>
                <w:sz w:val="16"/>
              </w:rPr>
              <w:t>Assigned by the Regional Bureau</w:t>
            </w:r>
          </w:p>
        </w:tc>
      </w:tr>
      <w:tr w:rsidR="00804B0D" w:rsidRPr="00D728BD" w14:paraId="1B54A424" w14:textId="77777777" w:rsidTr="00E90F6C">
        <w:tc>
          <w:tcPr>
            <w:tcW w:w="4194" w:type="dxa"/>
            <w:tcBorders>
              <w:top w:val="single" w:sz="6" w:space="0" w:color="auto"/>
              <w:left w:val="single" w:sz="6" w:space="0" w:color="auto"/>
            </w:tcBorders>
          </w:tcPr>
          <w:p w14:paraId="1B54A421" w14:textId="1C95799D" w:rsidR="00804B0D" w:rsidRPr="00D728BD" w:rsidRDefault="005A6461"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Pr>
                <w:rFonts w:ascii="Arial" w:hAnsi="Arial" w:cs="Arial"/>
                <w:sz w:val="16"/>
              </w:rPr>
              <w:t>TRAC-3</w:t>
            </w:r>
            <w:r w:rsidR="002607F5">
              <w:rPr>
                <w:rFonts w:ascii="Arial" w:hAnsi="Arial" w:cs="Arial"/>
                <w:sz w:val="16"/>
              </w:rPr>
              <w:t xml:space="preserve"> *</w:t>
            </w:r>
          </w:p>
        </w:tc>
        <w:tc>
          <w:tcPr>
            <w:tcW w:w="1614" w:type="dxa"/>
            <w:tcBorders>
              <w:top w:val="single" w:sz="6" w:space="0" w:color="auto"/>
              <w:left w:val="single" w:sz="6" w:space="0" w:color="auto"/>
            </w:tcBorders>
          </w:tcPr>
          <w:p w14:paraId="1B54A422"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p>
        </w:tc>
        <w:tc>
          <w:tcPr>
            <w:tcW w:w="3552" w:type="dxa"/>
            <w:tcBorders>
              <w:top w:val="single" w:sz="6" w:space="0" w:color="auto"/>
              <w:left w:val="single" w:sz="6" w:space="0" w:color="auto"/>
              <w:right w:val="single" w:sz="6" w:space="0" w:color="auto"/>
            </w:tcBorders>
          </w:tcPr>
          <w:p w14:paraId="1B54A423" w14:textId="77777777" w:rsidR="00804B0D" w:rsidRPr="000D42BB" w:rsidRDefault="005A6461">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i/>
                <w:color w:val="548DD4"/>
                <w:sz w:val="16"/>
              </w:rPr>
            </w:pPr>
            <w:r>
              <w:rPr>
                <w:rFonts w:ascii="Arial" w:hAnsi="Arial" w:cs="Arial"/>
                <w:color w:val="000000"/>
                <w:sz w:val="16"/>
              </w:rPr>
              <w:t>A</w:t>
            </w:r>
            <w:r w:rsidR="008551EF">
              <w:rPr>
                <w:rFonts w:ascii="Arial" w:hAnsi="Arial" w:cs="Arial"/>
                <w:color w:val="000000"/>
                <w:sz w:val="16"/>
              </w:rPr>
              <w:t xml:space="preserve">ssigned </w:t>
            </w:r>
            <w:r w:rsidR="0033704F" w:rsidRPr="0033704F">
              <w:rPr>
                <w:rFonts w:ascii="Arial" w:hAnsi="Arial" w:cs="Arial"/>
                <w:color w:val="000000"/>
                <w:sz w:val="16"/>
              </w:rPr>
              <w:t>by the fund manager of TRAC-3 resources</w:t>
            </w:r>
            <w:r w:rsidR="00A45E77">
              <w:rPr>
                <w:rFonts w:ascii="Arial" w:hAnsi="Arial" w:cs="Arial"/>
                <w:i/>
                <w:color w:val="0070C0"/>
                <w:sz w:val="16"/>
              </w:rPr>
              <w:t xml:space="preserve"> </w:t>
            </w:r>
            <w:r w:rsidR="00804B0D" w:rsidRPr="005A351B">
              <w:rPr>
                <w:rFonts w:ascii="Arial" w:hAnsi="Arial" w:cs="Arial"/>
                <w:i/>
                <w:color w:val="0070C0"/>
                <w:sz w:val="16"/>
              </w:rPr>
              <w:t>[For countries in special development situations only]</w:t>
            </w:r>
          </w:p>
        </w:tc>
      </w:tr>
      <w:tr w:rsidR="00804B0D" w:rsidRPr="00D728BD" w14:paraId="1B54A428" w14:textId="77777777" w:rsidTr="00E90F6C">
        <w:tc>
          <w:tcPr>
            <w:tcW w:w="4194" w:type="dxa"/>
            <w:tcBorders>
              <w:top w:val="single" w:sz="6" w:space="0" w:color="auto"/>
              <w:left w:val="single" w:sz="6" w:space="0" w:color="auto"/>
              <w:bottom w:val="double" w:sz="6" w:space="0" w:color="auto"/>
            </w:tcBorders>
          </w:tcPr>
          <w:p w14:paraId="1B54A425" w14:textId="77777777" w:rsidR="00804B0D" w:rsidRPr="00DA3D96"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b/>
                <w:sz w:val="16"/>
              </w:rPr>
            </w:pPr>
            <w:r w:rsidRPr="00DA3D96">
              <w:rPr>
                <w:rFonts w:ascii="Arial" w:hAnsi="Arial" w:cs="Arial"/>
                <w:b/>
                <w:sz w:val="16"/>
              </w:rPr>
              <w:t>Subtotal</w:t>
            </w:r>
          </w:p>
        </w:tc>
        <w:tc>
          <w:tcPr>
            <w:tcW w:w="1614" w:type="dxa"/>
            <w:tcBorders>
              <w:top w:val="single" w:sz="6" w:space="0" w:color="auto"/>
              <w:left w:val="single" w:sz="6" w:space="0" w:color="auto"/>
              <w:bottom w:val="double" w:sz="6" w:space="0" w:color="auto"/>
            </w:tcBorders>
          </w:tcPr>
          <w:p w14:paraId="1B54A426"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p>
        </w:tc>
        <w:tc>
          <w:tcPr>
            <w:tcW w:w="3552" w:type="dxa"/>
            <w:tcBorders>
              <w:top w:val="single" w:sz="6" w:space="0" w:color="auto"/>
              <w:left w:val="single" w:sz="6" w:space="0" w:color="auto"/>
              <w:bottom w:val="double" w:sz="6" w:space="0" w:color="auto"/>
              <w:right w:val="single" w:sz="6" w:space="0" w:color="auto"/>
            </w:tcBorders>
          </w:tcPr>
          <w:p w14:paraId="1B54A427" w14:textId="77777777" w:rsidR="00804B0D" w:rsidRPr="005A351B" w:rsidRDefault="005A351B" w:rsidP="00DA3D96">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i/>
                <w:sz w:val="16"/>
              </w:rPr>
            </w:pPr>
            <w:r>
              <w:rPr>
                <w:rFonts w:ascii="Arial" w:hAnsi="Arial" w:cs="Arial"/>
                <w:i/>
                <w:color w:val="0070C0"/>
                <w:sz w:val="16"/>
              </w:rPr>
              <w:t>[</w:t>
            </w:r>
            <w:r w:rsidR="005A6461" w:rsidRPr="005A351B">
              <w:rPr>
                <w:rFonts w:ascii="Arial" w:hAnsi="Arial" w:cs="Arial"/>
                <w:i/>
                <w:color w:val="0070C0"/>
                <w:sz w:val="16"/>
              </w:rPr>
              <w:t>Subtotal of Regular Resources</w:t>
            </w:r>
            <w:r>
              <w:rPr>
                <w:rFonts w:ascii="Arial" w:hAnsi="Arial" w:cs="Arial"/>
                <w:i/>
                <w:color w:val="0070C0"/>
                <w:sz w:val="16"/>
              </w:rPr>
              <w:t>]</w:t>
            </w:r>
          </w:p>
        </w:tc>
      </w:tr>
      <w:tr w:rsidR="00804B0D" w:rsidRPr="00D728BD" w14:paraId="1B54A42C" w14:textId="77777777" w:rsidTr="00E90F6C">
        <w:tc>
          <w:tcPr>
            <w:tcW w:w="4194" w:type="dxa"/>
            <w:tcBorders>
              <w:left w:val="single" w:sz="6" w:space="0" w:color="auto"/>
            </w:tcBorders>
          </w:tcPr>
          <w:p w14:paraId="1B54A429"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b/>
                <w:sz w:val="16"/>
              </w:rPr>
            </w:pPr>
            <w:r w:rsidRPr="00D728BD">
              <w:rPr>
                <w:rFonts w:ascii="Arial" w:hAnsi="Arial" w:cs="Arial"/>
                <w:b/>
                <w:sz w:val="16"/>
              </w:rPr>
              <w:t>UNDP OTHER RESOURCES</w:t>
            </w:r>
          </w:p>
        </w:tc>
        <w:tc>
          <w:tcPr>
            <w:tcW w:w="1614" w:type="dxa"/>
            <w:tcBorders>
              <w:left w:val="single" w:sz="6" w:space="0" w:color="auto"/>
            </w:tcBorders>
          </w:tcPr>
          <w:p w14:paraId="1B54A42A"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p>
        </w:tc>
        <w:tc>
          <w:tcPr>
            <w:tcW w:w="3552" w:type="dxa"/>
            <w:tcBorders>
              <w:left w:val="single" w:sz="6" w:space="0" w:color="auto"/>
              <w:right w:val="single" w:sz="6" w:space="0" w:color="auto"/>
            </w:tcBorders>
          </w:tcPr>
          <w:p w14:paraId="1B54A42B"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p>
        </w:tc>
      </w:tr>
      <w:tr w:rsidR="00804B0D" w:rsidRPr="00D728BD" w14:paraId="1B54A430" w14:textId="77777777" w:rsidTr="00E90F6C">
        <w:tc>
          <w:tcPr>
            <w:tcW w:w="4194" w:type="dxa"/>
            <w:tcBorders>
              <w:top w:val="single" w:sz="6" w:space="0" w:color="auto"/>
              <w:left w:val="single" w:sz="6" w:space="0" w:color="auto"/>
            </w:tcBorders>
          </w:tcPr>
          <w:p w14:paraId="1B54A42D"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sidRPr="00D728BD">
              <w:rPr>
                <w:rFonts w:ascii="Arial" w:hAnsi="Arial" w:cs="Arial"/>
                <w:sz w:val="16"/>
              </w:rPr>
              <w:t xml:space="preserve">Government </w:t>
            </w:r>
            <w:r w:rsidR="002511F2" w:rsidRPr="00D728BD">
              <w:rPr>
                <w:rFonts w:ascii="Arial" w:hAnsi="Arial" w:cs="Arial"/>
                <w:sz w:val="16"/>
              </w:rPr>
              <w:t>cost sharing</w:t>
            </w:r>
            <w:r w:rsidRPr="00D728BD">
              <w:rPr>
                <w:rFonts w:ascii="Arial" w:hAnsi="Arial" w:cs="Arial"/>
                <w:sz w:val="16"/>
              </w:rPr>
              <w:t xml:space="preserve"> </w:t>
            </w:r>
          </w:p>
        </w:tc>
        <w:tc>
          <w:tcPr>
            <w:tcW w:w="1614" w:type="dxa"/>
            <w:tcBorders>
              <w:top w:val="single" w:sz="6" w:space="0" w:color="auto"/>
              <w:left w:val="single" w:sz="6" w:space="0" w:color="auto"/>
            </w:tcBorders>
          </w:tcPr>
          <w:p w14:paraId="1B54A42E"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r w:rsidRPr="00D728BD">
              <w:rPr>
                <w:rFonts w:ascii="Arial" w:hAnsi="Arial" w:cs="Arial"/>
                <w:sz w:val="16"/>
              </w:rPr>
              <w:t xml:space="preserve">   </w:t>
            </w:r>
          </w:p>
        </w:tc>
        <w:tc>
          <w:tcPr>
            <w:tcW w:w="3552" w:type="dxa"/>
            <w:tcBorders>
              <w:top w:val="single" w:sz="6" w:space="0" w:color="auto"/>
              <w:left w:val="single" w:sz="6" w:space="0" w:color="auto"/>
              <w:right w:val="single" w:sz="6" w:space="0" w:color="auto"/>
            </w:tcBorders>
          </w:tcPr>
          <w:p w14:paraId="1B54A42F"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p>
        </w:tc>
      </w:tr>
      <w:tr w:rsidR="0033704F" w:rsidRPr="00D728BD" w14:paraId="1B54A434" w14:textId="77777777" w:rsidTr="00E90F6C">
        <w:tc>
          <w:tcPr>
            <w:tcW w:w="4194" w:type="dxa"/>
            <w:tcBorders>
              <w:top w:val="single" w:sz="6" w:space="0" w:color="auto"/>
              <w:left w:val="single" w:sz="6" w:space="0" w:color="auto"/>
            </w:tcBorders>
          </w:tcPr>
          <w:p w14:paraId="1B54A431" w14:textId="77777777" w:rsidR="0033704F" w:rsidRPr="00D728BD" w:rsidRDefault="0033704F"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Pr>
                <w:rFonts w:ascii="Arial" w:hAnsi="Arial" w:cs="Arial"/>
                <w:sz w:val="16"/>
              </w:rPr>
              <w:t>South-South contributions</w:t>
            </w:r>
          </w:p>
        </w:tc>
        <w:tc>
          <w:tcPr>
            <w:tcW w:w="1614" w:type="dxa"/>
            <w:tcBorders>
              <w:top w:val="single" w:sz="6" w:space="0" w:color="auto"/>
              <w:left w:val="single" w:sz="6" w:space="0" w:color="auto"/>
            </w:tcBorders>
          </w:tcPr>
          <w:p w14:paraId="1B54A432" w14:textId="77777777" w:rsidR="0033704F" w:rsidRPr="00D728BD" w:rsidRDefault="0033704F"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p>
        </w:tc>
        <w:tc>
          <w:tcPr>
            <w:tcW w:w="3552" w:type="dxa"/>
            <w:tcBorders>
              <w:top w:val="single" w:sz="6" w:space="0" w:color="auto"/>
              <w:left w:val="single" w:sz="6" w:space="0" w:color="auto"/>
              <w:right w:val="single" w:sz="6" w:space="0" w:color="auto"/>
            </w:tcBorders>
          </w:tcPr>
          <w:p w14:paraId="1B54A433" w14:textId="77777777" w:rsidR="0033704F" w:rsidRPr="00D728BD" w:rsidRDefault="0033704F"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Pr>
                <w:rFonts w:ascii="Arial" w:hAnsi="Arial" w:cs="Arial"/>
                <w:i/>
                <w:color w:val="0070C0"/>
                <w:sz w:val="16"/>
              </w:rPr>
              <w:t xml:space="preserve">[This includes resources contributed by </w:t>
            </w:r>
            <w:proofErr w:type="spellStart"/>
            <w:r>
              <w:rPr>
                <w:rFonts w:ascii="Arial" w:hAnsi="Arial" w:cs="Arial"/>
                <w:i/>
                <w:color w:val="0070C0"/>
                <w:sz w:val="16"/>
              </w:rPr>
              <w:t>programme</w:t>
            </w:r>
            <w:proofErr w:type="spellEnd"/>
            <w:r>
              <w:rPr>
                <w:rFonts w:ascii="Arial" w:hAnsi="Arial" w:cs="Arial"/>
                <w:i/>
                <w:color w:val="0070C0"/>
                <w:sz w:val="16"/>
              </w:rPr>
              <w:t xml:space="preserve"> countries]</w:t>
            </w:r>
          </w:p>
        </w:tc>
      </w:tr>
      <w:tr w:rsidR="00804B0D" w:rsidRPr="00D728BD" w14:paraId="1B54A438" w14:textId="77777777" w:rsidTr="00E90F6C">
        <w:tc>
          <w:tcPr>
            <w:tcW w:w="4194" w:type="dxa"/>
            <w:tcBorders>
              <w:top w:val="single" w:sz="6" w:space="0" w:color="auto"/>
              <w:left w:val="single" w:sz="6" w:space="0" w:color="auto"/>
            </w:tcBorders>
          </w:tcPr>
          <w:p w14:paraId="1B54A435" w14:textId="77777777" w:rsidR="00804B0D" w:rsidRPr="00D728BD" w:rsidRDefault="002511F2"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sidRPr="00D728BD">
              <w:rPr>
                <w:rFonts w:ascii="Arial" w:hAnsi="Arial" w:cs="Arial"/>
                <w:sz w:val="16"/>
              </w:rPr>
              <w:t>Third-party</w:t>
            </w:r>
            <w:r w:rsidR="00804B0D" w:rsidRPr="00D728BD">
              <w:rPr>
                <w:rFonts w:ascii="Arial" w:hAnsi="Arial" w:cs="Arial"/>
                <w:sz w:val="16"/>
              </w:rPr>
              <w:t xml:space="preserve"> </w:t>
            </w:r>
            <w:r w:rsidRPr="00D728BD">
              <w:rPr>
                <w:rFonts w:ascii="Arial" w:hAnsi="Arial" w:cs="Arial"/>
                <w:sz w:val="16"/>
              </w:rPr>
              <w:t>cost sharing</w:t>
            </w:r>
          </w:p>
        </w:tc>
        <w:tc>
          <w:tcPr>
            <w:tcW w:w="1614" w:type="dxa"/>
            <w:tcBorders>
              <w:top w:val="single" w:sz="6" w:space="0" w:color="auto"/>
              <w:left w:val="single" w:sz="6" w:space="0" w:color="auto"/>
            </w:tcBorders>
          </w:tcPr>
          <w:p w14:paraId="1B54A436"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r w:rsidRPr="00D728BD">
              <w:rPr>
                <w:rFonts w:ascii="Arial" w:hAnsi="Arial" w:cs="Arial"/>
                <w:sz w:val="16"/>
              </w:rPr>
              <w:t xml:space="preserve">   </w:t>
            </w:r>
          </w:p>
        </w:tc>
        <w:tc>
          <w:tcPr>
            <w:tcW w:w="3552" w:type="dxa"/>
            <w:tcBorders>
              <w:top w:val="single" w:sz="6" w:space="0" w:color="auto"/>
              <w:left w:val="single" w:sz="6" w:space="0" w:color="auto"/>
              <w:right w:val="single" w:sz="6" w:space="0" w:color="auto"/>
            </w:tcBorders>
          </w:tcPr>
          <w:p w14:paraId="1B54A437" w14:textId="77777777" w:rsidR="00804B0D" w:rsidRPr="005A351B"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i/>
                <w:color w:val="365F91" w:themeColor="accent1" w:themeShade="BF"/>
                <w:sz w:val="16"/>
              </w:rPr>
            </w:pPr>
            <w:r w:rsidRPr="005A351B">
              <w:rPr>
                <w:rFonts w:ascii="Arial" w:hAnsi="Arial" w:cs="Arial"/>
                <w:i/>
                <w:color w:val="0070C0"/>
                <w:sz w:val="16"/>
              </w:rPr>
              <w:t>[This includes resources from donors, NGOs, World Bank, etc.]</w:t>
            </w:r>
          </w:p>
        </w:tc>
      </w:tr>
      <w:tr w:rsidR="00804B0D" w:rsidRPr="00D728BD" w14:paraId="1B54A43E" w14:textId="77777777" w:rsidTr="00E90F6C">
        <w:tc>
          <w:tcPr>
            <w:tcW w:w="4194" w:type="dxa"/>
            <w:tcBorders>
              <w:top w:val="single" w:sz="6" w:space="0" w:color="auto"/>
              <w:left w:val="single" w:sz="6" w:space="0" w:color="auto"/>
            </w:tcBorders>
          </w:tcPr>
          <w:p w14:paraId="1B54A439"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sidRPr="00D728BD">
              <w:rPr>
                <w:rFonts w:ascii="Arial" w:hAnsi="Arial" w:cs="Arial"/>
                <w:sz w:val="16"/>
              </w:rPr>
              <w:t>Funds, trust funds and other</w:t>
            </w:r>
          </w:p>
          <w:p w14:paraId="1B54A43A"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r w:rsidRPr="00D728BD">
              <w:rPr>
                <w:rFonts w:ascii="Arial" w:hAnsi="Arial" w:cs="Arial"/>
                <w:sz w:val="16"/>
              </w:rPr>
              <w:t>Of which:</w:t>
            </w:r>
          </w:p>
          <w:p w14:paraId="1B54A43B"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p>
        </w:tc>
        <w:tc>
          <w:tcPr>
            <w:tcW w:w="1614" w:type="dxa"/>
            <w:tcBorders>
              <w:top w:val="single" w:sz="6" w:space="0" w:color="auto"/>
              <w:left w:val="single" w:sz="6" w:space="0" w:color="auto"/>
            </w:tcBorders>
          </w:tcPr>
          <w:p w14:paraId="1B54A43C"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after="78" w:line="281" w:lineRule="auto"/>
              <w:jc w:val="right"/>
              <w:rPr>
                <w:rFonts w:ascii="Arial" w:hAnsi="Arial" w:cs="Arial"/>
                <w:sz w:val="16"/>
              </w:rPr>
            </w:pPr>
          </w:p>
        </w:tc>
        <w:tc>
          <w:tcPr>
            <w:tcW w:w="3552" w:type="dxa"/>
            <w:tcBorders>
              <w:top w:val="single" w:sz="6" w:space="0" w:color="auto"/>
              <w:left w:val="single" w:sz="6" w:space="0" w:color="auto"/>
              <w:right w:val="single" w:sz="6" w:space="0" w:color="auto"/>
            </w:tcBorders>
          </w:tcPr>
          <w:p w14:paraId="1B54A43D" w14:textId="77777777" w:rsidR="00804B0D" w:rsidRPr="005A351B" w:rsidRDefault="00804B0D">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i/>
                <w:color w:val="365F91" w:themeColor="accent1" w:themeShade="BF"/>
                <w:sz w:val="16"/>
              </w:rPr>
            </w:pPr>
            <w:r w:rsidRPr="005A351B">
              <w:rPr>
                <w:rFonts w:ascii="Arial" w:hAnsi="Arial" w:cs="Arial"/>
                <w:i/>
                <w:color w:val="0070C0"/>
                <w:sz w:val="16"/>
              </w:rPr>
              <w:t xml:space="preserve">[These include UNCDF, UNV, GEF, Montreal Protocol, Capacity </w:t>
            </w:r>
            <w:proofErr w:type="gramStart"/>
            <w:r w:rsidRPr="005A351B">
              <w:rPr>
                <w:rFonts w:ascii="Arial" w:hAnsi="Arial" w:cs="Arial"/>
                <w:i/>
                <w:color w:val="0070C0"/>
                <w:sz w:val="16"/>
              </w:rPr>
              <w:t>21</w:t>
            </w:r>
            <w:proofErr w:type="gramEnd"/>
            <w:r w:rsidRPr="005A351B">
              <w:rPr>
                <w:rFonts w:ascii="Arial" w:hAnsi="Arial" w:cs="Arial"/>
                <w:i/>
                <w:color w:val="0070C0"/>
                <w:sz w:val="16"/>
              </w:rPr>
              <w:t xml:space="preserve"> and other trust funds. Specify the total, and amount per fund under “of whic</w:t>
            </w:r>
            <w:r w:rsidRPr="00E90F6C">
              <w:rPr>
                <w:rFonts w:ascii="Arial" w:hAnsi="Arial" w:cs="Arial"/>
                <w:color w:val="0070C0"/>
                <w:sz w:val="16"/>
              </w:rPr>
              <w:t>h</w:t>
            </w:r>
            <w:r w:rsidRPr="005A351B">
              <w:rPr>
                <w:rFonts w:ascii="Arial" w:hAnsi="Arial" w:cs="Arial"/>
                <w:i/>
                <w:color w:val="0070C0"/>
                <w:sz w:val="16"/>
              </w:rPr>
              <w:t>”]</w:t>
            </w:r>
          </w:p>
        </w:tc>
      </w:tr>
      <w:tr w:rsidR="0035794C" w:rsidRPr="00D728BD" w14:paraId="1B54A444" w14:textId="77777777" w:rsidTr="0033704F">
        <w:tc>
          <w:tcPr>
            <w:tcW w:w="4194" w:type="dxa"/>
            <w:tcBorders>
              <w:top w:val="single" w:sz="6" w:space="0" w:color="auto"/>
              <w:left w:val="single" w:sz="6" w:space="0" w:color="auto"/>
            </w:tcBorders>
          </w:tcPr>
          <w:p w14:paraId="1B54A43F" w14:textId="77777777" w:rsidR="0035794C" w:rsidRDefault="0035794C" w:rsidP="0039243B">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Pr>
                <w:rFonts w:ascii="Arial" w:hAnsi="Arial" w:cs="Arial"/>
                <w:sz w:val="16"/>
              </w:rPr>
              <w:t>Thematic funds</w:t>
            </w:r>
          </w:p>
          <w:p w14:paraId="1B54A440" w14:textId="77777777" w:rsidR="0035794C" w:rsidRPr="00D728BD" w:rsidRDefault="0035794C" w:rsidP="0039243B">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r w:rsidRPr="00D728BD">
              <w:rPr>
                <w:rFonts w:ascii="Arial" w:hAnsi="Arial" w:cs="Arial"/>
                <w:sz w:val="16"/>
              </w:rPr>
              <w:t>Of which:</w:t>
            </w:r>
          </w:p>
          <w:p w14:paraId="1B54A441" w14:textId="77777777" w:rsidR="0035794C" w:rsidRPr="00D728BD" w:rsidRDefault="0035794C"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p>
        </w:tc>
        <w:tc>
          <w:tcPr>
            <w:tcW w:w="1614" w:type="dxa"/>
            <w:tcBorders>
              <w:top w:val="single" w:sz="6" w:space="0" w:color="auto"/>
              <w:left w:val="single" w:sz="6" w:space="0" w:color="auto"/>
            </w:tcBorders>
          </w:tcPr>
          <w:p w14:paraId="1B54A442" w14:textId="77777777" w:rsidR="0035794C" w:rsidRPr="00D728BD" w:rsidRDefault="0035794C"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after="78" w:line="281" w:lineRule="auto"/>
              <w:jc w:val="right"/>
              <w:rPr>
                <w:rFonts w:ascii="Arial" w:hAnsi="Arial" w:cs="Arial"/>
                <w:sz w:val="16"/>
              </w:rPr>
            </w:pPr>
          </w:p>
        </w:tc>
        <w:tc>
          <w:tcPr>
            <w:tcW w:w="3552" w:type="dxa"/>
            <w:tcBorders>
              <w:top w:val="single" w:sz="6" w:space="0" w:color="auto"/>
              <w:left w:val="single" w:sz="6" w:space="0" w:color="auto"/>
              <w:right w:val="single" w:sz="6" w:space="0" w:color="auto"/>
            </w:tcBorders>
          </w:tcPr>
          <w:p w14:paraId="1B54A443" w14:textId="77777777" w:rsidR="0035794C" w:rsidRPr="005A351B" w:rsidRDefault="0035794C">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i/>
                <w:color w:val="0070C0"/>
                <w:sz w:val="16"/>
              </w:rPr>
            </w:pPr>
            <w:r>
              <w:rPr>
                <w:rFonts w:ascii="Arial" w:hAnsi="Arial" w:cs="Arial"/>
                <w:i/>
                <w:color w:val="0070C0"/>
                <w:sz w:val="16"/>
              </w:rPr>
              <w:t xml:space="preserve">[This includes thematic trust funds and/or other contributions tied to themes. </w:t>
            </w:r>
            <w:r w:rsidRPr="005A351B">
              <w:rPr>
                <w:rFonts w:ascii="Arial" w:hAnsi="Arial" w:cs="Arial"/>
                <w:i/>
                <w:color w:val="0070C0"/>
                <w:sz w:val="16"/>
              </w:rPr>
              <w:t xml:space="preserve">Specify the total, and amount per </w:t>
            </w:r>
            <w:r>
              <w:rPr>
                <w:rFonts w:ascii="Arial" w:hAnsi="Arial" w:cs="Arial"/>
                <w:i/>
                <w:color w:val="0070C0"/>
                <w:sz w:val="16"/>
              </w:rPr>
              <w:t>individual funding source</w:t>
            </w:r>
            <w:r w:rsidRPr="005A351B">
              <w:rPr>
                <w:rFonts w:ascii="Arial" w:hAnsi="Arial" w:cs="Arial"/>
                <w:i/>
                <w:color w:val="0070C0"/>
                <w:sz w:val="16"/>
              </w:rPr>
              <w:t xml:space="preserve"> under “of which</w:t>
            </w:r>
            <w:r>
              <w:rPr>
                <w:rFonts w:ascii="Arial" w:hAnsi="Arial" w:cs="Arial"/>
                <w:i/>
                <w:color w:val="0070C0"/>
                <w:sz w:val="16"/>
              </w:rPr>
              <w:t>”]</w:t>
            </w:r>
          </w:p>
        </w:tc>
      </w:tr>
      <w:tr w:rsidR="00804B0D" w:rsidRPr="00D728BD" w14:paraId="1B54A448" w14:textId="77777777" w:rsidTr="00E90F6C">
        <w:tc>
          <w:tcPr>
            <w:tcW w:w="4194" w:type="dxa"/>
            <w:tcBorders>
              <w:top w:val="single" w:sz="6" w:space="0" w:color="auto"/>
              <w:left w:val="single" w:sz="6" w:space="0" w:color="auto"/>
            </w:tcBorders>
          </w:tcPr>
          <w:p w14:paraId="1B54A445" w14:textId="77777777" w:rsidR="00804B0D" w:rsidRPr="00DA3D96"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b/>
                <w:sz w:val="16"/>
              </w:rPr>
            </w:pPr>
            <w:r w:rsidRPr="00DA3D96">
              <w:rPr>
                <w:rFonts w:ascii="Arial" w:hAnsi="Arial" w:cs="Arial"/>
                <w:b/>
                <w:sz w:val="16"/>
              </w:rPr>
              <w:t>Subtotal</w:t>
            </w:r>
          </w:p>
        </w:tc>
        <w:tc>
          <w:tcPr>
            <w:tcW w:w="1614" w:type="dxa"/>
            <w:tcBorders>
              <w:top w:val="single" w:sz="6" w:space="0" w:color="auto"/>
              <w:left w:val="single" w:sz="6" w:space="0" w:color="auto"/>
            </w:tcBorders>
          </w:tcPr>
          <w:p w14:paraId="1B54A446"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r w:rsidRPr="00D728BD">
              <w:rPr>
                <w:rFonts w:ascii="Arial" w:hAnsi="Arial" w:cs="Arial"/>
                <w:sz w:val="16"/>
              </w:rPr>
              <w:t xml:space="preserve">   </w:t>
            </w:r>
          </w:p>
        </w:tc>
        <w:tc>
          <w:tcPr>
            <w:tcW w:w="3552" w:type="dxa"/>
            <w:tcBorders>
              <w:top w:val="single" w:sz="6" w:space="0" w:color="auto"/>
              <w:left w:val="single" w:sz="6" w:space="0" w:color="auto"/>
              <w:right w:val="single" w:sz="6" w:space="0" w:color="auto"/>
            </w:tcBorders>
          </w:tcPr>
          <w:p w14:paraId="1B54A447" w14:textId="77777777" w:rsidR="00804B0D" w:rsidRPr="005A351B" w:rsidRDefault="00DA3D96" w:rsidP="00DA3D96">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i/>
                <w:color w:val="365F91" w:themeColor="accent1" w:themeShade="BF"/>
                <w:sz w:val="16"/>
              </w:rPr>
            </w:pPr>
            <w:r w:rsidRPr="005A351B">
              <w:rPr>
                <w:rFonts w:ascii="Arial" w:hAnsi="Arial" w:cs="Arial"/>
                <w:i/>
                <w:color w:val="0070C0"/>
                <w:sz w:val="16"/>
              </w:rPr>
              <w:t>Subtotal of Other Resources</w:t>
            </w:r>
          </w:p>
        </w:tc>
      </w:tr>
      <w:tr w:rsidR="00804B0D" w:rsidRPr="00D728BD" w14:paraId="1B54A44C" w14:textId="77777777" w:rsidTr="00E90F6C">
        <w:tc>
          <w:tcPr>
            <w:tcW w:w="4194" w:type="dxa"/>
            <w:tcBorders>
              <w:top w:val="single" w:sz="6" w:space="0" w:color="auto"/>
              <w:left w:val="single" w:sz="6" w:space="0" w:color="auto"/>
              <w:bottom w:val="double" w:sz="6" w:space="0" w:color="auto"/>
            </w:tcBorders>
          </w:tcPr>
          <w:p w14:paraId="1B54A449" w14:textId="77777777" w:rsidR="00804B0D" w:rsidRPr="00DA3D96"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b/>
                <w:sz w:val="16"/>
              </w:rPr>
            </w:pPr>
            <w:r w:rsidRPr="00DA3D96">
              <w:rPr>
                <w:rFonts w:ascii="Arial" w:hAnsi="Arial" w:cs="Arial"/>
                <w:b/>
                <w:sz w:val="16"/>
              </w:rPr>
              <w:t xml:space="preserve">GRAND TOTAL </w:t>
            </w:r>
          </w:p>
        </w:tc>
        <w:tc>
          <w:tcPr>
            <w:tcW w:w="1614" w:type="dxa"/>
            <w:tcBorders>
              <w:top w:val="single" w:sz="6" w:space="0" w:color="auto"/>
              <w:left w:val="single" w:sz="6" w:space="0" w:color="auto"/>
              <w:bottom w:val="double" w:sz="6" w:space="0" w:color="auto"/>
            </w:tcBorders>
          </w:tcPr>
          <w:p w14:paraId="1B54A44A" w14:textId="77777777" w:rsidR="00804B0D" w:rsidRPr="00D728BD" w:rsidRDefault="00804B0D" w:rsidP="001B075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jc w:val="right"/>
              <w:rPr>
                <w:rFonts w:ascii="Arial" w:hAnsi="Arial" w:cs="Arial"/>
                <w:sz w:val="16"/>
              </w:rPr>
            </w:pPr>
          </w:p>
        </w:tc>
        <w:tc>
          <w:tcPr>
            <w:tcW w:w="3552" w:type="dxa"/>
            <w:tcBorders>
              <w:top w:val="single" w:sz="6" w:space="0" w:color="auto"/>
              <w:left w:val="single" w:sz="6" w:space="0" w:color="auto"/>
              <w:bottom w:val="double" w:sz="6" w:space="0" w:color="auto"/>
              <w:right w:val="single" w:sz="6" w:space="0" w:color="auto"/>
            </w:tcBorders>
          </w:tcPr>
          <w:p w14:paraId="1B54A44B" w14:textId="77777777" w:rsidR="00804B0D" w:rsidRPr="00D728BD" w:rsidRDefault="00DA3D96" w:rsidP="00DA3D96">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48" w:after="78" w:line="281" w:lineRule="auto"/>
              <w:rPr>
                <w:rFonts w:ascii="Arial" w:hAnsi="Arial" w:cs="Arial"/>
                <w:sz w:val="16"/>
              </w:rPr>
            </w:pPr>
            <w:r w:rsidRPr="005A351B">
              <w:rPr>
                <w:rFonts w:ascii="Arial" w:hAnsi="Arial" w:cs="Arial"/>
                <w:i/>
                <w:color w:val="0070C0"/>
                <w:sz w:val="16"/>
              </w:rPr>
              <w:t>[Grand Total Regular and Other Resources]</w:t>
            </w:r>
          </w:p>
        </w:tc>
      </w:tr>
    </w:tbl>
    <w:p w14:paraId="1B54A44D" w14:textId="77777777" w:rsidR="00804B0D" w:rsidRPr="00D728BD" w:rsidRDefault="00804B0D" w:rsidP="00804B0D">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rPr>
          <w:rFonts w:ascii="Arial" w:hAnsi="Arial" w:cs="Arial"/>
          <w:sz w:val="16"/>
        </w:rPr>
      </w:pPr>
      <w:r w:rsidRPr="00D728BD">
        <w:rPr>
          <w:rFonts w:ascii="Arial" w:hAnsi="Arial" w:cs="Arial"/>
          <w:sz w:val="16"/>
        </w:rPr>
        <w:tab/>
      </w:r>
    </w:p>
    <w:p w14:paraId="1B54A44E" w14:textId="77777777" w:rsidR="005D2EE1" w:rsidRDefault="005D2EE1" w:rsidP="002A142B">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rPr>
          <w:rFonts w:ascii="Arial" w:hAnsi="Arial" w:cs="Arial"/>
          <w:b/>
          <w:sz w:val="16"/>
        </w:rPr>
      </w:pPr>
      <w:r>
        <w:rPr>
          <w:rFonts w:ascii="Arial" w:hAnsi="Arial" w:cs="Arial"/>
          <w:b/>
          <w:sz w:val="16"/>
        </w:rPr>
        <w:t>Cleared by:</w:t>
      </w:r>
    </w:p>
    <w:p w14:paraId="1B54A44F" w14:textId="77777777" w:rsidR="005D2EE1" w:rsidRDefault="005D2EE1" w:rsidP="00685D44">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rFonts w:ascii="Arial" w:hAnsi="Arial" w:cs="Arial"/>
          <w:b/>
          <w:sz w:val="16"/>
        </w:rPr>
      </w:pPr>
    </w:p>
    <w:p w14:paraId="1B54A450" w14:textId="77777777" w:rsidR="005D2EE1" w:rsidRPr="00A0686B" w:rsidRDefault="00C97039" w:rsidP="00A0686B">
      <w:pPr>
        <w:tabs>
          <w:tab w:val="left" w:pos="-720"/>
          <w:tab w:val="left" w:pos="0"/>
          <w:tab w:val="left" w:pos="720"/>
          <w:tab w:val="left" w:pos="1440"/>
          <w:tab w:val="left" w:pos="2160"/>
          <w:tab w:val="left" w:pos="2880"/>
          <w:tab w:val="left" w:pos="3600"/>
          <w:tab w:val="left" w:pos="4320"/>
        </w:tabs>
        <w:suppressAutoHyphens/>
        <w:spacing w:line="281" w:lineRule="auto"/>
        <w:jc w:val="both"/>
        <w:rPr>
          <w:rFonts w:ascii="Arial" w:hAnsi="Arial" w:cs="Arial"/>
          <w:b/>
          <w:sz w:val="16"/>
        </w:rPr>
      </w:pPr>
      <w:r>
        <w:rPr>
          <w:rFonts w:ascii="Arial" w:hAnsi="Arial" w:cs="Arial"/>
          <w:b/>
          <w:noProof/>
          <w:color w:val="548DD4"/>
          <w:sz w:val="16"/>
        </w:rPr>
        <mc:AlternateContent>
          <mc:Choice Requires="wps">
            <w:drawing>
              <wp:anchor distT="0" distB="0" distL="114300" distR="114300" simplePos="0" relativeHeight="251658240" behindDoc="0" locked="0" layoutInCell="1" allowOverlap="1" wp14:anchorId="1B54A456" wp14:editId="1B54A457">
                <wp:simplePos x="0" y="0"/>
                <wp:positionH relativeFrom="column">
                  <wp:posOffset>200025</wp:posOffset>
                </wp:positionH>
                <wp:positionV relativeFrom="paragraph">
                  <wp:posOffset>59055</wp:posOffset>
                </wp:positionV>
                <wp:extent cx="1962150" cy="0"/>
                <wp:effectExtent l="9525" t="11430" r="952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EDC7F" id="_x0000_t32" coordsize="21600,21600" o:spt="32" o:oned="t" path="m,l21600,21600e" filled="f">
                <v:path arrowok="t" fillok="f" o:connecttype="none"/>
                <o:lock v:ext="edit" shapetype="t"/>
              </v:shapetype>
              <v:shape id="AutoShape 3" o:spid="_x0000_s1026" type="#_x0000_t32" style="position:absolute;margin-left:15.75pt;margin-top:4.6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"/>
            </w:pict>
          </mc:Fallback>
        </mc:AlternateContent>
      </w:r>
      <w:r>
        <w:rPr>
          <w:rFonts w:ascii="Arial" w:hAnsi="Arial" w:cs="Arial"/>
          <w:b/>
          <w:noProof/>
          <w:color w:val="548DD4"/>
          <w:sz w:val="16"/>
        </w:rPr>
        <mc:AlternateContent>
          <mc:Choice Requires="wps">
            <w:drawing>
              <wp:anchor distT="0" distB="0" distL="114300" distR="114300" simplePos="0" relativeHeight="251657216" behindDoc="0" locked="0" layoutInCell="1" allowOverlap="1" wp14:anchorId="1B54A458" wp14:editId="1B54A459">
                <wp:simplePos x="0" y="0"/>
                <wp:positionH relativeFrom="column">
                  <wp:posOffset>3743325</wp:posOffset>
                </wp:positionH>
                <wp:positionV relativeFrom="paragraph">
                  <wp:posOffset>59055</wp:posOffset>
                </wp:positionV>
                <wp:extent cx="1962150" cy="0"/>
                <wp:effectExtent l="9525"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5DCAD" id="AutoShape 2" o:spid="_x0000_s1026" type="#_x0000_t32" style="position:absolute;margin-left:294.75pt;margin-top:4.65pt;width:1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"/>
            </w:pict>
          </mc:Fallback>
        </mc:AlternateContent>
      </w:r>
    </w:p>
    <w:p w14:paraId="1B54A451" w14:textId="2B4492AF" w:rsidR="005D2EE1" w:rsidRPr="005D2EE1" w:rsidRDefault="002A142B" w:rsidP="00685D44">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rFonts w:ascii="Arial" w:hAnsi="Arial" w:cs="Arial"/>
          <w:b/>
          <w:sz w:val="16"/>
        </w:rPr>
      </w:pPr>
      <w:r>
        <w:rPr>
          <w:rFonts w:ascii="Arial" w:hAnsi="Arial" w:cs="Arial"/>
          <w:b/>
          <w:sz w:val="16"/>
        </w:rPr>
        <w:tab/>
        <w:t xml:space="preserve">            </w:t>
      </w:r>
      <w:r w:rsidR="005D2EE1">
        <w:rPr>
          <w:rFonts w:ascii="Arial" w:hAnsi="Arial" w:cs="Arial"/>
          <w:b/>
          <w:sz w:val="16"/>
        </w:rPr>
        <w:t xml:space="preserve">Regional Bureau                                                                         Office of </w:t>
      </w:r>
      <w:r w:rsidR="008145E3">
        <w:rPr>
          <w:rFonts w:ascii="Arial" w:hAnsi="Arial" w:cs="Arial"/>
          <w:b/>
          <w:sz w:val="16"/>
        </w:rPr>
        <w:t>Financial Management</w:t>
      </w:r>
      <w:r w:rsidR="005D2EE1">
        <w:rPr>
          <w:rFonts w:ascii="Arial" w:hAnsi="Arial" w:cs="Arial"/>
          <w:b/>
          <w:sz w:val="16"/>
        </w:rPr>
        <w:t xml:space="preserve"> </w:t>
      </w:r>
    </w:p>
    <w:p w14:paraId="1B54A452" w14:textId="77777777" w:rsidR="008145E3" w:rsidRDefault="008145E3" w:rsidP="008145E3">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rFonts w:ascii="Arial" w:hAnsi="Arial" w:cs="Arial"/>
          <w:b/>
          <w:color w:val="548DD4"/>
          <w:sz w:val="16"/>
        </w:rPr>
      </w:pPr>
    </w:p>
    <w:p w14:paraId="26AB9A5A" w14:textId="1D4FB8F7" w:rsidR="0049026A" w:rsidRPr="0049026A" w:rsidRDefault="008145E3" w:rsidP="0049026A">
      <w:r w:rsidRPr="008145E3">
        <w:rPr>
          <w:rFonts w:ascii="Arial" w:hAnsi="Arial" w:cs="Arial"/>
          <w:sz w:val="16"/>
        </w:rPr>
        <w:t>*</w:t>
      </w:r>
      <w:r>
        <w:rPr>
          <w:rFonts w:ascii="Arial" w:hAnsi="Arial" w:cs="Arial"/>
          <w:sz w:val="16"/>
        </w:rPr>
        <w:t xml:space="preserve">  </w:t>
      </w:r>
      <w:r w:rsidR="0049026A" w:rsidRPr="00C03FDA">
        <w:rPr>
          <w:sz w:val="22"/>
          <w:szCs w:val="22"/>
        </w:rPr>
        <w:t>I</w:t>
      </w:r>
      <w:r w:rsidR="0049026A" w:rsidRPr="0049026A">
        <w:t>n its decision 2017/31 UNDP Executive Board approved the two-tiered approach for the shielding of the development activities for the budget period 2018-2021 and</w:t>
      </w:r>
      <w:r w:rsidR="008F513D">
        <w:t xml:space="preserve"> -</w:t>
      </w:r>
      <w:r w:rsidR="0049026A" w:rsidRPr="0049026A">
        <w:t xml:space="preserve"> in its decision 2021/15 - extended into the 2022-2025 budget period this approach. The framework aims to protect Tier-1 programmatic resources, which include TRAC-1, TRAC-2, TRAC-3, HDRO and UNOSSC, from potential decreases vis-à-vis planned levels. </w:t>
      </w:r>
      <w:proofErr w:type="gramStart"/>
      <w:r w:rsidR="0049026A" w:rsidRPr="0049026A">
        <w:t>In the event that</w:t>
      </w:r>
      <w:proofErr w:type="gramEnd"/>
      <w:r w:rsidR="0049026A" w:rsidRPr="0049026A">
        <w:t xml:space="preserve"> </w:t>
      </w:r>
      <w:r w:rsidR="0049026A" w:rsidRPr="0049026A">
        <w:lastRenderedPageBreak/>
        <w:t>resources are up to 5% lower than planned, the lines in tier 1 will not be reduced, but the lines in tier 2 will be reduced. For reductions higher than 5%, both the lines in Tier-1 and Tier-2 will be reduced in equal proportion.</w:t>
      </w:r>
    </w:p>
    <w:p w14:paraId="1B54A453" w14:textId="204D422B" w:rsidR="008145E3" w:rsidRPr="008145E3" w:rsidRDefault="008145E3" w:rsidP="008145E3">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rFonts w:ascii="Arial" w:hAnsi="Arial" w:cs="Arial"/>
          <w:sz w:val="16"/>
        </w:rPr>
      </w:pPr>
    </w:p>
    <w:p w14:paraId="1B54A454" w14:textId="77777777" w:rsidR="008145E3" w:rsidRPr="008145E3" w:rsidRDefault="008145E3" w:rsidP="008145E3">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rFonts w:ascii="Arial" w:hAnsi="Arial" w:cs="Arial"/>
          <w:sz w:val="16"/>
        </w:rPr>
      </w:pPr>
    </w:p>
    <w:p w14:paraId="1B54A455" w14:textId="77777777" w:rsidR="00E00938" w:rsidRPr="008145E3" w:rsidRDefault="008145E3" w:rsidP="008145E3">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rFonts w:ascii="Arial" w:hAnsi="Arial" w:cs="Arial"/>
          <w:sz w:val="16"/>
          <w:szCs w:val="16"/>
        </w:rPr>
      </w:pPr>
      <w:r w:rsidRPr="008145E3">
        <w:rPr>
          <w:rFonts w:ascii="Arial" w:hAnsi="Arial" w:cs="Arial"/>
          <w:sz w:val="16"/>
        </w:rPr>
        <w:t>Abbreviations</w:t>
      </w:r>
      <w:proofErr w:type="gramStart"/>
      <w:r w:rsidRPr="008145E3">
        <w:rPr>
          <w:rFonts w:ascii="Arial" w:hAnsi="Arial" w:cs="Arial"/>
          <w:sz w:val="16"/>
        </w:rPr>
        <w:t>:  (</w:t>
      </w:r>
      <w:proofErr w:type="gramEnd"/>
      <w:r w:rsidRPr="008145E3">
        <w:rPr>
          <w:rFonts w:ascii="Arial" w:hAnsi="Arial" w:cs="Arial"/>
          <w:sz w:val="16"/>
        </w:rPr>
        <w:t xml:space="preserve">The following are samples. Use only what you need.) TRAC = target for resource assignment from the core; UNCDF = United Nations Capital Development Fund; UNIFEM = United Nations Development Fund for Women; UNV = United Nations Volunteers; GEF = Global Environment Facility.  </w:t>
      </w:r>
    </w:p>
    <w:sectPr w:rsidR="00E00938" w:rsidRPr="008145E3" w:rsidSect="00E90F6C">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A193" w14:textId="77777777" w:rsidR="00813658" w:rsidRDefault="00813658">
      <w:r>
        <w:separator/>
      </w:r>
    </w:p>
  </w:endnote>
  <w:endnote w:type="continuationSeparator" w:id="0">
    <w:p w14:paraId="184D87A1" w14:textId="77777777" w:rsidR="00813658" w:rsidRDefault="0081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461" w14:textId="77777777" w:rsidR="00E00938" w:rsidRDefault="000E157A">
    <w:pPr>
      <w:pStyle w:val="Footer"/>
      <w:framePr w:wrap="around" w:vAnchor="text" w:hAnchor="margin" w:xAlign="right" w:y="1"/>
      <w:rPr>
        <w:rStyle w:val="PageNumber"/>
      </w:rPr>
    </w:pPr>
    <w:r>
      <w:rPr>
        <w:rStyle w:val="PageNumber"/>
      </w:rPr>
      <w:fldChar w:fldCharType="begin"/>
    </w:r>
    <w:r w:rsidR="00E00938">
      <w:rPr>
        <w:rStyle w:val="PageNumber"/>
      </w:rPr>
      <w:instrText xml:space="preserve">PAGE  </w:instrText>
    </w:r>
    <w:r>
      <w:rPr>
        <w:rStyle w:val="PageNumber"/>
      </w:rPr>
      <w:fldChar w:fldCharType="end"/>
    </w:r>
  </w:p>
  <w:p w14:paraId="1B54A462" w14:textId="77777777" w:rsidR="00E00938" w:rsidRDefault="00E00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463" w14:textId="77777777" w:rsidR="00E00938" w:rsidRDefault="000E157A">
    <w:pPr>
      <w:pStyle w:val="Footer"/>
      <w:framePr w:wrap="around" w:vAnchor="text" w:hAnchor="margin" w:xAlign="right" w:y="1"/>
      <w:rPr>
        <w:rStyle w:val="PageNumber"/>
      </w:rPr>
    </w:pPr>
    <w:r>
      <w:rPr>
        <w:rStyle w:val="PageNumber"/>
      </w:rPr>
      <w:fldChar w:fldCharType="begin"/>
    </w:r>
    <w:r w:rsidR="00E00938">
      <w:rPr>
        <w:rStyle w:val="PageNumber"/>
      </w:rPr>
      <w:instrText xml:space="preserve">PAGE  </w:instrText>
    </w:r>
    <w:r>
      <w:rPr>
        <w:rStyle w:val="PageNumber"/>
      </w:rPr>
      <w:fldChar w:fldCharType="separate"/>
    </w:r>
    <w:r w:rsidR="00D76E93">
      <w:rPr>
        <w:rStyle w:val="PageNumber"/>
        <w:noProof/>
      </w:rPr>
      <w:t>4</w:t>
    </w:r>
    <w:r>
      <w:rPr>
        <w:rStyle w:val="PageNumber"/>
      </w:rPr>
      <w:fldChar w:fldCharType="end"/>
    </w:r>
  </w:p>
  <w:p w14:paraId="1B54A464" w14:textId="77777777" w:rsidR="00E00938" w:rsidRDefault="00E009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2A0E" w14:textId="77777777" w:rsidR="00813658" w:rsidRDefault="00813658">
      <w:r>
        <w:separator/>
      </w:r>
    </w:p>
  </w:footnote>
  <w:footnote w:type="continuationSeparator" w:id="0">
    <w:p w14:paraId="52DD3DCB" w14:textId="77777777" w:rsidR="00813658" w:rsidRDefault="0081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2AD4" w14:textId="266B8119" w:rsidR="00070C4C" w:rsidRDefault="00070C4C">
    <w:pPr>
      <w:pStyle w:val="Header"/>
    </w:pPr>
    <w:r>
      <w:t>Revised September 2022</w:t>
    </w:r>
  </w:p>
  <w:p w14:paraId="1B54A460" w14:textId="77777777" w:rsidR="00D76E93" w:rsidRDefault="00D76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65F"/>
    <w:multiLevelType w:val="hybridMultilevel"/>
    <w:tmpl w:val="A20E9CDC"/>
    <w:lvl w:ilvl="0" w:tplc="16A2A2BE">
      <w:start w:val="1"/>
      <w:numFmt w:val="decimal"/>
      <w:lvlText w:val="%1."/>
      <w:lvlJc w:val="left"/>
      <w:pPr>
        <w:tabs>
          <w:tab w:val="num" w:pos="720"/>
        </w:tabs>
        <w:ind w:left="720" w:hanging="360"/>
      </w:pPr>
      <w:rPr>
        <w:rFonts w:hint="default"/>
      </w:rPr>
    </w:lvl>
    <w:lvl w:ilvl="1" w:tplc="BE6E1B60" w:tentative="1">
      <w:start w:val="1"/>
      <w:numFmt w:val="lowerLetter"/>
      <w:lvlText w:val="%2."/>
      <w:lvlJc w:val="left"/>
      <w:pPr>
        <w:tabs>
          <w:tab w:val="num" w:pos="1440"/>
        </w:tabs>
        <w:ind w:left="1440" w:hanging="360"/>
      </w:pPr>
    </w:lvl>
    <w:lvl w:ilvl="2" w:tplc="87A2E1F4" w:tentative="1">
      <w:start w:val="1"/>
      <w:numFmt w:val="lowerRoman"/>
      <w:lvlText w:val="%3."/>
      <w:lvlJc w:val="right"/>
      <w:pPr>
        <w:tabs>
          <w:tab w:val="num" w:pos="2160"/>
        </w:tabs>
        <w:ind w:left="2160" w:hanging="180"/>
      </w:pPr>
    </w:lvl>
    <w:lvl w:ilvl="3" w:tplc="D886184A" w:tentative="1">
      <w:start w:val="1"/>
      <w:numFmt w:val="decimal"/>
      <w:lvlText w:val="%4."/>
      <w:lvlJc w:val="left"/>
      <w:pPr>
        <w:tabs>
          <w:tab w:val="num" w:pos="2880"/>
        </w:tabs>
        <w:ind w:left="2880" w:hanging="360"/>
      </w:pPr>
    </w:lvl>
    <w:lvl w:ilvl="4" w:tplc="137020CE" w:tentative="1">
      <w:start w:val="1"/>
      <w:numFmt w:val="lowerLetter"/>
      <w:lvlText w:val="%5."/>
      <w:lvlJc w:val="left"/>
      <w:pPr>
        <w:tabs>
          <w:tab w:val="num" w:pos="3600"/>
        </w:tabs>
        <w:ind w:left="3600" w:hanging="360"/>
      </w:pPr>
    </w:lvl>
    <w:lvl w:ilvl="5" w:tplc="C3CE7104" w:tentative="1">
      <w:start w:val="1"/>
      <w:numFmt w:val="lowerRoman"/>
      <w:lvlText w:val="%6."/>
      <w:lvlJc w:val="right"/>
      <w:pPr>
        <w:tabs>
          <w:tab w:val="num" w:pos="4320"/>
        </w:tabs>
        <w:ind w:left="4320" w:hanging="180"/>
      </w:pPr>
    </w:lvl>
    <w:lvl w:ilvl="6" w:tplc="19EE4280" w:tentative="1">
      <w:start w:val="1"/>
      <w:numFmt w:val="decimal"/>
      <w:lvlText w:val="%7."/>
      <w:lvlJc w:val="left"/>
      <w:pPr>
        <w:tabs>
          <w:tab w:val="num" w:pos="5040"/>
        </w:tabs>
        <w:ind w:left="5040" w:hanging="360"/>
      </w:pPr>
    </w:lvl>
    <w:lvl w:ilvl="7" w:tplc="A8765E14" w:tentative="1">
      <w:start w:val="1"/>
      <w:numFmt w:val="lowerLetter"/>
      <w:lvlText w:val="%8."/>
      <w:lvlJc w:val="left"/>
      <w:pPr>
        <w:tabs>
          <w:tab w:val="num" w:pos="5760"/>
        </w:tabs>
        <w:ind w:left="5760" w:hanging="360"/>
      </w:pPr>
    </w:lvl>
    <w:lvl w:ilvl="8" w:tplc="959048E4" w:tentative="1">
      <w:start w:val="1"/>
      <w:numFmt w:val="lowerRoman"/>
      <w:lvlText w:val="%9."/>
      <w:lvlJc w:val="right"/>
      <w:pPr>
        <w:tabs>
          <w:tab w:val="num" w:pos="6480"/>
        </w:tabs>
        <w:ind w:left="6480" w:hanging="180"/>
      </w:pPr>
    </w:lvl>
  </w:abstractNum>
  <w:abstractNum w:abstractNumId="1" w15:restartNumberingAfterBreak="0">
    <w:nsid w:val="0D675E15"/>
    <w:multiLevelType w:val="hybridMultilevel"/>
    <w:tmpl w:val="C3CCF62E"/>
    <w:lvl w:ilvl="0" w:tplc="13BC60E0">
      <w:start w:val="1"/>
      <w:numFmt w:val="decimal"/>
      <w:lvlText w:val="%1."/>
      <w:lvlJc w:val="left"/>
      <w:pPr>
        <w:tabs>
          <w:tab w:val="num" w:pos="720"/>
        </w:tabs>
        <w:ind w:left="720" w:hanging="360"/>
      </w:pPr>
      <w:rPr>
        <w:rFonts w:hint="default"/>
      </w:rPr>
    </w:lvl>
    <w:lvl w:ilvl="1" w:tplc="D1A2C3FA" w:tentative="1">
      <w:start w:val="1"/>
      <w:numFmt w:val="lowerLetter"/>
      <w:lvlText w:val="%2."/>
      <w:lvlJc w:val="left"/>
      <w:pPr>
        <w:tabs>
          <w:tab w:val="num" w:pos="1440"/>
        </w:tabs>
        <w:ind w:left="1440" w:hanging="360"/>
      </w:pPr>
    </w:lvl>
    <w:lvl w:ilvl="2" w:tplc="ECC85CAC" w:tentative="1">
      <w:start w:val="1"/>
      <w:numFmt w:val="lowerRoman"/>
      <w:lvlText w:val="%3."/>
      <w:lvlJc w:val="right"/>
      <w:pPr>
        <w:tabs>
          <w:tab w:val="num" w:pos="2160"/>
        </w:tabs>
        <w:ind w:left="2160" w:hanging="180"/>
      </w:pPr>
    </w:lvl>
    <w:lvl w:ilvl="3" w:tplc="A170D984" w:tentative="1">
      <w:start w:val="1"/>
      <w:numFmt w:val="decimal"/>
      <w:lvlText w:val="%4."/>
      <w:lvlJc w:val="left"/>
      <w:pPr>
        <w:tabs>
          <w:tab w:val="num" w:pos="2880"/>
        </w:tabs>
        <w:ind w:left="2880" w:hanging="360"/>
      </w:pPr>
    </w:lvl>
    <w:lvl w:ilvl="4" w:tplc="1AE63AF4" w:tentative="1">
      <w:start w:val="1"/>
      <w:numFmt w:val="lowerLetter"/>
      <w:lvlText w:val="%5."/>
      <w:lvlJc w:val="left"/>
      <w:pPr>
        <w:tabs>
          <w:tab w:val="num" w:pos="3600"/>
        </w:tabs>
        <w:ind w:left="3600" w:hanging="360"/>
      </w:pPr>
    </w:lvl>
    <w:lvl w:ilvl="5" w:tplc="2528F396" w:tentative="1">
      <w:start w:val="1"/>
      <w:numFmt w:val="lowerRoman"/>
      <w:lvlText w:val="%6."/>
      <w:lvlJc w:val="right"/>
      <w:pPr>
        <w:tabs>
          <w:tab w:val="num" w:pos="4320"/>
        </w:tabs>
        <w:ind w:left="4320" w:hanging="180"/>
      </w:pPr>
    </w:lvl>
    <w:lvl w:ilvl="6" w:tplc="59546930" w:tentative="1">
      <w:start w:val="1"/>
      <w:numFmt w:val="decimal"/>
      <w:lvlText w:val="%7."/>
      <w:lvlJc w:val="left"/>
      <w:pPr>
        <w:tabs>
          <w:tab w:val="num" w:pos="5040"/>
        </w:tabs>
        <w:ind w:left="5040" w:hanging="360"/>
      </w:pPr>
    </w:lvl>
    <w:lvl w:ilvl="7" w:tplc="D3A6172C" w:tentative="1">
      <w:start w:val="1"/>
      <w:numFmt w:val="lowerLetter"/>
      <w:lvlText w:val="%8."/>
      <w:lvlJc w:val="left"/>
      <w:pPr>
        <w:tabs>
          <w:tab w:val="num" w:pos="5760"/>
        </w:tabs>
        <w:ind w:left="5760" w:hanging="360"/>
      </w:pPr>
    </w:lvl>
    <w:lvl w:ilvl="8" w:tplc="39221BAC" w:tentative="1">
      <w:start w:val="1"/>
      <w:numFmt w:val="lowerRoman"/>
      <w:lvlText w:val="%9."/>
      <w:lvlJc w:val="right"/>
      <w:pPr>
        <w:tabs>
          <w:tab w:val="num" w:pos="6480"/>
        </w:tabs>
        <w:ind w:left="6480" w:hanging="180"/>
      </w:pPr>
    </w:lvl>
  </w:abstractNum>
  <w:abstractNum w:abstractNumId="2" w15:restartNumberingAfterBreak="0">
    <w:nsid w:val="190338B5"/>
    <w:multiLevelType w:val="hybridMultilevel"/>
    <w:tmpl w:val="AF0A873E"/>
    <w:lvl w:ilvl="0" w:tplc="50C614A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44616"/>
    <w:multiLevelType w:val="hybridMultilevel"/>
    <w:tmpl w:val="EB7A3276"/>
    <w:lvl w:ilvl="0" w:tplc="9FF86634">
      <w:start w:val="1"/>
      <w:numFmt w:val="decimal"/>
      <w:lvlText w:val="%1)"/>
      <w:lvlJc w:val="left"/>
      <w:pPr>
        <w:tabs>
          <w:tab w:val="num" w:pos="720"/>
        </w:tabs>
        <w:ind w:left="720" w:hanging="360"/>
      </w:pPr>
      <w:rPr>
        <w:rFonts w:hint="default"/>
      </w:rPr>
    </w:lvl>
    <w:lvl w:ilvl="1" w:tplc="3B381D18" w:tentative="1">
      <w:start w:val="1"/>
      <w:numFmt w:val="lowerLetter"/>
      <w:lvlText w:val="%2."/>
      <w:lvlJc w:val="left"/>
      <w:pPr>
        <w:tabs>
          <w:tab w:val="num" w:pos="1440"/>
        </w:tabs>
        <w:ind w:left="1440" w:hanging="360"/>
      </w:pPr>
    </w:lvl>
    <w:lvl w:ilvl="2" w:tplc="794AA078" w:tentative="1">
      <w:start w:val="1"/>
      <w:numFmt w:val="lowerRoman"/>
      <w:lvlText w:val="%3."/>
      <w:lvlJc w:val="right"/>
      <w:pPr>
        <w:tabs>
          <w:tab w:val="num" w:pos="2160"/>
        </w:tabs>
        <w:ind w:left="2160" w:hanging="180"/>
      </w:pPr>
    </w:lvl>
    <w:lvl w:ilvl="3" w:tplc="ADA0715C" w:tentative="1">
      <w:start w:val="1"/>
      <w:numFmt w:val="decimal"/>
      <w:lvlText w:val="%4."/>
      <w:lvlJc w:val="left"/>
      <w:pPr>
        <w:tabs>
          <w:tab w:val="num" w:pos="2880"/>
        </w:tabs>
        <w:ind w:left="2880" w:hanging="360"/>
      </w:pPr>
    </w:lvl>
    <w:lvl w:ilvl="4" w:tplc="618EED32" w:tentative="1">
      <w:start w:val="1"/>
      <w:numFmt w:val="lowerLetter"/>
      <w:lvlText w:val="%5."/>
      <w:lvlJc w:val="left"/>
      <w:pPr>
        <w:tabs>
          <w:tab w:val="num" w:pos="3600"/>
        </w:tabs>
        <w:ind w:left="3600" w:hanging="360"/>
      </w:pPr>
    </w:lvl>
    <w:lvl w:ilvl="5" w:tplc="23141C24" w:tentative="1">
      <w:start w:val="1"/>
      <w:numFmt w:val="lowerRoman"/>
      <w:lvlText w:val="%6."/>
      <w:lvlJc w:val="right"/>
      <w:pPr>
        <w:tabs>
          <w:tab w:val="num" w:pos="4320"/>
        </w:tabs>
        <w:ind w:left="4320" w:hanging="180"/>
      </w:pPr>
    </w:lvl>
    <w:lvl w:ilvl="6" w:tplc="E0943D16" w:tentative="1">
      <w:start w:val="1"/>
      <w:numFmt w:val="decimal"/>
      <w:lvlText w:val="%7."/>
      <w:lvlJc w:val="left"/>
      <w:pPr>
        <w:tabs>
          <w:tab w:val="num" w:pos="5040"/>
        </w:tabs>
        <w:ind w:left="5040" w:hanging="360"/>
      </w:pPr>
    </w:lvl>
    <w:lvl w:ilvl="7" w:tplc="C21E92DE" w:tentative="1">
      <w:start w:val="1"/>
      <w:numFmt w:val="lowerLetter"/>
      <w:lvlText w:val="%8."/>
      <w:lvlJc w:val="left"/>
      <w:pPr>
        <w:tabs>
          <w:tab w:val="num" w:pos="5760"/>
        </w:tabs>
        <w:ind w:left="5760" w:hanging="360"/>
      </w:pPr>
    </w:lvl>
    <w:lvl w:ilvl="8" w:tplc="D9C02B30" w:tentative="1">
      <w:start w:val="1"/>
      <w:numFmt w:val="lowerRoman"/>
      <w:lvlText w:val="%9."/>
      <w:lvlJc w:val="right"/>
      <w:pPr>
        <w:tabs>
          <w:tab w:val="num" w:pos="6480"/>
        </w:tabs>
        <w:ind w:left="6480" w:hanging="180"/>
      </w:pPr>
    </w:lvl>
  </w:abstractNum>
  <w:abstractNum w:abstractNumId="4" w15:restartNumberingAfterBreak="0">
    <w:nsid w:val="2BEA7CCC"/>
    <w:multiLevelType w:val="hybridMultilevel"/>
    <w:tmpl w:val="4AA06096"/>
    <w:lvl w:ilvl="0" w:tplc="3A94895A">
      <w:start w:val="1"/>
      <w:numFmt w:val="decimal"/>
      <w:lvlText w:val="%1."/>
      <w:lvlJc w:val="left"/>
      <w:pPr>
        <w:tabs>
          <w:tab w:val="num" w:pos="720"/>
        </w:tabs>
        <w:ind w:left="720" w:hanging="360"/>
      </w:pPr>
      <w:rPr>
        <w:rFonts w:hint="default"/>
      </w:rPr>
    </w:lvl>
    <w:lvl w:ilvl="1" w:tplc="B7141E38" w:tentative="1">
      <w:start w:val="1"/>
      <w:numFmt w:val="lowerLetter"/>
      <w:lvlText w:val="%2."/>
      <w:lvlJc w:val="left"/>
      <w:pPr>
        <w:tabs>
          <w:tab w:val="num" w:pos="1440"/>
        </w:tabs>
        <w:ind w:left="1440" w:hanging="360"/>
      </w:pPr>
    </w:lvl>
    <w:lvl w:ilvl="2" w:tplc="ACE8C470" w:tentative="1">
      <w:start w:val="1"/>
      <w:numFmt w:val="lowerRoman"/>
      <w:lvlText w:val="%3."/>
      <w:lvlJc w:val="right"/>
      <w:pPr>
        <w:tabs>
          <w:tab w:val="num" w:pos="2160"/>
        </w:tabs>
        <w:ind w:left="2160" w:hanging="180"/>
      </w:pPr>
    </w:lvl>
    <w:lvl w:ilvl="3" w:tplc="7D047D82" w:tentative="1">
      <w:start w:val="1"/>
      <w:numFmt w:val="decimal"/>
      <w:lvlText w:val="%4."/>
      <w:lvlJc w:val="left"/>
      <w:pPr>
        <w:tabs>
          <w:tab w:val="num" w:pos="2880"/>
        </w:tabs>
        <w:ind w:left="2880" w:hanging="360"/>
      </w:pPr>
    </w:lvl>
    <w:lvl w:ilvl="4" w:tplc="5DDAD71C" w:tentative="1">
      <w:start w:val="1"/>
      <w:numFmt w:val="lowerLetter"/>
      <w:lvlText w:val="%5."/>
      <w:lvlJc w:val="left"/>
      <w:pPr>
        <w:tabs>
          <w:tab w:val="num" w:pos="3600"/>
        </w:tabs>
        <w:ind w:left="3600" w:hanging="360"/>
      </w:pPr>
    </w:lvl>
    <w:lvl w:ilvl="5" w:tplc="D5E8C0A0" w:tentative="1">
      <w:start w:val="1"/>
      <w:numFmt w:val="lowerRoman"/>
      <w:lvlText w:val="%6."/>
      <w:lvlJc w:val="right"/>
      <w:pPr>
        <w:tabs>
          <w:tab w:val="num" w:pos="4320"/>
        </w:tabs>
        <w:ind w:left="4320" w:hanging="180"/>
      </w:pPr>
    </w:lvl>
    <w:lvl w:ilvl="6" w:tplc="62003A00" w:tentative="1">
      <w:start w:val="1"/>
      <w:numFmt w:val="decimal"/>
      <w:lvlText w:val="%7."/>
      <w:lvlJc w:val="left"/>
      <w:pPr>
        <w:tabs>
          <w:tab w:val="num" w:pos="5040"/>
        </w:tabs>
        <w:ind w:left="5040" w:hanging="360"/>
      </w:pPr>
    </w:lvl>
    <w:lvl w:ilvl="7" w:tplc="731EE7AC" w:tentative="1">
      <w:start w:val="1"/>
      <w:numFmt w:val="lowerLetter"/>
      <w:lvlText w:val="%8."/>
      <w:lvlJc w:val="left"/>
      <w:pPr>
        <w:tabs>
          <w:tab w:val="num" w:pos="5760"/>
        </w:tabs>
        <w:ind w:left="5760" w:hanging="360"/>
      </w:pPr>
    </w:lvl>
    <w:lvl w:ilvl="8" w:tplc="63226EF6" w:tentative="1">
      <w:start w:val="1"/>
      <w:numFmt w:val="lowerRoman"/>
      <w:lvlText w:val="%9."/>
      <w:lvlJc w:val="right"/>
      <w:pPr>
        <w:tabs>
          <w:tab w:val="num" w:pos="6480"/>
        </w:tabs>
        <w:ind w:left="6480" w:hanging="180"/>
      </w:pPr>
    </w:lvl>
  </w:abstractNum>
  <w:abstractNum w:abstractNumId="5" w15:restartNumberingAfterBreak="0">
    <w:nsid w:val="3045759D"/>
    <w:multiLevelType w:val="hybridMultilevel"/>
    <w:tmpl w:val="10AC0B76"/>
    <w:lvl w:ilvl="0" w:tplc="04360F80">
      <w:start w:val="2"/>
      <w:numFmt w:val="bullet"/>
      <w:lvlText w:val=""/>
      <w:lvlJc w:val="left"/>
      <w:pPr>
        <w:ind w:left="540" w:hanging="360"/>
      </w:pPr>
      <w:rPr>
        <w:rFonts w:ascii="Symbol" w:eastAsia="Times New Roman"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0A44800"/>
    <w:multiLevelType w:val="hybridMultilevel"/>
    <w:tmpl w:val="EBB2A6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6D5110"/>
    <w:multiLevelType w:val="hybridMultilevel"/>
    <w:tmpl w:val="1B303F4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DC652C"/>
    <w:multiLevelType w:val="hybridMultilevel"/>
    <w:tmpl w:val="5052BBC0"/>
    <w:lvl w:ilvl="0" w:tplc="3ACE5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E27ED"/>
    <w:multiLevelType w:val="hybridMultilevel"/>
    <w:tmpl w:val="812E4844"/>
    <w:lvl w:ilvl="0" w:tplc="416AE95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F3513"/>
    <w:multiLevelType w:val="hybridMultilevel"/>
    <w:tmpl w:val="9C4A2E3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06725A"/>
    <w:multiLevelType w:val="hybridMultilevel"/>
    <w:tmpl w:val="3474AF90"/>
    <w:lvl w:ilvl="0" w:tplc="3334BE10">
      <w:start w:val="1"/>
      <w:numFmt w:val="decimal"/>
      <w:lvlText w:val="%1)"/>
      <w:lvlJc w:val="left"/>
      <w:pPr>
        <w:tabs>
          <w:tab w:val="num" w:pos="960"/>
        </w:tabs>
        <w:ind w:left="960" w:hanging="360"/>
      </w:pPr>
      <w:rPr>
        <w:rFonts w:hint="default"/>
      </w:rPr>
    </w:lvl>
    <w:lvl w:ilvl="1" w:tplc="EE802332" w:tentative="1">
      <w:start w:val="1"/>
      <w:numFmt w:val="lowerLetter"/>
      <w:lvlText w:val="%2."/>
      <w:lvlJc w:val="left"/>
      <w:pPr>
        <w:tabs>
          <w:tab w:val="num" w:pos="1680"/>
        </w:tabs>
        <w:ind w:left="1680" w:hanging="360"/>
      </w:pPr>
    </w:lvl>
    <w:lvl w:ilvl="2" w:tplc="C0703B52" w:tentative="1">
      <w:start w:val="1"/>
      <w:numFmt w:val="lowerRoman"/>
      <w:lvlText w:val="%3."/>
      <w:lvlJc w:val="right"/>
      <w:pPr>
        <w:tabs>
          <w:tab w:val="num" w:pos="2400"/>
        </w:tabs>
        <w:ind w:left="2400" w:hanging="180"/>
      </w:pPr>
    </w:lvl>
    <w:lvl w:ilvl="3" w:tplc="3C68EE78" w:tentative="1">
      <w:start w:val="1"/>
      <w:numFmt w:val="decimal"/>
      <w:lvlText w:val="%4."/>
      <w:lvlJc w:val="left"/>
      <w:pPr>
        <w:tabs>
          <w:tab w:val="num" w:pos="3120"/>
        </w:tabs>
        <w:ind w:left="3120" w:hanging="360"/>
      </w:pPr>
    </w:lvl>
    <w:lvl w:ilvl="4" w:tplc="FB4427B2" w:tentative="1">
      <w:start w:val="1"/>
      <w:numFmt w:val="lowerLetter"/>
      <w:lvlText w:val="%5."/>
      <w:lvlJc w:val="left"/>
      <w:pPr>
        <w:tabs>
          <w:tab w:val="num" w:pos="3840"/>
        </w:tabs>
        <w:ind w:left="3840" w:hanging="360"/>
      </w:pPr>
    </w:lvl>
    <w:lvl w:ilvl="5" w:tplc="4FB08D98" w:tentative="1">
      <w:start w:val="1"/>
      <w:numFmt w:val="lowerRoman"/>
      <w:lvlText w:val="%6."/>
      <w:lvlJc w:val="right"/>
      <w:pPr>
        <w:tabs>
          <w:tab w:val="num" w:pos="4560"/>
        </w:tabs>
        <w:ind w:left="4560" w:hanging="180"/>
      </w:pPr>
    </w:lvl>
    <w:lvl w:ilvl="6" w:tplc="660C616A" w:tentative="1">
      <w:start w:val="1"/>
      <w:numFmt w:val="decimal"/>
      <w:lvlText w:val="%7."/>
      <w:lvlJc w:val="left"/>
      <w:pPr>
        <w:tabs>
          <w:tab w:val="num" w:pos="5280"/>
        </w:tabs>
        <w:ind w:left="5280" w:hanging="360"/>
      </w:pPr>
    </w:lvl>
    <w:lvl w:ilvl="7" w:tplc="9D705CD4" w:tentative="1">
      <w:start w:val="1"/>
      <w:numFmt w:val="lowerLetter"/>
      <w:lvlText w:val="%8."/>
      <w:lvlJc w:val="left"/>
      <w:pPr>
        <w:tabs>
          <w:tab w:val="num" w:pos="6000"/>
        </w:tabs>
        <w:ind w:left="6000" w:hanging="360"/>
      </w:pPr>
    </w:lvl>
    <w:lvl w:ilvl="8" w:tplc="AC12C2D0" w:tentative="1">
      <w:start w:val="1"/>
      <w:numFmt w:val="lowerRoman"/>
      <w:lvlText w:val="%9."/>
      <w:lvlJc w:val="right"/>
      <w:pPr>
        <w:tabs>
          <w:tab w:val="num" w:pos="6720"/>
        </w:tabs>
        <w:ind w:left="6720" w:hanging="180"/>
      </w:pPr>
    </w:lvl>
  </w:abstractNum>
  <w:abstractNum w:abstractNumId="12" w15:restartNumberingAfterBreak="0">
    <w:nsid w:val="54A34193"/>
    <w:multiLevelType w:val="hybridMultilevel"/>
    <w:tmpl w:val="C37A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F7C78"/>
    <w:multiLevelType w:val="hybridMultilevel"/>
    <w:tmpl w:val="92DA47FA"/>
    <w:lvl w:ilvl="0" w:tplc="0D421DD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B4E5B"/>
    <w:multiLevelType w:val="hybridMultilevel"/>
    <w:tmpl w:val="F17EF9EA"/>
    <w:lvl w:ilvl="0" w:tplc="46883748">
      <w:start w:val="1"/>
      <w:numFmt w:val="lowerLetter"/>
      <w:lvlText w:val="%1."/>
      <w:lvlJc w:val="left"/>
      <w:pPr>
        <w:tabs>
          <w:tab w:val="num" w:pos="720"/>
        </w:tabs>
        <w:ind w:left="720" w:hanging="360"/>
      </w:pPr>
      <w:rPr>
        <w:rFonts w:hint="default"/>
        <w:b w:val="0"/>
      </w:rPr>
    </w:lvl>
    <w:lvl w:ilvl="1" w:tplc="0D7A46B6" w:tentative="1">
      <w:start w:val="1"/>
      <w:numFmt w:val="lowerLetter"/>
      <w:lvlText w:val="%2."/>
      <w:lvlJc w:val="left"/>
      <w:pPr>
        <w:tabs>
          <w:tab w:val="num" w:pos="1440"/>
        </w:tabs>
        <w:ind w:left="1440" w:hanging="360"/>
      </w:pPr>
    </w:lvl>
    <w:lvl w:ilvl="2" w:tplc="31F869AE" w:tentative="1">
      <w:start w:val="1"/>
      <w:numFmt w:val="lowerRoman"/>
      <w:lvlText w:val="%3."/>
      <w:lvlJc w:val="right"/>
      <w:pPr>
        <w:tabs>
          <w:tab w:val="num" w:pos="2160"/>
        </w:tabs>
        <w:ind w:left="2160" w:hanging="180"/>
      </w:pPr>
    </w:lvl>
    <w:lvl w:ilvl="3" w:tplc="A014873C" w:tentative="1">
      <w:start w:val="1"/>
      <w:numFmt w:val="decimal"/>
      <w:lvlText w:val="%4."/>
      <w:lvlJc w:val="left"/>
      <w:pPr>
        <w:tabs>
          <w:tab w:val="num" w:pos="2880"/>
        </w:tabs>
        <w:ind w:left="2880" w:hanging="360"/>
      </w:pPr>
    </w:lvl>
    <w:lvl w:ilvl="4" w:tplc="9264776E" w:tentative="1">
      <w:start w:val="1"/>
      <w:numFmt w:val="lowerLetter"/>
      <w:lvlText w:val="%5."/>
      <w:lvlJc w:val="left"/>
      <w:pPr>
        <w:tabs>
          <w:tab w:val="num" w:pos="3600"/>
        </w:tabs>
        <w:ind w:left="3600" w:hanging="360"/>
      </w:pPr>
    </w:lvl>
    <w:lvl w:ilvl="5" w:tplc="5C323EAA" w:tentative="1">
      <w:start w:val="1"/>
      <w:numFmt w:val="lowerRoman"/>
      <w:lvlText w:val="%6."/>
      <w:lvlJc w:val="right"/>
      <w:pPr>
        <w:tabs>
          <w:tab w:val="num" w:pos="4320"/>
        </w:tabs>
        <w:ind w:left="4320" w:hanging="180"/>
      </w:pPr>
    </w:lvl>
    <w:lvl w:ilvl="6" w:tplc="4A9E15E8" w:tentative="1">
      <w:start w:val="1"/>
      <w:numFmt w:val="decimal"/>
      <w:lvlText w:val="%7."/>
      <w:lvlJc w:val="left"/>
      <w:pPr>
        <w:tabs>
          <w:tab w:val="num" w:pos="5040"/>
        </w:tabs>
        <w:ind w:left="5040" w:hanging="360"/>
      </w:pPr>
    </w:lvl>
    <w:lvl w:ilvl="7" w:tplc="AB74F530" w:tentative="1">
      <w:start w:val="1"/>
      <w:numFmt w:val="lowerLetter"/>
      <w:lvlText w:val="%8."/>
      <w:lvlJc w:val="left"/>
      <w:pPr>
        <w:tabs>
          <w:tab w:val="num" w:pos="5760"/>
        </w:tabs>
        <w:ind w:left="5760" w:hanging="360"/>
      </w:pPr>
    </w:lvl>
    <w:lvl w:ilvl="8" w:tplc="B31A5D82" w:tentative="1">
      <w:start w:val="1"/>
      <w:numFmt w:val="lowerRoman"/>
      <w:lvlText w:val="%9."/>
      <w:lvlJc w:val="right"/>
      <w:pPr>
        <w:tabs>
          <w:tab w:val="num" w:pos="6480"/>
        </w:tabs>
        <w:ind w:left="6480" w:hanging="180"/>
      </w:pPr>
    </w:lvl>
  </w:abstractNum>
  <w:abstractNum w:abstractNumId="15" w15:restartNumberingAfterBreak="0">
    <w:nsid w:val="5A2866ED"/>
    <w:multiLevelType w:val="hybridMultilevel"/>
    <w:tmpl w:val="D2021050"/>
    <w:lvl w:ilvl="0" w:tplc="A4946BF4">
      <w:start w:val="1"/>
      <w:numFmt w:val="decimal"/>
      <w:lvlText w:val="%1."/>
      <w:lvlJc w:val="left"/>
      <w:pPr>
        <w:tabs>
          <w:tab w:val="num" w:pos="720"/>
        </w:tabs>
        <w:ind w:left="720" w:hanging="360"/>
      </w:pPr>
      <w:rPr>
        <w:rFonts w:hint="default"/>
      </w:rPr>
    </w:lvl>
    <w:lvl w:ilvl="1" w:tplc="CCFEA89A" w:tentative="1">
      <w:start w:val="1"/>
      <w:numFmt w:val="lowerLetter"/>
      <w:lvlText w:val="%2."/>
      <w:lvlJc w:val="left"/>
      <w:pPr>
        <w:tabs>
          <w:tab w:val="num" w:pos="1440"/>
        </w:tabs>
        <w:ind w:left="1440" w:hanging="360"/>
      </w:pPr>
    </w:lvl>
    <w:lvl w:ilvl="2" w:tplc="9F5647EA" w:tentative="1">
      <w:start w:val="1"/>
      <w:numFmt w:val="lowerRoman"/>
      <w:lvlText w:val="%3."/>
      <w:lvlJc w:val="right"/>
      <w:pPr>
        <w:tabs>
          <w:tab w:val="num" w:pos="2160"/>
        </w:tabs>
        <w:ind w:left="2160" w:hanging="180"/>
      </w:pPr>
    </w:lvl>
    <w:lvl w:ilvl="3" w:tplc="62607278" w:tentative="1">
      <w:start w:val="1"/>
      <w:numFmt w:val="decimal"/>
      <w:lvlText w:val="%4."/>
      <w:lvlJc w:val="left"/>
      <w:pPr>
        <w:tabs>
          <w:tab w:val="num" w:pos="2880"/>
        </w:tabs>
        <w:ind w:left="2880" w:hanging="360"/>
      </w:pPr>
    </w:lvl>
    <w:lvl w:ilvl="4" w:tplc="F67EE1C2" w:tentative="1">
      <w:start w:val="1"/>
      <w:numFmt w:val="lowerLetter"/>
      <w:lvlText w:val="%5."/>
      <w:lvlJc w:val="left"/>
      <w:pPr>
        <w:tabs>
          <w:tab w:val="num" w:pos="3600"/>
        </w:tabs>
        <w:ind w:left="3600" w:hanging="360"/>
      </w:pPr>
    </w:lvl>
    <w:lvl w:ilvl="5" w:tplc="68CCD252" w:tentative="1">
      <w:start w:val="1"/>
      <w:numFmt w:val="lowerRoman"/>
      <w:lvlText w:val="%6."/>
      <w:lvlJc w:val="right"/>
      <w:pPr>
        <w:tabs>
          <w:tab w:val="num" w:pos="4320"/>
        </w:tabs>
        <w:ind w:left="4320" w:hanging="180"/>
      </w:pPr>
    </w:lvl>
    <w:lvl w:ilvl="6" w:tplc="28AA79B6" w:tentative="1">
      <w:start w:val="1"/>
      <w:numFmt w:val="decimal"/>
      <w:lvlText w:val="%7."/>
      <w:lvlJc w:val="left"/>
      <w:pPr>
        <w:tabs>
          <w:tab w:val="num" w:pos="5040"/>
        </w:tabs>
        <w:ind w:left="5040" w:hanging="360"/>
      </w:pPr>
    </w:lvl>
    <w:lvl w:ilvl="7" w:tplc="E1029A9E" w:tentative="1">
      <w:start w:val="1"/>
      <w:numFmt w:val="lowerLetter"/>
      <w:lvlText w:val="%8."/>
      <w:lvlJc w:val="left"/>
      <w:pPr>
        <w:tabs>
          <w:tab w:val="num" w:pos="5760"/>
        </w:tabs>
        <w:ind w:left="5760" w:hanging="360"/>
      </w:pPr>
    </w:lvl>
    <w:lvl w:ilvl="8" w:tplc="4316079C" w:tentative="1">
      <w:start w:val="1"/>
      <w:numFmt w:val="lowerRoman"/>
      <w:lvlText w:val="%9."/>
      <w:lvlJc w:val="right"/>
      <w:pPr>
        <w:tabs>
          <w:tab w:val="num" w:pos="6480"/>
        </w:tabs>
        <w:ind w:left="6480" w:hanging="180"/>
      </w:pPr>
    </w:lvl>
  </w:abstractNum>
  <w:abstractNum w:abstractNumId="16" w15:restartNumberingAfterBreak="0">
    <w:nsid w:val="5D3B58A2"/>
    <w:multiLevelType w:val="hybridMultilevel"/>
    <w:tmpl w:val="F1DC3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8B6C21"/>
    <w:multiLevelType w:val="hybridMultilevel"/>
    <w:tmpl w:val="570E0598"/>
    <w:lvl w:ilvl="0" w:tplc="8B420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206623"/>
    <w:multiLevelType w:val="hybridMultilevel"/>
    <w:tmpl w:val="EB62B942"/>
    <w:lvl w:ilvl="0" w:tplc="384AC39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A4128"/>
    <w:multiLevelType w:val="hybridMultilevel"/>
    <w:tmpl w:val="A57C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CE2BF6"/>
    <w:multiLevelType w:val="hybridMultilevel"/>
    <w:tmpl w:val="BCDCE660"/>
    <w:lvl w:ilvl="0" w:tplc="801E915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015AB"/>
    <w:multiLevelType w:val="hybridMultilevel"/>
    <w:tmpl w:val="A65C9A96"/>
    <w:lvl w:ilvl="0" w:tplc="CEF4165A">
      <w:start w:val="1"/>
      <w:numFmt w:val="decimal"/>
      <w:lvlText w:val="%1."/>
      <w:lvlJc w:val="left"/>
      <w:pPr>
        <w:tabs>
          <w:tab w:val="num" w:pos="765"/>
        </w:tabs>
        <w:ind w:left="765" w:hanging="405"/>
      </w:pPr>
      <w:rPr>
        <w:rFonts w:hint="default"/>
        <w:b w:val="0"/>
      </w:rPr>
    </w:lvl>
    <w:lvl w:ilvl="1" w:tplc="FFC8444A" w:tentative="1">
      <w:start w:val="1"/>
      <w:numFmt w:val="lowerLetter"/>
      <w:lvlText w:val="%2."/>
      <w:lvlJc w:val="left"/>
      <w:pPr>
        <w:tabs>
          <w:tab w:val="num" w:pos="1440"/>
        </w:tabs>
        <w:ind w:left="1440" w:hanging="360"/>
      </w:pPr>
    </w:lvl>
    <w:lvl w:ilvl="2" w:tplc="1BBE8B26" w:tentative="1">
      <w:start w:val="1"/>
      <w:numFmt w:val="lowerRoman"/>
      <w:lvlText w:val="%3."/>
      <w:lvlJc w:val="right"/>
      <w:pPr>
        <w:tabs>
          <w:tab w:val="num" w:pos="2160"/>
        </w:tabs>
        <w:ind w:left="2160" w:hanging="180"/>
      </w:pPr>
    </w:lvl>
    <w:lvl w:ilvl="3" w:tplc="DCBA564E" w:tentative="1">
      <w:start w:val="1"/>
      <w:numFmt w:val="decimal"/>
      <w:lvlText w:val="%4."/>
      <w:lvlJc w:val="left"/>
      <w:pPr>
        <w:tabs>
          <w:tab w:val="num" w:pos="2880"/>
        </w:tabs>
        <w:ind w:left="2880" w:hanging="360"/>
      </w:pPr>
    </w:lvl>
    <w:lvl w:ilvl="4" w:tplc="48C41A6E" w:tentative="1">
      <w:start w:val="1"/>
      <w:numFmt w:val="lowerLetter"/>
      <w:lvlText w:val="%5."/>
      <w:lvlJc w:val="left"/>
      <w:pPr>
        <w:tabs>
          <w:tab w:val="num" w:pos="3600"/>
        </w:tabs>
        <w:ind w:left="3600" w:hanging="360"/>
      </w:pPr>
    </w:lvl>
    <w:lvl w:ilvl="5" w:tplc="552290DC" w:tentative="1">
      <w:start w:val="1"/>
      <w:numFmt w:val="lowerRoman"/>
      <w:lvlText w:val="%6."/>
      <w:lvlJc w:val="right"/>
      <w:pPr>
        <w:tabs>
          <w:tab w:val="num" w:pos="4320"/>
        </w:tabs>
        <w:ind w:left="4320" w:hanging="180"/>
      </w:pPr>
    </w:lvl>
    <w:lvl w:ilvl="6" w:tplc="D9B2150E" w:tentative="1">
      <w:start w:val="1"/>
      <w:numFmt w:val="decimal"/>
      <w:lvlText w:val="%7."/>
      <w:lvlJc w:val="left"/>
      <w:pPr>
        <w:tabs>
          <w:tab w:val="num" w:pos="5040"/>
        </w:tabs>
        <w:ind w:left="5040" w:hanging="360"/>
      </w:pPr>
    </w:lvl>
    <w:lvl w:ilvl="7" w:tplc="FE64DCD4" w:tentative="1">
      <w:start w:val="1"/>
      <w:numFmt w:val="lowerLetter"/>
      <w:lvlText w:val="%8."/>
      <w:lvlJc w:val="left"/>
      <w:pPr>
        <w:tabs>
          <w:tab w:val="num" w:pos="5760"/>
        </w:tabs>
        <w:ind w:left="5760" w:hanging="360"/>
      </w:pPr>
    </w:lvl>
    <w:lvl w:ilvl="8" w:tplc="59CA14FE"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4"/>
  </w:num>
  <w:num w:numId="4">
    <w:abstractNumId w:val="21"/>
  </w:num>
  <w:num w:numId="5">
    <w:abstractNumId w:val="15"/>
  </w:num>
  <w:num w:numId="6">
    <w:abstractNumId w:val="0"/>
  </w:num>
  <w:num w:numId="7">
    <w:abstractNumId w:val="1"/>
  </w:num>
  <w:num w:numId="8">
    <w:abstractNumId w:val="14"/>
  </w:num>
  <w:num w:numId="9">
    <w:abstractNumId w:val="19"/>
  </w:num>
  <w:num w:numId="10">
    <w:abstractNumId w:val="16"/>
  </w:num>
  <w:num w:numId="11">
    <w:abstractNumId w:val="10"/>
  </w:num>
  <w:num w:numId="12">
    <w:abstractNumId w:val="7"/>
  </w:num>
  <w:num w:numId="13">
    <w:abstractNumId w:val="12"/>
  </w:num>
  <w:num w:numId="14">
    <w:abstractNumId w:val="17"/>
  </w:num>
  <w:num w:numId="15">
    <w:abstractNumId w:val="8"/>
  </w:num>
  <w:num w:numId="16">
    <w:abstractNumId w:val="9"/>
  </w:num>
  <w:num w:numId="17">
    <w:abstractNumId w:val="5"/>
  </w:num>
  <w:num w:numId="18">
    <w:abstractNumId w:val="2"/>
  </w:num>
  <w:num w:numId="19">
    <w:abstractNumId w:val="20"/>
  </w:num>
  <w:num w:numId="20">
    <w:abstractNumId w:val="13"/>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218"/>
    <w:rsid w:val="00015A1C"/>
    <w:rsid w:val="000454B4"/>
    <w:rsid w:val="00070803"/>
    <w:rsid w:val="00070C4C"/>
    <w:rsid w:val="000D42BB"/>
    <w:rsid w:val="000E157A"/>
    <w:rsid w:val="000E701F"/>
    <w:rsid w:val="00144729"/>
    <w:rsid w:val="00145140"/>
    <w:rsid w:val="001616D8"/>
    <w:rsid w:val="00182B17"/>
    <w:rsid w:val="00195227"/>
    <w:rsid w:val="001B0759"/>
    <w:rsid w:val="00207E7E"/>
    <w:rsid w:val="00222897"/>
    <w:rsid w:val="00222B74"/>
    <w:rsid w:val="00236570"/>
    <w:rsid w:val="002511F2"/>
    <w:rsid w:val="002560B7"/>
    <w:rsid w:val="00260794"/>
    <w:rsid w:val="002607F5"/>
    <w:rsid w:val="002853A4"/>
    <w:rsid w:val="002A142B"/>
    <w:rsid w:val="002A6986"/>
    <w:rsid w:val="002F4325"/>
    <w:rsid w:val="00302C3D"/>
    <w:rsid w:val="0033704F"/>
    <w:rsid w:val="003447BC"/>
    <w:rsid w:val="00350551"/>
    <w:rsid w:val="0035794C"/>
    <w:rsid w:val="00370FB0"/>
    <w:rsid w:val="003A78E4"/>
    <w:rsid w:val="003C57FF"/>
    <w:rsid w:val="003C5DC9"/>
    <w:rsid w:val="003C7C76"/>
    <w:rsid w:val="003D3C51"/>
    <w:rsid w:val="003F0014"/>
    <w:rsid w:val="003F2AA2"/>
    <w:rsid w:val="004152A6"/>
    <w:rsid w:val="0043167C"/>
    <w:rsid w:val="00455046"/>
    <w:rsid w:val="0049026A"/>
    <w:rsid w:val="004C39F7"/>
    <w:rsid w:val="004E294D"/>
    <w:rsid w:val="005168F7"/>
    <w:rsid w:val="00522918"/>
    <w:rsid w:val="00560FD6"/>
    <w:rsid w:val="005610C4"/>
    <w:rsid w:val="00577ABF"/>
    <w:rsid w:val="00596B80"/>
    <w:rsid w:val="005A0F4D"/>
    <w:rsid w:val="005A121D"/>
    <w:rsid w:val="005A351B"/>
    <w:rsid w:val="005A6461"/>
    <w:rsid w:val="005A7209"/>
    <w:rsid w:val="005B2A05"/>
    <w:rsid w:val="005B6418"/>
    <w:rsid w:val="005D2EE1"/>
    <w:rsid w:val="005D493E"/>
    <w:rsid w:val="005E4434"/>
    <w:rsid w:val="00603474"/>
    <w:rsid w:val="00606A70"/>
    <w:rsid w:val="0063368F"/>
    <w:rsid w:val="00642653"/>
    <w:rsid w:val="00685D44"/>
    <w:rsid w:val="006B265D"/>
    <w:rsid w:val="006B62C0"/>
    <w:rsid w:val="006C3339"/>
    <w:rsid w:val="006D5ED5"/>
    <w:rsid w:val="006E4E13"/>
    <w:rsid w:val="00700169"/>
    <w:rsid w:val="00706C23"/>
    <w:rsid w:val="00731B2E"/>
    <w:rsid w:val="007B0F19"/>
    <w:rsid w:val="007D4A48"/>
    <w:rsid w:val="007E047C"/>
    <w:rsid w:val="007F3218"/>
    <w:rsid w:val="007F33DB"/>
    <w:rsid w:val="007F6AEF"/>
    <w:rsid w:val="00804B0D"/>
    <w:rsid w:val="0081002C"/>
    <w:rsid w:val="00812609"/>
    <w:rsid w:val="00813658"/>
    <w:rsid w:val="008145E3"/>
    <w:rsid w:val="00846206"/>
    <w:rsid w:val="008551EF"/>
    <w:rsid w:val="008629DF"/>
    <w:rsid w:val="00873307"/>
    <w:rsid w:val="008F168F"/>
    <w:rsid w:val="008F3DCA"/>
    <w:rsid w:val="008F513D"/>
    <w:rsid w:val="00926224"/>
    <w:rsid w:val="00974598"/>
    <w:rsid w:val="00992517"/>
    <w:rsid w:val="009B261A"/>
    <w:rsid w:val="009F3167"/>
    <w:rsid w:val="00A0686B"/>
    <w:rsid w:val="00A10172"/>
    <w:rsid w:val="00A45E77"/>
    <w:rsid w:val="00AB1A5D"/>
    <w:rsid w:val="00B15A27"/>
    <w:rsid w:val="00B41F06"/>
    <w:rsid w:val="00B51F6C"/>
    <w:rsid w:val="00B57BBA"/>
    <w:rsid w:val="00BC47C6"/>
    <w:rsid w:val="00BC657F"/>
    <w:rsid w:val="00BE11DC"/>
    <w:rsid w:val="00C03FDA"/>
    <w:rsid w:val="00C1647E"/>
    <w:rsid w:val="00C17780"/>
    <w:rsid w:val="00C25E2F"/>
    <w:rsid w:val="00C34F9E"/>
    <w:rsid w:val="00C357AC"/>
    <w:rsid w:val="00C72AF4"/>
    <w:rsid w:val="00C839DA"/>
    <w:rsid w:val="00C97039"/>
    <w:rsid w:val="00CA4DCC"/>
    <w:rsid w:val="00CA7E60"/>
    <w:rsid w:val="00CC4797"/>
    <w:rsid w:val="00CC50AE"/>
    <w:rsid w:val="00CC6828"/>
    <w:rsid w:val="00CC71D9"/>
    <w:rsid w:val="00CE22A0"/>
    <w:rsid w:val="00CE45D1"/>
    <w:rsid w:val="00CF2D9C"/>
    <w:rsid w:val="00D02475"/>
    <w:rsid w:val="00D07A41"/>
    <w:rsid w:val="00D3281F"/>
    <w:rsid w:val="00D3642C"/>
    <w:rsid w:val="00D45E55"/>
    <w:rsid w:val="00D60733"/>
    <w:rsid w:val="00D728BD"/>
    <w:rsid w:val="00D76E93"/>
    <w:rsid w:val="00D81113"/>
    <w:rsid w:val="00D84311"/>
    <w:rsid w:val="00DA3D96"/>
    <w:rsid w:val="00DA5AA1"/>
    <w:rsid w:val="00DF064A"/>
    <w:rsid w:val="00DF4F70"/>
    <w:rsid w:val="00E00938"/>
    <w:rsid w:val="00E235A7"/>
    <w:rsid w:val="00E90F6C"/>
    <w:rsid w:val="00EF0DE9"/>
    <w:rsid w:val="00F03143"/>
    <w:rsid w:val="00F05F4C"/>
    <w:rsid w:val="00F120AF"/>
    <w:rsid w:val="00F375EE"/>
    <w:rsid w:val="00F62819"/>
    <w:rsid w:val="00F903A7"/>
    <w:rsid w:val="00FB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4A3C7"/>
  <w15:docId w15:val="{6E19EF3A-E078-4F89-9B9E-F9DA188E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B4"/>
  </w:style>
  <w:style w:type="paragraph" w:styleId="Heading1">
    <w:name w:val="heading 1"/>
    <w:basedOn w:val="Normal"/>
    <w:next w:val="Normal"/>
    <w:qFormat/>
    <w:rsid w:val="000454B4"/>
    <w:pPr>
      <w:keepNext/>
      <w:outlineLvl w:val="0"/>
    </w:pPr>
    <w:rPr>
      <w:sz w:val="24"/>
      <w:u w:val="single"/>
    </w:rPr>
  </w:style>
  <w:style w:type="paragraph" w:styleId="Heading2">
    <w:name w:val="heading 2"/>
    <w:basedOn w:val="Normal"/>
    <w:next w:val="Normal"/>
    <w:qFormat/>
    <w:rsid w:val="000454B4"/>
    <w:pPr>
      <w:keepNext/>
      <w:outlineLvl w:val="1"/>
    </w:pPr>
    <w:rPr>
      <w:sz w:val="24"/>
    </w:rPr>
  </w:style>
  <w:style w:type="paragraph" w:styleId="Heading3">
    <w:name w:val="heading 3"/>
    <w:basedOn w:val="Normal"/>
    <w:next w:val="Normal"/>
    <w:qFormat/>
    <w:rsid w:val="000454B4"/>
    <w:pPr>
      <w:keepNext/>
      <w:outlineLvl w:val="2"/>
    </w:pPr>
    <w:rPr>
      <w:i/>
      <w:iCs/>
      <w:sz w:val="24"/>
    </w:rPr>
  </w:style>
  <w:style w:type="paragraph" w:styleId="Heading4">
    <w:name w:val="heading 4"/>
    <w:basedOn w:val="Normal"/>
    <w:next w:val="Normal"/>
    <w:qFormat/>
    <w:rsid w:val="000454B4"/>
    <w:pPr>
      <w:keepNext/>
      <w:jc w:val="both"/>
      <w:outlineLvl w:val="3"/>
    </w:pPr>
    <w:rPr>
      <w:sz w:val="24"/>
    </w:rPr>
  </w:style>
  <w:style w:type="paragraph" w:styleId="Heading5">
    <w:name w:val="heading 5"/>
    <w:basedOn w:val="Normal"/>
    <w:next w:val="Normal"/>
    <w:qFormat/>
    <w:rsid w:val="000454B4"/>
    <w:pPr>
      <w:keepNext/>
      <w:jc w:val="both"/>
      <w:outlineLvl w:val="4"/>
    </w:pPr>
    <w:rPr>
      <w:b/>
      <w:bCs/>
      <w:sz w:val="22"/>
    </w:rPr>
  </w:style>
  <w:style w:type="paragraph" w:styleId="Heading6">
    <w:name w:val="heading 6"/>
    <w:basedOn w:val="Normal"/>
    <w:next w:val="Normal"/>
    <w:qFormat/>
    <w:rsid w:val="000454B4"/>
    <w:pPr>
      <w:keepNext/>
      <w:outlineLvl w:val="5"/>
    </w:pPr>
    <w:rPr>
      <w:b/>
      <w:bCs/>
      <w:sz w:val="22"/>
    </w:rPr>
  </w:style>
  <w:style w:type="paragraph" w:styleId="Heading7">
    <w:name w:val="heading 7"/>
    <w:basedOn w:val="Normal"/>
    <w:next w:val="Normal"/>
    <w:qFormat/>
    <w:rsid w:val="000454B4"/>
    <w:pPr>
      <w:keepNext/>
      <w:jc w:val="both"/>
      <w:outlineLvl w:val="6"/>
    </w:pPr>
    <w:rPr>
      <w:i/>
      <w:iCs/>
      <w:sz w:val="22"/>
    </w:rPr>
  </w:style>
  <w:style w:type="paragraph" w:styleId="Heading8">
    <w:name w:val="heading 8"/>
    <w:basedOn w:val="Normal"/>
    <w:next w:val="Normal"/>
    <w:qFormat/>
    <w:rsid w:val="000454B4"/>
    <w:pPr>
      <w:keepNext/>
      <w:tabs>
        <w:tab w:val="center" w:pos="4824"/>
      </w:tabs>
      <w:suppressAutoHyphens/>
      <w:spacing w:line="281" w:lineRule="auto"/>
      <w:jc w:val="center"/>
      <w:outlineLvl w:val="7"/>
    </w:pPr>
    <w:rPr>
      <w:rFonts w:ascii="Arial" w:hAnsi="Arial"/>
      <w:vanish/>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54B4"/>
    <w:pPr>
      <w:jc w:val="center"/>
    </w:pPr>
    <w:rPr>
      <w:sz w:val="24"/>
    </w:rPr>
  </w:style>
  <w:style w:type="paragraph" w:styleId="Subtitle">
    <w:name w:val="Subtitle"/>
    <w:basedOn w:val="Normal"/>
    <w:qFormat/>
    <w:rsid w:val="000454B4"/>
    <w:rPr>
      <w:sz w:val="24"/>
    </w:rPr>
  </w:style>
  <w:style w:type="paragraph" w:styleId="BodyText">
    <w:name w:val="Body Text"/>
    <w:basedOn w:val="Normal"/>
    <w:semiHidden/>
    <w:rsid w:val="000454B4"/>
    <w:rPr>
      <w:b/>
      <w:bCs/>
      <w:sz w:val="24"/>
    </w:rPr>
  </w:style>
  <w:style w:type="paragraph" w:styleId="BodyText2">
    <w:name w:val="Body Text 2"/>
    <w:basedOn w:val="Normal"/>
    <w:semiHidden/>
    <w:rsid w:val="000454B4"/>
    <w:rPr>
      <w:sz w:val="24"/>
    </w:rPr>
  </w:style>
  <w:style w:type="character" w:styleId="Hyperlink">
    <w:name w:val="Hyperlink"/>
    <w:basedOn w:val="DefaultParagraphFont"/>
    <w:semiHidden/>
    <w:rsid w:val="000454B4"/>
    <w:rPr>
      <w:color w:val="0000FF"/>
      <w:u w:val="single"/>
    </w:rPr>
  </w:style>
  <w:style w:type="character" w:styleId="FollowedHyperlink">
    <w:name w:val="FollowedHyperlink"/>
    <w:basedOn w:val="DefaultParagraphFont"/>
    <w:semiHidden/>
    <w:rsid w:val="000454B4"/>
    <w:rPr>
      <w:color w:val="800080"/>
      <w:u w:val="single"/>
    </w:rPr>
  </w:style>
  <w:style w:type="paragraph" w:styleId="BodyText3">
    <w:name w:val="Body Text 3"/>
    <w:basedOn w:val="Normal"/>
    <w:semiHidden/>
    <w:rsid w:val="000454B4"/>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paragraph" w:styleId="FootnoteText">
    <w:name w:val="footnote text"/>
    <w:basedOn w:val="Normal"/>
    <w:semiHidden/>
    <w:rsid w:val="000454B4"/>
  </w:style>
  <w:style w:type="character" w:styleId="FootnoteReference">
    <w:name w:val="footnote reference"/>
    <w:basedOn w:val="DefaultParagraphFont"/>
    <w:semiHidden/>
    <w:rsid w:val="000454B4"/>
    <w:rPr>
      <w:vertAlign w:val="superscript"/>
    </w:rPr>
  </w:style>
  <w:style w:type="paragraph" w:styleId="Footer">
    <w:name w:val="footer"/>
    <w:basedOn w:val="Normal"/>
    <w:semiHidden/>
    <w:rsid w:val="000454B4"/>
    <w:pPr>
      <w:tabs>
        <w:tab w:val="center" w:pos="4320"/>
        <w:tab w:val="right" w:pos="8640"/>
      </w:tabs>
    </w:pPr>
  </w:style>
  <w:style w:type="character" w:styleId="PageNumber">
    <w:name w:val="page number"/>
    <w:basedOn w:val="DefaultParagraphFont"/>
    <w:semiHidden/>
    <w:rsid w:val="000454B4"/>
  </w:style>
  <w:style w:type="paragraph" w:styleId="Header">
    <w:name w:val="header"/>
    <w:basedOn w:val="Normal"/>
    <w:link w:val="HeaderChar"/>
    <w:uiPriority w:val="99"/>
    <w:rsid w:val="000454B4"/>
    <w:pPr>
      <w:tabs>
        <w:tab w:val="center" w:pos="4320"/>
        <w:tab w:val="right" w:pos="8640"/>
      </w:tabs>
    </w:pPr>
  </w:style>
  <w:style w:type="paragraph" w:styleId="BalloonText">
    <w:name w:val="Balloon Text"/>
    <w:basedOn w:val="Normal"/>
    <w:link w:val="BalloonTextChar"/>
    <w:uiPriority w:val="99"/>
    <w:semiHidden/>
    <w:unhideWhenUsed/>
    <w:rsid w:val="00D45E55"/>
    <w:rPr>
      <w:rFonts w:ascii="Tahoma" w:hAnsi="Tahoma" w:cs="Tahoma"/>
      <w:sz w:val="16"/>
      <w:szCs w:val="16"/>
    </w:rPr>
  </w:style>
  <w:style w:type="character" w:customStyle="1" w:styleId="BalloonTextChar">
    <w:name w:val="Balloon Text Char"/>
    <w:basedOn w:val="DefaultParagraphFont"/>
    <w:link w:val="BalloonText"/>
    <w:uiPriority w:val="99"/>
    <w:semiHidden/>
    <w:rsid w:val="00D45E55"/>
    <w:rPr>
      <w:rFonts w:ascii="Tahoma" w:hAnsi="Tahoma" w:cs="Tahoma"/>
      <w:sz w:val="16"/>
      <w:szCs w:val="16"/>
    </w:rPr>
  </w:style>
  <w:style w:type="paragraph" w:styleId="ListParagraph">
    <w:name w:val="List Paragraph"/>
    <w:basedOn w:val="Normal"/>
    <w:uiPriority w:val="34"/>
    <w:qFormat/>
    <w:rsid w:val="008145E3"/>
    <w:pPr>
      <w:ind w:left="720"/>
      <w:contextualSpacing/>
    </w:pPr>
  </w:style>
  <w:style w:type="character" w:styleId="CommentReference">
    <w:name w:val="annotation reference"/>
    <w:basedOn w:val="DefaultParagraphFont"/>
    <w:uiPriority w:val="99"/>
    <w:semiHidden/>
    <w:unhideWhenUsed/>
    <w:rsid w:val="00370FB0"/>
    <w:rPr>
      <w:sz w:val="16"/>
      <w:szCs w:val="16"/>
    </w:rPr>
  </w:style>
  <w:style w:type="paragraph" w:styleId="CommentText">
    <w:name w:val="annotation text"/>
    <w:basedOn w:val="Normal"/>
    <w:link w:val="CommentTextChar"/>
    <w:uiPriority w:val="99"/>
    <w:semiHidden/>
    <w:unhideWhenUsed/>
    <w:rsid w:val="00370FB0"/>
  </w:style>
  <w:style w:type="character" w:customStyle="1" w:styleId="CommentTextChar">
    <w:name w:val="Comment Text Char"/>
    <w:basedOn w:val="DefaultParagraphFont"/>
    <w:link w:val="CommentText"/>
    <w:uiPriority w:val="99"/>
    <w:semiHidden/>
    <w:rsid w:val="00370FB0"/>
  </w:style>
  <w:style w:type="paragraph" w:styleId="CommentSubject">
    <w:name w:val="annotation subject"/>
    <w:basedOn w:val="CommentText"/>
    <w:next w:val="CommentText"/>
    <w:link w:val="CommentSubjectChar"/>
    <w:uiPriority w:val="99"/>
    <w:semiHidden/>
    <w:unhideWhenUsed/>
    <w:rsid w:val="00370FB0"/>
    <w:rPr>
      <w:b/>
      <w:bCs/>
    </w:rPr>
  </w:style>
  <w:style w:type="character" w:customStyle="1" w:styleId="CommentSubjectChar">
    <w:name w:val="Comment Subject Char"/>
    <w:basedOn w:val="CommentTextChar"/>
    <w:link w:val="CommentSubject"/>
    <w:uiPriority w:val="99"/>
    <w:semiHidden/>
    <w:rsid w:val="00370FB0"/>
    <w:rPr>
      <w:b/>
      <w:bCs/>
    </w:rPr>
  </w:style>
  <w:style w:type="character" w:customStyle="1" w:styleId="HeaderChar">
    <w:name w:val="Header Char"/>
    <w:basedOn w:val="DefaultParagraphFont"/>
    <w:link w:val="Header"/>
    <w:uiPriority w:val="99"/>
    <w:rsid w:val="00D7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0206">
      <w:bodyDiv w:val="1"/>
      <w:marLeft w:val="0"/>
      <w:marRight w:val="0"/>
      <w:marTop w:val="0"/>
      <w:marBottom w:val="0"/>
      <w:divBdr>
        <w:top w:val="none" w:sz="0" w:space="0" w:color="auto"/>
        <w:left w:val="none" w:sz="0" w:space="0" w:color="auto"/>
        <w:bottom w:val="none" w:sz="0" w:space="0" w:color="auto"/>
        <w:right w:val="none" w:sz="0" w:space="0" w:color="auto"/>
      </w:divBdr>
    </w:div>
    <w:div w:id="1725565194">
      <w:bodyDiv w:val="1"/>
      <w:marLeft w:val="0"/>
      <w:marRight w:val="0"/>
      <w:marTop w:val="0"/>
      <w:marBottom w:val="0"/>
      <w:divBdr>
        <w:top w:val="none" w:sz="0" w:space="0" w:color="auto"/>
        <w:left w:val="none" w:sz="0" w:space="0" w:color="auto"/>
        <w:bottom w:val="none" w:sz="0" w:space="0" w:color="auto"/>
        <w:right w:val="none" w:sz="0" w:space="0" w:color="auto"/>
      </w:divBdr>
      <w:divsChild>
        <w:div w:id="257325608">
          <w:marLeft w:val="0"/>
          <w:marRight w:val="0"/>
          <w:marTop w:val="0"/>
          <w:marBottom w:val="0"/>
          <w:divBdr>
            <w:top w:val="none" w:sz="0" w:space="0" w:color="auto"/>
            <w:left w:val="none" w:sz="0" w:space="0" w:color="auto"/>
            <w:bottom w:val="none" w:sz="0" w:space="0" w:color="auto"/>
            <w:right w:val="none" w:sz="0" w:space="0" w:color="auto"/>
          </w:divBdr>
        </w:div>
        <w:div w:id="1862619479">
          <w:marLeft w:val="0"/>
          <w:marRight w:val="0"/>
          <w:marTop w:val="0"/>
          <w:marBottom w:val="0"/>
          <w:divBdr>
            <w:top w:val="none" w:sz="0" w:space="0" w:color="auto"/>
            <w:left w:val="none" w:sz="0" w:space="0" w:color="auto"/>
            <w:bottom w:val="none" w:sz="0" w:space="0" w:color="auto"/>
            <w:right w:val="none" w:sz="0" w:space="0" w:color="auto"/>
          </w:divBdr>
        </w:div>
        <w:div w:id="628316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03.safelinks.protection.outlook.com/?url=https%3A%2F%2Fintranet.undp.org%2Funit%2Fofrm%2Ffbp%2Ffbat%2FRMT%2520Assistant%2FForms%2FAllItems.aspx&amp;data=05%7C01%7Calberto.lizzi%40undp.org%7C82e1bf688c7f49c072ee08da9b51723f%7Cb3e5db5e2944483799f57488ace54319%7C0%7C0%7C637993071358126017%7CUnknown%7CTWFpbGZsb3d8eyJWIjoiMC4wLjAwMDAiLCJQIjoiV2luMzIiLCJBTiI6Ik1haWwiLCJXVCI6Mn0%3D%7C3000%7C%7C%7C&amp;sdata=Lidj7tgg1Jb68ASPTO7F0uFMPVZGrDAURlPmqsIfFvo%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3.safelinks.protection.outlook.com/?url=https%3A%2F%2Fintranet.undp.org%2Funit%2Fofrm%2Ffbp%2Ffbat%2FRMT%2520Assistant%2FForms%2FAllItems.aspx&amp;data=05%7C01%7Calberto.lizzi%40undp.org%7C82e1bf688c7f49c072ee08da9b51723f%7Cb3e5db5e2944483799f57488ace54319%7C0%7C0%7C637993071358126017%7CUnknown%7CTWFpbGZsb3d8eyJWIjoiMC4wLjAwMDAiLCJQIjoiV2luMzIiLCJBTiI6Ik1haWwiLCJXVCI6Mn0%3D%7C3000%7C%7C%7C&amp;sdata=Lidj7tgg1Jb68ASPTO7F0uFMPVZGrDAURlPmqsIfFv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2022-09-27T22:00:00+00:00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Programme Management Resources Mobilization Target Table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POPP-11-1512</_dlc_DocId>
    <_dlc_DocIdUrl xmlns="8264c5cc-ec60-4b56-8111-ce635d3d139a">
      <Url>https://popp.undp.org/_layouts/15/DocIdRedir.aspx?ID=POPP-11-1512</Url>
      <Description>POPP-11-1512</Description>
    </_dlc_DocIdUrl>
    <DLCPolicyLabelLock xmlns="e560140e-7b2f-4392-90df-e7567e3021a3" xsi:nil="true"/>
    <DLCPolicyLabelClientValue xmlns="e560140e-7b2f-4392-90df-e7567e3021a3">Effective Date: {Effective Date}                                                Version #: 1.0</DLCPolicyLabelClientValue>
    <UNDP_POPP_REFITEM_VERSION xmlns="8264c5cc-ec60-4b56-8111-ce635d3d139a">1</UNDP_POPP_REFITEM_VERSION>
    <UNDP_POPP_LASTMODIFIED xmlns="8264c5cc-ec60-4b56-8111-ce635d3d139a" xsi:nil="true"/>
    <DLCPolicyLabelValue xmlns="e560140e-7b2f-4392-90df-e7567e3021a3">Effective Date: 28/09/2022                                                Version #: 1</DLCPolicyLabelValue>
    <UNDP_POPP_REJECT_COMMENTS xmlns="8264c5cc-ec60-4b56-8111-ce635d3d139a" xsi:nil="true"/>
    <POPPIsArchived xmlns="e560140e-7b2f-4392-90df-e7567e3021a3">false</POPPIsArchiv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E32A78A-B250-4F83-981B-2289FB874252}">
  <ds:schemaRefs>
    <ds:schemaRef ds:uri="http://schemas.microsoft.com/sharepoint/events"/>
  </ds:schemaRefs>
</ds:datastoreItem>
</file>

<file path=customXml/itemProps2.xml><?xml version="1.0" encoding="utf-8"?>
<ds:datastoreItem xmlns:ds="http://schemas.openxmlformats.org/officeDocument/2006/customXml" ds:itemID="{17EC7708-48C3-4ECE-B3A8-156182CB8450}">
  <ds:schemaRefs>
    <ds:schemaRef ds:uri="http://schemas.microsoft.com/sharepoint/v3/contenttype/forms"/>
  </ds:schemaRefs>
</ds:datastoreItem>
</file>

<file path=customXml/itemProps3.xml><?xml version="1.0" encoding="utf-8"?>
<ds:datastoreItem xmlns:ds="http://schemas.openxmlformats.org/officeDocument/2006/customXml" ds:itemID="{A609DCBA-04EB-43DE-B1C8-7E8E2620B6B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4AAE8B78-B8DD-40DB-9B53-D40FD654C890}">
  <ds:schemaRefs>
    <ds:schemaRef ds:uri="http://schemas.openxmlformats.org/officeDocument/2006/bibliography"/>
  </ds:schemaRefs>
</ds:datastoreItem>
</file>

<file path=customXml/itemProps5.xml><?xml version="1.0" encoding="utf-8"?>
<ds:datastoreItem xmlns:ds="http://schemas.openxmlformats.org/officeDocument/2006/customXml" ds:itemID="{95A08F2F-30DB-4E98-977E-495E5330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36B057-D69A-419F-8AB3-35A8722219D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1093</Words>
  <Characters>7214</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Guidance Note on Financial Tables</vt:lpstr>
    </vt:vector>
  </TitlesOfParts>
  <Company>UNDP</Company>
  <LinksUpToDate>false</LinksUpToDate>
  <CharactersWithSpaces>8210</CharactersWithSpaces>
  <SharedDoc>false</SharedDoc>
  <HLinks>
    <vt:vector size="12" baseType="variant">
      <vt:variant>
        <vt:i4>1572898</vt:i4>
      </vt:variant>
      <vt:variant>
        <vt:i4>3</vt:i4>
      </vt:variant>
      <vt:variant>
        <vt:i4>0</vt:i4>
      </vt:variant>
      <vt:variant>
        <vt:i4>5</vt:i4>
      </vt:variant>
      <vt:variant>
        <vt:lpwstr>http://content.undp.org/go/prescriptive/Financial-Resources-Management---Prescriptive-Content/;jsessionid=aHSJE_JtGG28?bbp.11.pane=0&amp;bbp.16.pane=0&amp;bbp.v=1287250&amp;bbp.e=s&amp;bbp.s=23&amp;bbp.9.pane=0&amp;bbp.10.pane=0&amp;bbp.12.pane=0&amp;bbp.151.ps=10&amp;bbp.23.state=+142090+&amp;b</vt:lpwstr>
      </vt:variant>
      <vt:variant>
        <vt:lpwstr/>
      </vt:variant>
      <vt:variant>
        <vt:i4>1572898</vt:i4>
      </vt:variant>
      <vt:variant>
        <vt:i4>0</vt:i4>
      </vt:variant>
      <vt:variant>
        <vt:i4>0</vt:i4>
      </vt:variant>
      <vt:variant>
        <vt:i4>5</vt:i4>
      </vt:variant>
      <vt:variant>
        <vt:lpwstr>http://content.undp.org/go/prescriptive/Financial-Resources-Management---Prescriptive-Content/;jsessionid=aHSJE_JtGG28?bbp.11.pane=0&amp;bbp.16.pane=0&amp;bbp.v=1287250&amp;bbp.e=s&amp;bbp.s=23&amp;bbp.9.pane=0&amp;bbp.10.pane=0&amp;bbp.12.pane=0&amp;bbp.151.ps=10&amp;bbp.23.state=+142090+&am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Financial Tables</dc:title>
  <dc:creator>Fernandel Carbonell</dc:creator>
  <cp:lastModifiedBy>Alberto Lizzi</cp:lastModifiedBy>
  <cp:revision>14</cp:revision>
  <cp:lastPrinted>2013-11-19T21:19:00Z</cp:lastPrinted>
  <dcterms:created xsi:type="dcterms:W3CDTF">2022-09-20T21:26:00Z</dcterms:created>
  <dcterms:modified xsi:type="dcterms:W3CDTF">2022-09-27T12:53:00Z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23700</vt:r8>
  </property>
  <property fmtid="{D5CDD505-2E9C-101B-9397-08002B2CF9AE}" pid="3" name="UNDPPOPPKeywords">
    <vt:lpwstr>18;#Resource Mobilization Target|2b3dbdf2-e827-448a-93b2-88f2ddda8b2c</vt:lpwstr>
  </property>
  <property fmtid="{D5CDD505-2E9C-101B-9397-08002B2CF9AE}" pid="4" name="ContentTypeId">
    <vt:lpwstr>0x01010061FF32BFFC2B4E50A3A86F4682D7D367007687F3382310C0489D2A99E053BA6D39</vt:lpwstr>
  </property>
  <property fmtid="{D5CDD505-2E9C-101B-9397-08002B2CF9AE}" pid="5" name="_dlc_DocId">
    <vt:lpwstr>UNDPGBL-229-237</vt:lpwstr>
  </property>
  <property fmtid="{D5CDD505-2E9C-101B-9397-08002B2CF9AE}" pid="6" name="TaxCatchAll">
    <vt:lpwstr>18;#Resource Mobilization Target|2b3dbdf2-e827-448a-93b2-88f2ddda8b2c</vt:lpwstr>
  </property>
  <property fmtid="{D5CDD505-2E9C-101B-9397-08002B2CF9AE}" pid="7" name="_dlc_DocIdUrl">
    <vt:lpwstr>https://intranet.undp.org/global/documents/_layouts/DocIdRedir.aspx?ID=UNDPGBL-229-237, UNDPGBL-229-237</vt:lpwstr>
  </property>
  <property fmtid="{D5CDD505-2E9C-101B-9397-08002B2CF9AE}" pid="8" name="_dlc_DocIdItemGuid">
    <vt:lpwstr>71d5894e-eb3e-4f6e-add1-b5c4636bc934</vt:lpwstr>
  </property>
  <property fmtid="{D5CDD505-2E9C-101B-9397-08002B2CF9AE}" pid="9" name="BusinessUnit">
    <vt:lpwstr>2;#Programme and Project Management|dea4c69a-7909-43f6-8de1-50c95d5a9f3f</vt:lpwstr>
  </property>
  <property fmtid="{D5CDD505-2E9C-101B-9397-08002B2CF9AE}" pid="10" name="POPPBusinessProcess">
    <vt:lpwstr/>
  </property>
  <property fmtid="{D5CDD505-2E9C-101B-9397-08002B2CF9AE}" pid="11" name="l0e6ef0c43e74560bd7f3acd1f5e8571">
    <vt:lpwstr>Programme and Project Management|dea4c69a-7909-43f6-8de1-50c95d5a9f3f</vt:lpwstr>
  </property>
  <property fmtid="{D5CDD505-2E9C-101B-9397-08002B2CF9AE}" pid="12" name="UNDP_POPP_BUSINESSUNIT">
    <vt:lpwstr>669;#Programme and Project Management|1c019435-9793-447e-8959-0b32d23bf3d5</vt:lpwstr>
  </property>
</Properties>
</file>