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FAE4" w14:textId="77777777" w:rsidR="0007289E" w:rsidRPr="00E22401" w:rsidRDefault="00F859C9">
      <w:pPr>
        <w:spacing w:after="96" w:line="259" w:lineRule="auto"/>
        <w:ind w:left="1702" w:right="0" w:firstLine="0"/>
        <w:jc w:val="left"/>
        <w:rPr>
          <w:lang w:val="en-GB"/>
        </w:rPr>
      </w:pPr>
      <w:r w:rsidRPr="00E22401">
        <w:rPr>
          <w:b/>
          <w:sz w:val="28"/>
          <w:lang w:val="en-GB"/>
        </w:rPr>
        <w:t xml:space="preserve">Working with External Auditors  </w:t>
      </w:r>
      <w:r w:rsidRPr="00E22401">
        <w:rPr>
          <w:lang w:val="en-GB"/>
        </w:rPr>
        <w:t xml:space="preserve"> </w:t>
      </w:r>
    </w:p>
    <w:p w14:paraId="6ADCFAE5" w14:textId="77777777" w:rsidR="0007289E" w:rsidRPr="00E22401" w:rsidRDefault="00F859C9">
      <w:pPr>
        <w:pStyle w:val="Heading1"/>
        <w:spacing w:after="298"/>
        <w:ind w:left="1683"/>
        <w:rPr>
          <w:lang w:val="en-GB"/>
        </w:rPr>
      </w:pPr>
      <w:r w:rsidRPr="00E22401">
        <w:rPr>
          <w:lang w:val="en-GB"/>
        </w:rPr>
        <w:t xml:space="preserve">Role, Mandate and Appointment of external auditors  </w:t>
      </w:r>
    </w:p>
    <w:p w14:paraId="6ADCFAE6" w14:textId="77777777" w:rsidR="0007289E" w:rsidRPr="00E22401" w:rsidRDefault="00F859C9">
      <w:pPr>
        <w:numPr>
          <w:ilvl w:val="0"/>
          <w:numId w:val="1"/>
        </w:numPr>
        <w:spacing w:after="219"/>
        <w:ind w:right="128" w:hanging="360"/>
        <w:rPr>
          <w:lang w:val="en-GB"/>
        </w:rPr>
      </w:pPr>
      <w:r w:rsidRPr="00E22401">
        <w:rPr>
          <w:lang w:val="en-GB"/>
        </w:rPr>
        <w:t xml:space="preserve">“External audit” refers to an audit carried out by a body that is external to, and independent of, the organization being audited and has direct reporting responsibility to a relevant Governing Body. In UNDP, external auditors are one of the key independent oversight bodies and report to the General Assembly.  </w:t>
      </w:r>
    </w:p>
    <w:p w14:paraId="6ADCFAE7" w14:textId="77777777" w:rsidR="0007289E" w:rsidRPr="00E22401" w:rsidRDefault="00F859C9">
      <w:pPr>
        <w:spacing w:after="78" w:line="259" w:lineRule="auto"/>
        <w:ind w:left="1702" w:right="0" w:firstLine="0"/>
        <w:jc w:val="left"/>
        <w:rPr>
          <w:lang w:val="en-GB"/>
        </w:rPr>
      </w:pPr>
      <w:r w:rsidRPr="00E22401">
        <w:rPr>
          <w:lang w:val="en-GB"/>
        </w:rPr>
        <w:t xml:space="preserve">  </w:t>
      </w:r>
    </w:p>
    <w:p w14:paraId="6ADCFAE8" w14:textId="77777777" w:rsidR="0007289E" w:rsidRPr="00E22401" w:rsidRDefault="00F859C9">
      <w:pPr>
        <w:spacing w:after="228" w:line="259" w:lineRule="auto"/>
        <w:ind w:left="0" w:right="0" w:firstLine="0"/>
        <w:jc w:val="right"/>
        <w:rPr>
          <w:lang w:val="en-GB"/>
        </w:rPr>
      </w:pPr>
      <w:r w:rsidRPr="00E22401">
        <w:rPr>
          <w:noProof/>
          <w:lang w:eastAsia="ja-JP"/>
        </w:rPr>
        <w:drawing>
          <wp:inline distT="0" distB="0" distL="0" distR="0" wp14:anchorId="6ADCFB66" wp14:editId="6ADCFB67">
            <wp:extent cx="5943600" cy="3342132"/>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2"/>
                    <a:stretch>
                      <a:fillRect/>
                    </a:stretch>
                  </pic:blipFill>
                  <pic:spPr>
                    <a:xfrm>
                      <a:off x="0" y="0"/>
                      <a:ext cx="5943600" cy="3342132"/>
                    </a:xfrm>
                    <a:prstGeom prst="rect">
                      <a:avLst/>
                    </a:prstGeom>
                  </pic:spPr>
                </pic:pic>
              </a:graphicData>
            </a:graphic>
          </wp:inline>
        </w:drawing>
      </w:r>
      <w:r w:rsidRPr="00E22401">
        <w:rPr>
          <w:lang w:val="en-GB"/>
        </w:rPr>
        <w:t xml:space="preserve">  </w:t>
      </w:r>
    </w:p>
    <w:p w14:paraId="6ADCFAE9" w14:textId="77777777" w:rsidR="0007289E" w:rsidRPr="00E22401" w:rsidRDefault="00F859C9">
      <w:pPr>
        <w:numPr>
          <w:ilvl w:val="0"/>
          <w:numId w:val="1"/>
        </w:numPr>
        <w:ind w:right="128" w:hanging="360"/>
        <w:rPr>
          <w:lang w:val="en-GB"/>
        </w:rPr>
      </w:pPr>
      <w:r w:rsidRPr="00E22401">
        <w:rPr>
          <w:lang w:val="en-GB"/>
        </w:rPr>
        <w:t xml:space="preserve">External auditors’ work is utilized by UNDP in strategic thinking, governance, accountability, transparency, and in the delivery of its services on the ground.    </w:t>
      </w:r>
    </w:p>
    <w:p w14:paraId="6ADCFAEA" w14:textId="77777777" w:rsidR="0007289E" w:rsidRPr="00E22401" w:rsidRDefault="00F859C9">
      <w:pPr>
        <w:spacing w:after="57" w:line="259" w:lineRule="auto"/>
        <w:ind w:left="2422" w:right="0" w:firstLine="0"/>
        <w:jc w:val="left"/>
        <w:rPr>
          <w:lang w:val="en-GB"/>
        </w:rPr>
      </w:pPr>
      <w:r w:rsidRPr="00E22401">
        <w:rPr>
          <w:lang w:val="en-GB"/>
        </w:rPr>
        <w:t xml:space="preserve">  </w:t>
      </w:r>
    </w:p>
    <w:p w14:paraId="6ADCFAEB" w14:textId="77777777" w:rsidR="0007289E" w:rsidRPr="00E22401" w:rsidRDefault="00F859C9">
      <w:pPr>
        <w:numPr>
          <w:ilvl w:val="0"/>
          <w:numId w:val="1"/>
        </w:numPr>
        <w:ind w:right="128" w:hanging="360"/>
        <w:rPr>
          <w:lang w:val="en-GB"/>
        </w:rPr>
      </w:pPr>
      <w:r w:rsidRPr="00E22401">
        <w:rPr>
          <w:lang w:val="en-GB"/>
        </w:rPr>
        <w:t xml:space="preserve">The United Nations Board of Auditors (BoA) was established in 1946 by the General Assembly and is comprised of the Heads of the Supreme Audit Institutions from three Member States. The Board certifies the UN accounts, its </w:t>
      </w:r>
      <w:proofErr w:type="gramStart"/>
      <w:r w:rsidRPr="00E22401">
        <w:rPr>
          <w:lang w:val="en-GB"/>
        </w:rPr>
        <w:t>funds</w:t>
      </w:r>
      <w:proofErr w:type="gramEnd"/>
      <w:r w:rsidRPr="00E22401">
        <w:rPr>
          <w:lang w:val="en-GB"/>
        </w:rPr>
        <w:t xml:space="preserve"> and programmes (including UNDP), and provides reports covering a wide array of financial, managerial and value-for-money audits. The overarching goal of the Board is to use the unique perspective of public external audit to both aid the General Assembly in holding UN entities accountable for the use of public resources, and add value by identifying ways to improve the delivery of international public services.  </w:t>
      </w:r>
    </w:p>
    <w:p w14:paraId="6ADCFAEC" w14:textId="77777777" w:rsidR="0007289E" w:rsidRPr="00E22401" w:rsidRDefault="00F859C9">
      <w:pPr>
        <w:spacing w:after="43" w:line="259" w:lineRule="auto"/>
        <w:ind w:left="2422" w:right="0" w:firstLine="0"/>
        <w:jc w:val="left"/>
        <w:rPr>
          <w:lang w:val="en-GB"/>
        </w:rPr>
      </w:pPr>
      <w:r w:rsidRPr="00E22401">
        <w:rPr>
          <w:lang w:val="en-GB"/>
        </w:rPr>
        <w:t xml:space="preserve">  </w:t>
      </w:r>
    </w:p>
    <w:p w14:paraId="6ADCFAED" w14:textId="283941CC" w:rsidR="0007289E" w:rsidRPr="00E22401" w:rsidRDefault="00F859C9">
      <w:pPr>
        <w:numPr>
          <w:ilvl w:val="0"/>
          <w:numId w:val="1"/>
        </w:numPr>
        <w:ind w:right="128" w:hanging="360"/>
        <w:rPr>
          <w:lang w:val="en-GB"/>
        </w:rPr>
      </w:pPr>
      <w:r w:rsidRPr="00E22401">
        <w:rPr>
          <w:lang w:val="en-GB"/>
        </w:rPr>
        <w:t xml:space="preserve">By </w:t>
      </w:r>
      <w:r w:rsidRPr="00E22401">
        <w:rPr>
          <w:u w:val="single" w:color="000000"/>
          <w:lang w:val="en-GB"/>
        </w:rPr>
        <w:t>resolution 55/248</w:t>
      </w:r>
      <w:r w:rsidRPr="00E22401">
        <w:rPr>
          <w:lang w:val="en-GB"/>
        </w:rPr>
        <w:t xml:space="preserve"> of 12 April 2001, the General Assembly approved a non-consecutive, </w:t>
      </w:r>
      <w:r w:rsidR="00B84005" w:rsidRPr="00E22401">
        <w:rPr>
          <w:lang w:val="en-GB"/>
        </w:rPr>
        <w:t>six-year</w:t>
      </w:r>
      <w:r w:rsidRPr="00E22401">
        <w:rPr>
          <w:lang w:val="en-GB"/>
        </w:rPr>
        <w:t xml:space="preserve"> term of office for board members with the initial duration beginning 1 July 2002. Appointments are staggered so that the term of office of one of the members expires every two years. The General Assembly appoints a new board member every two years.  </w:t>
      </w:r>
    </w:p>
    <w:p w14:paraId="6ADCFAEE" w14:textId="77777777" w:rsidR="0007289E" w:rsidRPr="00E22401" w:rsidRDefault="00F859C9">
      <w:pPr>
        <w:spacing w:after="45" w:line="259" w:lineRule="auto"/>
        <w:ind w:left="2422" w:right="0" w:firstLine="0"/>
        <w:jc w:val="left"/>
        <w:rPr>
          <w:lang w:val="en-GB"/>
        </w:rPr>
      </w:pPr>
      <w:r w:rsidRPr="00E22401">
        <w:rPr>
          <w:lang w:val="en-GB"/>
        </w:rPr>
        <w:t xml:space="preserve">  </w:t>
      </w:r>
    </w:p>
    <w:p w14:paraId="6ADCFAEF" w14:textId="77777777" w:rsidR="0007289E" w:rsidRPr="00E22401" w:rsidRDefault="00F859C9">
      <w:pPr>
        <w:numPr>
          <w:ilvl w:val="0"/>
          <w:numId w:val="1"/>
        </w:numPr>
        <w:spacing w:after="262"/>
        <w:ind w:right="128" w:hanging="360"/>
        <w:rPr>
          <w:lang w:val="en-GB"/>
        </w:rPr>
      </w:pPr>
      <w:r w:rsidRPr="00E22401">
        <w:rPr>
          <w:lang w:val="en-GB"/>
        </w:rPr>
        <w:lastRenderedPageBreak/>
        <w:t xml:space="preserve">The Board conducts its audits in accordance with the International Standards on Auditing. UNDP external audits are also conducted in accordance with the financial rules and regulations, associated internal control framework, </w:t>
      </w:r>
      <w:proofErr w:type="gramStart"/>
      <w:r w:rsidRPr="00E22401">
        <w:rPr>
          <w:lang w:val="en-GB"/>
        </w:rPr>
        <w:t>policies</w:t>
      </w:r>
      <w:proofErr w:type="gramEnd"/>
      <w:r w:rsidRPr="00E22401">
        <w:rPr>
          <w:lang w:val="en-GB"/>
        </w:rPr>
        <w:t xml:space="preserve"> and procedures.  </w:t>
      </w:r>
    </w:p>
    <w:p w14:paraId="6ADCFAF0" w14:textId="77777777" w:rsidR="0007289E" w:rsidRPr="00E22401" w:rsidRDefault="00F859C9">
      <w:pPr>
        <w:spacing w:after="0" w:line="259" w:lineRule="auto"/>
        <w:ind w:left="1702" w:right="0" w:firstLine="0"/>
        <w:jc w:val="left"/>
        <w:rPr>
          <w:lang w:val="en-GB"/>
        </w:rPr>
      </w:pPr>
      <w:r w:rsidRPr="00E22401">
        <w:rPr>
          <w:lang w:val="en-GB"/>
        </w:rPr>
        <w:t xml:space="preserve">  </w:t>
      </w:r>
    </w:p>
    <w:p w14:paraId="6ADCFAF1" w14:textId="77777777" w:rsidR="0007289E" w:rsidRPr="00E22401" w:rsidRDefault="00F859C9">
      <w:pPr>
        <w:numPr>
          <w:ilvl w:val="0"/>
          <w:numId w:val="1"/>
        </w:numPr>
        <w:spacing w:after="224"/>
        <w:ind w:right="128" w:hanging="360"/>
        <w:rPr>
          <w:lang w:val="en-GB"/>
        </w:rPr>
      </w:pPr>
      <w:r w:rsidRPr="00E22401">
        <w:rPr>
          <w:lang w:val="en-GB"/>
        </w:rPr>
        <w:t xml:space="preserve">BoA and OAI consult on an ongoing basis and coordinate work-plan priorities and audit work to avoid audit gaps and/or duplication of efforts.  For more information concerning the UNBOA, please consult </w:t>
      </w:r>
      <w:hyperlink r:id="rId13">
        <w:r w:rsidRPr="00E22401">
          <w:rPr>
            <w:lang w:val="en-GB"/>
          </w:rPr>
          <w:t>United Nations Board of Auditor</w:t>
        </w:r>
      </w:hyperlink>
      <w:hyperlink r:id="rId14">
        <w:r w:rsidRPr="00E22401">
          <w:rPr>
            <w:lang w:val="en-GB"/>
          </w:rPr>
          <w:t>s</w:t>
        </w:r>
      </w:hyperlink>
      <w:hyperlink r:id="rId15">
        <w:r w:rsidRPr="00E22401">
          <w:rPr>
            <w:lang w:val="en-GB"/>
          </w:rPr>
          <w:t xml:space="preserve"> </w:t>
        </w:r>
      </w:hyperlink>
      <w:hyperlink r:id="rId16">
        <w:r w:rsidRPr="00E22401">
          <w:rPr>
            <w:lang w:val="en-GB"/>
          </w:rPr>
          <w:t>s</w:t>
        </w:r>
      </w:hyperlink>
      <w:r w:rsidRPr="00E22401">
        <w:rPr>
          <w:lang w:val="en-GB"/>
        </w:rPr>
        <w:t xml:space="preserve">ite.   </w:t>
      </w:r>
    </w:p>
    <w:p w14:paraId="6ADCFAF2" w14:textId="77777777" w:rsidR="0007289E" w:rsidRPr="00E22401" w:rsidRDefault="00F859C9">
      <w:pPr>
        <w:pStyle w:val="Heading1"/>
        <w:spacing w:after="348"/>
        <w:ind w:left="1683"/>
        <w:rPr>
          <w:lang w:val="en-GB"/>
        </w:rPr>
      </w:pPr>
      <w:r w:rsidRPr="00E22401">
        <w:rPr>
          <w:lang w:val="en-GB"/>
        </w:rPr>
        <w:t xml:space="preserve">Scope of work of external audit  </w:t>
      </w:r>
    </w:p>
    <w:p w14:paraId="6ADCFAF3" w14:textId="77777777" w:rsidR="0007289E" w:rsidRPr="00E22401" w:rsidRDefault="00F859C9">
      <w:pPr>
        <w:numPr>
          <w:ilvl w:val="0"/>
          <w:numId w:val="2"/>
        </w:numPr>
        <w:ind w:right="128" w:hanging="360"/>
        <w:rPr>
          <w:lang w:val="en-GB"/>
        </w:rPr>
      </w:pPr>
      <w:r w:rsidRPr="00E22401">
        <w:rPr>
          <w:lang w:val="en-GB"/>
        </w:rPr>
        <w:t xml:space="preserve">While the mandate of the UNBOA is to certify the Finance Statements of UNDP for the financial year, the external audit has been vested with the authority from the General Assembly to raise audit observations on areas they deem exposed to risk and to make necessary audit recommendations with the objective of enhancing the efficiency and effectiveness of UNDP operations, </w:t>
      </w:r>
      <w:proofErr w:type="gramStart"/>
      <w:r w:rsidRPr="00E22401">
        <w:rPr>
          <w:lang w:val="en-GB"/>
        </w:rPr>
        <w:t>practices</w:t>
      </w:r>
      <w:proofErr w:type="gramEnd"/>
      <w:r w:rsidRPr="00E22401">
        <w:rPr>
          <w:lang w:val="en-GB"/>
        </w:rPr>
        <w:t xml:space="preserve"> and policies.   </w:t>
      </w:r>
    </w:p>
    <w:p w14:paraId="6ADCFAF4" w14:textId="77777777" w:rsidR="0007289E" w:rsidRPr="00E22401" w:rsidRDefault="00F859C9">
      <w:pPr>
        <w:spacing w:after="48" w:line="259" w:lineRule="auto"/>
        <w:ind w:left="2422" w:right="0" w:firstLine="0"/>
        <w:jc w:val="left"/>
        <w:rPr>
          <w:lang w:val="en-GB"/>
        </w:rPr>
      </w:pPr>
      <w:r w:rsidRPr="00E22401">
        <w:rPr>
          <w:lang w:val="en-GB"/>
        </w:rPr>
        <w:t xml:space="preserve">  </w:t>
      </w:r>
    </w:p>
    <w:p w14:paraId="6ADCFAF5" w14:textId="77777777" w:rsidR="0007289E" w:rsidRPr="00E22401" w:rsidRDefault="00F859C9">
      <w:pPr>
        <w:numPr>
          <w:ilvl w:val="0"/>
          <w:numId w:val="2"/>
        </w:numPr>
        <w:ind w:right="128" w:hanging="360"/>
        <w:rPr>
          <w:lang w:val="en-GB"/>
        </w:rPr>
      </w:pPr>
      <w:r w:rsidRPr="00E22401">
        <w:rPr>
          <w:lang w:val="en-GB"/>
        </w:rPr>
        <w:t xml:space="preserve">The Board provides a long-form report (from recommendations made to management on risk areas identified during their audits on an annual basis) and an audit opinion on the UNDP financial statements. These are submitted to the General Assembly, or to other governing bodies, along with the audited financial statements. The reports that are transmitted to the General Assembly are first examined by the Advisory Committee on Administrative and Budgetary Questions, which forwards its comments to the General Assembly.  </w:t>
      </w:r>
    </w:p>
    <w:p w14:paraId="6ADCFAF6" w14:textId="77777777" w:rsidR="0007289E" w:rsidRPr="00E22401" w:rsidRDefault="00F859C9">
      <w:pPr>
        <w:spacing w:after="60" w:line="259" w:lineRule="auto"/>
        <w:ind w:left="2422" w:right="0" w:firstLine="0"/>
        <w:jc w:val="left"/>
        <w:rPr>
          <w:lang w:val="en-GB"/>
        </w:rPr>
      </w:pPr>
      <w:r w:rsidRPr="00E22401">
        <w:rPr>
          <w:lang w:val="en-GB"/>
        </w:rPr>
        <w:t xml:space="preserve">  </w:t>
      </w:r>
    </w:p>
    <w:p w14:paraId="6ADCFAF7" w14:textId="77777777" w:rsidR="0007289E" w:rsidRPr="00E22401" w:rsidRDefault="00F859C9">
      <w:pPr>
        <w:numPr>
          <w:ilvl w:val="0"/>
          <w:numId w:val="2"/>
        </w:numPr>
        <w:spacing w:after="226"/>
        <w:ind w:right="128" w:hanging="360"/>
        <w:rPr>
          <w:lang w:val="en-GB"/>
        </w:rPr>
      </w:pPr>
      <w:r w:rsidRPr="00E22401">
        <w:rPr>
          <w:lang w:val="en-GB"/>
        </w:rPr>
        <w:t>According to UNDP Financial Regulations and Rules, audits of UNDP activities may only be carried out by UNDP’s internal and external auditors. Internal audits are the responsibility of the Office of Audit and Investigations (OAI</w:t>
      </w:r>
      <w:proofErr w:type="gramStart"/>
      <w:r w:rsidRPr="00E22401">
        <w:rPr>
          <w:lang w:val="en-GB"/>
        </w:rPr>
        <w:t>)</w:t>
      </w:r>
      <w:proofErr w:type="gramEnd"/>
      <w:r w:rsidRPr="00E22401">
        <w:rPr>
          <w:lang w:val="en-GB"/>
        </w:rPr>
        <w:t xml:space="preserve"> and external audits are the responsibility of the UNBOA.  </w:t>
      </w:r>
    </w:p>
    <w:p w14:paraId="6ADCFAF8" w14:textId="77777777" w:rsidR="0007289E" w:rsidRPr="00E22401" w:rsidRDefault="00F859C9">
      <w:pPr>
        <w:pStyle w:val="Heading1"/>
        <w:ind w:left="1683"/>
        <w:rPr>
          <w:lang w:val="en-GB"/>
        </w:rPr>
      </w:pPr>
      <w:r w:rsidRPr="00E22401">
        <w:rPr>
          <w:lang w:val="en-GB"/>
        </w:rPr>
        <w:t xml:space="preserve">Difference between Office of Audit and Investigations (OAI) and UN Board of Auditors  </w:t>
      </w:r>
    </w:p>
    <w:p w14:paraId="6ADCFAF9" w14:textId="77777777" w:rsidR="0007289E" w:rsidRPr="00E22401" w:rsidRDefault="00F859C9">
      <w:pPr>
        <w:spacing w:after="48" w:line="259" w:lineRule="auto"/>
        <w:ind w:left="1702" w:right="0" w:firstLine="0"/>
        <w:jc w:val="left"/>
        <w:rPr>
          <w:lang w:val="en-GB"/>
        </w:rPr>
      </w:pPr>
      <w:r w:rsidRPr="00E22401">
        <w:rPr>
          <w:lang w:val="en-GB"/>
        </w:rPr>
        <w:t xml:space="preserve">  </w:t>
      </w:r>
    </w:p>
    <w:p w14:paraId="6ADCFAFA" w14:textId="77777777" w:rsidR="0007289E" w:rsidRPr="00E22401" w:rsidRDefault="00F859C9">
      <w:pPr>
        <w:numPr>
          <w:ilvl w:val="0"/>
          <w:numId w:val="3"/>
        </w:numPr>
        <w:ind w:right="128" w:hanging="350"/>
        <w:rPr>
          <w:lang w:val="en-GB"/>
        </w:rPr>
      </w:pPr>
      <w:r w:rsidRPr="00E22401">
        <w:rPr>
          <w:lang w:val="en-GB"/>
        </w:rPr>
        <w:t xml:space="preserve">The BoA, as external auditors of UNDP, conducts audits with the purpose of certifying the UNDP financial statements and ensuring that transactions were carried out in line with UNDPs financial rules and regulations and associated policies and procedures. The BoA reports to the United Nations General Assembly through the Fifth Committee and after review and advice by the Advisory Committee on Administrative and Budgetary Questions (ACABQ). The OAI, as internal auditor of UNDP, conducts its audits to assess the adequacy and effectiveness of the governance, risk management and control processes in the following main areas:  </w:t>
      </w:r>
    </w:p>
    <w:p w14:paraId="6ADCFAFB" w14:textId="77777777" w:rsidR="0007289E" w:rsidRPr="00E22401" w:rsidRDefault="00F859C9">
      <w:pPr>
        <w:spacing w:after="35" w:line="259" w:lineRule="auto"/>
        <w:ind w:left="1702" w:right="0" w:firstLine="0"/>
        <w:jc w:val="left"/>
        <w:rPr>
          <w:lang w:val="en-GB"/>
        </w:rPr>
      </w:pPr>
      <w:r w:rsidRPr="00E22401">
        <w:rPr>
          <w:lang w:val="en-GB"/>
        </w:rPr>
        <w:t xml:space="preserve">  </w:t>
      </w:r>
    </w:p>
    <w:p w14:paraId="6ADCFAFC" w14:textId="77777777" w:rsidR="0007289E" w:rsidRPr="00E22401" w:rsidRDefault="00F859C9" w:rsidP="003F1B53">
      <w:pPr>
        <w:numPr>
          <w:ilvl w:val="1"/>
          <w:numId w:val="12"/>
        </w:numPr>
        <w:spacing w:after="32"/>
        <w:ind w:right="128" w:hanging="300"/>
        <w:rPr>
          <w:lang w:val="en-GB"/>
        </w:rPr>
      </w:pPr>
      <w:r w:rsidRPr="00E22401">
        <w:rPr>
          <w:lang w:val="en-GB"/>
        </w:rPr>
        <w:t xml:space="preserve">Governance and strategic management   </w:t>
      </w:r>
    </w:p>
    <w:p w14:paraId="6ADCFAFD" w14:textId="77777777" w:rsidR="0007289E" w:rsidRPr="00E22401" w:rsidRDefault="00F859C9" w:rsidP="003F1B53">
      <w:pPr>
        <w:numPr>
          <w:ilvl w:val="1"/>
          <w:numId w:val="12"/>
        </w:numPr>
        <w:spacing w:after="34"/>
        <w:ind w:right="128" w:hanging="300"/>
        <w:rPr>
          <w:lang w:val="en-GB"/>
        </w:rPr>
      </w:pPr>
      <w:r w:rsidRPr="00E22401">
        <w:rPr>
          <w:lang w:val="en-GB"/>
        </w:rPr>
        <w:t xml:space="preserve">United Nations system coordination   </w:t>
      </w:r>
    </w:p>
    <w:p w14:paraId="6ADCFAFE" w14:textId="77777777" w:rsidR="0007289E" w:rsidRPr="00E22401" w:rsidRDefault="00F859C9" w:rsidP="003F1B53">
      <w:pPr>
        <w:numPr>
          <w:ilvl w:val="1"/>
          <w:numId w:val="12"/>
        </w:numPr>
        <w:spacing w:after="31"/>
        <w:ind w:right="128" w:hanging="300"/>
        <w:rPr>
          <w:lang w:val="en-GB"/>
        </w:rPr>
      </w:pPr>
      <w:r w:rsidRPr="00E22401">
        <w:rPr>
          <w:lang w:val="en-GB"/>
        </w:rPr>
        <w:t xml:space="preserve">Programme activities; and  </w:t>
      </w:r>
    </w:p>
    <w:p w14:paraId="6ADCFAFF" w14:textId="77777777" w:rsidR="0007289E" w:rsidRPr="00E22401" w:rsidRDefault="00F859C9" w:rsidP="003F1B53">
      <w:pPr>
        <w:numPr>
          <w:ilvl w:val="1"/>
          <w:numId w:val="12"/>
        </w:numPr>
        <w:ind w:right="128" w:hanging="300"/>
        <w:rPr>
          <w:lang w:val="en-GB"/>
        </w:rPr>
      </w:pPr>
      <w:r w:rsidRPr="00E22401">
        <w:rPr>
          <w:lang w:val="en-GB"/>
        </w:rPr>
        <w:t xml:space="preserve">Operations  </w:t>
      </w:r>
    </w:p>
    <w:p w14:paraId="6ADCFB00" w14:textId="77777777" w:rsidR="0007289E" w:rsidRPr="00E22401" w:rsidRDefault="00F859C9">
      <w:pPr>
        <w:spacing w:after="52" w:line="259" w:lineRule="auto"/>
        <w:ind w:left="1702" w:right="0" w:firstLine="0"/>
        <w:jc w:val="left"/>
        <w:rPr>
          <w:lang w:val="en-GB"/>
        </w:rPr>
      </w:pPr>
      <w:r w:rsidRPr="00E22401">
        <w:rPr>
          <w:lang w:val="en-GB"/>
        </w:rPr>
        <w:t xml:space="preserve">  </w:t>
      </w:r>
    </w:p>
    <w:p w14:paraId="6ADCFB01" w14:textId="77777777" w:rsidR="0007289E" w:rsidRPr="00E22401" w:rsidRDefault="00F859C9">
      <w:pPr>
        <w:numPr>
          <w:ilvl w:val="0"/>
          <w:numId w:val="3"/>
        </w:numPr>
        <w:spacing w:after="224"/>
        <w:ind w:right="128" w:hanging="350"/>
        <w:rPr>
          <w:lang w:val="en-GB"/>
        </w:rPr>
      </w:pPr>
      <w:r w:rsidRPr="00E22401">
        <w:rPr>
          <w:lang w:val="en-GB"/>
        </w:rPr>
        <w:t xml:space="preserve">OAI reports to the UNDP Administrator.  </w:t>
      </w:r>
    </w:p>
    <w:p w14:paraId="6ADCFB02" w14:textId="77777777" w:rsidR="0007289E" w:rsidRPr="00E22401" w:rsidRDefault="00F859C9">
      <w:pPr>
        <w:pStyle w:val="Heading1"/>
        <w:ind w:left="1683"/>
        <w:rPr>
          <w:lang w:val="en-GB"/>
        </w:rPr>
      </w:pPr>
      <w:r w:rsidRPr="00E22401">
        <w:rPr>
          <w:lang w:val="en-GB"/>
        </w:rPr>
        <w:lastRenderedPageBreak/>
        <w:t xml:space="preserve">Year End Closing Guidelines issued by Comptroller’s Office  </w:t>
      </w:r>
    </w:p>
    <w:p w14:paraId="6ADCFB03" w14:textId="77777777" w:rsidR="0007289E" w:rsidRPr="00E22401" w:rsidRDefault="00F859C9">
      <w:pPr>
        <w:spacing w:after="52" w:line="259" w:lineRule="auto"/>
        <w:ind w:left="2422" w:right="0" w:firstLine="0"/>
        <w:jc w:val="left"/>
        <w:rPr>
          <w:lang w:val="en-GB"/>
        </w:rPr>
      </w:pPr>
      <w:r w:rsidRPr="00E22401">
        <w:rPr>
          <w:lang w:val="en-GB"/>
        </w:rPr>
        <w:t xml:space="preserve">  </w:t>
      </w:r>
    </w:p>
    <w:p w14:paraId="6ADCFB04" w14:textId="77777777" w:rsidR="0007289E" w:rsidRPr="00E22401" w:rsidRDefault="00F859C9">
      <w:pPr>
        <w:ind w:left="2403" w:right="128"/>
        <w:rPr>
          <w:lang w:val="en-GB"/>
        </w:rPr>
      </w:pPr>
      <w:r w:rsidRPr="00E22401">
        <w:rPr>
          <w:lang w:val="en-GB"/>
        </w:rPr>
        <w:t>12.</w:t>
      </w:r>
      <w:r w:rsidRPr="00E22401">
        <w:rPr>
          <w:rFonts w:ascii="Arial" w:eastAsia="Arial" w:hAnsi="Arial" w:cs="Arial"/>
          <w:lang w:val="en-GB"/>
        </w:rPr>
        <w:t xml:space="preserve"> </w:t>
      </w:r>
      <w:r w:rsidRPr="00E22401">
        <w:rPr>
          <w:lang w:val="en-GB"/>
        </w:rPr>
        <w:t xml:space="preserve">Given that the external audit provides an audit opinion about the Financial Statements of UNDP, the UNBOA will review and assess the processes and procedures established by the Office of Finance in the Year End Closing.   All COs and HQ units are required to adhere to these instructions in order to ensure timely and quality financial statement preparation.  </w:t>
      </w:r>
    </w:p>
    <w:p w14:paraId="6ADCFB05" w14:textId="77777777" w:rsidR="0007289E" w:rsidRPr="00E22401" w:rsidRDefault="00F859C9">
      <w:pPr>
        <w:spacing w:after="0" w:line="259" w:lineRule="auto"/>
        <w:ind w:left="1702" w:right="0" w:firstLine="0"/>
        <w:jc w:val="left"/>
        <w:rPr>
          <w:lang w:val="en-GB"/>
        </w:rPr>
      </w:pPr>
      <w:r w:rsidRPr="00E22401">
        <w:rPr>
          <w:lang w:val="en-GB"/>
        </w:rPr>
        <w:t xml:space="preserve">  </w:t>
      </w:r>
    </w:p>
    <w:p w14:paraId="131ED26E" w14:textId="06B07E76" w:rsidR="00BA3996" w:rsidRPr="00E22401" w:rsidRDefault="00BA3996" w:rsidP="00BA3996">
      <w:pPr>
        <w:spacing w:after="215" w:line="259" w:lineRule="auto"/>
        <w:ind w:left="2417" w:right="0" w:firstLine="0"/>
        <w:jc w:val="left"/>
        <w:rPr>
          <w:lang w:val="en-GB"/>
        </w:rPr>
      </w:pPr>
      <w:r w:rsidRPr="0005782A">
        <w:rPr>
          <w:lang w:val="en-GB"/>
        </w:rPr>
        <w:t xml:space="preserve">See </w:t>
      </w:r>
      <w:hyperlink r:id="rId17" w:history="1">
        <w:r w:rsidRPr="0005782A">
          <w:rPr>
            <w:rStyle w:val="Hyperlink"/>
            <w:b/>
            <w:bCs/>
            <w:lang w:val="en-GB"/>
          </w:rPr>
          <w:t>Year End Closing Guidelines</w:t>
        </w:r>
      </w:hyperlink>
      <w:r w:rsidRPr="0005782A">
        <w:rPr>
          <w:color w:val="201F1E"/>
          <w:shd w:val="clear" w:color="auto" w:fill="FFFFFF"/>
        </w:rPr>
        <w:t xml:space="preserve"> </w:t>
      </w:r>
      <w:r>
        <w:rPr>
          <w:color w:val="201F1E"/>
          <w:shd w:val="clear" w:color="auto" w:fill="FFFFFF"/>
        </w:rPr>
        <w:t>(under “Financial Closures”)</w:t>
      </w:r>
      <w:r w:rsidRPr="0005782A">
        <w:rPr>
          <w:lang w:val="en-GB"/>
        </w:rPr>
        <w:t xml:space="preserve"> </w:t>
      </w:r>
    </w:p>
    <w:p w14:paraId="6ADCFB07" w14:textId="12ACB535" w:rsidR="0007289E" w:rsidRPr="00E22401" w:rsidRDefault="0007289E">
      <w:pPr>
        <w:spacing w:after="0" w:line="259" w:lineRule="auto"/>
        <w:ind w:left="2417" w:right="0" w:firstLine="0"/>
        <w:jc w:val="left"/>
        <w:rPr>
          <w:lang w:val="en-GB"/>
        </w:rPr>
      </w:pPr>
    </w:p>
    <w:p w14:paraId="6ADCFB08" w14:textId="77777777" w:rsidR="0007289E" w:rsidRPr="00E22401" w:rsidRDefault="00F859C9" w:rsidP="003F1B53">
      <w:pPr>
        <w:pStyle w:val="Heading1"/>
        <w:spacing w:after="180"/>
        <w:ind w:left="1684" w:hanging="14"/>
        <w:rPr>
          <w:lang w:val="en-GB"/>
        </w:rPr>
      </w:pPr>
      <w:r w:rsidRPr="00E22401">
        <w:rPr>
          <w:lang w:val="en-GB"/>
        </w:rPr>
        <w:t xml:space="preserve">Pre–Audit Announcement and Preparation   </w:t>
      </w:r>
      <w:r w:rsidRPr="00E22401">
        <w:rPr>
          <w:lang w:val="en-GB"/>
        </w:rPr>
        <w:tab/>
        <w:t xml:space="preserve"> </w:t>
      </w:r>
    </w:p>
    <w:p w14:paraId="6ADCFB09" w14:textId="77777777" w:rsidR="0007289E" w:rsidRPr="00E22401" w:rsidRDefault="00F859C9">
      <w:pPr>
        <w:numPr>
          <w:ilvl w:val="0"/>
          <w:numId w:val="4"/>
        </w:numPr>
        <w:ind w:right="128" w:hanging="360"/>
        <w:rPr>
          <w:lang w:val="en-GB"/>
        </w:rPr>
      </w:pPr>
      <w:r w:rsidRPr="00E22401">
        <w:rPr>
          <w:lang w:val="en-GB"/>
        </w:rPr>
        <w:t xml:space="preserve">The scope of external audit and the list of country offices and HQ departments to be audited are established during the annual audit planning cycle in coordination with the Director of Office of Audit and Investigations (OAI) and the Director of Office of Finance and Administration and Director External Audit, UNBOA. UNBOA also independently investigates issues as requested by the governing bodies including the Executive Board, the Advisory Committee on Administrative and Budgetary Questions (ACABQ) etc. Key considerations include the risk assessment of the country offices, results and schedule of the last audit, the extent to which the offices would be covered by the OAI audit, and specific circumstances surrounding the office.  </w:t>
      </w:r>
    </w:p>
    <w:p w14:paraId="6ADCFB0A" w14:textId="77777777" w:rsidR="0007289E" w:rsidRPr="00E22401" w:rsidRDefault="00F859C9">
      <w:pPr>
        <w:spacing w:after="57" w:line="259" w:lineRule="auto"/>
        <w:ind w:left="1702" w:right="0" w:firstLine="0"/>
        <w:jc w:val="left"/>
        <w:rPr>
          <w:lang w:val="en-GB"/>
        </w:rPr>
      </w:pPr>
      <w:r w:rsidRPr="00E22401">
        <w:rPr>
          <w:lang w:val="en-GB"/>
        </w:rPr>
        <w:t xml:space="preserve">   </w:t>
      </w:r>
    </w:p>
    <w:p w14:paraId="6ADCFB0B" w14:textId="2176FD84" w:rsidR="0007289E" w:rsidRPr="00E22401" w:rsidRDefault="00F859C9">
      <w:pPr>
        <w:numPr>
          <w:ilvl w:val="0"/>
          <w:numId w:val="4"/>
        </w:numPr>
        <w:spacing w:after="224"/>
        <w:ind w:right="128" w:hanging="360"/>
        <w:rPr>
          <w:lang w:val="en-GB"/>
        </w:rPr>
      </w:pPr>
      <w:r w:rsidRPr="00E22401">
        <w:rPr>
          <w:lang w:val="en-GB"/>
        </w:rPr>
        <w:t xml:space="preserve">The annual audit planning cycle for OAI is typically completed in October while for BoA it is completed in August. A preliminary audit schedule and a list of country offices to be audited by the UNBOA for the year will be established and communicated to all concerned regional bureaus for discussion with their offices during the third quarter. The BoA will typically issue a formal audit notification letter to the UNDP Administrator at least one month prior to the visit (during September or October for Interim audit and during April or May for final audit) and the Resident Representative or Heads of Units are notified accordingly. Additional information about the scope of the audit and/or specific audit documentation requirements will be provided to the offices prior to the arrival of the auditors, including specific instructions on the email address to be used when providing the pre-audit documentation requested.  </w:t>
      </w:r>
    </w:p>
    <w:p w14:paraId="6ADCFB0C" w14:textId="77777777" w:rsidR="0007289E" w:rsidRPr="00E22401" w:rsidRDefault="00F859C9" w:rsidP="003F1B53">
      <w:pPr>
        <w:pStyle w:val="Heading1"/>
        <w:spacing w:after="180"/>
        <w:ind w:left="1684" w:hanging="14"/>
        <w:rPr>
          <w:lang w:val="en-GB"/>
        </w:rPr>
      </w:pPr>
      <w:r w:rsidRPr="00E22401">
        <w:rPr>
          <w:lang w:val="en-GB"/>
        </w:rPr>
        <w:t xml:space="preserve">Working with external auditors during audit  </w:t>
      </w:r>
    </w:p>
    <w:p w14:paraId="6ADCFB0D" w14:textId="77777777" w:rsidR="0007289E" w:rsidRPr="00E22401" w:rsidRDefault="00F859C9">
      <w:pPr>
        <w:numPr>
          <w:ilvl w:val="0"/>
          <w:numId w:val="5"/>
        </w:numPr>
        <w:spacing w:after="78"/>
        <w:ind w:right="128"/>
        <w:rPr>
          <w:lang w:val="en-GB"/>
        </w:rPr>
      </w:pPr>
      <w:r w:rsidRPr="00E22401">
        <w:rPr>
          <w:lang w:val="en-GB"/>
        </w:rPr>
        <w:t xml:space="preserve">There are several standard tasks that are conducted by the external audit team during the audit period (typically 2 to 3 weeks). The key activities include:  </w:t>
      </w:r>
    </w:p>
    <w:p w14:paraId="6ADCFB0E" w14:textId="77777777" w:rsidR="0007289E" w:rsidRPr="00E22401" w:rsidRDefault="00F859C9">
      <w:pPr>
        <w:numPr>
          <w:ilvl w:val="1"/>
          <w:numId w:val="5"/>
        </w:numPr>
        <w:spacing w:after="8" w:line="259" w:lineRule="auto"/>
        <w:ind w:right="128" w:hanging="360"/>
        <w:rPr>
          <w:lang w:val="en-GB"/>
        </w:rPr>
      </w:pPr>
      <w:r w:rsidRPr="00E22401">
        <w:rPr>
          <w:lang w:val="en-GB"/>
        </w:rPr>
        <w:t xml:space="preserve">Audit kick off meeting, chaired by the Resident Representative or Unit Head   </w:t>
      </w:r>
    </w:p>
    <w:p w14:paraId="6ADCFB0F" w14:textId="77777777" w:rsidR="0007289E" w:rsidRPr="00E22401" w:rsidRDefault="00F859C9">
      <w:pPr>
        <w:numPr>
          <w:ilvl w:val="1"/>
          <w:numId w:val="5"/>
        </w:numPr>
        <w:ind w:right="128" w:hanging="360"/>
        <w:rPr>
          <w:lang w:val="en-GB"/>
        </w:rPr>
      </w:pPr>
      <w:r w:rsidRPr="00E22401">
        <w:rPr>
          <w:lang w:val="en-GB"/>
        </w:rPr>
        <w:t xml:space="preserve">Response to audit questions raised </w:t>
      </w:r>
      <w:proofErr w:type="gramStart"/>
      <w:r w:rsidRPr="00E22401">
        <w:rPr>
          <w:lang w:val="en-GB"/>
        </w:rPr>
        <w:t>during the course of</w:t>
      </w:r>
      <w:proofErr w:type="gramEnd"/>
      <w:r w:rsidRPr="00E22401">
        <w:rPr>
          <w:lang w:val="en-GB"/>
        </w:rPr>
        <w:t xml:space="preserve"> the audit  </w:t>
      </w:r>
    </w:p>
    <w:p w14:paraId="6ADCFB10" w14:textId="77777777" w:rsidR="0007289E" w:rsidRPr="00E22401" w:rsidRDefault="00F859C9">
      <w:pPr>
        <w:numPr>
          <w:ilvl w:val="1"/>
          <w:numId w:val="5"/>
        </w:numPr>
        <w:spacing w:after="39"/>
        <w:ind w:right="128" w:hanging="360"/>
        <w:rPr>
          <w:lang w:val="en-GB"/>
        </w:rPr>
      </w:pPr>
      <w:r w:rsidRPr="00E22401">
        <w:rPr>
          <w:lang w:val="en-GB"/>
        </w:rPr>
        <w:t xml:space="preserve">Response to audit observations written up by the external audit team in the form of management action that will be taken and, if necessary, provide “additional management clarifications” to the raised audit observations  </w:t>
      </w:r>
    </w:p>
    <w:p w14:paraId="6ADCFB11" w14:textId="77777777" w:rsidR="0007289E" w:rsidRPr="00E22401" w:rsidRDefault="00F859C9">
      <w:pPr>
        <w:numPr>
          <w:ilvl w:val="1"/>
          <w:numId w:val="5"/>
        </w:numPr>
        <w:spacing w:after="252"/>
        <w:ind w:right="128" w:hanging="360"/>
        <w:rPr>
          <w:lang w:val="en-GB"/>
        </w:rPr>
      </w:pPr>
      <w:r w:rsidRPr="00E22401">
        <w:rPr>
          <w:lang w:val="en-GB"/>
        </w:rPr>
        <w:t xml:space="preserve">Exit meeting   </w:t>
      </w:r>
    </w:p>
    <w:p w14:paraId="6ADCFB12" w14:textId="77777777" w:rsidR="0007289E" w:rsidRPr="00E22401" w:rsidRDefault="00F859C9">
      <w:pPr>
        <w:numPr>
          <w:ilvl w:val="0"/>
          <w:numId w:val="5"/>
        </w:numPr>
        <w:spacing w:after="226"/>
        <w:ind w:right="128"/>
        <w:rPr>
          <w:lang w:val="en-GB"/>
        </w:rPr>
      </w:pPr>
      <w:r w:rsidRPr="00E22401">
        <w:rPr>
          <w:lang w:val="en-GB"/>
        </w:rPr>
        <w:t xml:space="preserve">Please refer to the procedures section for more details on the processes during the period of external audit engagement with UNDP offices.  </w:t>
      </w:r>
    </w:p>
    <w:p w14:paraId="6ADCFB13" w14:textId="77777777" w:rsidR="0007289E" w:rsidRPr="00E22401" w:rsidRDefault="00F859C9" w:rsidP="003F1B53">
      <w:pPr>
        <w:pStyle w:val="Heading1"/>
        <w:spacing w:after="180"/>
        <w:ind w:left="1684" w:hanging="14"/>
        <w:rPr>
          <w:lang w:val="en-GB"/>
        </w:rPr>
      </w:pPr>
      <w:r w:rsidRPr="00E22401">
        <w:rPr>
          <w:lang w:val="en-GB"/>
        </w:rPr>
        <w:lastRenderedPageBreak/>
        <w:t xml:space="preserve">Post audit follow-up and implementation status update    </w:t>
      </w:r>
    </w:p>
    <w:p w14:paraId="6ADCFB14" w14:textId="3C4C144B" w:rsidR="0007289E" w:rsidRPr="00E22401" w:rsidRDefault="00F859C9">
      <w:pPr>
        <w:ind w:left="2403" w:right="128"/>
        <w:rPr>
          <w:lang w:val="en-GB"/>
        </w:rPr>
      </w:pPr>
      <w:r w:rsidRPr="00E22401">
        <w:rPr>
          <w:lang w:val="en-GB"/>
        </w:rPr>
        <w:t>17.</w:t>
      </w:r>
      <w:r w:rsidRPr="00E22401">
        <w:rPr>
          <w:rFonts w:ascii="Arial" w:eastAsia="Arial" w:hAnsi="Arial" w:cs="Arial"/>
          <w:lang w:val="en-GB"/>
        </w:rPr>
        <w:t xml:space="preserve"> </w:t>
      </w:r>
      <w:r w:rsidRPr="00E22401">
        <w:rPr>
          <w:lang w:val="en-GB"/>
        </w:rPr>
        <w:t xml:space="preserve">The post audit-follow up process begins with the conclusion of the exit meeting with the external audit team. Upon receipt of the audit management letter from the UNBOA, UNDP is required to provide a formal response to the letter, including action plans to address the audit observations raised. The audit management letter is a formal audit report and will include a review of audit observations raised, including feedback from the country offices or units. The key activities in this process include (1) The issuance of the audit management letter by the UNBOA (2) The responses from country offices or units, including specific action plans to address the audit issues raised (3) The issuance of a formal management response from UNDP HQ on the management letter received (4) The follow up of audit recommendations at the country office or unit (5) The follow up of corporate issues raised by the UNBOA (6) An implementation status update by the country offices or unit.  </w:t>
      </w:r>
    </w:p>
    <w:p w14:paraId="6ADCFB15" w14:textId="77777777" w:rsidR="003F1B53" w:rsidRPr="00E22401" w:rsidRDefault="003F1B53">
      <w:pPr>
        <w:spacing w:after="0" w:line="259" w:lineRule="auto"/>
        <w:ind w:left="0" w:right="3879" w:firstLine="0"/>
        <w:jc w:val="right"/>
        <w:rPr>
          <w:b/>
          <w:lang w:val="en-GB"/>
        </w:rPr>
      </w:pPr>
    </w:p>
    <w:p w14:paraId="6ADCFB16" w14:textId="77777777" w:rsidR="0007289E" w:rsidRPr="00E22401" w:rsidRDefault="00F859C9">
      <w:pPr>
        <w:spacing w:after="0" w:line="259" w:lineRule="auto"/>
        <w:ind w:left="0" w:right="3879" w:firstLine="0"/>
        <w:jc w:val="right"/>
        <w:rPr>
          <w:b/>
          <w:lang w:val="en-GB"/>
        </w:rPr>
      </w:pPr>
      <w:r w:rsidRPr="00E22401">
        <w:rPr>
          <w:b/>
          <w:lang w:val="en-GB"/>
        </w:rPr>
        <w:t xml:space="preserve">Accountability Framework for Working with External Auditors   </w:t>
      </w:r>
    </w:p>
    <w:p w14:paraId="6ADCFB17" w14:textId="77777777" w:rsidR="003F1B53" w:rsidRPr="00E22401" w:rsidRDefault="003F1B53">
      <w:pPr>
        <w:spacing w:after="0" w:line="259" w:lineRule="auto"/>
        <w:ind w:left="0" w:right="3879" w:firstLine="0"/>
        <w:jc w:val="right"/>
        <w:rPr>
          <w:lang w:val="en-GB"/>
        </w:rPr>
      </w:pPr>
    </w:p>
    <w:tbl>
      <w:tblPr>
        <w:tblStyle w:val="TableGrid"/>
        <w:tblW w:w="9915" w:type="dxa"/>
        <w:tblInd w:w="1151" w:type="dxa"/>
        <w:tblCellMar>
          <w:top w:w="34" w:type="dxa"/>
          <w:right w:w="8" w:type="dxa"/>
        </w:tblCellMar>
        <w:tblLook w:val="04A0" w:firstRow="1" w:lastRow="0" w:firstColumn="1" w:lastColumn="0" w:noHBand="0" w:noVBand="1"/>
      </w:tblPr>
      <w:tblGrid>
        <w:gridCol w:w="2382"/>
        <w:gridCol w:w="474"/>
        <w:gridCol w:w="7059"/>
      </w:tblGrid>
      <w:tr w:rsidR="0007289E" w:rsidRPr="00E22401" w14:paraId="6ADCFB1A" w14:textId="77777777">
        <w:trPr>
          <w:trHeight w:val="476"/>
        </w:trPr>
        <w:tc>
          <w:tcPr>
            <w:tcW w:w="2856" w:type="dxa"/>
            <w:gridSpan w:val="2"/>
            <w:tcBorders>
              <w:top w:val="single" w:sz="4" w:space="0" w:color="000000"/>
              <w:left w:val="single" w:sz="8" w:space="0" w:color="000000"/>
              <w:bottom w:val="single" w:sz="8" w:space="0" w:color="000000"/>
              <w:right w:val="nil"/>
            </w:tcBorders>
            <w:shd w:val="clear" w:color="auto" w:fill="B2A1C7"/>
          </w:tcPr>
          <w:p w14:paraId="6ADCFB18" w14:textId="77777777" w:rsidR="0007289E" w:rsidRPr="00E22401" w:rsidRDefault="00F859C9">
            <w:pPr>
              <w:spacing w:after="0" w:line="259" w:lineRule="auto"/>
              <w:ind w:left="112" w:right="0" w:firstLine="0"/>
              <w:jc w:val="left"/>
              <w:rPr>
                <w:lang w:val="en-GB"/>
              </w:rPr>
            </w:pPr>
            <w:r w:rsidRPr="00E22401">
              <w:rPr>
                <w:lang w:val="en-GB"/>
              </w:rPr>
              <w:t xml:space="preserve">Accountability Framework  </w:t>
            </w:r>
          </w:p>
        </w:tc>
        <w:tc>
          <w:tcPr>
            <w:tcW w:w="7059" w:type="dxa"/>
            <w:tcBorders>
              <w:top w:val="single" w:sz="4" w:space="0" w:color="000000"/>
              <w:left w:val="nil"/>
              <w:bottom w:val="single" w:sz="8" w:space="0" w:color="000000"/>
              <w:right w:val="single" w:sz="8" w:space="0" w:color="000000"/>
            </w:tcBorders>
            <w:shd w:val="clear" w:color="auto" w:fill="B2A1C7"/>
          </w:tcPr>
          <w:p w14:paraId="6ADCFB19" w14:textId="77777777" w:rsidR="0007289E" w:rsidRPr="00E22401" w:rsidRDefault="00F859C9">
            <w:pPr>
              <w:spacing w:after="0" w:line="259" w:lineRule="auto"/>
              <w:ind w:left="-5" w:right="0" w:firstLine="0"/>
              <w:jc w:val="left"/>
              <w:rPr>
                <w:lang w:val="en-GB"/>
              </w:rPr>
            </w:pPr>
            <w:r w:rsidRPr="00E22401">
              <w:rPr>
                <w:lang w:val="en-GB"/>
              </w:rPr>
              <w:t xml:space="preserve"> </w:t>
            </w:r>
          </w:p>
        </w:tc>
      </w:tr>
      <w:tr w:rsidR="0007289E" w:rsidRPr="00E22401" w14:paraId="6ADCFB23" w14:textId="77777777">
        <w:trPr>
          <w:trHeight w:val="2294"/>
        </w:trPr>
        <w:tc>
          <w:tcPr>
            <w:tcW w:w="2382" w:type="dxa"/>
            <w:tcBorders>
              <w:top w:val="single" w:sz="8" w:space="0" w:color="000000"/>
              <w:left w:val="single" w:sz="8" w:space="0" w:color="000000"/>
              <w:bottom w:val="single" w:sz="8" w:space="0" w:color="000000"/>
              <w:right w:val="single" w:sz="8" w:space="0" w:color="000000"/>
            </w:tcBorders>
          </w:tcPr>
          <w:p w14:paraId="6ADCFB1B" w14:textId="77777777" w:rsidR="0007289E" w:rsidRPr="00E22401" w:rsidRDefault="00F859C9">
            <w:pPr>
              <w:spacing w:after="309" w:line="259" w:lineRule="auto"/>
              <w:ind w:left="112" w:right="0" w:firstLine="0"/>
              <w:jc w:val="left"/>
              <w:rPr>
                <w:lang w:val="en-GB"/>
              </w:rPr>
            </w:pPr>
            <w:r w:rsidRPr="00E22401">
              <w:rPr>
                <w:lang w:val="en-GB"/>
              </w:rPr>
              <w:t xml:space="preserve">Audit Team Lead, BoA  </w:t>
            </w:r>
          </w:p>
          <w:p w14:paraId="6ADCFB1C" w14:textId="77777777" w:rsidR="0007289E" w:rsidRPr="00E22401" w:rsidRDefault="00F859C9">
            <w:pPr>
              <w:spacing w:after="244" w:line="259" w:lineRule="auto"/>
              <w:ind w:left="8" w:right="0" w:firstLine="0"/>
              <w:jc w:val="left"/>
              <w:rPr>
                <w:lang w:val="en-GB"/>
              </w:rPr>
            </w:pPr>
            <w:r w:rsidRPr="00E22401">
              <w:rPr>
                <w:lang w:val="en-GB"/>
              </w:rPr>
              <w:t xml:space="preserve"> </w:t>
            </w:r>
          </w:p>
          <w:p w14:paraId="6ADCFB1D" w14:textId="77777777" w:rsidR="0007289E" w:rsidRPr="00E22401" w:rsidRDefault="00F859C9">
            <w:pPr>
              <w:spacing w:after="374" w:line="259" w:lineRule="auto"/>
              <w:ind w:left="8" w:right="0" w:firstLine="0"/>
              <w:jc w:val="left"/>
              <w:rPr>
                <w:lang w:val="en-GB"/>
              </w:rPr>
            </w:pPr>
            <w:r w:rsidRPr="00E22401">
              <w:rPr>
                <w:lang w:val="en-GB"/>
              </w:rPr>
              <w:t xml:space="preserve"> </w:t>
            </w:r>
          </w:p>
          <w:p w14:paraId="6ADCFB1E" w14:textId="77777777" w:rsidR="0007289E" w:rsidRPr="00E22401" w:rsidRDefault="00F859C9">
            <w:pPr>
              <w:spacing w:after="0" w:line="259" w:lineRule="auto"/>
              <w:ind w:left="8" w:right="0" w:firstLine="0"/>
              <w:jc w:val="left"/>
              <w:rPr>
                <w:lang w:val="en-GB"/>
              </w:rPr>
            </w:pPr>
            <w:r w:rsidRPr="00E22401">
              <w:rPr>
                <w:lang w:val="en-GB"/>
              </w:rPr>
              <w:t xml:space="preserve"> </w:t>
            </w:r>
          </w:p>
        </w:tc>
        <w:tc>
          <w:tcPr>
            <w:tcW w:w="7533" w:type="dxa"/>
            <w:gridSpan w:val="2"/>
            <w:tcBorders>
              <w:top w:val="single" w:sz="8" w:space="0" w:color="000000"/>
              <w:left w:val="single" w:sz="8" w:space="0" w:color="000000"/>
              <w:bottom w:val="single" w:sz="8" w:space="0" w:color="000000"/>
              <w:right w:val="single" w:sz="8" w:space="0" w:color="000000"/>
            </w:tcBorders>
          </w:tcPr>
          <w:p w14:paraId="6ADCFB1F" w14:textId="77777777" w:rsidR="0007289E" w:rsidRPr="00E22401" w:rsidRDefault="00F859C9">
            <w:pPr>
              <w:spacing w:after="0" w:line="259" w:lineRule="auto"/>
              <w:ind w:left="469" w:right="0" w:hanging="351"/>
              <w:rPr>
                <w:lang w:val="en-GB"/>
              </w:rPr>
            </w:pPr>
            <w:r w:rsidRPr="00E22401">
              <w:rPr>
                <w:noProof/>
                <w:lang w:eastAsia="ja-JP"/>
              </w:rPr>
              <w:drawing>
                <wp:inline distT="0" distB="0" distL="0" distR="0" wp14:anchorId="6ADCFB68" wp14:editId="6ADCFB69">
                  <wp:extent cx="164592" cy="167640"/>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18"/>
                          <a:stretch>
                            <a:fillRect/>
                          </a:stretch>
                        </pic:blipFill>
                        <pic:spPr>
                          <a:xfrm>
                            <a:off x="0" y="0"/>
                            <a:ext cx="164592" cy="167640"/>
                          </a:xfrm>
                          <a:prstGeom prst="rect">
                            <a:avLst/>
                          </a:prstGeom>
                        </pic:spPr>
                      </pic:pic>
                    </a:graphicData>
                  </a:graphic>
                </wp:inline>
              </w:drawing>
            </w:r>
            <w:r w:rsidRPr="00E22401">
              <w:rPr>
                <w:rFonts w:ascii="Arial" w:eastAsia="Arial" w:hAnsi="Arial" w:cs="Arial"/>
                <w:sz w:val="20"/>
                <w:lang w:val="en-GB"/>
              </w:rPr>
              <w:t xml:space="preserve"> </w:t>
            </w:r>
            <w:r w:rsidRPr="00E22401">
              <w:rPr>
                <w:lang w:val="en-GB"/>
              </w:rPr>
              <w:t xml:space="preserve"> Attends the kick off meeting and briefs country office team or unit on detail scope, expectations and working procedures during the audit  </w:t>
            </w:r>
          </w:p>
          <w:p w14:paraId="6ADCFB20" w14:textId="77777777" w:rsidR="0007289E" w:rsidRPr="00E22401" w:rsidRDefault="00F859C9">
            <w:pPr>
              <w:spacing w:after="154" w:line="259" w:lineRule="auto"/>
              <w:ind w:left="118" w:right="0" w:firstLine="0"/>
              <w:jc w:val="left"/>
              <w:rPr>
                <w:lang w:val="en-GB"/>
              </w:rPr>
            </w:pPr>
            <w:r w:rsidRPr="00E22401">
              <w:rPr>
                <w:noProof/>
                <w:lang w:eastAsia="ja-JP"/>
              </w:rPr>
              <w:drawing>
                <wp:inline distT="0" distB="0" distL="0" distR="0" wp14:anchorId="6ADCFB6A" wp14:editId="6ADCFB6B">
                  <wp:extent cx="164592" cy="167640"/>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18"/>
                          <a:stretch>
                            <a:fillRect/>
                          </a:stretch>
                        </pic:blipFill>
                        <pic:spPr>
                          <a:xfrm>
                            <a:off x="0" y="0"/>
                            <a:ext cx="164592" cy="167640"/>
                          </a:xfrm>
                          <a:prstGeom prst="rect">
                            <a:avLst/>
                          </a:prstGeom>
                        </pic:spPr>
                      </pic:pic>
                    </a:graphicData>
                  </a:graphic>
                </wp:inline>
              </w:drawing>
            </w:r>
            <w:r w:rsidRPr="00E22401">
              <w:rPr>
                <w:rFonts w:ascii="Arial" w:eastAsia="Arial" w:hAnsi="Arial" w:cs="Arial"/>
                <w:sz w:val="20"/>
                <w:lang w:val="en-GB"/>
              </w:rPr>
              <w:t xml:space="preserve"> </w:t>
            </w:r>
            <w:r w:rsidRPr="00E22401">
              <w:rPr>
                <w:lang w:val="en-GB"/>
              </w:rPr>
              <w:t xml:space="preserve"> Ensures that the Audit Team Lead conducts the exit meeting   </w:t>
            </w:r>
          </w:p>
          <w:p w14:paraId="6ADCFB21" w14:textId="77777777" w:rsidR="0007289E" w:rsidRPr="00E22401" w:rsidRDefault="00F859C9">
            <w:pPr>
              <w:spacing w:after="0" w:line="261" w:lineRule="auto"/>
              <w:ind w:left="469" w:right="0" w:hanging="351"/>
              <w:rPr>
                <w:lang w:val="en-GB"/>
              </w:rPr>
            </w:pPr>
            <w:r w:rsidRPr="00E22401">
              <w:rPr>
                <w:noProof/>
                <w:lang w:eastAsia="ja-JP"/>
              </w:rPr>
              <w:drawing>
                <wp:inline distT="0" distB="0" distL="0" distR="0" wp14:anchorId="6ADCFB6C" wp14:editId="6ADCFB6D">
                  <wp:extent cx="164592" cy="167640"/>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18"/>
                          <a:stretch>
                            <a:fillRect/>
                          </a:stretch>
                        </pic:blipFill>
                        <pic:spPr>
                          <a:xfrm>
                            <a:off x="0" y="0"/>
                            <a:ext cx="164592" cy="167640"/>
                          </a:xfrm>
                          <a:prstGeom prst="rect">
                            <a:avLst/>
                          </a:prstGeom>
                        </pic:spPr>
                      </pic:pic>
                    </a:graphicData>
                  </a:graphic>
                </wp:inline>
              </w:drawing>
            </w:r>
            <w:r w:rsidRPr="00E22401">
              <w:rPr>
                <w:rFonts w:ascii="Arial" w:eastAsia="Arial" w:hAnsi="Arial" w:cs="Arial"/>
                <w:sz w:val="20"/>
                <w:lang w:val="en-GB"/>
              </w:rPr>
              <w:t xml:space="preserve"> </w:t>
            </w:r>
            <w:r w:rsidRPr="00E22401">
              <w:rPr>
                <w:lang w:val="en-GB"/>
              </w:rPr>
              <w:t xml:space="preserve"> Ensures that the Audit Team Lead briefs management team of the office or unit on the audit observations raised including outstanding responses  </w:t>
            </w:r>
          </w:p>
          <w:p w14:paraId="6ADCFB22" w14:textId="77777777" w:rsidR="0007289E" w:rsidRPr="00E22401" w:rsidRDefault="00F859C9">
            <w:pPr>
              <w:spacing w:after="0" w:line="259" w:lineRule="auto"/>
              <w:ind w:left="469" w:right="0" w:hanging="351"/>
              <w:jc w:val="left"/>
              <w:rPr>
                <w:lang w:val="en-GB"/>
              </w:rPr>
            </w:pPr>
            <w:r w:rsidRPr="00E22401">
              <w:rPr>
                <w:noProof/>
                <w:lang w:eastAsia="ja-JP"/>
              </w:rPr>
              <w:drawing>
                <wp:inline distT="0" distB="0" distL="0" distR="0" wp14:anchorId="6ADCFB6E" wp14:editId="6ADCFB6F">
                  <wp:extent cx="164592" cy="167640"/>
                  <wp:effectExtent l="0" t="0" r="0" b="0"/>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18"/>
                          <a:stretch>
                            <a:fillRect/>
                          </a:stretch>
                        </pic:blipFill>
                        <pic:spPr>
                          <a:xfrm>
                            <a:off x="0" y="0"/>
                            <a:ext cx="164592" cy="167640"/>
                          </a:xfrm>
                          <a:prstGeom prst="rect">
                            <a:avLst/>
                          </a:prstGeom>
                        </pic:spPr>
                      </pic:pic>
                    </a:graphicData>
                  </a:graphic>
                </wp:inline>
              </w:drawing>
            </w:r>
            <w:r w:rsidRPr="00E22401">
              <w:rPr>
                <w:rFonts w:ascii="Arial" w:eastAsia="Arial" w:hAnsi="Arial" w:cs="Arial"/>
                <w:sz w:val="20"/>
                <w:lang w:val="en-GB"/>
              </w:rPr>
              <w:t xml:space="preserve"> </w:t>
            </w:r>
            <w:r w:rsidRPr="00E22401">
              <w:rPr>
                <w:lang w:val="en-GB"/>
              </w:rPr>
              <w:t xml:space="preserve"> Ensures that the country offices or unit, BMS Audit Focal point were given the opportunity to provide formal written responses to the pre final audit report  </w:t>
            </w:r>
          </w:p>
        </w:tc>
      </w:tr>
    </w:tbl>
    <w:p w14:paraId="6ADCFB24" w14:textId="77777777" w:rsidR="0007289E" w:rsidRPr="00E22401" w:rsidRDefault="00F859C9">
      <w:pPr>
        <w:spacing w:after="0" w:line="259" w:lineRule="auto"/>
        <w:ind w:left="0" w:right="0" w:firstLine="0"/>
        <w:jc w:val="left"/>
        <w:rPr>
          <w:lang w:val="en-GB"/>
        </w:rPr>
      </w:pPr>
      <w:r w:rsidRPr="00E22401">
        <w:rPr>
          <w:lang w:val="en-GB"/>
        </w:rPr>
        <w:t xml:space="preserve"> </w:t>
      </w:r>
    </w:p>
    <w:tbl>
      <w:tblPr>
        <w:tblStyle w:val="TableGrid"/>
        <w:tblW w:w="9915" w:type="dxa"/>
        <w:tblInd w:w="1151" w:type="dxa"/>
        <w:tblCellMar>
          <w:top w:w="55" w:type="dxa"/>
          <w:left w:w="100" w:type="dxa"/>
          <w:right w:w="3" w:type="dxa"/>
        </w:tblCellMar>
        <w:tblLook w:val="04A0" w:firstRow="1" w:lastRow="0" w:firstColumn="1" w:lastColumn="0" w:noHBand="0" w:noVBand="1"/>
      </w:tblPr>
      <w:tblGrid>
        <w:gridCol w:w="2380"/>
        <w:gridCol w:w="7535"/>
      </w:tblGrid>
      <w:tr w:rsidR="0007289E" w:rsidRPr="00E22401" w14:paraId="6ADCFB26" w14:textId="77777777" w:rsidTr="003F1B53">
        <w:trPr>
          <w:trHeight w:val="330"/>
        </w:trPr>
        <w:tc>
          <w:tcPr>
            <w:tcW w:w="9915" w:type="dxa"/>
            <w:gridSpan w:val="2"/>
            <w:tcBorders>
              <w:top w:val="single" w:sz="4" w:space="0" w:color="000000"/>
              <w:left w:val="single" w:sz="8" w:space="0" w:color="000000"/>
              <w:bottom w:val="single" w:sz="8" w:space="0" w:color="000000"/>
              <w:right w:val="single" w:sz="8" w:space="0" w:color="000000"/>
            </w:tcBorders>
            <w:shd w:val="clear" w:color="auto" w:fill="B2A1C7"/>
          </w:tcPr>
          <w:p w14:paraId="6ADCFB25" w14:textId="77777777" w:rsidR="0007289E" w:rsidRPr="00E22401" w:rsidRDefault="00F859C9">
            <w:pPr>
              <w:spacing w:after="0" w:line="259" w:lineRule="auto"/>
              <w:ind w:left="0" w:right="0" w:firstLine="0"/>
              <w:jc w:val="left"/>
              <w:rPr>
                <w:lang w:val="en-GB"/>
              </w:rPr>
            </w:pPr>
            <w:r w:rsidRPr="00E22401">
              <w:rPr>
                <w:lang w:val="en-GB"/>
              </w:rPr>
              <w:t xml:space="preserve">Accountability Framework  </w:t>
            </w:r>
          </w:p>
        </w:tc>
      </w:tr>
      <w:tr w:rsidR="0007289E" w:rsidRPr="00E22401" w14:paraId="6ADCFB2A" w14:textId="77777777" w:rsidTr="003F1B53">
        <w:trPr>
          <w:trHeight w:val="939"/>
        </w:trPr>
        <w:tc>
          <w:tcPr>
            <w:tcW w:w="2380" w:type="dxa"/>
            <w:tcBorders>
              <w:top w:val="single" w:sz="8" w:space="0" w:color="000000"/>
              <w:left w:val="single" w:sz="8" w:space="0" w:color="000000"/>
              <w:bottom w:val="single" w:sz="8" w:space="0" w:color="000000"/>
              <w:right w:val="single" w:sz="8" w:space="0" w:color="000000"/>
            </w:tcBorders>
            <w:vAlign w:val="bottom"/>
          </w:tcPr>
          <w:p w14:paraId="6ADCFB27" w14:textId="77777777" w:rsidR="0007289E" w:rsidRPr="00E22401" w:rsidRDefault="00F859C9">
            <w:pPr>
              <w:spacing w:after="0" w:line="259" w:lineRule="auto"/>
              <w:ind w:left="0" w:right="0" w:firstLine="0"/>
              <w:jc w:val="left"/>
              <w:rPr>
                <w:lang w:val="en-GB"/>
              </w:rPr>
            </w:pPr>
            <w:r w:rsidRPr="00E22401">
              <w:rPr>
                <w:lang w:val="en-GB"/>
              </w:rPr>
              <w:t xml:space="preserve"> </w:t>
            </w:r>
          </w:p>
        </w:tc>
        <w:tc>
          <w:tcPr>
            <w:tcW w:w="7535" w:type="dxa"/>
            <w:tcBorders>
              <w:top w:val="single" w:sz="8" w:space="0" w:color="000000"/>
              <w:left w:val="single" w:sz="8" w:space="0" w:color="000000"/>
              <w:bottom w:val="single" w:sz="8" w:space="0" w:color="000000"/>
              <w:right w:val="single" w:sz="8" w:space="0" w:color="000000"/>
            </w:tcBorders>
          </w:tcPr>
          <w:p w14:paraId="6ADCFB28" w14:textId="77777777" w:rsidR="0007289E" w:rsidRPr="00E22401" w:rsidRDefault="00F859C9">
            <w:pPr>
              <w:spacing w:after="0" w:line="259" w:lineRule="auto"/>
              <w:ind w:left="8" w:right="0" w:firstLine="0"/>
              <w:jc w:val="left"/>
              <w:rPr>
                <w:lang w:val="en-GB"/>
              </w:rPr>
            </w:pPr>
            <w:r w:rsidRPr="00E22401">
              <w:rPr>
                <w:lang w:val="en-GB"/>
              </w:rPr>
              <w:t xml:space="preserve">  </w:t>
            </w:r>
          </w:p>
          <w:p w14:paraId="6ADCFB29" w14:textId="77777777" w:rsidR="0007289E" w:rsidRPr="00E22401" w:rsidRDefault="00F859C9">
            <w:pPr>
              <w:spacing w:after="0" w:line="259" w:lineRule="auto"/>
              <w:ind w:left="8" w:right="0" w:firstLine="0"/>
              <w:jc w:val="left"/>
              <w:rPr>
                <w:lang w:val="en-GB"/>
              </w:rPr>
            </w:pPr>
            <w:r w:rsidRPr="00E22401">
              <w:rPr>
                <w:i/>
                <w:lang w:val="en-GB"/>
              </w:rPr>
              <w:t xml:space="preserve">The schedule for the exit meeting should be agreed with the audit team at the kick off meeting </w:t>
            </w:r>
            <w:r w:rsidRPr="00E22401">
              <w:rPr>
                <w:lang w:val="en-GB"/>
              </w:rPr>
              <w:t xml:space="preserve"> </w:t>
            </w:r>
          </w:p>
        </w:tc>
      </w:tr>
      <w:tr w:rsidR="0007289E" w:rsidRPr="00E22401" w14:paraId="6ADCFB2F" w14:textId="77777777" w:rsidTr="003F1B53">
        <w:trPr>
          <w:trHeight w:val="1574"/>
        </w:trPr>
        <w:tc>
          <w:tcPr>
            <w:tcW w:w="2380" w:type="dxa"/>
            <w:tcBorders>
              <w:top w:val="single" w:sz="8" w:space="0" w:color="000000"/>
              <w:left w:val="single" w:sz="8" w:space="0" w:color="000000"/>
              <w:bottom w:val="single" w:sz="8" w:space="0" w:color="000000"/>
              <w:right w:val="single" w:sz="8" w:space="0" w:color="000000"/>
            </w:tcBorders>
          </w:tcPr>
          <w:p w14:paraId="6ADCFB2B" w14:textId="77777777" w:rsidR="0007289E" w:rsidRPr="00E22401" w:rsidRDefault="00F859C9">
            <w:pPr>
              <w:spacing w:after="0" w:line="259" w:lineRule="auto"/>
              <w:ind w:left="0" w:right="0" w:firstLine="0"/>
              <w:jc w:val="left"/>
              <w:rPr>
                <w:lang w:val="en-GB"/>
              </w:rPr>
            </w:pPr>
            <w:r w:rsidRPr="00E22401">
              <w:rPr>
                <w:lang w:val="en-GB"/>
              </w:rPr>
              <w:t xml:space="preserve">BMS External Audit Focal </w:t>
            </w:r>
          </w:p>
          <w:p w14:paraId="6ADCFB2C" w14:textId="77777777" w:rsidR="0007289E" w:rsidRPr="00E22401" w:rsidRDefault="00F859C9">
            <w:pPr>
              <w:spacing w:after="0" w:line="259" w:lineRule="auto"/>
              <w:ind w:left="0" w:right="0" w:firstLine="0"/>
              <w:jc w:val="left"/>
              <w:rPr>
                <w:lang w:val="en-GB"/>
              </w:rPr>
            </w:pPr>
            <w:r w:rsidRPr="00E22401">
              <w:rPr>
                <w:lang w:val="en-GB"/>
              </w:rPr>
              <w:t xml:space="preserve">Point  </w:t>
            </w:r>
          </w:p>
        </w:tc>
        <w:tc>
          <w:tcPr>
            <w:tcW w:w="7535" w:type="dxa"/>
            <w:tcBorders>
              <w:top w:val="single" w:sz="8" w:space="0" w:color="000000"/>
              <w:left w:val="single" w:sz="8" w:space="0" w:color="000000"/>
              <w:bottom w:val="single" w:sz="8" w:space="0" w:color="000000"/>
              <w:right w:val="single" w:sz="8" w:space="0" w:color="000000"/>
            </w:tcBorders>
          </w:tcPr>
          <w:p w14:paraId="6ADCFB2D" w14:textId="77777777" w:rsidR="0007289E" w:rsidRPr="00E22401" w:rsidRDefault="00F859C9">
            <w:pPr>
              <w:numPr>
                <w:ilvl w:val="0"/>
                <w:numId w:val="6"/>
              </w:numPr>
              <w:spacing w:after="78" w:line="238" w:lineRule="auto"/>
              <w:ind w:right="99" w:hanging="361"/>
              <w:rPr>
                <w:lang w:val="en-GB"/>
              </w:rPr>
            </w:pPr>
            <w:r w:rsidRPr="00E22401">
              <w:rPr>
                <w:lang w:val="en-GB"/>
              </w:rPr>
              <w:t xml:space="preserve">Supports the unit or country office audit focal point for audit observations that require interpretation or clarifications from central bureau policy focal points, BMS Divisions etc.  </w:t>
            </w:r>
          </w:p>
          <w:p w14:paraId="6ADCFB2E" w14:textId="77777777" w:rsidR="0007289E" w:rsidRPr="00E22401" w:rsidRDefault="00F859C9">
            <w:pPr>
              <w:numPr>
                <w:ilvl w:val="0"/>
                <w:numId w:val="6"/>
              </w:numPr>
              <w:spacing w:after="0" w:line="259" w:lineRule="auto"/>
              <w:ind w:right="99" w:hanging="361"/>
              <w:rPr>
                <w:lang w:val="en-GB"/>
              </w:rPr>
            </w:pPr>
            <w:r w:rsidRPr="00E22401">
              <w:rPr>
                <w:lang w:val="en-GB"/>
              </w:rPr>
              <w:t xml:space="preserve">Supports the offices being audited with preparation of documentation prior to the audit   </w:t>
            </w:r>
          </w:p>
        </w:tc>
      </w:tr>
      <w:tr w:rsidR="0007289E" w:rsidRPr="00E22401" w14:paraId="6ADCFB32" w14:textId="77777777" w:rsidTr="003F1B53">
        <w:trPr>
          <w:trHeight w:val="1255"/>
        </w:trPr>
        <w:tc>
          <w:tcPr>
            <w:tcW w:w="2380" w:type="dxa"/>
            <w:tcBorders>
              <w:top w:val="single" w:sz="8" w:space="0" w:color="000000"/>
              <w:left w:val="single" w:sz="8" w:space="0" w:color="000000"/>
              <w:bottom w:val="single" w:sz="8" w:space="0" w:color="000000"/>
              <w:right w:val="single" w:sz="8" w:space="0" w:color="000000"/>
            </w:tcBorders>
          </w:tcPr>
          <w:p w14:paraId="6ADCFB30" w14:textId="77777777" w:rsidR="0007289E" w:rsidRPr="00E22401" w:rsidRDefault="00F859C9">
            <w:pPr>
              <w:spacing w:after="0" w:line="259" w:lineRule="auto"/>
              <w:ind w:left="0" w:right="0" w:firstLine="0"/>
              <w:jc w:val="left"/>
              <w:rPr>
                <w:lang w:val="en-GB"/>
              </w:rPr>
            </w:pPr>
            <w:r w:rsidRPr="00E22401">
              <w:rPr>
                <w:lang w:val="en-GB"/>
              </w:rPr>
              <w:t xml:space="preserve">Director of Bureaus  </w:t>
            </w:r>
          </w:p>
        </w:tc>
        <w:tc>
          <w:tcPr>
            <w:tcW w:w="7535" w:type="dxa"/>
            <w:tcBorders>
              <w:top w:val="single" w:sz="8" w:space="0" w:color="000000"/>
              <w:left w:val="single" w:sz="8" w:space="0" w:color="000000"/>
              <w:bottom w:val="single" w:sz="8" w:space="0" w:color="000000"/>
              <w:right w:val="single" w:sz="8" w:space="0" w:color="000000"/>
            </w:tcBorders>
          </w:tcPr>
          <w:p w14:paraId="6ADCFB31" w14:textId="77777777" w:rsidR="0007289E" w:rsidRPr="00E22401" w:rsidRDefault="00F859C9" w:rsidP="003F1B53">
            <w:pPr>
              <w:spacing w:after="0" w:line="259" w:lineRule="auto"/>
              <w:ind w:left="369" w:right="99" w:hanging="219"/>
              <w:rPr>
                <w:lang w:val="en-GB"/>
              </w:rPr>
            </w:pPr>
            <w:r w:rsidRPr="00E22401">
              <w:rPr>
                <w:noProof/>
                <w:lang w:eastAsia="ja-JP"/>
              </w:rPr>
              <w:drawing>
                <wp:anchor distT="0" distB="0" distL="114300" distR="114300" simplePos="0" relativeHeight="251658240" behindDoc="1" locked="0" layoutInCell="1" allowOverlap="0" wp14:anchorId="6ADCFB70" wp14:editId="6ADCFB71">
                  <wp:simplePos x="0" y="0"/>
                  <wp:positionH relativeFrom="column">
                    <wp:posOffset>68580</wp:posOffset>
                  </wp:positionH>
                  <wp:positionV relativeFrom="paragraph">
                    <wp:posOffset>-44011</wp:posOffset>
                  </wp:positionV>
                  <wp:extent cx="76200" cy="103632"/>
                  <wp:effectExtent l="0" t="0" r="0" b="0"/>
                  <wp:wrapNone/>
                  <wp:docPr id="5703" name="Picture 5703"/>
                  <wp:cNvGraphicFramePr/>
                  <a:graphic xmlns:a="http://schemas.openxmlformats.org/drawingml/2006/main">
                    <a:graphicData uri="http://schemas.openxmlformats.org/drawingml/2006/picture">
                      <pic:pic xmlns:pic="http://schemas.openxmlformats.org/drawingml/2006/picture">
                        <pic:nvPicPr>
                          <pic:cNvPr id="5703" name="Picture 5703"/>
                          <pic:cNvPicPr/>
                        </pic:nvPicPr>
                        <pic:blipFill>
                          <a:blip r:embed="rId19"/>
                          <a:stretch>
                            <a:fillRect/>
                          </a:stretch>
                        </pic:blipFill>
                        <pic:spPr>
                          <a:xfrm>
                            <a:off x="0" y="0"/>
                            <a:ext cx="76200" cy="103632"/>
                          </a:xfrm>
                          <a:prstGeom prst="rect">
                            <a:avLst/>
                          </a:prstGeom>
                        </pic:spPr>
                      </pic:pic>
                    </a:graphicData>
                  </a:graphic>
                </wp:anchor>
              </w:drawing>
            </w:r>
            <w:r w:rsidR="003F1B53" w:rsidRPr="00E22401">
              <w:rPr>
                <w:lang w:val="en-GB"/>
              </w:rPr>
              <w:t xml:space="preserve"> </w:t>
            </w:r>
            <w:r w:rsidR="003F1B53" w:rsidRPr="00E22401">
              <w:rPr>
                <w:noProof/>
                <w:lang w:eastAsia="ja-JP"/>
              </w:rPr>
              <w:drawing>
                <wp:inline distT="0" distB="0" distL="0" distR="0" wp14:anchorId="6ADCFB72" wp14:editId="6ADCFB73">
                  <wp:extent cx="76200" cy="1036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5704" name="Picture 5704"/>
                          <pic:cNvPicPr/>
                        </pic:nvPicPr>
                        <pic:blipFill>
                          <a:blip r:embed="rId20"/>
                          <a:stretch>
                            <a:fillRect/>
                          </a:stretch>
                        </pic:blipFill>
                        <pic:spPr>
                          <a:xfrm>
                            <a:off x="0" y="0"/>
                            <a:ext cx="76200" cy="103632"/>
                          </a:xfrm>
                          <a:prstGeom prst="rect">
                            <a:avLst/>
                          </a:prstGeom>
                        </pic:spPr>
                      </pic:pic>
                    </a:graphicData>
                  </a:graphic>
                </wp:inline>
              </w:drawing>
            </w:r>
            <w:r w:rsidR="003F1B53" w:rsidRPr="00E22401">
              <w:rPr>
                <w:lang w:val="en-GB"/>
              </w:rPr>
              <w:t xml:space="preserve"> </w:t>
            </w:r>
            <w:r w:rsidRPr="00E22401">
              <w:rPr>
                <w:lang w:val="en-GB"/>
              </w:rPr>
              <w:t xml:space="preserve">The Bureau Audit Focal point will help clarify or respond to audit observations that have global impact from a policy perspective in consultation with the BMS audit focal point </w:t>
            </w:r>
            <w:proofErr w:type="gramStart"/>
            <w:r w:rsidRPr="00E22401">
              <w:rPr>
                <w:lang w:val="en-GB"/>
              </w:rPr>
              <w:t>e.g.</w:t>
            </w:r>
            <w:proofErr w:type="gramEnd"/>
            <w:r w:rsidRPr="00E22401">
              <w:rPr>
                <w:lang w:val="en-GB"/>
              </w:rPr>
              <w:t xml:space="preserve"> OHR will clarify and comment on matters pertaining to OHR policy.   </w:t>
            </w:r>
          </w:p>
        </w:tc>
      </w:tr>
      <w:tr w:rsidR="0007289E" w:rsidRPr="00E22401" w14:paraId="6ADCFB3F" w14:textId="77777777" w:rsidTr="003F1B53">
        <w:trPr>
          <w:trHeight w:val="2921"/>
        </w:trPr>
        <w:tc>
          <w:tcPr>
            <w:tcW w:w="2380" w:type="dxa"/>
            <w:tcBorders>
              <w:top w:val="single" w:sz="8" w:space="0" w:color="000000"/>
              <w:left w:val="single" w:sz="8" w:space="0" w:color="000000"/>
              <w:bottom w:val="single" w:sz="8" w:space="0" w:color="000000"/>
              <w:right w:val="single" w:sz="8" w:space="0" w:color="000000"/>
            </w:tcBorders>
          </w:tcPr>
          <w:p w14:paraId="6ADCFB33" w14:textId="77777777" w:rsidR="0007289E" w:rsidRPr="00E22401" w:rsidRDefault="00F859C9">
            <w:pPr>
              <w:spacing w:after="0" w:line="259" w:lineRule="auto"/>
              <w:ind w:left="0" w:right="0" w:firstLine="0"/>
              <w:jc w:val="left"/>
              <w:rPr>
                <w:lang w:val="en-GB"/>
              </w:rPr>
            </w:pPr>
            <w:r w:rsidRPr="00E22401">
              <w:rPr>
                <w:lang w:val="en-GB"/>
              </w:rPr>
              <w:lastRenderedPageBreak/>
              <w:t xml:space="preserve">Country offices   </w:t>
            </w:r>
          </w:p>
          <w:p w14:paraId="6ADCFB34" w14:textId="77777777" w:rsidR="0007289E" w:rsidRPr="00E22401" w:rsidRDefault="00F859C9">
            <w:pPr>
              <w:spacing w:after="0" w:line="259" w:lineRule="auto"/>
              <w:ind w:left="0" w:right="0" w:firstLine="0"/>
              <w:jc w:val="left"/>
              <w:rPr>
                <w:lang w:val="en-GB"/>
              </w:rPr>
            </w:pPr>
            <w:r w:rsidRPr="00E22401">
              <w:rPr>
                <w:lang w:val="en-GB"/>
              </w:rPr>
              <w:t xml:space="preserve">Resident  </w:t>
            </w:r>
          </w:p>
          <w:p w14:paraId="6ADCFB35" w14:textId="77777777" w:rsidR="003F1B53" w:rsidRPr="00E22401" w:rsidRDefault="00F859C9">
            <w:pPr>
              <w:spacing w:after="0" w:line="259" w:lineRule="auto"/>
              <w:ind w:left="0" w:right="0" w:firstLine="0"/>
              <w:rPr>
                <w:lang w:val="en-GB"/>
              </w:rPr>
            </w:pPr>
            <w:r w:rsidRPr="00E22401">
              <w:rPr>
                <w:lang w:val="en-GB"/>
              </w:rPr>
              <w:t xml:space="preserve">Representative or </w:t>
            </w:r>
          </w:p>
          <w:p w14:paraId="6ADCFB36" w14:textId="77777777" w:rsidR="0007289E" w:rsidRPr="00E22401" w:rsidRDefault="00F859C9">
            <w:pPr>
              <w:spacing w:after="0" w:line="259" w:lineRule="auto"/>
              <w:ind w:left="0" w:right="0" w:firstLine="0"/>
              <w:rPr>
                <w:lang w:val="en-GB"/>
              </w:rPr>
            </w:pPr>
            <w:r w:rsidRPr="00E22401">
              <w:rPr>
                <w:lang w:val="en-GB"/>
              </w:rPr>
              <w:t xml:space="preserve">Head of Unit  </w:t>
            </w:r>
          </w:p>
        </w:tc>
        <w:tc>
          <w:tcPr>
            <w:tcW w:w="7535" w:type="dxa"/>
            <w:tcBorders>
              <w:top w:val="single" w:sz="8" w:space="0" w:color="000000"/>
              <w:left w:val="single" w:sz="8" w:space="0" w:color="000000"/>
              <w:bottom w:val="single" w:sz="8" w:space="0" w:color="000000"/>
              <w:right w:val="single" w:sz="8" w:space="0" w:color="000000"/>
            </w:tcBorders>
          </w:tcPr>
          <w:p w14:paraId="6ADCFB37" w14:textId="77777777" w:rsidR="0007289E" w:rsidRPr="00E22401" w:rsidRDefault="00F859C9">
            <w:pPr>
              <w:numPr>
                <w:ilvl w:val="0"/>
                <w:numId w:val="7"/>
              </w:numPr>
              <w:spacing w:after="33" w:line="259" w:lineRule="auto"/>
              <w:ind w:right="0" w:hanging="361"/>
              <w:jc w:val="left"/>
              <w:rPr>
                <w:lang w:val="en-GB"/>
              </w:rPr>
            </w:pPr>
            <w:r w:rsidRPr="00E22401">
              <w:rPr>
                <w:lang w:val="en-GB"/>
              </w:rPr>
              <w:t xml:space="preserve">Conducts the audit kick off meting meeting with the external audit team  </w:t>
            </w:r>
          </w:p>
          <w:p w14:paraId="6ADCFB38" w14:textId="77777777" w:rsidR="0007289E" w:rsidRPr="00E22401" w:rsidRDefault="00F859C9">
            <w:pPr>
              <w:numPr>
                <w:ilvl w:val="0"/>
                <w:numId w:val="7"/>
              </w:numPr>
              <w:spacing w:after="31" w:line="259" w:lineRule="auto"/>
              <w:ind w:right="0" w:hanging="361"/>
              <w:jc w:val="left"/>
              <w:rPr>
                <w:lang w:val="en-GB"/>
              </w:rPr>
            </w:pPr>
            <w:r w:rsidRPr="00E22401">
              <w:rPr>
                <w:lang w:val="en-GB"/>
              </w:rPr>
              <w:t xml:space="preserve">Ensures that the audit focal point respond to audit questions  </w:t>
            </w:r>
          </w:p>
          <w:p w14:paraId="6ADCFB39" w14:textId="77777777" w:rsidR="0007289E" w:rsidRPr="00E22401" w:rsidRDefault="00F859C9">
            <w:pPr>
              <w:numPr>
                <w:ilvl w:val="0"/>
                <w:numId w:val="7"/>
              </w:numPr>
              <w:spacing w:after="34" w:line="259" w:lineRule="auto"/>
              <w:ind w:right="0" w:hanging="361"/>
              <w:jc w:val="left"/>
              <w:rPr>
                <w:lang w:val="en-GB"/>
              </w:rPr>
            </w:pPr>
            <w:r w:rsidRPr="00E22401">
              <w:rPr>
                <w:lang w:val="en-GB"/>
              </w:rPr>
              <w:t xml:space="preserve">Ensures prompt management responses to audit observations  </w:t>
            </w:r>
          </w:p>
          <w:p w14:paraId="6ADCFB3A" w14:textId="77777777" w:rsidR="0007289E" w:rsidRPr="00E22401" w:rsidRDefault="00F859C9">
            <w:pPr>
              <w:numPr>
                <w:ilvl w:val="0"/>
                <w:numId w:val="7"/>
              </w:numPr>
              <w:spacing w:after="0" w:line="259" w:lineRule="auto"/>
              <w:ind w:right="0" w:hanging="361"/>
              <w:jc w:val="left"/>
              <w:rPr>
                <w:lang w:val="en-GB"/>
              </w:rPr>
            </w:pPr>
            <w:r w:rsidRPr="00E22401">
              <w:rPr>
                <w:lang w:val="en-GB"/>
              </w:rPr>
              <w:t xml:space="preserve">Co-hosts the exit meeting with the Audit Team Lead  </w:t>
            </w:r>
          </w:p>
          <w:p w14:paraId="6ADCFB3B" w14:textId="77777777" w:rsidR="0007289E" w:rsidRPr="00E22401" w:rsidRDefault="00F859C9">
            <w:pPr>
              <w:spacing w:after="0" w:line="259" w:lineRule="auto"/>
              <w:ind w:left="8" w:right="0" w:firstLine="0"/>
              <w:jc w:val="left"/>
              <w:rPr>
                <w:lang w:val="en-GB"/>
              </w:rPr>
            </w:pPr>
            <w:r w:rsidRPr="00E22401">
              <w:rPr>
                <w:lang w:val="en-GB"/>
              </w:rPr>
              <w:t xml:space="preserve">  </w:t>
            </w:r>
          </w:p>
          <w:p w14:paraId="6ADCFB3C" w14:textId="77777777" w:rsidR="0007289E" w:rsidRPr="00E22401" w:rsidRDefault="00F859C9">
            <w:pPr>
              <w:spacing w:after="0" w:line="237" w:lineRule="auto"/>
              <w:ind w:left="8" w:right="0" w:firstLine="0"/>
              <w:rPr>
                <w:lang w:val="en-GB"/>
              </w:rPr>
            </w:pPr>
            <w:r w:rsidRPr="00E22401">
              <w:rPr>
                <w:i/>
                <w:lang w:val="en-GB"/>
              </w:rPr>
              <w:t xml:space="preserve">The agenda for the kick off meeting should include an overview of the office/unit, programmatic </w:t>
            </w:r>
            <w:proofErr w:type="gramStart"/>
            <w:r w:rsidRPr="00E22401">
              <w:rPr>
                <w:i/>
                <w:lang w:val="en-GB"/>
              </w:rPr>
              <w:t>focus</w:t>
            </w:r>
            <w:proofErr w:type="gramEnd"/>
            <w:r w:rsidRPr="00E22401">
              <w:rPr>
                <w:i/>
                <w:lang w:val="en-GB"/>
              </w:rPr>
              <w:t xml:space="preserve"> and introduction of key staff. </w:t>
            </w:r>
            <w:r w:rsidRPr="00E22401">
              <w:rPr>
                <w:lang w:val="en-GB"/>
              </w:rPr>
              <w:t xml:space="preserve"> </w:t>
            </w:r>
          </w:p>
          <w:p w14:paraId="6ADCFB3D" w14:textId="77777777" w:rsidR="0007289E" w:rsidRPr="00E22401" w:rsidRDefault="00F859C9">
            <w:pPr>
              <w:spacing w:after="0" w:line="259" w:lineRule="auto"/>
              <w:ind w:left="8" w:right="0" w:firstLine="0"/>
              <w:jc w:val="left"/>
              <w:rPr>
                <w:lang w:val="en-GB"/>
              </w:rPr>
            </w:pPr>
            <w:r w:rsidRPr="00E22401">
              <w:rPr>
                <w:i/>
                <w:lang w:val="en-GB"/>
              </w:rPr>
              <w:t xml:space="preserve">  </w:t>
            </w:r>
            <w:r w:rsidRPr="00E22401">
              <w:rPr>
                <w:lang w:val="en-GB"/>
              </w:rPr>
              <w:t xml:space="preserve"> </w:t>
            </w:r>
          </w:p>
          <w:p w14:paraId="6ADCFB3E" w14:textId="77777777" w:rsidR="0007289E" w:rsidRPr="00E22401" w:rsidRDefault="00F859C9">
            <w:pPr>
              <w:spacing w:after="0" w:line="259" w:lineRule="auto"/>
              <w:ind w:left="8" w:right="0" w:firstLine="0"/>
              <w:rPr>
                <w:lang w:val="en-GB"/>
              </w:rPr>
            </w:pPr>
            <w:r w:rsidRPr="00E22401">
              <w:rPr>
                <w:i/>
                <w:lang w:val="en-GB"/>
              </w:rPr>
              <w:t>The exit meeting is for the external audit team to bring key audit findings to the Management team.</w:t>
            </w:r>
            <w:r w:rsidRPr="00E22401">
              <w:rPr>
                <w:lang w:val="en-GB"/>
              </w:rPr>
              <w:t xml:space="preserve">  </w:t>
            </w:r>
          </w:p>
        </w:tc>
      </w:tr>
      <w:tr w:rsidR="0007289E" w:rsidRPr="00E22401" w14:paraId="6ADCFB44" w14:textId="77777777" w:rsidTr="003F1B53">
        <w:trPr>
          <w:trHeight w:val="1229"/>
        </w:trPr>
        <w:tc>
          <w:tcPr>
            <w:tcW w:w="2380" w:type="dxa"/>
            <w:tcBorders>
              <w:top w:val="single" w:sz="8" w:space="0" w:color="000000"/>
              <w:left w:val="single" w:sz="8" w:space="0" w:color="000000"/>
              <w:bottom w:val="single" w:sz="8" w:space="0" w:color="000000"/>
              <w:right w:val="single" w:sz="8" w:space="0" w:color="000000"/>
            </w:tcBorders>
          </w:tcPr>
          <w:p w14:paraId="6ADCFB40" w14:textId="77777777" w:rsidR="0007289E" w:rsidRPr="00E22401" w:rsidRDefault="00F859C9">
            <w:pPr>
              <w:spacing w:after="0" w:line="259" w:lineRule="auto"/>
              <w:ind w:left="0" w:right="0" w:firstLine="0"/>
              <w:jc w:val="left"/>
              <w:rPr>
                <w:lang w:val="en-GB"/>
              </w:rPr>
            </w:pPr>
            <w:r w:rsidRPr="00E22401">
              <w:rPr>
                <w:lang w:val="en-GB"/>
              </w:rPr>
              <w:t xml:space="preserve">Director External Audit, </w:t>
            </w:r>
          </w:p>
          <w:p w14:paraId="6ADCFB41" w14:textId="77777777" w:rsidR="0007289E" w:rsidRPr="00E22401" w:rsidRDefault="00F859C9">
            <w:pPr>
              <w:spacing w:after="0" w:line="259" w:lineRule="auto"/>
              <w:ind w:left="0" w:right="0" w:firstLine="0"/>
              <w:jc w:val="left"/>
              <w:rPr>
                <w:lang w:val="en-GB"/>
              </w:rPr>
            </w:pPr>
            <w:r w:rsidRPr="00E22401">
              <w:rPr>
                <w:lang w:val="en-GB"/>
              </w:rPr>
              <w:t xml:space="preserve">BoA  </w:t>
            </w:r>
          </w:p>
        </w:tc>
        <w:tc>
          <w:tcPr>
            <w:tcW w:w="7535" w:type="dxa"/>
            <w:tcBorders>
              <w:top w:val="single" w:sz="8" w:space="0" w:color="000000"/>
              <w:left w:val="single" w:sz="8" w:space="0" w:color="000000"/>
              <w:bottom w:val="single" w:sz="8" w:space="0" w:color="000000"/>
              <w:right w:val="single" w:sz="8" w:space="0" w:color="000000"/>
            </w:tcBorders>
          </w:tcPr>
          <w:p w14:paraId="6ADCFB42" w14:textId="77777777" w:rsidR="0007289E" w:rsidRPr="00E22401" w:rsidRDefault="00F859C9">
            <w:pPr>
              <w:numPr>
                <w:ilvl w:val="0"/>
                <w:numId w:val="8"/>
              </w:numPr>
              <w:spacing w:after="75" w:line="242" w:lineRule="auto"/>
              <w:ind w:right="0" w:hanging="361"/>
              <w:rPr>
                <w:lang w:val="en-GB"/>
              </w:rPr>
            </w:pPr>
            <w:r w:rsidRPr="00E22401">
              <w:rPr>
                <w:lang w:val="en-GB"/>
              </w:rPr>
              <w:t xml:space="preserve">Issue the audit management letter based on feedback received from the country offices.   </w:t>
            </w:r>
          </w:p>
          <w:p w14:paraId="6ADCFB43" w14:textId="77777777" w:rsidR="0007289E" w:rsidRPr="00E22401" w:rsidRDefault="00F859C9">
            <w:pPr>
              <w:numPr>
                <w:ilvl w:val="0"/>
                <w:numId w:val="8"/>
              </w:numPr>
              <w:spacing w:after="0" w:line="259" w:lineRule="auto"/>
              <w:ind w:right="0" w:hanging="361"/>
              <w:rPr>
                <w:lang w:val="en-GB"/>
              </w:rPr>
            </w:pPr>
            <w:r w:rsidRPr="00E22401">
              <w:rPr>
                <w:lang w:val="en-GB"/>
              </w:rPr>
              <w:t xml:space="preserve">Validate implementation status of audit recommendations updated by auditee units in CARDS  </w:t>
            </w:r>
          </w:p>
        </w:tc>
      </w:tr>
      <w:tr w:rsidR="0007289E" w:rsidRPr="00E22401" w14:paraId="6ADCFB47" w14:textId="77777777" w:rsidTr="003F1B53">
        <w:trPr>
          <w:trHeight w:val="384"/>
        </w:trPr>
        <w:tc>
          <w:tcPr>
            <w:tcW w:w="2380" w:type="dxa"/>
            <w:tcBorders>
              <w:top w:val="single" w:sz="8" w:space="0" w:color="000000"/>
              <w:left w:val="single" w:sz="8" w:space="0" w:color="000000"/>
              <w:bottom w:val="single" w:sz="8" w:space="0" w:color="000000"/>
              <w:right w:val="single" w:sz="8" w:space="0" w:color="000000"/>
            </w:tcBorders>
          </w:tcPr>
          <w:p w14:paraId="6ADCFB45" w14:textId="77777777" w:rsidR="0007289E" w:rsidRPr="00E22401" w:rsidRDefault="00F859C9">
            <w:pPr>
              <w:spacing w:after="0" w:line="259" w:lineRule="auto"/>
              <w:ind w:left="0" w:right="0" w:firstLine="0"/>
              <w:jc w:val="left"/>
              <w:rPr>
                <w:lang w:val="en-GB"/>
              </w:rPr>
            </w:pPr>
            <w:r w:rsidRPr="00E22401">
              <w:rPr>
                <w:lang w:val="en-GB"/>
              </w:rPr>
              <w:t xml:space="preserve">Director OAI  </w:t>
            </w:r>
          </w:p>
        </w:tc>
        <w:tc>
          <w:tcPr>
            <w:tcW w:w="7535" w:type="dxa"/>
            <w:tcBorders>
              <w:top w:val="single" w:sz="8" w:space="0" w:color="000000"/>
              <w:left w:val="single" w:sz="8" w:space="0" w:color="000000"/>
              <w:bottom w:val="single" w:sz="8" w:space="0" w:color="000000"/>
              <w:right w:val="single" w:sz="8" w:space="0" w:color="000000"/>
            </w:tcBorders>
          </w:tcPr>
          <w:p w14:paraId="6ADCFB46" w14:textId="77777777" w:rsidR="0007289E" w:rsidRPr="00E22401" w:rsidRDefault="00F859C9">
            <w:pPr>
              <w:spacing w:after="0" w:line="259" w:lineRule="auto"/>
              <w:ind w:left="4" w:right="0" w:firstLine="0"/>
              <w:jc w:val="left"/>
              <w:rPr>
                <w:lang w:val="en-GB"/>
              </w:rPr>
            </w:pPr>
            <w:r w:rsidRPr="00E22401">
              <w:rPr>
                <w:noProof/>
                <w:lang w:eastAsia="ja-JP"/>
              </w:rPr>
              <w:drawing>
                <wp:inline distT="0" distB="0" distL="0" distR="0" wp14:anchorId="6ADCFB74" wp14:editId="6ADCFB75">
                  <wp:extent cx="76200" cy="103632"/>
                  <wp:effectExtent l="0" t="0" r="0" b="0"/>
                  <wp:docPr id="5704" name="Picture 5704"/>
                  <wp:cNvGraphicFramePr/>
                  <a:graphic xmlns:a="http://schemas.openxmlformats.org/drawingml/2006/main">
                    <a:graphicData uri="http://schemas.openxmlformats.org/drawingml/2006/picture">
                      <pic:pic xmlns:pic="http://schemas.openxmlformats.org/drawingml/2006/picture">
                        <pic:nvPicPr>
                          <pic:cNvPr id="5704" name="Picture 5704"/>
                          <pic:cNvPicPr/>
                        </pic:nvPicPr>
                        <pic:blipFill>
                          <a:blip r:embed="rId20"/>
                          <a:stretch>
                            <a:fillRect/>
                          </a:stretch>
                        </pic:blipFill>
                        <pic:spPr>
                          <a:xfrm>
                            <a:off x="0" y="0"/>
                            <a:ext cx="76200" cy="103632"/>
                          </a:xfrm>
                          <a:prstGeom prst="rect">
                            <a:avLst/>
                          </a:prstGeom>
                        </pic:spPr>
                      </pic:pic>
                    </a:graphicData>
                  </a:graphic>
                </wp:inline>
              </w:drawing>
            </w:r>
            <w:r w:rsidRPr="00E22401">
              <w:rPr>
                <w:rFonts w:ascii="Arial" w:eastAsia="Arial" w:hAnsi="Arial" w:cs="Arial"/>
                <w:lang w:val="en-GB"/>
              </w:rPr>
              <w:t xml:space="preserve">  </w:t>
            </w:r>
            <w:r w:rsidRPr="00E22401">
              <w:rPr>
                <w:lang w:val="en-GB"/>
              </w:rPr>
              <w:t xml:space="preserve">Note audit observations for follow up audit planning  </w:t>
            </w:r>
          </w:p>
        </w:tc>
      </w:tr>
      <w:tr w:rsidR="0007289E" w:rsidRPr="00E22401" w14:paraId="6ADCFB4A" w14:textId="77777777" w:rsidTr="003F1B53">
        <w:trPr>
          <w:trHeight w:val="387"/>
        </w:trPr>
        <w:tc>
          <w:tcPr>
            <w:tcW w:w="2380" w:type="dxa"/>
            <w:tcBorders>
              <w:top w:val="single" w:sz="8" w:space="0" w:color="000000"/>
              <w:left w:val="single" w:sz="8" w:space="0" w:color="000000"/>
              <w:bottom w:val="single" w:sz="8" w:space="0" w:color="000000"/>
              <w:right w:val="single" w:sz="8" w:space="0" w:color="000000"/>
            </w:tcBorders>
          </w:tcPr>
          <w:p w14:paraId="6ADCFB48" w14:textId="266DD55C" w:rsidR="0007289E" w:rsidRPr="00E22401" w:rsidRDefault="00F859C9">
            <w:pPr>
              <w:spacing w:after="0" w:line="259" w:lineRule="auto"/>
              <w:ind w:left="0" w:right="0" w:firstLine="0"/>
              <w:jc w:val="left"/>
              <w:rPr>
                <w:lang w:val="en-GB"/>
              </w:rPr>
            </w:pPr>
            <w:r w:rsidRPr="00E22401">
              <w:rPr>
                <w:lang w:val="en-GB"/>
              </w:rPr>
              <w:t xml:space="preserve">Director OFM  </w:t>
            </w:r>
          </w:p>
        </w:tc>
        <w:tc>
          <w:tcPr>
            <w:tcW w:w="7535" w:type="dxa"/>
            <w:tcBorders>
              <w:top w:val="single" w:sz="8" w:space="0" w:color="000000"/>
              <w:left w:val="single" w:sz="8" w:space="0" w:color="000000"/>
              <w:bottom w:val="single" w:sz="8" w:space="0" w:color="000000"/>
              <w:right w:val="single" w:sz="8" w:space="0" w:color="000000"/>
            </w:tcBorders>
          </w:tcPr>
          <w:p w14:paraId="6ADCFB49" w14:textId="77777777" w:rsidR="0007289E" w:rsidRPr="00E22401" w:rsidRDefault="00F859C9">
            <w:pPr>
              <w:spacing w:after="0" w:line="259" w:lineRule="auto"/>
              <w:ind w:left="4" w:right="0" w:firstLine="0"/>
              <w:jc w:val="left"/>
              <w:rPr>
                <w:lang w:val="en-GB"/>
              </w:rPr>
            </w:pPr>
            <w:r w:rsidRPr="00E22401">
              <w:rPr>
                <w:noProof/>
                <w:lang w:eastAsia="ja-JP"/>
              </w:rPr>
              <w:drawing>
                <wp:inline distT="0" distB="0" distL="0" distR="0" wp14:anchorId="6ADCFB76" wp14:editId="6ADCFB77">
                  <wp:extent cx="76200" cy="103632"/>
                  <wp:effectExtent l="0" t="0" r="0" b="0"/>
                  <wp:docPr id="5705" name="Picture 5705"/>
                  <wp:cNvGraphicFramePr/>
                  <a:graphic xmlns:a="http://schemas.openxmlformats.org/drawingml/2006/main">
                    <a:graphicData uri="http://schemas.openxmlformats.org/drawingml/2006/picture">
                      <pic:pic xmlns:pic="http://schemas.openxmlformats.org/drawingml/2006/picture">
                        <pic:nvPicPr>
                          <pic:cNvPr id="5705" name="Picture 5705"/>
                          <pic:cNvPicPr/>
                        </pic:nvPicPr>
                        <pic:blipFill>
                          <a:blip r:embed="rId21"/>
                          <a:stretch>
                            <a:fillRect/>
                          </a:stretch>
                        </pic:blipFill>
                        <pic:spPr>
                          <a:xfrm>
                            <a:off x="0" y="0"/>
                            <a:ext cx="76200" cy="103632"/>
                          </a:xfrm>
                          <a:prstGeom prst="rect">
                            <a:avLst/>
                          </a:prstGeom>
                        </pic:spPr>
                      </pic:pic>
                    </a:graphicData>
                  </a:graphic>
                </wp:inline>
              </w:drawing>
            </w:r>
            <w:r w:rsidRPr="00E22401">
              <w:rPr>
                <w:rFonts w:ascii="Arial" w:eastAsia="Arial" w:hAnsi="Arial" w:cs="Arial"/>
                <w:lang w:val="en-GB"/>
              </w:rPr>
              <w:t xml:space="preserve">  </w:t>
            </w:r>
            <w:r w:rsidRPr="00E22401">
              <w:rPr>
                <w:lang w:val="en-GB"/>
              </w:rPr>
              <w:t xml:space="preserve">Note audit observations for follow up audit planning  </w:t>
            </w:r>
          </w:p>
        </w:tc>
      </w:tr>
      <w:tr w:rsidR="0007289E" w:rsidRPr="00E22401" w14:paraId="6ADCFB51" w14:textId="77777777" w:rsidTr="003F1B53">
        <w:trPr>
          <w:trHeight w:val="2391"/>
        </w:trPr>
        <w:tc>
          <w:tcPr>
            <w:tcW w:w="2380" w:type="dxa"/>
            <w:tcBorders>
              <w:top w:val="single" w:sz="8" w:space="0" w:color="000000"/>
              <w:left w:val="single" w:sz="8" w:space="0" w:color="000000"/>
              <w:bottom w:val="single" w:sz="8" w:space="0" w:color="000000"/>
              <w:right w:val="single" w:sz="8" w:space="0" w:color="000000"/>
            </w:tcBorders>
          </w:tcPr>
          <w:p w14:paraId="6ADCFB4B" w14:textId="77777777" w:rsidR="0007289E" w:rsidRPr="00E22401" w:rsidRDefault="00F859C9" w:rsidP="003F1B53">
            <w:pPr>
              <w:spacing w:after="0" w:line="259" w:lineRule="auto"/>
              <w:ind w:left="0" w:right="0" w:firstLine="0"/>
              <w:jc w:val="left"/>
              <w:rPr>
                <w:lang w:val="en-GB"/>
              </w:rPr>
            </w:pPr>
            <w:r w:rsidRPr="00E22401">
              <w:rPr>
                <w:lang w:val="en-GB"/>
              </w:rPr>
              <w:t xml:space="preserve">BMS External Audit Focal </w:t>
            </w:r>
          </w:p>
          <w:p w14:paraId="6ADCFB4C" w14:textId="77777777" w:rsidR="0007289E" w:rsidRPr="00E22401" w:rsidRDefault="00F859C9" w:rsidP="003F1B53">
            <w:pPr>
              <w:spacing w:after="0" w:line="259" w:lineRule="auto"/>
              <w:ind w:left="0" w:right="0" w:firstLine="0"/>
              <w:jc w:val="left"/>
              <w:rPr>
                <w:lang w:val="en-GB"/>
              </w:rPr>
            </w:pPr>
            <w:r w:rsidRPr="00E22401">
              <w:rPr>
                <w:lang w:val="en-GB"/>
              </w:rPr>
              <w:t xml:space="preserve">Point  </w:t>
            </w:r>
          </w:p>
        </w:tc>
        <w:tc>
          <w:tcPr>
            <w:tcW w:w="7535" w:type="dxa"/>
            <w:tcBorders>
              <w:top w:val="single" w:sz="8" w:space="0" w:color="000000"/>
              <w:left w:val="single" w:sz="8" w:space="0" w:color="000000"/>
              <w:bottom w:val="single" w:sz="8" w:space="0" w:color="000000"/>
              <w:right w:val="single" w:sz="8" w:space="0" w:color="000000"/>
            </w:tcBorders>
          </w:tcPr>
          <w:p w14:paraId="6ADCFB4D" w14:textId="77777777" w:rsidR="0007289E" w:rsidRPr="00E22401" w:rsidRDefault="00F859C9">
            <w:pPr>
              <w:numPr>
                <w:ilvl w:val="0"/>
                <w:numId w:val="9"/>
              </w:numPr>
              <w:spacing w:after="77" w:line="240" w:lineRule="auto"/>
              <w:ind w:left="366" w:right="0" w:hanging="361"/>
              <w:rPr>
                <w:lang w:val="en-GB"/>
              </w:rPr>
            </w:pPr>
            <w:r w:rsidRPr="00E22401">
              <w:rPr>
                <w:lang w:val="en-GB"/>
              </w:rPr>
              <w:t xml:space="preserve">Work with Heads of Bureaus to issue formal responses to   the audit management letter    </w:t>
            </w:r>
          </w:p>
          <w:p w14:paraId="6ADCFB4E" w14:textId="77777777" w:rsidR="0007289E" w:rsidRPr="00E22401" w:rsidRDefault="00F859C9">
            <w:pPr>
              <w:numPr>
                <w:ilvl w:val="0"/>
                <w:numId w:val="9"/>
              </w:numPr>
              <w:spacing w:after="34" w:line="259" w:lineRule="auto"/>
              <w:ind w:left="366" w:right="0" w:hanging="361"/>
              <w:rPr>
                <w:lang w:val="en-GB"/>
              </w:rPr>
            </w:pPr>
            <w:r w:rsidRPr="00E22401">
              <w:rPr>
                <w:lang w:val="en-GB"/>
              </w:rPr>
              <w:t xml:space="preserve">Upload BoA audit recommendations in the audit database (CARDS)   </w:t>
            </w:r>
          </w:p>
          <w:p w14:paraId="6ADCFB4F" w14:textId="77777777" w:rsidR="0007289E" w:rsidRPr="00E22401" w:rsidRDefault="00F859C9">
            <w:pPr>
              <w:numPr>
                <w:ilvl w:val="0"/>
                <w:numId w:val="9"/>
              </w:numPr>
              <w:spacing w:after="75" w:line="242" w:lineRule="auto"/>
              <w:ind w:left="366" w:right="0" w:hanging="361"/>
              <w:rPr>
                <w:lang w:val="en-GB"/>
              </w:rPr>
            </w:pPr>
            <w:r w:rsidRPr="00E22401">
              <w:rPr>
                <w:lang w:val="en-GB"/>
              </w:rPr>
              <w:t xml:space="preserve">Track responses to corporate issues on the UNDP audit recommendation tracking dashboard  </w:t>
            </w:r>
          </w:p>
          <w:p w14:paraId="6ADCFB50" w14:textId="77777777" w:rsidR="0007289E" w:rsidRPr="00E22401" w:rsidRDefault="00F859C9">
            <w:pPr>
              <w:numPr>
                <w:ilvl w:val="0"/>
                <w:numId w:val="9"/>
              </w:numPr>
              <w:spacing w:after="0" w:line="259" w:lineRule="auto"/>
              <w:ind w:left="366" w:right="0" w:hanging="361"/>
              <w:rPr>
                <w:lang w:val="en-GB"/>
              </w:rPr>
            </w:pPr>
            <w:r w:rsidRPr="00E22401">
              <w:rPr>
                <w:lang w:val="en-GB"/>
              </w:rPr>
              <w:t xml:space="preserve">Provide summary update to the Organizational Performance Group meeting as required and/or designated management forums on key audit issues raised by BoA  </w:t>
            </w:r>
          </w:p>
        </w:tc>
      </w:tr>
      <w:tr w:rsidR="0007289E" w:rsidRPr="00E22401" w14:paraId="6ADCFB59" w14:textId="77777777" w:rsidTr="003F1B53">
        <w:trPr>
          <w:trHeight w:val="2341"/>
        </w:trPr>
        <w:tc>
          <w:tcPr>
            <w:tcW w:w="2380" w:type="dxa"/>
            <w:tcBorders>
              <w:top w:val="single" w:sz="8" w:space="0" w:color="000000"/>
              <w:left w:val="single" w:sz="8" w:space="0" w:color="000000"/>
              <w:bottom w:val="single" w:sz="8" w:space="0" w:color="000000"/>
              <w:right w:val="single" w:sz="8" w:space="0" w:color="000000"/>
            </w:tcBorders>
          </w:tcPr>
          <w:p w14:paraId="6ADCFB52" w14:textId="77777777" w:rsidR="0007289E" w:rsidRPr="00E22401" w:rsidRDefault="00F859C9" w:rsidP="003F1B53">
            <w:pPr>
              <w:spacing w:after="0" w:line="259" w:lineRule="auto"/>
              <w:ind w:left="0" w:right="98" w:firstLine="0"/>
              <w:jc w:val="left"/>
              <w:rPr>
                <w:lang w:val="en-GB"/>
              </w:rPr>
            </w:pPr>
            <w:r w:rsidRPr="00E22401">
              <w:rPr>
                <w:lang w:val="en-GB"/>
              </w:rPr>
              <w:t xml:space="preserve">Directors of Bureaus responsible for the office or unit being audited  </w:t>
            </w:r>
          </w:p>
        </w:tc>
        <w:tc>
          <w:tcPr>
            <w:tcW w:w="7535" w:type="dxa"/>
            <w:tcBorders>
              <w:top w:val="single" w:sz="8" w:space="0" w:color="000000"/>
              <w:left w:val="single" w:sz="8" w:space="0" w:color="000000"/>
              <w:bottom w:val="single" w:sz="8" w:space="0" w:color="000000"/>
              <w:right w:val="single" w:sz="8" w:space="0" w:color="000000"/>
            </w:tcBorders>
          </w:tcPr>
          <w:p w14:paraId="6ADCFB53" w14:textId="77777777" w:rsidR="0007289E" w:rsidRPr="00E22401" w:rsidRDefault="00F859C9">
            <w:pPr>
              <w:numPr>
                <w:ilvl w:val="0"/>
                <w:numId w:val="10"/>
              </w:numPr>
              <w:spacing w:after="34" w:line="259" w:lineRule="auto"/>
              <w:ind w:left="366" w:right="0" w:hanging="361"/>
              <w:rPr>
                <w:lang w:val="en-GB"/>
              </w:rPr>
            </w:pPr>
            <w:r w:rsidRPr="00E22401">
              <w:rPr>
                <w:lang w:val="en-GB"/>
              </w:rPr>
              <w:t xml:space="preserve">Review and track audit action plan submitted by the country office or unit  </w:t>
            </w:r>
          </w:p>
          <w:p w14:paraId="6ADCFB54" w14:textId="77777777" w:rsidR="0007289E" w:rsidRPr="00E22401" w:rsidRDefault="00F859C9">
            <w:pPr>
              <w:numPr>
                <w:ilvl w:val="0"/>
                <w:numId w:val="10"/>
              </w:numPr>
              <w:spacing w:after="75" w:line="240" w:lineRule="auto"/>
              <w:ind w:left="366" w:right="0" w:hanging="361"/>
              <w:rPr>
                <w:lang w:val="en-GB"/>
              </w:rPr>
            </w:pPr>
            <w:r w:rsidRPr="00E22401">
              <w:rPr>
                <w:lang w:val="en-GB"/>
              </w:rPr>
              <w:t xml:space="preserve">Work jointly with Director BMS to review audit issues and issue management responses to the BoA  </w:t>
            </w:r>
          </w:p>
          <w:p w14:paraId="6ADCFB55" w14:textId="77777777" w:rsidR="0007289E" w:rsidRPr="00E22401" w:rsidRDefault="00F859C9">
            <w:pPr>
              <w:numPr>
                <w:ilvl w:val="0"/>
                <w:numId w:val="10"/>
              </w:numPr>
              <w:spacing w:after="2" w:line="237" w:lineRule="auto"/>
              <w:ind w:left="366" w:right="0" w:hanging="361"/>
              <w:rPr>
                <w:lang w:val="en-GB"/>
              </w:rPr>
            </w:pPr>
            <w:r w:rsidRPr="00E22401">
              <w:rPr>
                <w:lang w:val="en-GB"/>
              </w:rPr>
              <w:t xml:space="preserve">Review audit implementation status report provided by the country offices or unit no later than 6 months after the audit  </w:t>
            </w:r>
          </w:p>
          <w:p w14:paraId="6ADCFB56" w14:textId="77777777" w:rsidR="0007289E" w:rsidRPr="00E22401" w:rsidRDefault="00F859C9">
            <w:pPr>
              <w:spacing w:after="0" w:line="259" w:lineRule="auto"/>
              <w:ind w:left="5" w:right="0" w:firstLine="0"/>
              <w:jc w:val="left"/>
              <w:rPr>
                <w:lang w:val="en-GB"/>
              </w:rPr>
            </w:pPr>
            <w:r w:rsidRPr="00E22401">
              <w:rPr>
                <w:lang w:val="en-GB"/>
              </w:rPr>
              <w:t xml:space="preserve">  </w:t>
            </w:r>
          </w:p>
          <w:p w14:paraId="6ADCFB57" w14:textId="77777777" w:rsidR="0007289E" w:rsidRPr="00E22401" w:rsidRDefault="00F859C9">
            <w:pPr>
              <w:spacing w:after="0" w:line="259" w:lineRule="auto"/>
              <w:ind w:left="5" w:right="0" w:firstLine="0"/>
              <w:jc w:val="left"/>
              <w:rPr>
                <w:lang w:val="en-GB"/>
              </w:rPr>
            </w:pPr>
            <w:r w:rsidRPr="00E22401">
              <w:rPr>
                <w:i/>
                <w:lang w:val="en-GB"/>
              </w:rPr>
              <w:t xml:space="preserve">A copy of the management responses should be copied to the UNDP </w:t>
            </w:r>
            <w:r w:rsidRPr="00E22401">
              <w:rPr>
                <w:lang w:val="en-GB"/>
              </w:rPr>
              <w:t xml:space="preserve"> </w:t>
            </w:r>
          </w:p>
          <w:p w14:paraId="6ADCFB58" w14:textId="77777777" w:rsidR="0007289E" w:rsidRPr="00E22401" w:rsidRDefault="00F859C9">
            <w:pPr>
              <w:spacing w:after="0" w:line="259" w:lineRule="auto"/>
              <w:ind w:left="5" w:right="0" w:firstLine="0"/>
              <w:jc w:val="left"/>
              <w:rPr>
                <w:lang w:val="en-GB"/>
              </w:rPr>
            </w:pPr>
            <w:r w:rsidRPr="00E22401">
              <w:rPr>
                <w:i/>
                <w:lang w:val="en-GB"/>
              </w:rPr>
              <w:t xml:space="preserve">Administrator, Director BMS, Director Finance and Administrator and Director OAI </w:t>
            </w:r>
            <w:r w:rsidRPr="00E22401">
              <w:rPr>
                <w:lang w:val="en-GB"/>
              </w:rPr>
              <w:t xml:space="preserve"> </w:t>
            </w:r>
          </w:p>
        </w:tc>
      </w:tr>
      <w:tr w:rsidR="0007289E" w:rsidRPr="00E22401" w14:paraId="6ADCFB63" w14:textId="77777777" w:rsidTr="003F1B53">
        <w:trPr>
          <w:trHeight w:val="2095"/>
        </w:trPr>
        <w:tc>
          <w:tcPr>
            <w:tcW w:w="2380" w:type="dxa"/>
            <w:tcBorders>
              <w:top w:val="single" w:sz="8" w:space="0" w:color="000000"/>
              <w:left w:val="single" w:sz="8" w:space="0" w:color="000000"/>
              <w:bottom w:val="single" w:sz="8" w:space="0" w:color="000000"/>
              <w:right w:val="single" w:sz="8" w:space="0" w:color="000000"/>
            </w:tcBorders>
          </w:tcPr>
          <w:p w14:paraId="6ADCFB5A" w14:textId="77777777" w:rsidR="0007289E" w:rsidRPr="00E22401" w:rsidRDefault="00F859C9">
            <w:pPr>
              <w:spacing w:after="0" w:line="259" w:lineRule="auto"/>
              <w:ind w:left="0" w:right="0" w:firstLine="0"/>
              <w:jc w:val="left"/>
              <w:rPr>
                <w:lang w:val="en-GB"/>
              </w:rPr>
            </w:pPr>
            <w:r w:rsidRPr="00E22401">
              <w:rPr>
                <w:lang w:val="en-GB"/>
              </w:rPr>
              <w:t xml:space="preserve">Resident  </w:t>
            </w:r>
          </w:p>
          <w:p w14:paraId="6ADCFB5B" w14:textId="77777777" w:rsidR="0007289E" w:rsidRPr="00E22401" w:rsidRDefault="003F1B53" w:rsidP="003F1B53">
            <w:pPr>
              <w:spacing w:after="2" w:line="256" w:lineRule="auto"/>
              <w:ind w:left="0" w:right="0" w:firstLine="0"/>
              <w:jc w:val="left"/>
              <w:rPr>
                <w:lang w:val="en-GB"/>
              </w:rPr>
            </w:pPr>
            <w:r w:rsidRPr="00E22401">
              <w:rPr>
                <w:lang w:val="en-GB"/>
              </w:rPr>
              <w:t xml:space="preserve">Representative </w:t>
            </w:r>
            <w:proofErr w:type="gramStart"/>
            <w:r w:rsidR="00F859C9" w:rsidRPr="00E22401">
              <w:rPr>
                <w:lang w:val="en-GB"/>
              </w:rPr>
              <w:t>of  Country</w:t>
            </w:r>
            <w:proofErr w:type="gramEnd"/>
            <w:r w:rsidR="00F859C9" w:rsidRPr="00E22401">
              <w:rPr>
                <w:lang w:val="en-GB"/>
              </w:rPr>
              <w:t xml:space="preserve"> offices or Head </w:t>
            </w:r>
          </w:p>
          <w:p w14:paraId="6ADCFB5C" w14:textId="77777777" w:rsidR="0007289E" w:rsidRPr="00E22401" w:rsidRDefault="00F859C9">
            <w:pPr>
              <w:spacing w:after="0" w:line="259" w:lineRule="auto"/>
              <w:ind w:left="0" w:right="0" w:firstLine="0"/>
              <w:jc w:val="left"/>
              <w:rPr>
                <w:lang w:val="en-GB"/>
              </w:rPr>
            </w:pPr>
            <w:r w:rsidRPr="00E22401">
              <w:rPr>
                <w:lang w:val="en-GB"/>
              </w:rPr>
              <w:t xml:space="preserve">of Units  </w:t>
            </w:r>
          </w:p>
        </w:tc>
        <w:tc>
          <w:tcPr>
            <w:tcW w:w="7535" w:type="dxa"/>
            <w:tcBorders>
              <w:top w:val="single" w:sz="8" w:space="0" w:color="000000"/>
              <w:left w:val="single" w:sz="8" w:space="0" w:color="000000"/>
              <w:bottom w:val="single" w:sz="8" w:space="0" w:color="000000"/>
              <w:right w:val="single" w:sz="8" w:space="0" w:color="000000"/>
            </w:tcBorders>
          </w:tcPr>
          <w:p w14:paraId="6ADCFB5D" w14:textId="77777777" w:rsidR="0007289E" w:rsidRPr="00E22401" w:rsidRDefault="00F859C9">
            <w:pPr>
              <w:numPr>
                <w:ilvl w:val="0"/>
                <w:numId w:val="11"/>
              </w:numPr>
              <w:spacing w:after="33" w:line="259" w:lineRule="auto"/>
              <w:ind w:left="366" w:right="0" w:hanging="361"/>
              <w:jc w:val="left"/>
              <w:rPr>
                <w:lang w:val="en-GB"/>
              </w:rPr>
            </w:pPr>
            <w:r w:rsidRPr="00E22401">
              <w:rPr>
                <w:lang w:val="en-GB"/>
              </w:rPr>
              <w:t xml:space="preserve">Provide draft input to formal responses to BoA  </w:t>
            </w:r>
          </w:p>
          <w:p w14:paraId="6ADCFB5E" w14:textId="77777777" w:rsidR="0007289E" w:rsidRPr="00E22401" w:rsidRDefault="00F859C9">
            <w:pPr>
              <w:numPr>
                <w:ilvl w:val="0"/>
                <w:numId w:val="11"/>
              </w:numPr>
              <w:spacing w:after="31" w:line="259" w:lineRule="auto"/>
              <w:ind w:left="366" w:right="0" w:hanging="361"/>
              <w:jc w:val="left"/>
              <w:rPr>
                <w:lang w:val="en-GB"/>
              </w:rPr>
            </w:pPr>
            <w:r w:rsidRPr="00E22401">
              <w:rPr>
                <w:lang w:val="en-GB"/>
              </w:rPr>
              <w:t xml:space="preserve">Submit audit action plan to Director RBX  </w:t>
            </w:r>
          </w:p>
          <w:p w14:paraId="6ADCFB5F" w14:textId="77777777" w:rsidR="0007289E" w:rsidRPr="00E22401" w:rsidRDefault="00F859C9">
            <w:pPr>
              <w:numPr>
                <w:ilvl w:val="0"/>
                <w:numId w:val="11"/>
              </w:numPr>
              <w:spacing w:after="0" w:line="259" w:lineRule="auto"/>
              <w:ind w:left="366" w:right="0" w:hanging="361"/>
              <w:jc w:val="left"/>
              <w:rPr>
                <w:lang w:val="en-GB"/>
              </w:rPr>
            </w:pPr>
            <w:r w:rsidRPr="00E22401">
              <w:rPr>
                <w:lang w:val="en-GB"/>
              </w:rPr>
              <w:t xml:space="preserve">Update implementation status in the audit database (CARDS) on a periodic  </w:t>
            </w:r>
          </w:p>
          <w:p w14:paraId="6ADCFB60" w14:textId="77777777" w:rsidR="0007289E" w:rsidRPr="00E22401" w:rsidRDefault="00F859C9">
            <w:pPr>
              <w:spacing w:after="0" w:line="259" w:lineRule="auto"/>
              <w:ind w:left="365" w:right="0" w:firstLine="0"/>
              <w:jc w:val="left"/>
              <w:rPr>
                <w:lang w:val="en-GB"/>
              </w:rPr>
            </w:pPr>
            <w:r w:rsidRPr="00E22401">
              <w:rPr>
                <w:lang w:val="en-GB"/>
              </w:rPr>
              <w:t xml:space="preserve">basis   </w:t>
            </w:r>
          </w:p>
          <w:p w14:paraId="6ADCFB61" w14:textId="77777777" w:rsidR="0007289E" w:rsidRPr="00E22401" w:rsidRDefault="00F859C9">
            <w:pPr>
              <w:spacing w:after="0" w:line="259" w:lineRule="auto"/>
              <w:ind w:left="5" w:right="0" w:firstLine="0"/>
              <w:jc w:val="left"/>
              <w:rPr>
                <w:lang w:val="en-GB"/>
              </w:rPr>
            </w:pPr>
            <w:r w:rsidRPr="00E22401">
              <w:rPr>
                <w:lang w:val="en-GB"/>
              </w:rPr>
              <w:t xml:space="preserve">  </w:t>
            </w:r>
          </w:p>
          <w:p w14:paraId="6ADCFB62" w14:textId="77777777" w:rsidR="0007289E" w:rsidRPr="00E22401" w:rsidRDefault="00F859C9">
            <w:pPr>
              <w:spacing w:after="0" w:line="259" w:lineRule="auto"/>
              <w:ind w:left="5" w:right="0" w:firstLine="0"/>
              <w:rPr>
                <w:lang w:val="en-GB"/>
              </w:rPr>
            </w:pPr>
            <w:r w:rsidRPr="00E22401">
              <w:rPr>
                <w:i/>
                <w:lang w:val="en-GB"/>
              </w:rPr>
              <w:t xml:space="preserve">Copy of the action plan should be copied to BMS Audit Focal point, Director OAI and Director BMS </w:t>
            </w:r>
            <w:r w:rsidRPr="00E22401">
              <w:rPr>
                <w:lang w:val="en-GB"/>
              </w:rPr>
              <w:t xml:space="preserve"> </w:t>
            </w:r>
          </w:p>
        </w:tc>
      </w:tr>
    </w:tbl>
    <w:p w14:paraId="3D3ED4AF" w14:textId="77777777" w:rsidR="00FE22EC" w:rsidRDefault="00F859C9">
      <w:pPr>
        <w:spacing w:after="0" w:line="259" w:lineRule="auto"/>
        <w:ind w:left="1702" w:right="0" w:firstLine="0"/>
        <w:rPr>
          <w:lang w:val="en-GB"/>
        </w:rPr>
      </w:pPr>
      <w:r w:rsidRPr="00E22401">
        <w:rPr>
          <w:lang w:val="en-GB"/>
        </w:rPr>
        <w:t xml:space="preserve"> </w:t>
      </w:r>
    </w:p>
    <w:p w14:paraId="6B9CBC4C" w14:textId="77777777" w:rsidR="00FE22EC" w:rsidRDefault="00FE22EC">
      <w:pPr>
        <w:spacing w:after="200" w:line="276" w:lineRule="auto"/>
        <w:ind w:left="0" w:right="0" w:firstLine="0"/>
        <w:jc w:val="left"/>
        <w:rPr>
          <w:lang w:val="en-GB"/>
        </w:rPr>
      </w:pPr>
      <w:r>
        <w:rPr>
          <w:lang w:val="en-GB"/>
        </w:rPr>
        <w:br w:type="page"/>
      </w:r>
    </w:p>
    <w:p w14:paraId="6ADCFB64" w14:textId="25562D83" w:rsidR="0007289E" w:rsidRPr="00E22401" w:rsidRDefault="0007289E">
      <w:pPr>
        <w:spacing w:after="0" w:line="259" w:lineRule="auto"/>
        <w:ind w:left="1702" w:right="0" w:firstLine="0"/>
        <w:rPr>
          <w:lang w:val="en-GB"/>
        </w:rPr>
      </w:pPr>
    </w:p>
    <w:p w14:paraId="6ADCFB65" w14:textId="78D71C71" w:rsidR="0007289E" w:rsidRPr="00D111A4" w:rsidRDefault="00FE22EC" w:rsidP="00FE22EC">
      <w:pPr>
        <w:spacing w:after="0" w:line="259" w:lineRule="auto"/>
        <w:ind w:left="1702" w:right="0" w:firstLine="105"/>
        <w:rPr>
          <w:b/>
          <w:lang w:val="en-GB"/>
        </w:rPr>
      </w:pPr>
      <w:r w:rsidRPr="00D111A4">
        <w:rPr>
          <w:b/>
          <w:lang w:val="en-GB"/>
        </w:rPr>
        <w:t>Templates</w:t>
      </w:r>
      <w:r w:rsidR="00AD6000" w:rsidRPr="00D111A4">
        <w:rPr>
          <w:b/>
          <w:lang w:val="en-GB"/>
        </w:rPr>
        <w:t xml:space="preserve"> and Guidelines </w:t>
      </w:r>
    </w:p>
    <w:p w14:paraId="76F09522" w14:textId="77777777" w:rsidR="00FE22EC" w:rsidRPr="00D111A4" w:rsidRDefault="00FE22EC" w:rsidP="00FE22EC">
      <w:pPr>
        <w:spacing w:after="0" w:line="259" w:lineRule="auto"/>
        <w:ind w:left="1702" w:right="0" w:firstLine="105"/>
        <w:rPr>
          <w:b/>
          <w:lang w:val="en-GB"/>
        </w:rPr>
      </w:pPr>
    </w:p>
    <w:p w14:paraId="4CE2C60E" w14:textId="5C6E4C9F" w:rsidR="00FE22EC" w:rsidRPr="00D111A4" w:rsidRDefault="00B84005" w:rsidP="00FE22EC">
      <w:pPr>
        <w:spacing w:after="0" w:line="259" w:lineRule="auto"/>
        <w:ind w:left="1702" w:right="0" w:firstLine="105"/>
        <w:rPr>
          <w:lang w:val="en-GB"/>
        </w:rPr>
      </w:pPr>
      <w:hyperlink r:id="rId22" w:history="1">
        <w:r w:rsidR="00FE22EC" w:rsidRPr="00D111A4">
          <w:rPr>
            <w:rStyle w:val="Hyperlink"/>
            <w:lang w:val="en-GB"/>
          </w:rPr>
          <w:t>Annex</w:t>
        </w:r>
        <w:r w:rsidR="00851531" w:rsidRPr="00D111A4">
          <w:rPr>
            <w:rStyle w:val="Hyperlink"/>
            <w:lang w:val="en-GB"/>
          </w:rPr>
          <w:t xml:space="preserve"> 1</w:t>
        </w:r>
        <w:r w:rsidR="00FE22EC" w:rsidRPr="00D111A4">
          <w:rPr>
            <w:rStyle w:val="Hyperlink"/>
            <w:lang w:val="en-GB"/>
          </w:rPr>
          <w:t>: Country Office profile template to be completed prior to arrival of the external audit team</w:t>
        </w:r>
      </w:hyperlink>
    </w:p>
    <w:p w14:paraId="67920E41" w14:textId="5DE14A1E" w:rsidR="0090047F" w:rsidRPr="00D111A4" w:rsidRDefault="00B84005" w:rsidP="00FE22EC">
      <w:pPr>
        <w:spacing w:after="0" w:line="259" w:lineRule="auto"/>
        <w:ind w:left="1702" w:right="0" w:firstLine="105"/>
        <w:rPr>
          <w:lang w:val="en-GB"/>
        </w:rPr>
      </w:pPr>
      <w:hyperlink r:id="rId23" w:history="1">
        <w:r w:rsidR="0090047F" w:rsidRPr="00D111A4">
          <w:rPr>
            <w:rStyle w:val="Hyperlink"/>
            <w:lang w:val="en-GB"/>
          </w:rPr>
          <w:t xml:space="preserve">Annex 2: </w:t>
        </w:r>
        <w:r w:rsidR="005B5626" w:rsidRPr="00D111A4">
          <w:rPr>
            <w:rStyle w:val="Hyperlink"/>
            <w:lang w:val="en-GB"/>
          </w:rPr>
          <w:t>Sample list of information to be completed prior to arrival of external audit team</w:t>
        </w:r>
      </w:hyperlink>
    </w:p>
    <w:p w14:paraId="242A661B" w14:textId="3D52AA63" w:rsidR="005B5626" w:rsidRPr="00D111A4" w:rsidRDefault="00B84005" w:rsidP="00FE22EC">
      <w:pPr>
        <w:spacing w:after="0" w:line="259" w:lineRule="auto"/>
        <w:ind w:left="1702" w:right="0" w:firstLine="105"/>
        <w:rPr>
          <w:lang w:val="fr-FR"/>
        </w:rPr>
      </w:pPr>
      <w:hyperlink r:id="rId24" w:history="1">
        <w:r w:rsidR="005B5626" w:rsidRPr="00D111A4">
          <w:rPr>
            <w:rStyle w:val="Hyperlink"/>
            <w:lang w:val="fr-FR"/>
          </w:rPr>
          <w:t xml:space="preserve">Annex 3: </w:t>
        </w:r>
        <w:r w:rsidR="001E72A0" w:rsidRPr="00D111A4">
          <w:rPr>
            <w:rStyle w:val="Hyperlink"/>
            <w:lang w:val="fr-FR"/>
          </w:rPr>
          <w:t>Sample audit observation</w:t>
        </w:r>
      </w:hyperlink>
    </w:p>
    <w:p w14:paraId="50B7F31B" w14:textId="358BDAB5" w:rsidR="001E72A0" w:rsidRPr="00D111A4" w:rsidRDefault="00B84005" w:rsidP="00FE22EC">
      <w:pPr>
        <w:spacing w:after="0" w:line="259" w:lineRule="auto"/>
        <w:ind w:left="1702" w:right="0" w:firstLine="105"/>
        <w:rPr>
          <w:lang w:val="fr-FR"/>
        </w:rPr>
      </w:pPr>
      <w:hyperlink r:id="rId25" w:history="1">
        <w:r w:rsidR="001E72A0" w:rsidRPr="00D111A4">
          <w:rPr>
            <w:rStyle w:val="Hyperlink"/>
            <w:lang w:val="fr-FR"/>
          </w:rPr>
          <w:t xml:space="preserve">Annex 4: </w:t>
        </w:r>
        <w:r w:rsidR="00DF5015" w:rsidRPr="00D111A4">
          <w:rPr>
            <w:rStyle w:val="Hyperlink"/>
            <w:lang w:val="fr-FR"/>
          </w:rPr>
          <w:t>Sample audit action plan</w:t>
        </w:r>
      </w:hyperlink>
    </w:p>
    <w:p w14:paraId="78F01CBC" w14:textId="4A0890E3" w:rsidR="00DF5015" w:rsidRPr="009A1715" w:rsidRDefault="00B84005" w:rsidP="00FE22EC">
      <w:pPr>
        <w:spacing w:after="0" w:line="259" w:lineRule="auto"/>
        <w:ind w:left="1702" w:right="0" w:firstLine="105"/>
      </w:pPr>
      <w:hyperlink r:id="rId26" w:history="1">
        <w:r w:rsidR="00D111A4" w:rsidRPr="00D111A4">
          <w:rPr>
            <w:rStyle w:val="Hyperlink"/>
          </w:rPr>
          <w:t>Annex 5: Guideline for preparing management responses</w:t>
        </w:r>
      </w:hyperlink>
    </w:p>
    <w:sectPr w:rsidR="00DF5015" w:rsidRPr="009A1715">
      <w:headerReference w:type="default" r:id="rId27"/>
      <w:footerReference w:type="even" r:id="rId28"/>
      <w:footerReference w:type="default" r:id="rId29"/>
      <w:footerReference w:type="first" r:id="rId30"/>
      <w:pgSz w:w="11906" w:h="16838"/>
      <w:pgMar w:top="1150" w:right="690" w:bottom="1408" w:left="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FD82" w14:textId="77777777" w:rsidR="001423E5" w:rsidRDefault="001423E5">
      <w:pPr>
        <w:spacing w:after="0" w:line="240" w:lineRule="auto"/>
      </w:pPr>
      <w:r>
        <w:separator/>
      </w:r>
    </w:p>
  </w:endnote>
  <w:endnote w:type="continuationSeparator" w:id="0">
    <w:p w14:paraId="5ED4A8C3" w14:textId="77777777" w:rsidR="001423E5" w:rsidRDefault="0014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7C" w14:textId="77777777" w:rsidR="0007289E" w:rsidRDefault="00F859C9">
    <w:pPr>
      <w:spacing w:after="0" w:line="259" w:lineRule="auto"/>
      <w:ind w:left="1910" w:right="0" w:firstLine="0"/>
      <w:jc w:val="center"/>
    </w:pPr>
    <w:r>
      <w:fldChar w:fldCharType="begin"/>
    </w:r>
    <w:r>
      <w:instrText xml:space="preserve"> PAGE   \* MERGEFORMAT </w:instrText>
    </w:r>
    <w:r>
      <w:fldChar w:fldCharType="separate"/>
    </w:r>
    <w:r>
      <w:t>1</w:t>
    </w:r>
    <w:r>
      <w:fldChar w:fldCharType="end"/>
    </w:r>
    <w:r>
      <w:t xml:space="preserve"> </w:t>
    </w:r>
  </w:p>
  <w:p w14:paraId="6ADCFB7D" w14:textId="77777777" w:rsidR="0007289E" w:rsidRDefault="00F859C9">
    <w:pPr>
      <w:spacing w:after="0" w:line="259" w:lineRule="auto"/>
      <w:ind w:left="206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7F" w14:textId="0EDFF5B7" w:rsidR="0007289E" w:rsidRDefault="00E22401" w:rsidP="00E22401">
    <w:pPr>
      <w:spacing w:after="0" w:line="259" w:lineRule="auto"/>
      <w:ind w:left="1080" w:right="236" w:firstLine="0"/>
      <w:jc w:val="left"/>
    </w:pPr>
    <w:r>
      <w:t xml:space="preserve">Page </w:t>
    </w:r>
    <w:r>
      <w:rPr>
        <w:b/>
      </w:rPr>
      <w:fldChar w:fldCharType="begin"/>
    </w:r>
    <w:r>
      <w:rPr>
        <w:b/>
      </w:rPr>
      <w:instrText xml:space="preserve"> PAGE  \* Arabic  \* MERGEFORMAT </w:instrText>
    </w:r>
    <w:r>
      <w:rPr>
        <w:b/>
      </w:rPr>
      <w:fldChar w:fldCharType="separate"/>
    </w:r>
    <w:r w:rsidR="001C76EF">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1C76EF">
      <w:rPr>
        <w:b/>
        <w:noProof/>
      </w:rPr>
      <w:t>6</w:t>
    </w:r>
    <w:r>
      <w:rPr>
        <w:b/>
      </w:rPr>
      <w:fldChar w:fldCharType="end"/>
    </w:r>
    <w:r>
      <w:ptab w:relativeTo="margin" w:alignment="center" w:leader="none"/>
    </w:r>
    <w:r w:rsidRPr="00E22401">
      <w:t>Effective Date:</w:t>
    </w:r>
    <w:r w:rsidR="001F7970">
      <w:t xml:space="preserve"> 01/01/2012</w:t>
    </w:r>
    <w:r w:rsidR="001F7970">
      <w:t xml:space="preserve"> </w:t>
    </w:r>
    <w:r>
      <w:ptab w:relativeTo="margin" w:alignment="right" w:leader="none"/>
    </w:r>
    <w:r w:rsidRPr="00E22401">
      <w:t>Version #:</w:t>
    </w:r>
    <w:r>
      <w:t xml:space="preserve"> </w:t>
    </w:r>
    <w:sdt>
      <w:sdtPr>
        <w:alias w:val="POPPRefItemVersion"/>
        <w:tag w:val="UNDP_POPP_REFITEM_VERSION"/>
        <w:id w:val="628058311"/>
        <w:placeholder>
          <w:docPart w:val="35673D93911F4AE5A054B010EA1249F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7C0F53-B5F1-4F04-9903-A720EC6B3245}"/>
        <w:text/>
      </w:sdtPr>
      <w:sdtEndPr/>
      <w:sdtContent>
        <w:r w:rsidR="00035660">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FB80" w14:textId="77777777" w:rsidR="0007289E" w:rsidRDefault="00F859C9">
    <w:pPr>
      <w:spacing w:after="0" w:line="259" w:lineRule="auto"/>
      <w:ind w:left="1910" w:right="0" w:firstLine="0"/>
      <w:jc w:val="center"/>
    </w:pPr>
    <w:r>
      <w:fldChar w:fldCharType="begin"/>
    </w:r>
    <w:r>
      <w:instrText xml:space="preserve"> PAGE   \* MERGEFORMAT </w:instrText>
    </w:r>
    <w:r>
      <w:fldChar w:fldCharType="separate"/>
    </w:r>
    <w:r>
      <w:t>1</w:t>
    </w:r>
    <w:r>
      <w:fldChar w:fldCharType="end"/>
    </w:r>
    <w:r>
      <w:t xml:space="preserve"> </w:t>
    </w:r>
  </w:p>
  <w:p w14:paraId="6ADCFB81" w14:textId="77777777" w:rsidR="0007289E" w:rsidRDefault="00F859C9">
    <w:pPr>
      <w:spacing w:after="0" w:line="259" w:lineRule="auto"/>
      <w:ind w:left="2062"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686E" w14:textId="77777777" w:rsidR="001423E5" w:rsidRDefault="001423E5">
      <w:pPr>
        <w:spacing w:after="0" w:line="240" w:lineRule="auto"/>
      </w:pPr>
      <w:r>
        <w:separator/>
      </w:r>
    </w:p>
  </w:footnote>
  <w:footnote w:type="continuationSeparator" w:id="0">
    <w:p w14:paraId="5C303B9B" w14:textId="77777777" w:rsidR="001423E5" w:rsidRDefault="00142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6CB4" w14:textId="17366320" w:rsidR="004927C2" w:rsidRDefault="004927C2" w:rsidP="00BA57F6">
    <w:pPr>
      <w:pStyle w:val="Header"/>
      <w:spacing w:before="100" w:beforeAutospacing="1" w:after="100" w:afterAutospacing="1"/>
      <w:ind w:left="9730" w:right="43"/>
      <w:jc w:val="right"/>
    </w:pPr>
    <w:r w:rsidRPr="004927C2">
      <w:rPr>
        <w:noProof/>
        <w:color w:val="333333"/>
        <w:lang w:eastAsia="ja-JP"/>
      </w:rPr>
      <w:drawing>
        <wp:inline distT="0" distB="0" distL="0" distR="0" wp14:anchorId="7FA35DC3" wp14:editId="624B94F4">
          <wp:extent cx="312023" cy="58504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389" b="16772"/>
                  <a:stretch/>
                </pic:blipFill>
                <pic:spPr bwMode="auto">
                  <a:xfrm>
                    <a:off x="0" y="0"/>
                    <a:ext cx="315903" cy="592316"/>
                  </a:xfrm>
                  <a:prstGeom prst="rect">
                    <a:avLst/>
                  </a:prstGeom>
                  <a:ln>
                    <a:noFill/>
                  </a:ln>
                  <a:extLst>
                    <a:ext uri="{53640926-AAD7-44D8-BBD7-CCE9431645EC}">
                      <a14:shadowObscured xmlns:a14="http://schemas.microsoft.com/office/drawing/2010/main"/>
                    </a:ext>
                  </a:extLst>
                </pic:spPr>
              </pic:pic>
            </a:graphicData>
          </a:graphic>
        </wp:inline>
      </w:drawing>
    </w:r>
  </w:p>
  <w:p w14:paraId="7122802F" w14:textId="77777777" w:rsidR="004927C2" w:rsidRDefault="0049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DC"/>
    <w:multiLevelType w:val="hybridMultilevel"/>
    <w:tmpl w:val="54F837AE"/>
    <w:lvl w:ilvl="0" w:tplc="97A65178">
      <w:start w:val="1"/>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602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6437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B6BE2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E2C1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9AAE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7A49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DA90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AA63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CB3EF5"/>
    <w:multiLevelType w:val="hybridMultilevel"/>
    <w:tmpl w:val="E5463C40"/>
    <w:lvl w:ilvl="0" w:tplc="C8A29DB4">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64D5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6370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2067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40B1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8897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485E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1083B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2E59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E4CA8"/>
    <w:multiLevelType w:val="hybridMultilevel"/>
    <w:tmpl w:val="21366AF6"/>
    <w:lvl w:ilvl="0" w:tplc="BB46254E">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68CB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2676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A73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4E98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689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EC7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19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EAF54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0F4023"/>
    <w:multiLevelType w:val="hybridMultilevel"/>
    <w:tmpl w:val="A49A4244"/>
    <w:lvl w:ilvl="0" w:tplc="7FBAA02E">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2EDE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A7C8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80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0297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8A384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EEFD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AD0B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DC892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F45A3F"/>
    <w:multiLevelType w:val="hybridMultilevel"/>
    <w:tmpl w:val="CC2A1AD8"/>
    <w:lvl w:ilvl="0" w:tplc="22464B1E">
      <w:start w:val="10"/>
      <w:numFmt w:val="decimal"/>
      <w:lvlText w:val="%1."/>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D266AA">
      <w:start w:val="1"/>
      <w:numFmt w:val="lowerLetter"/>
      <w:lvlText w:val="%2."/>
      <w:lvlJc w:val="left"/>
      <w:pPr>
        <w:ind w:left="3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5604EA">
      <w:start w:val="1"/>
      <w:numFmt w:val="lowerRoman"/>
      <w:lvlText w:val="%3"/>
      <w:lvlJc w:val="left"/>
      <w:pPr>
        <w:ind w:left="2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8B1C6">
      <w:start w:val="1"/>
      <w:numFmt w:val="decimal"/>
      <w:lvlText w:val="%4"/>
      <w:lvlJc w:val="left"/>
      <w:pPr>
        <w:ind w:left="3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4066C">
      <w:start w:val="1"/>
      <w:numFmt w:val="lowerLetter"/>
      <w:lvlText w:val="%5"/>
      <w:lvlJc w:val="left"/>
      <w:pPr>
        <w:ind w:left="3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661E6">
      <w:start w:val="1"/>
      <w:numFmt w:val="lowerRoman"/>
      <w:lvlText w:val="%6"/>
      <w:lvlJc w:val="left"/>
      <w:pPr>
        <w:ind w:left="4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C8C3A">
      <w:start w:val="1"/>
      <w:numFmt w:val="decimal"/>
      <w:lvlText w:val="%7"/>
      <w:lvlJc w:val="left"/>
      <w:pPr>
        <w:ind w:left="5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2BBC">
      <w:start w:val="1"/>
      <w:numFmt w:val="lowerLetter"/>
      <w:lvlText w:val="%8"/>
      <w:lvlJc w:val="left"/>
      <w:pPr>
        <w:ind w:left="6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E6E1E">
      <w:start w:val="1"/>
      <w:numFmt w:val="lowerRoman"/>
      <w:lvlText w:val="%9"/>
      <w:lvlJc w:val="left"/>
      <w:pPr>
        <w:ind w:left="6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8A72FC"/>
    <w:multiLevelType w:val="hybridMultilevel"/>
    <w:tmpl w:val="E110BBF8"/>
    <w:lvl w:ilvl="0" w:tplc="B1C08280">
      <w:start w:val="7"/>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0EE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3001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E806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C6BB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AF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A8B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7AF76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851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447582"/>
    <w:multiLevelType w:val="hybridMultilevel"/>
    <w:tmpl w:val="B1348A20"/>
    <w:lvl w:ilvl="0" w:tplc="7580485C">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A94F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90C8D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8708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6230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62D21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0639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432A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0C394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3311FF"/>
    <w:multiLevelType w:val="hybridMultilevel"/>
    <w:tmpl w:val="3F8AEBD0"/>
    <w:lvl w:ilvl="0" w:tplc="30B84ABE">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007D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6BD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7E21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0199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9CF55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4C5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01A7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8064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3550DB"/>
    <w:multiLevelType w:val="hybridMultilevel"/>
    <w:tmpl w:val="69E26ED8"/>
    <w:lvl w:ilvl="0" w:tplc="F06ACFD8">
      <w:start w:val="1"/>
      <w:numFmt w:val="bullet"/>
      <w:lvlText w:val="•"/>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36F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24628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7ADFF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65E8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E041A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F44E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667B5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0F38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D07B9B"/>
    <w:multiLevelType w:val="hybridMultilevel"/>
    <w:tmpl w:val="9C5A9C52"/>
    <w:lvl w:ilvl="0" w:tplc="6CC2DFE6">
      <w:start w:val="13"/>
      <w:numFmt w:val="decimal"/>
      <w:lvlText w:val="%1."/>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4C93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FE86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CCA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C017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943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058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6E350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08FE0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600229C"/>
    <w:multiLevelType w:val="hybridMultilevel"/>
    <w:tmpl w:val="0A1080B0"/>
    <w:lvl w:ilvl="0" w:tplc="7C2E5578">
      <w:start w:val="15"/>
      <w:numFmt w:val="decimal"/>
      <w:lvlText w:val="%1."/>
      <w:lvlJc w:val="left"/>
      <w:pPr>
        <w:ind w:left="2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C5138">
      <w:start w:val="1"/>
      <w:numFmt w:val="bullet"/>
      <w:lvlText w:val="•"/>
      <w:lvlJc w:val="left"/>
      <w:pPr>
        <w:ind w:left="3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005D0E">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1AE56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014B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4892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EC472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4375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09A2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D4470C"/>
    <w:multiLevelType w:val="hybridMultilevel"/>
    <w:tmpl w:val="BB286A8C"/>
    <w:lvl w:ilvl="0" w:tplc="22464B1E">
      <w:start w:val="10"/>
      <w:numFmt w:val="decimal"/>
      <w:lvlText w:val="%1."/>
      <w:lvlJc w:val="left"/>
      <w:pPr>
        <w:ind w:left="23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7">
      <w:start w:val="1"/>
      <w:numFmt w:val="lowerLetter"/>
      <w:lvlText w:val="%2)"/>
      <w:lvlJc w:val="left"/>
      <w:pPr>
        <w:ind w:left="3322"/>
      </w:pPr>
      <w:rPr>
        <w:b w:val="0"/>
        <w:i w:val="0"/>
        <w:strike w:val="0"/>
        <w:dstrike w:val="0"/>
        <w:color w:val="000000"/>
        <w:sz w:val="22"/>
        <w:szCs w:val="22"/>
        <w:u w:val="none" w:color="000000"/>
        <w:bdr w:val="none" w:sz="0" w:space="0" w:color="auto"/>
        <w:shd w:val="clear" w:color="auto" w:fill="auto"/>
        <w:vertAlign w:val="baseline"/>
      </w:rPr>
    </w:lvl>
    <w:lvl w:ilvl="2" w:tplc="E95604EA">
      <w:start w:val="1"/>
      <w:numFmt w:val="lowerRoman"/>
      <w:lvlText w:val="%3"/>
      <w:lvlJc w:val="left"/>
      <w:pPr>
        <w:ind w:left="2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98B1C6">
      <w:start w:val="1"/>
      <w:numFmt w:val="decimal"/>
      <w:lvlText w:val="%4"/>
      <w:lvlJc w:val="left"/>
      <w:pPr>
        <w:ind w:left="3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4066C">
      <w:start w:val="1"/>
      <w:numFmt w:val="lowerLetter"/>
      <w:lvlText w:val="%5"/>
      <w:lvlJc w:val="left"/>
      <w:pPr>
        <w:ind w:left="3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2661E6">
      <w:start w:val="1"/>
      <w:numFmt w:val="lowerRoman"/>
      <w:lvlText w:val="%6"/>
      <w:lvlJc w:val="left"/>
      <w:pPr>
        <w:ind w:left="4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0C8C3A">
      <w:start w:val="1"/>
      <w:numFmt w:val="decimal"/>
      <w:lvlText w:val="%7"/>
      <w:lvlJc w:val="left"/>
      <w:pPr>
        <w:ind w:left="5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2BBC">
      <w:start w:val="1"/>
      <w:numFmt w:val="lowerLetter"/>
      <w:lvlText w:val="%8"/>
      <w:lvlJc w:val="left"/>
      <w:pPr>
        <w:ind w:left="6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9E6E1E">
      <w:start w:val="1"/>
      <w:numFmt w:val="lowerRoman"/>
      <w:lvlText w:val="%9"/>
      <w:lvlJc w:val="left"/>
      <w:pPr>
        <w:ind w:left="6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49780482">
    <w:abstractNumId w:val="0"/>
  </w:num>
  <w:num w:numId="2" w16cid:durableId="1008482675">
    <w:abstractNumId w:val="5"/>
  </w:num>
  <w:num w:numId="3" w16cid:durableId="1380744659">
    <w:abstractNumId w:val="4"/>
  </w:num>
  <w:num w:numId="4" w16cid:durableId="1194229013">
    <w:abstractNumId w:val="9"/>
  </w:num>
  <w:num w:numId="5" w16cid:durableId="1565482616">
    <w:abstractNumId w:val="10"/>
  </w:num>
  <w:num w:numId="6" w16cid:durableId="752162469">
    <w:abstractNumId w:val="2"/>
  </w:num>
  <w:num w:numId="7" w16cid:durableId="2025352684">
    <w:abstractNumId w:val="8"/>
  </w:num>
  <w:num w:numId="8" w16cid:durableId="1202326216">
    <w:abstractNumId w:val="7"/>
  </w:num>
  <w:num w:numId="9" w16cid:durableId="150873518">
    <w:abstractNumId w:val="3"/>
  </w:num>
  <w:num w:numId="10" w16cid:durableId="586111040">
    <w:abstractNumId w:val="1"/>
  </w:num>
  <w:num w:numId="11" w16cid:durableId="94326777">
    <w:abstractNumId w:val="6"/>
  </w:num>
  <w:num w:numId="12" w16cid:durableId="928122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9E"/>
    <w:rsid w:val="00035660"/>
    <w:rsid w:val="0007289E"/>
    <w:rsid w:val="001423E5"/>
    <w:rsid w:val="001C76EF"/>
    <w:rsid w:val="001E72A0"/>
    <w:rsid w:val="001F7970"/>
    <w:rsid w:val="00330456"/>
    <w:rsid w:val="003F1B53"/>
    <w:rsid w:val="004927C2"/>
    <w:rsid w:val="004E588D"/>
    <w:rsid w:val="005B5626"/>
    <w:rsid w:val="006554A7"/>
    <w:rsid w:val="006A2E71"/>
    <w:rsid w:val="007455F6"/>
    <w:rsid w:val="00851531"/>
    <w:rsid w:val="008601E1"/>
    <w:rsid w:val="0086296A"/>
    <w:rsid w:val="0090047F"/>
    <w:rsid w:val="009A1715"/>
    <w:rsid w:val="00AD6000"/>
    <w:rsid w:val="00B31172"/>
    <w:rsid w:val="00B84005"/>
    <w:rsid w:val="00BA3996"/>
    <w:rsid w:val="00BA57F6"/>
    <w:rsid w:val="00D111A4"/>
    <w:rsid w:val="00DF5015"/>
    <w:rsid w:val="00E22401"/>
    <w:rsid w:val="00E61719"/>
    <w:rsid w:val="00EB333D"/>
    <w:rsid w:val="00F859C9"/>
    <w:rsid w:val="00FE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DCFAE4"/>
  <w15:docId w15:val="{31FF1EAF-916C-47BB-BED1-83FFA291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418" w:right="14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698"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1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53"/>
    <w:rPr>
      <w:rFonts w:ascii="Tahoma" w:eastAsia="Calibri" w:hAnsi="Tahoma" w:cs="Tahoma"/>
      <w:color w:val="000000"/>
      <w:sz w:val="16"/>
      <w:szCs w:val="16"/>
    </w:rPr>
  </w:style>
  <w:style w:type="paragraph" w:styleId="Header">
    <w:name w:val="header"/>
    <w:basedOn w:val="Normal"/>
    <w:link w:val="HeaderChar"/>
    <w:uiPriority w:val="99"/>
    <w:unhideWhenUsed/>
    <w:rsid w:val="0049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7C2"/>
    <w:rPr>
      <w:rFonts w:ascii="Calibri" w:eastAsia="Calibri" w:hAnsi="Calibri" w:cs="Calibri"/>
      <w:color w:val="000000"/>
    </w:rPr>
  </w:style>
  <w:style w:type="character" w:styleId="PlaceholderText">
    <w:name w:val="Placeholder Text"/>
    <w:basedOn w:val="DefaultParagraphFont"/>
    <w:uiPriority w:val="99"/>
    <w:semiHidden/>
    <w:rsid w:val="00BA57F6"/>
    <w:rPr>
      <w:color w:val="808080"/>
    </w:rPr>
  </w:style>
  <w:style w:type="character" w:styleId="Hyperlink">
    <w:name w:val="Hyperlink"/>
    <w:basedOn w:val="DefaultParagraphFont"/>
    <w:uiPriority w:val="99"/>
    <w:unhideWhenUsed/>
    <w:rsid w:val="00D11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3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n.org/auditors/board/" TargetMode="External"/><Relationship Id="rId18" Type="http://schemas.openxmlformats.org/officeDocument/2006/relationships/image" Target="media/image2.png"/><Relationship Id="rId26" Type="http://schemas.openxmlformats.org/officeDocument/2006/relationships/hyperlink" Target="https://popp.undp.org/node/2671"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intranet.undp.org/unit/ofrm/fpmr/CFRA/SitePages/Home.aspx" TargetMode="External"/><Relationship Id="rId25" Type="http://schemas.openxmlformats.org/officeDocument/2006/relationships/hyperlink" Target="https://popp.undp.org/node/26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org/auditors/board/" TargetMode="External"/><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2666"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un.org/auditors/board/" TargetMode="External"/><Relationship Id="rId23" Type="http://schemas.openxmlformats.org/officeDocument/2006/relationships/hyperlink" Target="https://popp.undp.org/node/2231"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auditors/board/" TargetMode="External"/><Relationship Id="rId22" Type="http://schemas.openxmlformats.org/officeDocument/2006/relationships/hyperlink" Target="https://popp.undp.org/node/2646"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73D93911F4AE5A054B010EA1249F1"/>
        <w:category>
          <w:name w:val="General"/>
          <w:gallery w:val="placeholder"/>
        </w:category>
        <w:types>
          <w:type w:val="bbPlcHdr"/>
        </w:types>
        <w:behaviors>
          <w:behavior w:val="content"/>
        </w:behaviors>
        <w:guid w:val="{F7B6FF46-5F4C-4068-87CE-662973143863}"/>
      </w:docPartPr>
      <w:docPartBody>
        <w:p w:rsidR="00FF1E75" w:rsidRDefault="00890F2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C8E"/>
    <w:rsid w:val="000E70C9"/>
    <w:rsid w:val="005A0582"/>
    <w:rsid w:val="00890F2E"/>
    <w:rsid w:val="00C1634A"/>
    <w:rsid w:val="00DB6C8E"/>
    <w:rsid w:val="00FF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5915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12/31/2011                                                Version #: 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Working with External Auditors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6144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POPP-11-808</_dlc_DocId>
    <_dlc_DocIdUrl xmlns="8264c5cc-ec60-4b56-8111-ce635d3d139a">
      <Url>https://popp.undp.org/_layouts/15/DocIdRedir.aspx?ID=POPP-11-808</Url>
      <Description>POPP-11-808</Description>
    </_dlc_DocIdUrl>
    <DLCPolicyLabelValue xmlns="e560140e-7b2f-4392-90df-e7567e3021a3">Effective Date: 12/31/2011                                                Version #: 5.0</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F11BA5-865B-4125-9146-AB5E137BC5ED}">
  <ds:schemaRefs>
    <ds:schemaRef ds:uri="office.server.policy"/>
  </ds:schemaRefs>
</ds:datastoreItem>
</file>

<file path=customXml/itemProps2.xml><?xml version="1.0" encoding="utf-8"?>
<ds:datastoreItem xmlns:ds="http://schemas.openxmlformats.org/officeDocument/2006/customXml" ds:itemID="{FAA2E4BE-169F-48F4-86E0-3B123CE9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9968E-C498-4AE6-B4EA-B0E545E032D7}">
  <ds:schemaRefs>
    <ds:schemaRef ds:uri="http://schemas.microsoft.com/sharepoint/v3/contenttype/forms"/>
  </ds:schemaRefs>
</ds:datastoreItem>
</file>

<file path=customXml/itemProps4.xml><?xml version="1.0" encoding="utf-8"?>
<ds:datastoreItem xmlns:ds="http://schemas.openxmlformats.org/officeDocument/2006/customXml" ds:itemID="{817C0F53-B5F1-4F04-9903-A720EC6B3245}">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8264c5cc-ec60-4b56-8111-ce635d3d139a"/>
    <ds:schemaRef ds:uri="http://schemas.openxmlformats.org/package/2006/metadata/core-properties"/>
    <ds:schemaRef ds:uri="e560140e-7b2f-4392-90df-e7567e3021a3"/>
    <ds:schemaRef ds:uri="http://schemas.microsoft.com/sharepoint/v3"/>
    <ds:schemaRef ds:uri="http://purl.org/dc/elements/1.1/"/>
  </ds:schemaRefs>
</ds:datastoreItem>
</file>

<file path=customXml/itemProps5.xml><?xml version="1.0" encoding="utf-8"?>
<ds:datastoreItem xmlns:ds="http://schemas.openxmlformats.org/officeDocument/2006/customXml" ds:itemID="{0ABE4653-7DE9-43E8-B5F3-8108AB971A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5</cp:revision>
  <dcterms:created xsi:type="dcterms:W3CDTF">2023-12-21T18:28:00Z</dcterms:created>
  <dcterms:modified xsi:type="dcterms:W3CDTF">2023-12-21T18:31:00Z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ab402e5b-3190-4df5-8578-94bac103d90c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