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BEC29" w14:textId="77777777" w:rsidR="006578C6" w:rsidRPr="0088209A" w:rsidRDefault="006578C6" w:rsidP="009C6940">
      <w:pPr>
        <w:shd w:val="clear" w:color="auto" w:fill="FFFFFF"/>
        <w:jc w:val="both"/>
        <w:textAlignment w:val="top"/>
        <w:rPr>
          <w:rFonts w:ascii="Calibri" w:hAnsi="Calibri" w:cs="Arial"/>
          <w:b/>
          <w:bCs/>
          <w:sz w:val="28"/>
          <w:szCs w:val="22"/>
        </w:rPr>
      </w:pPr>
      <w:r>
        <w:rPr>
          <w:rFonts w:ascii="Calibri" w:hAnsi="Calibri"/>
          <w:b/>
          <w:bCs/>
          <w:sz w:val="28"/>
          <w:szCs w:val="22"/>
        </w:rPr>
        <w:t>Aperçu et principes de l</w:t>
      </w:r>
      <w:r w:rsidR="009A49FC">
        <w:rPr>
          <w:rFonts w:ascii="Calibri" w:hAnsi="Calibri"/>
          <w:b/>
          <w:bCs/>
          <w:sz w:val="28"/>
          <w:szCs w:val="22"/>
        </w:rPr>
        <w:t>’</w:t>
      </w:r>
      <w:r>
        <w:rPr>
          <w:rFonts w:ascii="Calibri" w:hAnsi="Calibri"/>
          <w:b/>
          <w:bCs/>
          <w:sz w:val="28"/>
          <w:szCs w:val="22"/>
        </w:rPr>
        <w:t>approvisionnement</w:t>
      </w:r>
    </w:p>
    <w:p w14:paraId="4E3FB351" w14:textId="77777777" w:rsidR="00B022C9" w:rsidRPr="0088209A" w:rsidRDefault="00B022C9" w:rsidP="001721EA">
      <w:pPr>
        <w:rPr>
          <w:rFonts w:ascii="Calibri" w:hAnsi="Calibri" w:cs="Arial"/>
          <w:b/>
          <w:bCs/>
          <w:sz w:val="22"/>
          <w:szCs w:val="22"/>
        </w:rPr>
      </w:pPr>
    </w:p>
    <w:p w14:paraId="7CCEFCC5" w14:textId="58FF7576" w:rsidR="00B022C9" w:rsidRPr="00686A55" w:rsidRDefault="00B022C9" w:rsidP="0088209A">
      <w:pPr>
        <w:pStyle w:val="ListParagraph"/>
        <w:numPr>
          <w:ilvl w:val="0"/>
          <w:numId w:val="3"/>
        </w:numPr>
        <w:shd w:val="clear" w:color="auto" w:fill="FFFFFF"/>
        <w:spacing w:before="100" w:beforeAutospacing="1" w:after="240"/>
        <w:jc w:val="both"/>
        <w:textAlignment w:val="top"/>
        <w:rPr>
          <w:rFonts w:ascii="Calibri" w:hAnsi="Calibri" w:cs="Arial"/>
          <w:sz w:val="22"/>
          <w:szCs w:val="22"/>
        </w:rPr>
      </w:pPr>
      <w:r>
        <w:rPr>
          <w:rFonts w:ascii="Calibri" w:hAnsi="Calibri"/>
          <w:sz w:val="22"/>
          <w:szCs w:val="22"/>
        </w:rPr>
        <w:t>L</w:t>
      </w:r>
      <w:r w:rsidR="009A49FC">
        <w:rPr>
          <w:rFonts w:ascii="Calibri" w:hAnsi="Calibri"/>
          <w:sz w:val="22"/>
          <w:szCs w:val="22"/>
        </w:rPr>
        <w:t>’</w:t>
      </w:r>
      <w:r>
        <w:rPr>
          <w:rFonts w:ascii="Calibri" w:hAnsi="Calibri"/>
          <w:sz w:val="22"/>
          <w:szCs w:val="22"/>
        </w:rPr>
        <w:t xml:space="preserve">approvisionnement consiste à acquérir des biens, des travaux </w:t>
      </w:r>
      <w:r w:rsidR="009067A6">
        <w:rPr>
          <w:rFonts w:ascii="Calibri" w:hAnsi="Calibri"/>
          <w:sz w:val="22"/>
          <w:szCs w:val="22"/>
        </w:rPr>
        <w:t xml:space="preserve">ou </w:t>
      </w:r>
      <w:r>
        <w:rPr>
          <w:rFonts w:ascii="Calibri" w:hAnsi="Calibri"/>
          <w:sz w:val="22"/>
          <w:szCs w:val="22"/>
        </w:rPr>
        <w:t xml:space="preserve">des services. Bien que le </w:t>
      </w:r>
      <w:r w:rsidR="00C31711">
        <w:rPr>
          <w:rFonts w:ascii="Calibri" w:hAnsi="Calibri"/>
          <w:sz w:val="22"/>
          <w:szCs w:val="22"/>
        </w:rPr>
        <w:t xml:space="preserve">Programme des Nations Unies pour le </w:t>
      </w:r>
      <w:r w:rsidR="009067A6">
        <w:rPr>
          <w:rFonts w:ascii="Calibri" w:hAnsi="Calibri"/>
          <w:sz w:val="22"/>
          <w:szCs w:val="22"/>
        </w:rPr>
        <w:t>D</w:t>
      </w:r>
      <w:r w:rsidR="00C31711">
        <w:rPr>
          <w:rFonts w:ascii="Calibri" w:hAnsi="Calibri"/>
          <w:sz w:val="22"/>
          <w:szCs w:val="22"/>
        </w:rPr>
        <w:t xml:space="preserve">éveloppement (PNUD) </w:t>
      </w:r>
      <w:r>
        <w:rPr>
          <w:rFonts w:ascii="Calibri" w:hAnsi="Calibri"/>
          <w:sz w:val="22"/>
          <w:szCs w:val="22"/>
        </w:rPr>
        <w:t>adopte une approche décentralisée en matière d</w:t>
      </w:r>
      <w:r w:rsidR="009A49FC">
        <w:rPr>
          <w:rFonts w:ascii="Calibri" w:hAnsi="Calibri"/>
          <w:sz w:val="22"/>
          <w:szCs w:val="22"/>
        </w:rPr>
        <w:t>’</w:t>
      </w:r>
      <w:r>
        <w:rPr>
          <w:rFonts w:ascii="Calibri" w:hAnsi="Calibri"/>
          <w:sz w:val="22"/>
          <w:szCs w:val="22"/>
        </w:rPr>
        <w:t>approvisionnement par les différentes unités administratives, les politiques et procédures à l</w:t>
      </w:r>
      <w:r w:rsidR="009A49FC">
        <w:rPr>
          <w:rFonts w:ascii="Calibri" w:hAnsi="Calibri"/>
          <w:sz w:val="22"/>
          <w:szCs w:val="22"/>
        </w:rPr>
        <w:t>’</w:t>
      </w:r>
      <w:r>
        <w:rPr>
          <w:rFonts w:ascii="Calibri" w:hAnsi="Calibri"/>
          <w:sz w:val="22"/>
          <w:szCs w:val="22"/>
        </w:rPr>
        <w:t>échelle de l</w:t>
      </w:r>
      <w:r w:rsidR="009A49FC">
        <w:rPr>
          <w:rFonts w:ascii="Calibri" w:hAnsi="Calibri"/>
          <w:sz w:val="22"/>
          <w:szCs w:val="22"/>
        </w:rPr>
        <w:t>’</w:t>
      </w:r>
      <w:r>
        <w:rPr>
          <w:rFonts w:ascii="Calibri" w:hAnsi="Calibri"/>
          <w:sz w:val="22"/>
          <w:szCs w:val="22"/>
        </w:rPr>
        <w:t>organisation s</w:t>
      </w:r>
      <w:r w:rsidR="009A49FC">
        <w:rPr>
          <w:rFonts w:ascii="Calibri" w:hAnsi="Calibri"/>
          <w:sz w:val="22"/>
          <w:szCs w:val="22"/>
        </w:rPr>
        <w:t>’</w:t>
      </w:r>
      <w:r>
        <w:rPr>
          <w:rFonts w:ascii="Calibri" w:hAnsi="Calibri"/>
          <w:sz w:val="22"/>
          <w:szCs w:val="22"/>
        </w:rPr>
        <w:t>appliquent. Le processus d</w:t>
      </w:r>
      <w:r w:rsidR="009A49FC">
        <w:rPr>
          <w:rFonts w:ascii="Calibri" w:hAnsi="Calibri"/>
          <w:sz w:val="22"/>
          <w:szCs w:val="22"/>
        </w:rPr>
        <w:t>’</w:t>
      </w:r>
      <w:r>
        <w:rPr>
          <w:rFonts w:ascii="Calibri" w:hAnsi="Calibri"/>
          <w:sz w:val="22"/>
          <w:szCs w:val="22"/>
        </w:rPr>
        <w:t xml:space="preserve">approvisionnement </w:t>
      </w:r>
      <w:r w:rsidR="00C31711">
        <w:rPr>
          <w:rFonts w:ascii="Calibri" w:hAnsi="Calibri"/>
          <w:sz w:val="22"/>
          <w:szCs w:val="22"/>
        </w:rPr>
        <w:t xml:space="preserve">comprend </w:t>
      </w:r>
      <w:r>
        <w:rPr>
          <w:rFonts w:ascii="Calibri" w:hAnsi="Calibri"/>
          <w:sz w:val="22"/>
          <w:szCs w:val="22"/>
        </w:rPr>
        <w:t>la planification, les demandes d</w:t>
      </w:r>
      <w:r w:rsidR="009A49FC">
        <w:rPr>
          <w:rFonts w:ascii="Calibri" w:hAnsi="Calibri"/>
          <w:sz w:val="22"/>
          <w:szCs w:val="22"/>
        </w:rPr>
        <w:t>’</w:t>
      </w:r>
      <w:r>
        <w:rPr>
          <w:rFonts w:ascii="Calibri" w:hAnsi="Calibri"/>
          <w:sz w:val="22"/>
          <w:szCs w:val="22"/>
        </w:rPr>
        <w:t>achat, la recherche de fournisseurs, l</w:t>
      </w:r>
      <w:r w:rsidR="009A49FC">
        <w:rPr>
          <w:rFonts w:ascii="Calibri" w:hAnsi="Calibri"/>
          <w:sz w:val="22"/>
          <w:szCs w:val="22"/>
        </w:rPr>
        <w:t>’</w:t>
      </w:r>
      <w:r>
        <w:rPr>
          <w:rFonts w:ascii="Calibri" w:hAnsi="Calibri"/>
          <w:sz w:val="22"/>
          <w:szCs w:val="22"/>
        </w:rPr>
        <w:t>appel à la concurrence et l</w:t>
      </w:r>
      <w:r w:rsidR="009A49FC">
        <w:rPr>
          <w:rFonts w:ascii="Calibri" w:hAnsi="Calibri"/>
          <w:sz w:val="22"/>
          <w:szCs w:val="22"/>
        </w:rPr>
        <w:t>’</w:t>
      </w:r>
      <w:r>
        <w:rPr>
          <w:rFonts w:ascii="Calibri" w:hAnsi="Calibri"/>
          <w:sz w:val="22"/>
          <w:szCs w:val="22"/>
        </w:rPr>
        <w:t>évaluation des offres, l</w:t>
      </w:r>
      <w:r w:rsidR="009A49FC">
        <w:rPr>
          <w:rFonts w:ascii="Calibri" w:hAnsi="Calibri"/>
          <w:sz w:val="22"/>
          <w:szCs w:val="22"/>
        </w:rPr>
        <w:t>’</w:t>
      </w:r>
      <w:r>
        <w:rPr>
          <w:rFonts w:ascii="Calibri" w:hAnsi="Calibri"/>
          <w:sz w:val="22"/>
          <w:szCs w:val="22"/>
        </w:rPr>
        <w:t>examen des contrats, l</w:t>
      </w:r>
      <w:r w:rsidR="009A49FC">
        <w:rPr>
          <w:rFonts w:ascii="Calibri" w:hAnsi="Calibri"/>
          <w:sz w:val="22"/>
          <w:szCs w:val="22"/>
        </w:rPr>
        <w:t>’</w:t>
      </w:r>
      <w:r>
        <w:rPr>
          <w:rFonts w:ascii="Calibri" w:hAnsi="Calibri"/>
          <w:sz w:val="22"/>
          <w:szCs w:val="22"/>
        </w:rPr>
        <w:t>attribution des contrats et la gestion des contrats et des actifs.</w:t>
      </w:r>
    </w:p>
    <w:p w14:paraId="2BC4034F" w14:textId="77777777" w:rsidR="00686A55" w:rsidRPr="0088209A" w:rsidRDefault="00686A55" w:rsidP="00686A55">
      <w:pPr>
        <w:pStyle w:val="ListParagraph"/>
        <w:shd w:val="clear" w:color="auto" w:fill="FFFFFF"/>
        <w:spacing w:before="100" w:beforeAutospacing="1" w:after="240"/>
        <w:jc w:val="both"/>
        <w:textAlignment w:val="top"/>
        <w:rPr>
          <w:rFonts w:ascii="Calibri" w:hAnsi="Calibri" w:cs="Arial"/>
          <w:sz w:val="22"/>
          <w:szCs w:val="22"/>
        </w:rPr>
      </w:pPr>
    </w:p>
    <w:p w14:paraId="19BFBD5A" w14:textId="77777777" w:rsidR="006578C6" w:rsidRPr="0088209A" w:rsidRDefault="006578C6" w:rsidP="0088209A">
      <w:pPr>
        <w:pStyle w:val="ListParagraph"/>
        <w:numPr>
          <w:ilvl w:val="0"/>
          <w:numId w:val="3"/>
        </w:numPr>
        <w:shd w:val="clear" w:color="auto" w:fill="FFFFFF"/>
        <w:spacing w:before="100" w:beforeAutospacing="1" w:after="100" w:afterAutospacing="1"/>
        <w:jc w:val="both"/>
        <w:textAlignment w:val="top"/>
        <w:rPr>
          <w:rFonts w:ascii="Calibri" w:hAnsi="Calibri" w:cs="Arial"/>
          <w:sz w:val="22"/>
          <w:szCs w:val="22"/>
        </w:rPr>
      </w:pPr>
      <w:r>
        <w:rPr>
          <w:rFonts w:ascii="Calibri" w:hAnsi="Calibri"/>
          <w:sz w:val="22"/>
          <w:szCs w:val="22"/>
        </w:rPr>
        <w:t>Les principes généraux suivants doivent être appliqués à toutes les phases et à tous les types d</w:t>
      </w:r>
      <w:r w:rsidR="009A49FC">
        <w:rPr>
          <w:rFonts w:ascii="Calibri" w:hAnsi="Calibri"/>
          <w:sz w:val="22"/>
          <w:szCs w:val="22"/>
        </w:rPr>
        <w:t>’</w:t>
      </w:r>
      <w:r>
        <w:rPr>
          <w:rFonts w:ascii="Calibri" w:hAnsi="Calibri"/>
          <w:sz w:val="22"/>
          <w:szCs w:val="22"/>
        </w:rPr>
        <w:t>approvisionnement.</w:t>
      </w:r>
    </w:p>
    <w:p w14:paraId="6BCFDC64" w14:textId="77777777" w:rsidR="006578C6" w:rsidRPr="0088209A" w:rsidRDefault="006578C6" w:rsidP="006578C6">
      <w:pPr>
        <w:shd w:val="clear" w:color="auto" w:fill="FFFFFF"/>
        <w:spacing w:before="100" w:beforeAutospacing="1" w:after="100" w:afterAutospacing="1"/>
        <w:textAlignment w:val="top"/>
        <w:rPr>
          <w:rFonts w:ascii="Calibri" w:hAnsi="Calibri" w:cs="Arial"/>
          <w:sz w:val="22"/>
          <w:szCs w:val="22"/>
        </w:rPr>
      </w:pPr>
      <w:bookmarkStart w:id="0" w:name="Procedures"/>
      <w:bookmarkEnd w:id="0"/>
      <w:r>
        <w:rPr>
          <w:rFonts w:ascii="Calibri" w:hAnsi="Calibri"/>
          <w:b/>
          <w:bCs/>
          <w:sz w:val="22"/>
          <w:szCs w:val="22"/>
        </w:rPr>
        <w:t>Meilleur rapport qualité</w:t>
      </w:r>
      <w:r w:rsidR="00C31711">
        <w:rPr>
          <w:rFonts w:ascii="Calibri" w:hAnsi="Calibri"/>
          <w:b/>
          <w:bCs/>
          <w:sz w:val="22"/>
          <w:szCs w:val="22"/>
        </w:rPr>
        <w:t>-</w:t>
      </w:r>
      <w:r>
        <w:rPr>
          <w:rFonts w:ascii="Calibri" w:hAnsi="Calibri"/>
          <w:b/>
          <w:bCs/>
          <w:sz w:val="22"/>
          <w:szCs w:val="22"/>
        </w:rPr>
        <w:t>prix</w:t>
      </w:r>
    </w:p>
    <w:p w14:paraId="2046D919" w14:textId="77777777" w:rsidR="006578C6" w:rsidRDefault="006578C6" w:rsidP="0088209A">
      <w:pPr>
        <w:pStyle w:val="ListParagraph"/>
        <w:numPr>
          <w:ilvl w:val="0"/>
          <w:numId w:val="3"/>
        </w:numPr>
        <w:shd w:val="clear" w:color="auto" w:fill="FFFFFF"/>
        <w:spacing w:before="100" w:beforeAutospacing="1" w:after="100" w:afterAutospacing="1"/>
        <w:jc w:val="both"/>
        <w:textAlignment w:val="top"/>
        <w:rPr>
          <w:rFonts w:ascii="Calibri" w:hAnsi="Calibri" w:cs="Arial"/>
          <w:sz w:val="22"/>
          <w:szCs w:val="22"/>
        </w:rPr>
      </w:pPr>
      <w:r>
        <w:rPr>
          <w:rFonts w:ascii="Calibri" w:hAnsi="Calibri"/>
          <w:sz w:val="22"/>
          <w:szCs w:val="22"/>
        </w:rPr>
        <w:t xml:space="preserve">Le principe </w:t>
      </w:r>
      <w:r w:rsidR="00C31711">
        <w:rPr>
          <w:rFonts w:ascii="Calibri" w:hAnsi="Calibri"/>
          <w:sz w:val="22"/>
          <w:szCs w:val="22"/>
        </w:rPr>
        <w:t xml:space="preserve">fondamental </w:t>
      </w:r>
      <w:r>
        <w:rPr>
          <w:rFonts w:ascii="Calibri" w:hAnsi="Calibri"/>
          <w:sz w:val="22"/>
          <w:szCs w:val="22"/>
        </w:rPr>
        <w:t>est d</w:t>
      </w:r>
      <w:r w:rsidR="009A49FC">
        <w:rPr>
          <w:rFonts w:ascii="Calibri" w:hAnsi="Calibri"/>
          <w:sz w:val="22"/>
          <w:szCs w:val="22"/>
        </w:rPr>
        <w:t>’</w:t>
      </w:r>
      <w:r>
        <w:rPr>
          <w:rFonts w:ascii="Calibri" w:hAnsi="Calibri"/>
          <w:sz w:val="22"/>
          <w:szCs w:val="22"/>
        </w:rPr>
        <w:t>obtenir le meilleur rapport qualité-prix</w:t>
      </w:r>
      <w:r w:rsidR="00C31711">
        <w:rPr>
          <w:rFonts w:ascii="Calibri" w:hAnsi="Calibri"/>
          <w:sz w:val="22"/>
          <w:szCs w:val="22"/>
        </w:rPr>
        <w:t xml:space="preserve">, qui désigne </w:t>
      </w:r>
      <w:r>
        <w:rPr>
          <w:rFonts w:ascii="Calibri" w:hAnsi="Calibri"/>
          <w:sz w:val="22"/>
          <w:szCs w:val="22"/>
        </w:rPr>
        <w:t>la sélection de l</w:t>
      </w:r>
      <w:r w:rsidR="009A49FC">
        <w:rPr>
          <w:rFonts w:ascii="Calibri" w:hAnsi="Calibri"/>
          <w:sz w:val="22"/>
          <w:szCs w:val="22"/>
        </w:rPr>
        <w:t>’</w:t>
      </w:r>
      <w:r>
        <w:rPr>
          <w:rFonts w:ascii="Calibri" w:hAnsi="Calibri"/>
          <w:sz w:val="22"/>
          <w:szCs w:val="22"/>
        </w:rPr>
        <w:t>offre qui présente la combinaison optimale des coûts et des avantages du cycle de vie et répond aux besoins</w:t>
      </w:r>
      <w:r w:rsidR="00487F38">
        <w:rPr>
          <w:rFonts w:ascii="Calibri" w:hAnsi="Calibri"/>
          <w:sz w:val="22"/>
          <w:szCs w:val="22"/>
        </w:rPr>
        <w:t xml:space="preserve"> commerciaux</w:t>
      </w:r>
      <w:r>
        <w:rPr>
          <w:rFonts w:ascii="Calibri" w:hAnsi="Calibri"/>
          <w:sz w:val="22"/>
          <w:szCs w:val="22"/>
        </w:rPr>
        <w:t>.</w:t>
      </w:r>
    </w:p>
    <w:p w14:paraId="590355CB" w14:textId="77777777" w:rsidR="000A1933" w:rsidRPr="0088209A" w:rsidRDefault="000A1933" w:rsidP="000A1933">
      <w:pPr>
        <w:pStyle w:val="ListParagraph"/>
        <w:shd w:val="clear" w:color="auto" w:fill="FFFFFF"/>
        <w:spacing w:before="100" w:beforeAutospacing="1" w:after="100" w:afterAutospacing="1"/>
        <w:jc w:val="both"/>
        <w:textAlignment w:val="top"/>
        <w:rPr>
          <w:rFonts w:ascii="Calibri" w:hAnsi="Calibri" w:cs="Arial"/>
          <w:sz w:val="22"/>
          <w:szCs w:val="22"/>
        </w:rPr>
      </w:pPr>
    </w:p>
    <w:p w14:paraId="6FFF320C" w14:textId="77777777" w:rsidR="006578C6" w:rsidRPr="0088209A" w:rsidRDefault="006578C6" w:rsidP="0088209A">
      <w:pPr>
        <w:pStyle w:val="ListParagraph"/>
        <w:numPr>
          <w:ilvl w:val="0"/>
          <w:numId w:val="3"/>
        </w:numPr>
        <w:shd w:val="clear" w:color="auto" w:fill="FFFFFF"/>
        <w:jc w:val="both"/>
        <w:textAlignment w:val="top"/>
        <w:rPr>
          <w:rFonts w:ascii="Calibri" w:hAnsi="Calibri" w:cs="Arial"/>
          <w:sz w:val="22"/>
          <w:szCs w:val="22"/>
        </w:rPr>
      </w:pPr>
      <w:r>
        <w:rPr>
          <w:rFonts w:ascii="Calibri" w:hAnsi="Calibri"/>
          <w:sz w:val="22"/>
          <w:szCs w:val="22"/>
        </w:rPr>
        <w:t>Le meilleur rapport qualité-prix ne doit pas être assimilé à l</w:t>
      </w:r>
      <w:r w:rsidR="009A49FC">
        <w:rPr>
          <w:rFonts w:ascii="Calibri" w:hAnsi="Calibri"/>
          <w:sz w:val="22"/>
          <w:szCs w:val="22"/>
        </w:rPr>
        <w:t>’</w:t>
      </w:r>
      <w:r>
        <w:rPr>
          <w:rFonts w:ascii="Calibri" w:hAnsi="Calibri"/>
          <w:sz w:val="22"/>
          <w:szCs w:val="22"/>
        </w:rPr>
        <w:t>offre la moins chère. Cela nécessite une évaluation intégrée des facteurs techniques, organisationnels et tarifaires en fonction de leur importance relative (c</w:t>
      </w:r>
      <w:r w:rsidR="009A49FC">
        <w:rPr>
          <w:rFonts w:ascii="Calibri" w:hAnsi="Calibri"/>
          <w:sz w:val="22"/>
          <w:szCs w:val="22"/>
        </w:rPr>
        <w:t>’</w:t>
      </w:r>
      <w:r w:rsidR="00CE05BC">
        <w:rPr>
          <w:rFonts w:ascii="Calibri" w:hAnsi="Calibri"/>
          <w:sz w:val="22"/>
          <w:szCs w:val="22"/>
        </w:rPr>
        <w:t>est-à-dire</w:t>
      </w:r>
      <w:r>
        <w:rPr>
          <w:rFonts w:ascii="Calibri" w:hAnsi="Calibri"/>
          <w:sz w:val="22"/>
          <w:szCs w:val="22"/>
        </w:rPr>
        <w:t xml:space="preserve"> la fiabilité, la qualité, l</w:t>
      </w:r>
      <w:r w:rsidR="009A49FC">
        <w:rPr>
          <w:rFonts w:ascii="Calibri" w:hAnsi="Calibri"/>
          <w:sz w:val="22"/>
          <w:szCs w:val="22"/>
        </w:rPr>
        <w:t>’</w:t>
      </w:r>
      <w:r>
        <w:rPr>
          <w:rFonts w:ascii="Calibri" w:hAnsi="Calibri"/>
          <w:sz w:val="22"/>
          <w:szCs w:val="22"/>
        </w:rPr>
        <w:t>expérience, la réputation, le rendement précédent, le rapport coût/honoraires et le caractère raisonnable). Les paramètres peuvent également inclure des objectifs sociaux, environnementaux et d</w:t>
      </w:r>
      <w:r w:rsidR="009A49FC">
        <w:rPr>
          <w:rFonts w:ascii="Calibri" w:hAnsi="Calibri"/>
          <w:sz w:val="22"/>
          <w:szCs w:val="22"/>
        </w:rPr>
        <w:t>’</w:t>
      </w:r>
      <w:r>
        <w:rPr>
          <w:rFonts w:ascii="Calibri" w:hAnsi="Calibri"/>
          <w:sz w:val="22"/>
          <w:szCs w:val="22"/>
        </w:rPr>
        <w:t>autres objectifs stratégiques définis dans le plan d</w:t>
      </w:r>
      <w:r w:rsidR="009A49FC">
        <w:rPr>
          <w:rFonts w:ascii="Calibri" w:hAnsi="Calibri"/>
          <w:sz w:val="22"/>
          <w:szCs w:val="22"/>
        </w:rPr>
        <w:t>’</w:t>
      </w:r>
      <w:r>
        <w:rPr>
          <w:rFonts w:ascii="Calibri" w:hAnsi="Calibri"/>
          <w:sz w:val="22"/>
          <w:szCs w:val="22"/>
        </w:rPr>
        <w:t>approvisionnement.</w:t>
      </w:r>
    </w:p>
    <w:p w14:paraId="2C2FE661" w14:textId="77777777" w:rsidR="006578C6" w:rsidRPr="0088209A" w:rsidRDefault="006578C6" w:rsidP="0088209A">
      <w:pPr>
        <w:shd w:val="clear" w:color="auto" w:fill="FFFFFF"/>
        <w:jc w:val="both"/>
        <w:textAlignment w:val="top"/>
        <w:rPr>
          <w:rFonts w:ascii="Calibri" w:hAnsi="Calibri" w:cs="Arial"/>
          <w:sz w:val="22"/>
          <w:szCs w:val="22"/>
        </w:rPr>
      </w:pPr>
    </w:p>
    <w:p w14:paraId="44A5DFFE" w14:textId="77777777" w:rsidR="006578C6" w:rsidRPr="0088209A" w:rsidRDefault="0027329D" w:rsidP="0088209A">
      <w:pPr>
        <w:pStyle w:val="ListParagraph"/>
        <w:numPr>
          <w:ilvl w:val="0"/>
          <w:numId w:val="3"/>
        </w:numPr>
        <w:shd w:val="clear" w:color="auto" w:fill="FFFFFF"/>
        <w:jc w:val="both"/>
        <w:textAlignment w:val="top"/>
        <w:rPr>
          <w:rFonts w:ascii="Calibri" w:hAnsi="Calibri" w:cs="Arial"/>
          <w:sz w:val="22"/>
          <w:szCs w:val="22"/>
        </w:rPr>
      </w:pPr>
      <w:r>
        <w:rPr>
          <w:rFonts w:ascii="Calibri" w:hAnsi="Calibri"/>
          <w:sz w:val="22"/>
          <w:szCs w:val="22"/>
        </w:rPr>
        <w:t xml:space="preserve">Afin de </w:t>
      </w:r>
      <w:r w:rsidR="00F07419">
        <w:rPr>
          <w:rFonts w:ascii="Calibri" w:hAnsi="Calibri"/>
          <w:sz w:val="22"/>
          <w:szCs w:val="22"/>
        </w:rPr>
        <w:t xml:space="preserve">maintenir </w:t>
      </w:r>
      <w:r>
        <w:rPr>
          <w:rFonts w:ascii="Calibri" w:hAnsi="Calibri"/>
          <w:sz w:val="22"/>
          <w:szCs w:val="22"/>
        </w:rPr>
        <w:t>le meilleur rapport qualité-prix, les processus d</w:t>
      </w:r>
      <w:r w:rsidR="009A49FC">
        <w:rPr>
          <w:rFonts w:ascii="Calibri" w:hAnsi="Calibri"/>
          <w:sz w:val="22"/>
          <w:szCs w:val="22"/>
        </w:rPr>
        <w:t>’</w:t>
      </w:r>
      <w:r>
        <w:rPr>
          <w:rFonts w:ascii="Calibri" w:hAnsi="Calibri"/>
          <w:sz w:val="22"/>
          <w:szCs w:val="22"/>
        </w:rPr>
        <w:t>appels d</w:t>
      </w:r>
      <w:r w:rsidR="009A49FC">
        <w:rPr>
          <w:rFonts w:ascii="Calibri" w:hAnsi="Calibri"/>
          <w:sz w:val="22"/>
          <w:szCs w:val="22"/>
        </w:rPr>
        <w:t>’</w:t>
      </w:r>
      <w:r>
        <w:rPr>
          <w:rFonts w:ascii="Calibri" w:hAnsi="Calibri"/>
          <w:sz w:val="22"/>
          <w:szCs w:val="22"/>
        </w:rPr>
        <w:t>offres et de sélection d</w:t>
      </w:r>
      <w:r w:rsidR="009A49FC">
        <w:rPr>
          <w:rFonts w:ascii="Calibri" w:hAnsi="Calibri"/>
          <w:sz w:val="22"/>
          <w:szCs w:val="22"/>
        </w:rPr>
        <w:t>’</w:t>
      </w:r>
      <w:r>
        <w:rPr>
          <w:rFonts w:ascii="Calibri" w:hAnsi="Calibri"/>
          <w:sz w:val="22"/>
          <w:szCs w:val="22"/>
        </w:rPr>
        <w:t>un fournisseur doivent</w:t>
      </w:r>
      <w:r w:rsidR="00F07419">
        <w:rPr>
          <w:rFonts w:ascii="Calibri" w:hAnsi="Calibri"/>
          <w:sz w:val="22"/>
          <w:szCs w:val="22"/>
        </w:rPr>
        <w:t> :</w:t>
      </w:r>
    </w:p>
    <w:p w14:paraId="2A8EFB6D" w14:textId="77777777" w:rsidR="006578C6" w:rsidRPr="0088209A" w:rsidRDefault="006578C6" w:rsidP="00DE503E">
      <w:pPr>
        <w:numPr>
          <w:ilvl w:val="0"/>
          <w:numId w:val="7"/>
        </w:numPr>
        <w:tabs>
          <w:tab w:val="clear" w:pos="720"/>
        </w:tabs>
        <w:spacing w:before="240" w:after="100" w:afterAutospacing="1"/>
        <w:ind w:left="1800"/>
        <w:jc w:val="both"/>
        <w:textAlignment w:val="top"/>
        <w:rPr>
          <w:rFonts w:ascii="Calibri" w:hAnsi="Calibri" w:cs="Arial"/>
          <w:sz w:val="22"/>
          <w:szCs w:val="22"/>
        </w:rPr>
      </w:pPr>
      <w:r>
        <w:rPr>
          <w:rFonts w:ascii="Calibri" w:hAnsi="Calibri"/>
          <w:sz w:val="22"/>
          <w:szCs w:val="22"/>
        </w:rPr>
        <w:t>Développer la concurrence</w:t>
      </w:r>
      <w:r w:rsidR="002638E5">
        <w:rPr>
          <w:rFonts w:ascii="Calibri" w:hAnsi="Calibri"/>
          <w:sz w:val="22"/>
          <w:szCs w:val="22"/>
        </w:rPr>
        <w:t> ;</w:t>
      </w:r>
    </w:p>
    <w:p w14:paraId="4A504A81" w14:textId="77777777" w:rsidR="006578C6" w:rsidRPr="0088209A" w:rsidRDefault="006578C6" w:rsidP="00DE503E">
      <w:pPr>
        <w:numPr>
          <w:ilvl w:val="0"/>
          <w:numId w:val="7"/>
        </w:numPr>
        <w:tabs>
          <w:tab w:val="clear" w:pos="720"/>
        </w:tabs>
        <w:spacing w:before="240" w:after="100" w:afterAutospacing="1"/>
        <w:ind w:left="1800"/>
        <w:jc w:val="both"/>
        <w:textAlignment w:val="top"/>
        <w:rPr>
          <w:rFonts w:ascii="Calibri" w:hAnsi="Calibri" w:cs="Arial"/>
          <w:sz w:val="22"/>
          <w:szCs w:val="22"/>
        </w:rPr>
      </w:pPr>
      <w:r>
        <w:rPr>
          <w:rFonts w:ascii="Calibri" w:hAnsi="Calibri"/>
          <w:sz w:val="22"/>
          <w:szCs w:val="22"/>
        </w:rPr>
        <w:t>Réduire la complexité des processus d</w:t>
      </w:r>
      <w:r w:rsidR="009A49FC">
        <w:rPr>
          <w:rFonts w:ascii="Calibri" w:hAnsi="Calibri"/>
          <w:sz w:val="22"/>
          <w:szCs w:val="22"/>
        </w:rPr>
        <w:t>’</w:t>
      </w:r>
      <w:r>
        <w:rPr>
          <w:rFonts w:ascii="Calibri" w:hAnsi="Calibri"/>
          <w:sz w:val="22"/>
          <w:szCs w:val="22"/>
        </w:rPr>
        <w:t>appel à la concurrence, d</w:t>
      </w:r>
      <w:r w:rsidR="009A49FC">
        <w:rPr>
          <w:rFonts w:ascii="Calibri" w:hAnsi="Calibri"/>
          <w:sz w:val="22"/>
          <w:szCs w:val="22"/>
        </w:rPr>
        <w:t>’</w:t>
      </w:r>
      <w:r>
        <w:rPr>
          <w:rFonts w:ascii="Calibri" w:hAnsi="Calibri"/>
          <w:sz w:val="22"/>
          <w:szCs w:val="22"/>
        </w:rPr>
        <w:t>évaluation et de sélection</w:t>
      </w:r>
      <w:r w:rsidR="002638E5">
        <w:rPr>
          <w:rFonts w:ascii="Calibri" w:hAnsi="Calibri"/>
          <w:sz w:val="22"/>
          <w:szCs w:val="22"/>
        </w:rPr>
        <w:t> ;</w:t>
      </w:r>
    </w:p>
    <w:p w14:paraId="054722C4" w14:textId="77777777" w:rsidR="006578C6" w:rsidRPr="0088209A" w:rsidRDefault="006578C6" w:rsidP="00DE503E">
      <w:pPr>
        <w:numPr>
          <w:ilvl w:val="0"/>
          <w:numId w:val="7"/>
        </w:numPr>
        <w:tabs>
          <w:tab w:val="clear" w:pos="720"/>
        </w:tabs>
        <w:spacing w:before="240" w:after="100" w:afterAutospacing="1"/>
        <w:ind w:left="1800"/>
        <w:jc w:val="both"/>
        <w:textAlignment w:val="top"/>
        <w:rPr>
          <w:rFonts w:ascii="Calibri" w:hAnsi="Calibri" w:cs="Arial"/>
          <w:sz w:val="22"/>
          <w:szCs w:val="22"/>
        </w:rPr>
      </w:pPr>
      <w:r>
        <w:rPr>
          <w:rFonts w:ascii="Calibri" w:hAnsi="Calibri"/>
          <w:sz w:val="22"/>
          <w:szCs w:val="22"/>
        </w:rPr>
        <w:t>Assurer une évaluation impartiale et complète des offres sollicitées</w:t>
      </w:r>
      <w:r w:rsidR="002638E5">
        <w:rPr>
          <w:rFonts w:ascii="Calibri" w:hAnsi="Calibri"/>
          <w:sz w:val="22"/>
          <w:szCs w:val="22"/>
        </w:rPr>
        <w:t> ;</w:t>
      </w:r>
    </w:p>
    <w:p w14:paraId="150D5BE6" w14:textId="77777777" w:rsidR="006578C6" w:rsidRPr="0088209A" w:rsidRDefault="006578C6" w:rsidP="00DE503E">
      <w:pPr>
        <w:numPr>
          <w:ilvl w:val="0"/>
          <w:numId w:val="7"/>
        </w:numPr>
        <w:tabs>
          <w:tab w:val="clear" w:pos="720"/>
        </w:tabs>
        <w:spacing w:before="240" w:after="100" w:afterAutospacing="1"/>
        <w:ind w:left="1800"/>
        <w:jc w:val="both"/>
        <w:textAlignment w:val="top"/>
        <w:rPr>
          <w:rFonts w:ascii="Calibri" w:hAnsi="Calibri" w:cs="Arial"/>
          <w:sz w:val="22"/>
          <w:szCs w:val="22"/>
        </w:rPr>
      </w:pPr>
      <w:r>
        <w:rPr>
          <w:rFonts w:ascii="Calibri" w:hAnsi="Calibri"/>
          <w:sz w:val="22"/>
          <w:szCs w:val="22"/>
        </w:rPr>
        <w:t>Assurer la sélection du fournisseur dont l</w:t>
      </w:r>
      <w:r w:rsidR="009A49FC">
        <w:rPr>
          <w:rFonts w:ascii="Calibri" w:hAnsi="Calibri"/>
          <w:sz w:val="22"/>
          <w:szCs w:val="22"/>
        </w:rPr>
        <w:t>’</w:t>
      </w:r>
      <w:r>
        <w:rPr>
          <w:rFonts w:ascii="Calibri" w:hAnsi="Calibri"/>
          <w:sz w:val="22"/>
          <w:szCs w:val="22"/>
        </w:rPr>
        <w:t xml:space="preserve">offre est la plus réaliste et dont le rendement est censé être le plus conforme aux spécifications, au cahier des charges ou aux termes de référence </w:t>
      </w:r>
      <w:r w:rsidR="00F07419">
        <w:rPr>
          <w:rFonts w:ascii="Calibri" w:hAnsi="Calibri"/>
          <w:sz w:val="22"/>
          <w:szCs w:val="22"/>
        </w:rPr>
        <w:t>de</w:t>
      </w:r>
      <w:r>
        <w:rPr>
          <w:rFonts w:ascii="Calibri" w:hAnsi="Calibri"/>
          <w:sz w:val="22"/>
          <w:szCs w:val="22"/>
        </w:rPr>
        <w:t xml:space="preserve"> l</w:t>
      </w:r>
      <w:r w:rsidR="009A49FC">
        <w:rPr>
          <w:rFonts w:ascii="Calibri" w:hAnsi="Calibri"/>
          <w:sz w:val="22"/>
          <w:szCs w:val="22"/>
        </w:rPr>
        <w:t>’</w:t>
      </w:r>
      <w:r>
        <w:rPr>
          <w:rFonts w:ascii="Calibri" w:hAnsi="Calibri"/>
          <w:sz w:val="22"/>
          <w:szCs w:val="22"/>
        </w:rPr>
        <w:t>unité administrative</w:t>
      </w:r>
      <w:r w:rsidR="002638E5">
        <w:rPr>
          <w:rFonts w:ascii="Calibri" w:hAnsi="Calibri"/>
          <w:sz w:val="22"/>
          <w:szCs w:val="22"/>
        </w:rPr>
        <w:t>.</w:t>
      </w:r>
    </w:p>
    <w:p w14:paraId="3C8B3DDA" w14:textId="77777777" w:rsidR="006578C6" w:rsidRPr="0088209A" w:rsidRDefault="006578C6" w:rsidP="006578C6">
      <w:pPr>
        <w:shd w:val="clear" w:color="auto" w:fill="FFFFFF"/>
        <w:textAlignment w:val="top"/>
        <w:rPr>
          <w:rFonts w:ascii="Calibri" w:hAnsi="Calibri" w:cs="Arial"/>
          <w:sz w:val="22"/>
          <w:szCs w:val="22"/>
        </w:rPr>
      </w:pPr>
      <w:r>
        <w:rPr>
          <w:rFonts w:ascii="Calibri" w:hAnsi="Calibri"/>
          <w:b/>
          <w:bCs/>
          <w:sz w:val="22"/>
          <w:szCs w:val="22"/>
        </w:rPr>
        <w:t>Équité, intégrité et transparence</w:t>
      </w:r>
    </w:p>
    <w:p w14:paraId="44D0AFFC" w14:textId="77777777" w:rsidR="006578C6" w:rsidRPr="0088209A" w:rsidRDefault="006578C6" w:rsidP="006578C6">
      <w:pPr>
        <w:shd w:val="clear" w:color="auto" w:fill="FFFFFF"/>
        <w:textAlignment w:val="top"/>
        <w:rPr>
          <w:rFonts w:ascii="Calibri" w:hAnsi="Calibri" w:cs="Arial"/>
          <w:sz w:val="22"/>
          <w:szCs w:val="22"/>
        </w:rPr>
      </w:pPr>
    </w:p>
    <w:p w14:paraId="14FC1D95" w14:textId="5CC2E97B" w:rsidR="006578C6" w:rsidRDefault="00F07419" w:rsidP="0088209A">
      <w:pPr>
        <w:pStyle w:val="ListParagraph"/>
        <w:numPr>
          <w:ilvl w:val="0"/>
          <w:numId w:val="3"/>
        </w:numPr>
        <w:shd w:val="clear" w:color="auto" w:fill="FFFFFF"/>
        <w:jc w:val="both"/>
        <w:textAlignment w:val="top"/>
        <w:rPr>
          <w:rFonts w:ascii="Calibri" w:hAnsi="Calibri" w:cs="Arial"/>
          <w:sz w:val="22"/>
          <w:szCs w:val="22"/>
        </w:rPr>
      </w:pPr>
      <w:r>
        <w:rPr>
          <w:rFonts w:ascii="Calibri" w:hAnsi="Calibri"/>
          <w:sz w:val="22"/>
          <w:szCs w:val="22"/>
        </w:rPr>
        <w:t>Puisque</w:t>
      </w:r>
      <w:r w:rsidR="006578C6">
        <w:rPr>
          <w:rFonts w:ascii="Calibri" w:hAnsi="Calibri"/>
          <w:sz w:val="22"/>
          <w:szCs w:val="22"/>
        </w:rPr>
        <w:t xml:space="preserve"> la concurrence </w:t>
      </w:r>
      <w:r>
        <w:rPr>
          <w:rFonts w:ascii="Calibri" w:hAnsi="Calibri"/>
          <w:sz w:val="22"/>
          <w:szCs w:val="22"/>
        </w:rPr>
        <w:t>constitue la base</w:t>
      </w:r>
      <w:r w:rsidR="006578C6">
        <w:rPr>
          <w:rFonts w:ascii="Calibri" w:hAnsi="Calibri"/>
          <w:sz w:val="22"/>
          <w:szCs w:val="22"/>
        </w:rPr>
        <w:t xml:space="preserve"> d</w:t>
      </w:r>
      <w:r w:rsidR="009A49FC">
        <w:rPr>
          <w:rFonts w:ascii="Calibri" w:hAnsi="Calibri"/>
          <w:sz w:val="22"/>
          <w:szCs w:val="22"/>
        </w:rPr>
        <w:t>’</w:t>
      </w:r>
      <w:r w:rsidR="006578C6">
        <w:rPr>
          <w:rFonts w:ascii="Calibri" w:hAnsi="Calibri"/>
          <w:sz w:val="22"/>
          <w:szCs w:val="22"/>
        </w:rPr>
        <w:t>un approvisionnement efficace, impartial et transparent, les unités administratives sont responsables de la protection de l</w:t>
      </w:r>
      <w:r w:rsidR="009A49FC">
        <w:rPr>
          <w:rFonts w:ascii="Calibri" w:hAnsi="Calibri"/>
          <w:sz w:val="22"/>
          <w:szCs w:val="22"/>
        </w:rPr>
        <w:t>’</w:t>
      </w:r>
      <w:r w:rsidR="006578C6">
        <w:rPr>
          <w:rFonts w:ascii="Calibri" w:hAnsi="Calibri"/>
          <w:sz w:val="22"/>
          <w:szCs w:val="22"/>
        </w:rPr>
        <w:t>intégrité du processus d</w:t>
      </w:r>
      <w:r w:rsidR="009A49FC">
        <w:rPr>
          <w:rFonts w:ascii="Calibri" w:hAnsi="Calibri"/>
          <w:sz w:val="22"/>
          <w:szCs w:val="22"/>
        </w:rPr>
        <w:t>’</w:t>
      </w:r>
      <w:r w:rsidR="006578C6">
        <w:rPr>
          <w:rFonts w:ascii="Calibri" w:hAnsi="Calibri"/>
          <w:sz w:val="22"/>
          <w:szCs w:val="22"/>
        </w:rPr>
        <w:t>approvisionnement et du traitement équitable de toutes les offres. Un processus d</w:t>
      </w:r>
      <w:r w:rsidR="009A49FC">
        <w:rPr>
          <w:rFonts w:ascii="Calibri" w:hAnsi="Calibri"/>
          <w:sz w:val="22"/>
          <w:szCs w:val="22"/>
        </w:rPr>
        <w:t>’</w:t>
      </w:r>
      <w:r w:rsidR="006578C6">
        <w:rPr>
          <w:rFonts w:ascii="Calibri" w:hAnsi="Calibri"/>
          <w:sz w:val="22"/>
          <w:szCs w:val="22"/>
        </w:rPr>
        <w:t>approvisionnement sain demande</w:t>
      </w:r>
      <w:r w:rsidR="009067A6">
        <w:rPr>
          <w:rFonts w:ascii="Calibri" w:hAnsi="Calibri"/>
          <w:sz w:val="22"/>
          <w:szCs w:val="22"/>
        </w:rPr>
        <w:t>,</w:t>
      </w:r>
      <w:r w:rsidR="006578C6">
        <w:rPr>
          <w:rFonts w:ascii="Calibri" w:hAnsi="Calibri"/>
          <w:sz w:val="22"/>
          <w:szCs w:val="22"/>
        </w:rPr>
        <w:t xml:space="preserve"> de l</w:t>
      </w:r>
      <w:r w:rsidR="009A49FC">
        <w:rPr>
          <w:rFonts w:ascii="Calibri" w:hAnsi="Calibri"/>
          <w:sz w:val="22"/>
          <w:szCs w:val="22"/>
        </w:rPr>
        <w:t>’</w:t>
      </w:r>
      <w:r w:rsidR="006578C6">
        <w:rPr>
          <w:rFonts w:ascii="Calibri" w:hAnsi="Calibri"/>
          <w:sz w:val="22"/>
          <w:szCs w:val="22"/>
        </w:rPr>
        <w:t xml:space="preserve">ouverture, de la probité, des dossiers complets et précis, de la responsabilité et de la confidentialité. Il établit et applique des règles et des procédures qui sont réalisables et </w:t>
      </w:r>
      <w:r>
        <w:rPr>
          <w:rFonts w:ascii="Calibri" w:hAnsi="Calibri"/>
          <w:sz w:val="22"/>
          <w:szCs w:val="22"/>
        </w:rPr>
        <w:t>sans ambiguïté</w:t>
      </w:r>
      <w:r w:rsidR="006578C6">
        <w:rPr>
          <w:rFonts w:ascii="Calibri" w:hAnsi="Calibri"/>
          <w:sz w:val="22"/>
          <w:szCs w:val="22"/>
        </w:rPr>
        <w:t>.</w:t>
      </w:r>
    </w:p>
    <w:p w14:paraId="27079819" w14:textId="77777777" w:rsidR="00DE503E" w:rsidRPr="00D76190" w:rsidRDefault="00DE503E" w:rsidP="00D76190">
      <w:pPr>
        <w:shd w:val="clear" w:color="auto" w:fill="FFFFFF"/>
        <w:jc w:val="both"/>
        <w:textAlignment w:val="top"/>
        <w:rPr>
          <w:rFonts w:ascii="Calibri" w:hAnsi="Calibri" w:cs="Arial"/>
          <w:sz w:val="22"/>
          <w:szCs w:val="22"/>
        </w:rPr>
      </w:pPr>
    </w:p>
    <w:p w14:paraId="6962CF0C" w14:textId="77777777" w:rsidR="006578C6" w:rsidRPr="0088209A" w:rsidRDefault="006578C6" w:rsidP="0088209A">
      <w:pPr>
        <w:shd w:val="clear" w:color="auto" w:fill="FFFFFF"/>
        <w:jc w:val="both"/>
        <w:textAlignment w:val="top"/>
        <w:rPr>
          <w:rFonts w:ascii="Calibri" w:hAnsi="Calibri" w:cs="Arial"/>
          <w:sz w:val="22"/>
          <w:szCs w:val="22"/>
        </w:rPr>
      </w:pPr>
    </w:p>
    <w:p w14:paraId="0EADE2A5" w14:textId="77777777" w:rsidR="006578C6" w:rsidRPr="0088209A" w:rsidRDefault="006578C6" w:rsidP="0088209A">
      <w:pPr>
        <w:shd w:val="clear" w:color="auto" w:fill="FFFFFF"/>
        <w:jc w:val="both"/>
        <w:textAlignment w:val="top"/>
        <w:rPr>
          <w:rFonts w:ascii="Calibri" w:hAnsi="Calibri" w:cs="Arial"/>
          <w:sz w:val="22"/>
          <w:szCs w:val="22"/>
        </w:rPr>
      </w:pPr>
      <w:r>
        <w:rPr>
          <w:rFonts w:ascii="Calibri" w:hAnsi="Calibri"/>
          <w:b/>
          <w:bCs/>
          <w:sz w:val="22"/>
          <w:szCs w:val="22"/>
        </w:rPr>
        <w:t>Concurrence effective</w:t>
      </w:r>
    </w:p>
    <w:p w14:paraId="3FDC7AE8" w14:textId="77777777" w:rsidR="006578C6" w:rsidRPr="0088209A" w:rsidRDefault="006578C6" w:rsidP="0088209A">
      <w:pPr>
        <w:shd w:val="clear" w:color="auto" w:fill="FFFFFF"/>
        <w:jc w:val="both"/>
        <w:textAlignment w:val="top"/>
        <w:rPr>
          <w:rFonts w:ascii="Calibri" w:hAnsi="Calibri" w:cs="Arial"/>
          <w:sz w:val="22"/>
          <w:szCs w:val="22"/>
        </w:rPr>
      </w:pPr>
    </w:p>
    <w:p w14:paraId="0863DB25" w14:textId="77777777" w:rsidR="0027329D" w:rsidRPr="0088209A" w:rsidRDefault="006578C6" w:rsidP="0088209A">
      <w:pPr>
        <w:pStyle w:val="ListParagraph"/>
        <w:numPr>
          <w:ilvl w:val="0"/>
          <w:numId w:val="3"/>
        </w:numPr>
        <w:shd w:val="clear" w:color="auto" w:fill="FFFFFF"/>
        <w:jc w:val="both"/>
        <w:textAlignment w:val="top"/>
        <w:rPr>
          <w:rFonts w:ascii="Calibri" w:hAnsi="Calibri" w:cs="Arial"/>
          <w:sz w:val="22"/>
          <w:szCs w:val="22"/>
        </w:rPr>
      </w:pPr>
      <w:r>
        <w:rPr>
          <w:rFonts w:ascii="Calibri" w:hAnsi="Calibri"/>
          <w:sz w:val="22"/>
          <w:szCs w:val="22"/>
        </w:rPr>
        <w:t xml:space="preserve">Les procédures de mise en concurrence doivent fournir à tous les soumissionnaires admissibles une notification adéquate et en temps voulu des </w:t>
      </w:r>
      <w:r w:rsidR="002638E5">
        <w:rPr>
          <w:rFonts w:ascii="Calibri" w:hAnsi="Calibri"/>
          <w:sz w:val="22"/>
          <w:szCs w:val="22"/>
        </w:rPr>
        <w:t xml:space="preserve">exigences </w:t>
      </w:r>
      <w:r>
        <w:rPr>
          <w:rFonts w:ascii="Calibri" w:hAnsi="Calibri"/>
          <w:sz w:val="22"/>
          <w:szCs w:val="22"/>
        </w:rPr>
        <w:t>du PNUD et une possibilité égale de soumissionner pour les biens, les travaux et les services.</w:t>
      </w:r>
    </w:p>
    <w:p w14:paraId="79DACB24" w14:textId="77777777" w:rsidR="0027329D" w:rsidRPr="0088209A" w:rsidRDefault="0027329D" w:rsidP="0088209A">
      <w:pPr>
        <w:shd w:val="clear" w:color="auto" w:fill="FFFFFF"/>
        <w:jc w:val="both"/>
        <w:textAlignment w:val="top"/>
        <w:rPr>
          <w:rFonts w:ascii="Calibri" w:hAnsi="Calibri" w:cs="Arial"/>
          <w:sz w:val="22"/>
          <w:szCs w:val="22"/>
        </w:rPr>
      </w:pPr>
    </w:p>
    <w:p w14:paraId="59B026D4" w14:textId="77777777" w:rsidR="006578C6" w:rsidRPr="0088209A" w:rsidRDefault="006578C6" w:rsidP="0088209A">
      <w:pPr>
        <w:pStyle w:val="ListParagraph"/>
        <w:numPr>
          <w:ilvl w:val="0"/>
          <w:numId w:val="3"/>
        </w:numPr>
        <w:shd w:val="clear" w:color="auto" w:fill="FFFFFF"/>
        <w:jc w:val="both"/>
        <w:textAlignment w:val="top"/>
        <w:rPr>
          <w:rFonts w:ascii="Calibri" w:hAnsi="Calibri" w:cs="Arial"/>
          <w:sz w:val="22"/>
          <w:szCs w:val="22"/>
        </w:rPr>
      </w:pPr>
      <w:r>
        <w:rPr>
          <w:rFonts w:ascii="Calibri" w:hAnsi="Calibri"/>
          <w:sz w:val="22"/>
          <w:szCs w:val="22"/>
        </w:rPr>
        <w:t>Le PNUD n</w:t>
      </w:r>
      <w:r w:rsidR="009A49FC">
        <w:rPr>
          <w:rFonts w:ascii="Calibri" w:hAnsi="Calibri"/>
          <w:sz w:val="22"/>
          <w:szCs w:val="22"/>
        </w:rPr>
        <w:t>’</w:t>
      </w:r>
      <w:r>
        <w:rPr>
          <w:rFonts w:ascii="Calibri" w:hAnsi="Calibri"/>
          <w:sz w:val="22"/>
          <w:szCs w:val="22"/>
        </w:rPr>
        <w:t xml:space="preserve">accepte pas la restriction des attributions de marchés à des fournisseurs ou à des pays exclusifs, sauf si cela est explicitement mentionné dans un accord </w:t>
      </w:r>
      <w:r w:rsidR="002638E5">
        <w:rPr>
          <w:rFonts w:ascii="Calibri" w:hAnsi="Calibri"/>
          <w:sz w:val="22"/>
          <w:szCs w:val="22"/>
        </w:rPr>
        <w:t xml:space="preserve">conclu avec les </w:t>
      </w:r>
      <w:r>
        <w:rPr>
          <w:rFonts w:ascii="Calibri" w:hAnsi="Calibri"/>
          <w:sz w:val="22"/>
          <w:szCs w:val="22"/>
        </w:rPr>
        <w:t>donateur</w:t>
      </w:r>
      <w:r w:rsidR="002638E5">
        <w:rPr>
          <w:rFonts w:ascii="Calibri" w:hAnsi="Calibri"/>
          <w:sz w:val="22"/>
          <w:szCs w:val="22"/>
        </w:rPr>
        <w:t>s</w:t>
      </w:r>
      <w:r>
        <w:rPr>
          <w:rFonts w:ascii="Calibri" w:hAnsi="Calibri"/>
          <w:sz w:val="22"/>
          <w:szCs w:val="22"/>
        </w:rPr>
        <w:t xml:space="preserve"> approuvé par le chef de la section des achats.</w:t>
      </w:r>
    </w:p>
    <w:p w14:paraId="55CE6B81" w14:textId="77777777" w:rsidR="006578C6" w:rsidRPr="0088209A" w:rsidRDefault="006578C6" w:rsidP="0088209A">
      <w:pPr>
        <w:shd w:val="clear" w:color="auto" w:fill="FFFFFF"/>
        <w:jc w:val="both"/>
        <w:textAlignment w:val="top"/>
        <w:rPr>
          <w:rFonts w:ascii="Calibri" w:hAnsi="Calibri" w:cs="Arial"/>
          <w:sz w:val="22"/>
          <w:szCs w:val="22"/>
        </w:rPr>
      </w:pPr>
    </w:p>
    <w:p w14:paraId="6AFF218E" w14:textId="77777777" w:rsidR="006578C6" w:rsidRPr="0088209A" w:rsidRDefault="006578C6" w:rsidP="0088209A">
      <w:pPr>
        <w:shd w:val="clear" w:color="auto" w:fill="FFFFFF"/>
        <w:jc w:val="both"/>
        <w:textAlignment w:val="top"/>
        <w:rPr>
          <w:rFonts w:ascii="Calibri" w:hAnsi="Calibri" w:cs="Arial"/>
          <w:sz w:val="22"/>
          <w:szCs w:val="22"/>
        </w:rPr>
      </w:pPr>
      <w:r>
        <w:rPr>
          <w:rFonts w:ascii="Calibri" w:hAnsi="Calibri"/>
          <w:b/>
          <w:bCs/>
          <w:sz w:val="22"/>
          <w:szCs w:val="22"/>
        </w:rPr>
        <w:t>Intérêt du PNUD</w:t>
      </w:r>
    </w:p>
    <w:p w14:paraId="58B741CA" w14:textId="77777777" w:rsidR="006578C6" w:rsidRPr="0088209A" w:rsidRDefault="006578C6" w:rsidP="0088209A">
      <w:pPr>
        <w:shd w:val="clear" w:color="auto" w:fill="FFFFFF"/>
        <w:jc w:val="both"/>
        <w:textAlignment w:val="top"/>
        <w:rPr>
          <w:rFonts w:ascii="Calibri" w:hAnsi="Calibri" w:cs="Arial"/>
          <w:sz w:val="22"/>
          <w:szCs w:val="22"/>
        </w:rPr>
      </w:pPr>
    </w:p>
    <w:p w14:paraId="0963D04E" w14:textId="77777777" w:rsidR="006578C6" w:rsidRPr="0088209A" w:rsidRDefault="006578C6" w:rsidP="0088209A">
      <w:pPr>
        <w:pStyle w:val="ListParagraph"/>
        <w:numPr>
          <w:ilvl w:val="0"/>
          <w:numId w:val="3"/>
        </w:numPr>
        <w:shd w:val="clear" w:color="auto" w:fill="FFFFFF"/>
        <w:jc w:val="both"/>
        <w:textAlignment w:val="top"/>
        <w:rPr>
          <w:rFonts w:ascii="Calibri" w:hAnsi="Calibri" w:cs="Arial"/>
          <w:sz w:val="22"/>
          <w:szCs w:val="22"/>
        </w:rPr>
      </w:pPr>
      <w:r>
        <w:rPr>
          <w:rFonts w:ascii="Calibri" w:hAnsi="Calibri"/>
          <w:sz w:val="22"/>
          <w:szCs w:val="22"/>
        </w:rPr>
        <w:t xml:space="preserve">Quatre considérations guident </w:t>
      </w:r>
      <w:r w:rsidR="002638E5">
        <w:rPr>
          <w:rFonts w:ascii="Calibri" w:hAnsi="Calibri"/>
          <w:sz w:val="22"/>
          <w:szCs w:val="22"/>
        </w:rPr>
        <w:t xml:space="preserve">systématiquement </w:t>
      </w:r>
      <w:r>
        <w:rPr>
          <w:rFonts w:ascii="Calibri" w:hAnsi="Calibri"/>
          <w:sz w:val="22"/>
          <w:szCs w:val="22"/>
        </w:rPr>
        <w:t>la prise en compte de l</w:t>
      </w:r>
      <w:r w:rsidR="009A49FC">
        <w:rPr>
          <w:rFonts w:ascii="Calibri" w:hAnsi="Calibri"/>
          <w:sz w:val="22"/>
          <w:szCs w:val="22"/>
        </w:rPr>
        <w:t>’</w:t>
      </w:r>
      <w:r>
        <w:rPr>
          <w:rFonts w:ascii="Calibri" w:hAnsi="Calibri"/>
          <w:sz w:val="22"/>
          <w:szCs w:val="22"/>
        </w:rPr>
        <w:t>intérêt du PNUD</w:t>
      </w:r>
      <w:r w:rsidR="002638E5">
        <w:rPr>
          <w:rFonts w:ascii="Calibri" w:hAnsi="Calibri"/>
          <w:sz w:val="22"/>
          <w:szCs w:val="22"/>
        </w:rPr>
        <w:t> :</w:t>
      </w:r>
    </w:p>
    <w:p w14:paraId="553B05B8" w14:textId="77777777" w:rsidR="006578C6" w:rsidRPr="0088209A" w:rsidRDefault="006578C6" w:rsidP="00DE503E">
      <w:pPr>
        <w:numPr>
          <w:ilvl w:val="0"/>
          <w:numId w:val="8"/>
        </w:numPr>
        <w:shd w:val="clear" w:color="auto" w:fill="FFFFFF"/>
        <w:tabs>
          <w:tab w:val="clear" w:pos="720"/>
        </w:tabs>
        <w:spacing w:before="240" w:after="100" w:afterAutospacing="1"/>
        <w:ind w:left="1800"/>
        <w:jc w:val="both"/>
        <w:textAlignment w:val="top"/>
        <w:rPr>
          <w:rFonts w:ascii="Calibri" w:hAnsi="Calibri" w:cs="Arial"/>
          <w:sz w:val="22"/>
          <w:szCs w:val="22"/>
        </w:rPr>
      </w:pPr>
      <w:r>
        <w:rPr>
          <w:rFonts w:ascii="Calibri" w:hAnsi="Calibri"/>
          <w:sz w:val="22"/>
          <w:szCs w:val="22"/>
        </w:rPr>
        <w:t xml:space="preserve">Économie et efficacité dans la mise en œuvre du programme, y compris </w:t>
      </w:r>
      <w:r w:rsidR="002638E5">
        <w:rPr>
          <w:rFonts w:ascii="Calibri" w:hAnsi="Calibri"/>
          <w:sz w:val="22"/>
          <w:szCs w:val="22"/>
        </w:rPr>
        <w:t xml:space="preserve">lors de </w:t>
      </w:r>
      <w:r>
        <w:rPr>
          <w:rFonts w:ascii="Calibri" w:hAnsi="Calibri"/>
          <w:sz w:val="22"/>
          <w:szCs w:val="22"/>
        </w:rPr>
        <w:t>l</w:t>
      </w:r>
      <w:r w:rsidR="009A49FC">
        <w:rPr>
          <w:rFonts w:ascii="Calibri" w:hAnsi="Calibri"/>
          <w:sz w:val="22"/>
          <w:szCs w:val="22"/>
        </w:rPr>
        <w:t>’</w:t>
      </w:r>
      <w:r>
        <w:rPr>
          <w:rFonts w:ascii="Calibri" w:hAnsi="Calibri"/>
          <w:sz w:val="22"/>
          <w:szCs w:val="22"/>
        </w:rPr>
        <w:t>achat de biens, de travaux et de services</w:t>
      </w:r>
      <w:r w:rsidR="002638E5">
        <w:rPr>
          <w:rFonts w:ascii="Calibri" w:hAnsi="Calibri"/>
          <w:sz w:val="22"/>
          <w:szCs w:val="22"/>
        </w:rPr>
        <w:t> ;</w:t>
      </w:r>
    </w:p>
    <w:p w14:paraId="54574553" w14:textId="77777777" w:rsidR="006578C6" w:rsidRPr="0088209A" w:rsidRDefault="006578C6" w:rsidP="00DE503E">
      <w:pPr>
        <w:numPr>
          <w:ilvl w:val="0"/>
          <w:numId w:val="8"/>
        </w:numPr>
        <w:shd w:val="clear" w:color="auto" w:fill="FFFFFF"/>
        <w:tabs>
          <w:tab w:val="clear" w:pos="720"/>
        </w:tabs>
        <w:spacing w:before="240" w:after="100" w:afterAutospacing="1"/>
        <w:ind w:left="1800"/>
        <w:jc w:val="both"/>
        <w:textAlignment w:val="top"/>
        <w:rPr>
          <w:rFonts w:ascii="Calibri" w:hAnsi="Calibri" w:cs="Arial"/>
          <w:sz w:val="22"/>
          <w:szCs w:val="22"/>
        </w:rPr>
      </w:pPr>
      <w:r>
        <w:rPr>
          <w:rFonts w:ascii="Calibri" w:hAnsi="Calibri"/>
          <w:sz w:val="22"/>
          <w:szCs w:val="22"/>
        </w:rPr>
        <w:t xml:space="preserve">Accès aux possibilités de marchés pour tous les soumissionnaires intéressés et qualifiés </w:t>
      </w:r>
      <w:r w:rsidR="002638E5">
        <w:rPr>
          <w:rFonts w:ascii="Calibri" w:hAnsi="Calibri"/>
          <w:sz w:val="22"/>
          <w:szCs w:val="22"/>
        </w:rPr>
        <w:t>mondialement,</w:t>
      </w:r>
      <w:r>
        <w:rPr>
          <w:rFonts w:ascii="Calibri" w:hAnsi="Calibri"/>
          <w:sz w:val="22"/>
          <w:szCs w:val="22"/>
        </w:rPr>
        <w:t xml:space="preserve"> sauf si d</w:t>
      </w:r>
      <w:r w:rsidR="009A49FC">
        <w:rPr>
          <w:rFonts w:ascii="Calibri" w:hAnsi="Calibri"/>
          <w:sz w:val="22"/>
          <w:szCs w:val="22"/>
        </w:rPr>
        <w:t>’</w:t>
      </w:r>
      <w:r>
        <w:rPr>
          <w:rFonts w:ascii="Calibri" w:hAnsi="Calibri"/>
          <w:sz w:val="22"/>
          <w:szCs w:val="22"/>
        </w:rPr>
        <w:t xml:space="preserve">autres critères sont prescrits par le Conseil de sécurité de </w:t>
      </w:r>
      <w:r w:rsidR="008C44CF">
        <w:rPr>
          <w:rFonts w:ascii="Calibri" w:hAnsi="Calibri"/>
          <w:sz w:val="22"/>
          <w:szCs w:val="22"/>
        </w:rPr>
        <w:t>l</w:t>
      </w:r>
      <w:r w:rsidR="009A49FC">
        <w:rPr>
          <w:rFonts w:ascii="Calibri" w:hAnsi="Calibri"/>
          <w:sz w:val="22"/>
          <w:szCs w:val="22"/>
        </w:rPr>
        <w:t>’</w:t>
      </w:r>
      <w:r w:rsidR="008C44CF">
        <w:rPr>
          <w:rFonts w:ascii="Calibri" w:hAnsi="Calibri"/>
          <w:sz w:val="22"/>
          <w:szCs w:val="22"/>
        </w:rPr>
        <w:t xml:space="preserve">Organisation des Nations Unies </w:t>
      </w:r>
      <w:r>
        <w:rPr>
          <w:rFonts w:ascii="Calibri" w:hAnsi="Calibri"/>
          <w:sz w:val="22"/>
          <w:szCs w:val="22"/>
        </w:rPr>
        <w:t>ou l</w:t>
      </w:r>
      <w:r w:rsidR="009A49FC">
        <w:rPr>
          <w:rFonts w:ascii="Calibri" w:hAnsi="Calibri"/>
          <w:sz w:val="22"/>
          <w:szCs w:val="22"/>
        </w:rPr>
        <w:t>’</w:t>
      </w:r>
      <w:r>
        <w:rPr>
          <w:rFonts w:ascii="Calibri" w:hAnsi="Calibri"/>
          <w:sz w:val="22"/>
          <w:szCs w:val="22"/>
        </w:rPr>
        <w:t>Assemblée générale des Nations Unies</w:t>
      </w:r>
      <w:r w:rsidR="002638E5">
        <w:rPr>
          <w:rFonts w:ascii="Calibri" w:hAnsi="Calibri"/>
          <w:sz w:val="22"/>
          <w:szCs w:val="22"/>
        </w:rPr>
        <w:t> ;</w:t>
      </w:r>
    </w:p>
    <w:p w14:paraId="330B670E" w14:textId="77777777" w:rsidR="006578C6" w:rsidRPr="0088209A" w:rsidRDefault="006578C6" w:rsidP="00DE503E">
      <w:pPr>
        <w:numPr>
          <w:ilvl w:val="0"/>
          <w:numId w:val="8"/>
        </w:numPr>
        <w:shd w:val="clear" w:color="auto" w:fill="FFFFFF"/>
        <w:tabs>
          <w:tab w:val="clear" w:pos="720"/>
        </w:tabs>
        <w:spacing w:before="240" w:after="100" w:afterAutospacing="1"/>
        <w:ind w:left="1800"/>
        <w:jc w:val="both"/>
        <w:textAlignment w:val="top"/>
        <w:rPr>
          <w:rFonts w:ascii="Calibri" w:hAnsi="Calibri" w:cs="Arial"/>
          <w:sz w:val="22"/>
          <w:szCs w:val="22"/>
        </w:rPr>
      </w:pPr>
      <w:r>
        <w:rPr>
          <w:rFonts w:ascii="Calibri" w:hAnsi="Calibri"/>
          <w:sz w:val="22"/>
          <w:szCs w:val="22"/>
        </w:rPr>
        <w:t>Donner à tous les soumissionnaires admissibles les mêmes informations et les mêmes chances de concourir pour la fourniture de biens, de travaux ou de services</w:t>
      </w:r>
      <w:r w:rsidR="002638E5">
        <w:rPr>
          <w:rFonts w:ascii="Calibri" w:hAnsi="Calibri"/>
          <w:sz w:val="22"/>
          <w:szCs w:val="22"/>
        </w:rPr>
        <w:t> ;</w:t>
      </w:r>
    </w:p>
    <w:p w14:paraId="577D5F1F" w14:textId="77777777" w:rsidR="006578C6" w:rsidRPr="001E6D71" w:rsidRDefault="006578C6" w:rsidP="00DE503E">
      <w:pPr>
        <w:numPr>
          <w:ilvl w:val="0"/>
          <w:numId w:val="8"/>
        </w:numPr>
        <w:shd w:val="clear" w:color="auto" w:fill="FFFFFF"/>
        <w:tabs>
          <w:tab w:val="clear" w:pos="720"/>
        </w:tabs>
        <w:spacing w:before="240" w:after="100" w:afterAutospacing="1"/>
        <w:ind w:left="1800"/>
        <w:jc w:val="both"/>
        <w:textAlignment w:val="top"/>
        <w:rPr>
          <w:rFonts w:ascii="Calibri" w:hAnsi="Calibri" w:cs="Arial"/>
          <w:sz w:val="22"/>
          <w:szCs w:val="22"/>
        </w:rPr>
      </w:pPr>
      <w:r>
        <w:rPr>
          <w:rFonts w:ascii="Calibri" w:hAnsi="Calibri"/>
          <w:sz w:val="22"/>
          <w:szCs w:val="22"/>
        </w:rPr>
        <w:t>Transparence tout au long du processus d</w:t>
      </w:r>
      <w:r w:rsidR="009A49FC">
        <w:rPr>
          <w:rFonts w:ascii="Calibri" w:hAnsi="Calibri"/>
          <w:sz w:val="22"/>
          <w:szCs w:val="22"/>
        </w:rPr>
        <w:t>’</w:t>
      </w:r>
      <w:r>
        <w:rPr>
          <w:rFonts w:ascii="Calibri" w:hAnsi="Calibri"/>
          <w:sz w:val="22"/>
          <w:szCs w:val="22"/>
        </w:rPr>
        <w:t>approvisionnement</w:t>
      </w:r>
      <w:r w:rsidR="002638E5">
        <w:rPr>
          <w:rFonts w:ascii="Calibri" w:hAnsi="Calibri"/>
          <w:sz w:val="22"/>
          <w:szCs w:val="22"/>
        </w:rPr>
        <w:t>.</w:t>
      </w:r>
    </w:p>
    <w:tbl>
      <w:tblPr>
        <w:tblW w:w="4874" w:type="pct"/>
        <w:tblCellMar>
          <w:top w:w="12" w:type="dxa"/>
          <w:left w:w="12" w:type="dxa"/>
          <w:bottom w:w="12" w:type="dxa"/>
          <w:right w:w="12" w:type="dxa"/>
        </w:tblCellMar>
        <w:tblLook w:val="04A0" w:firstRow="1" w:lastRow="0" w:firstColumn="1" w:lastColumn="0" w:noHBand="0" w:noVBand="1"/>
      </w:tblPr>
      <w:tblGrid>
        <w:gridCol w:w="9826"/>
      </w:tblGrid>
      <w:tr w:rsidR="0034794E" w:rsidRPr="002D5FF8" w14:paraId="7D4B4307" w14:textId="77777777" w:rsidTr="00F07E11">
        <w:trPr>
          <w:trHeight w:val="2568"/>
        </w:trPr>
        <w:tc>
          <w:tcPr>
            <w:tcW w:w="0" w:type="auto"/>
            <w:tcMar>
              <w:top w:w="60" w:type="dxa"/>
              <w:left w:w="60" w:type="dxa"/>
              <w:bottom w:w="60" w:type="dxa"/>
              <w:right w:w="120" w:type="dxa"/>
            </w:tcMar>
          </w:tcPr>
          <w:p w14:paraId="02E636A0" w14:textId="77777777" w:rsidR="0034794E" w:rsidRPr="0034794E" w:rsidRDefault="0034794E" w:rsidP="0034794E">
            <w:pPr>
              <w:pStyle w:val="ListParagraph"/>
              <w:shd w:val="clear" w:color="auto" w:fill="FFFFFF"/>
              <w:spacing w:line="270" w:lineRule="atLeast"/>
              <w:jc w:val="both"/>
              <w:rPr>
                <w:rFonts w:eastAsia="Calibri"/>
                <w:b/>
                <w:bCs/>
                <w:i/>
                <w:lang w:eastAsia="fi-FI"/>
              </w:rPr>
            </w:pPr>
          </w:p>
          <w:p w14:paraId="2BC62ACA" w14:textId="6C64571B" w:rsidR="0034794E" w:rsidRDefault="0034794E" w:rsidP="0034794E">
            <w:pPr>
              <w:pStyle w:val="ListParagraph"/>
              <w:shd w:val="clear" w:color="auto" w:fill="FFFFFF"/>
              <w:spacing w:line="270" w:lineRule="atLeast"/>
              <w:jc w:val="both"/>
              <w:rPr>
                <w:rFonts w:eastAsia="Calibri"/>
                <w:b/>
                <w:bCs/>
                <w:i/>
                <w:lang w:eastAsia="fi-FI"/>
              </w:rPr>
            </w:pPr>
          </w:p>
          <w:p w14:paraId="606E8AD6" w14:textId="0BD12077" w:rsidR="0034794E" w:rsidRDefault="0034794E" w:rsidP="0034794E">
            <w:pPr>
              <w:pStyle w:val="ListParagraph"/>
              <w:shd w:val="clear" w:color="auto" w:fill="FFFFFF"/>
              <w:spacing w:line="270" w:lineRule="atLeast"/>
              <w:jc w:val="both"/>
              <w:rPr>
                <w:rFonts w:eastAsia="Calibri"/>
                <w:b/>
                <w:bCs/>
                <w:i/>
                <w:lang w:eastAsia="fi-FI"/>
              </w:rPr>
            </w:pPr>
          </w:p>
          <w:p w14:paraId="354D6881" w14:textId="77777777" w:rsidR="005C7455" w:rsidRDefault="005C7455" w:rsidP="0034794E">
            <w:pPr>
              <w:pStyle w:val="ListParagraph"/>
              <w:shd w:val="clear" w:color="auto" w:fill="FFFFFF"/>
              <w:spacing w:line="270" w:lineRule="atLeast"/>
              <w:jc w:val="both"/>
              <w:rPr>
                <w:rFonts w:eastAsia="Calibri"/>
                <w:b/>
                <w:bCs/>
                <w:i/>
                <w:lang w:eastAsia="fi-FI"/>
              </w:rPr>
            </w:pPr>
          </w:p>
          <w:p w14:paraId="5152AA8F" w14:textId="77777777" w:rsidR="005C7455" w:rsidRDefault="005C7455" w:rsidP="0034794E">
            <w:pPr>
              <w:pStyle w:val="ListParagraph"/>
              <w:shd w:val="clear" w:color="auto" w:fill="FFFFFF"/>
              <w:spacing w:line="270" w:lineRule="atLeast"/>
              <w:jc w:val="both"/>
              <w:rPr>
                <w:rFonts w:eastAsia="Calibri"/>
                <w:b/>
                <w:bCs/>
                <w:i/>
                <w:lang w:eastAsia="fi-FI"/>
              </w:rPr>
            </w:pPr>
          </w:p>
          <w:p w14:paraId="437E6878" w14:textId="77777777" w:rsidR="005C7455" w:rsidRDefault="005C7455" w:rsidP="0034794E">
            <w:pPr>
              <w:pStyle w:val="ListParagraph"/>
              <w:shd w:val="clear" w:color="auto" w:fill="FFFFFF"/>
              <w:spacing w:line="270" w:lineRule="atLeast"/>
              <w:jc w:val="both"/>
              <w:rPr>
                <w:rFonts w:eastAsia="Calibri"/>
                <w:b/>
                <w:bCs/>
                <w:i/>
                <w:lang w:eastAsia="fi-FI"/>
              </w:rPr>
            </w:pPr>
          </w:p>
          <w:p w14:paraId="70D73E35" w14:textId="0C7A7450" w:rsidR="0034794E" w:rsidRDefault="0034794E" w:rsidP="0034794E">
            <w:pPr>
              <w:pStyle w:val="ListParagraph"/>
              <w:shd w:val="clear" w:color="auto" w:fill="FFFFFF"/>
              <w:spacing w:line="270" w:lineRule="atLeast"/>
              <w:jc w:val="both"/>
              <w:rPr>
                <w:rFonts w:eastAsia="Calibri"/>
                <w:b/>
                <w:bCs/>
                <w:i/>
                <w:lang w:eastAsia="fi-FI"/>
              </w:rPr>
            </w:pPr>
          </w:p>
          <w:p w14:paraId="740B5B32" w14:textId="77777777" w:rsidR="0034794E" w:rsidRPr="0034794E" w:rsidRDefault="0034794E" w:rsidP="0034794E">
            <w:pPr>
              <w:pStyle w:val="ListParagraph"/>
              <w:shd w:val="clear" w:color="auto" w:fill="FFFFFF"/>
              <w:spacing w:line="270" w:lineRule="atLeast"/>
              <w:jc w:val="center"/>
              <w:rPr>
                <w:rFonts w:asciiTheme="majorHAnsi" w:eastAsia="Calibri" w:hAnsiTheme="majorHAnsi" w:cstheme="majorHAnsi"/>
                <w:b/>
                <w:bCs/>
                <w:i/>
                <w:sz w:val="22"/>
                <w:szCs w:val="22"/>
                <w:lang w:val="en-GB" w:eastAsia="fi-FI"/>
              </w:rPr>
            </w:pPr>
            <w:r w:rsidRPr="0034794E">
              <w:rPr>
                <w:rFonts w:asciiTheme="majorHAnsi" w:eastAsia="Calibri" w:hAnsiTheme="majorHAnsi" w:cstheme="majorHAnsi"/>
                <w:b/>
                <w:bCs/>
                <w:i/>
                <w:sz w:val="22"/>
                <w:szCs w:val="22"/>
                <w:lang w:val="en-GB" w:eastAsia="fi-FI"/>
              </w:rPr>
              <w:t xml:space="preserve">Disclaimer: </w:t>
            </w:r>
            <w:r w:rsidRPr="0034794E">
              <w:rPr>
                <w:rFonts w:asciiTheme="majorHAnsi" w:eastAsia="Calibri" w:hAnsiTheme="majorHAnsi" w:cstheme="majorHAnsi"/>
                <w:bCs/>
                <w:i/>
                <w:sz w:val="22"/>
                <w:szCs w:val="22"/>
                <w:lang w:val="en-GB" w:eastAsia="fi-FI"/>
              </w:rPr>
              <w:t>This document was translated from English into French. In the event of any discrepancy between this translation and the original English document, the original English document shall prevail.</w:t>
            </w:r>
          </w:p>
          <w:p w14:paraId="72B67503" w14:textId="77777777" w:rsidR="0034794E" w:rsidRPr="0034794E" w:rsidRDefault="0034794E" w:rsidP="0034794E">
            <w:pPr>
              <w:pStyle w:val="ListParagraph"/>
              <w:shd w:val="clear" w:color="auto" w:fill="FFFFFF"/>
              <w:spacing w:line="270" w:lineRule="atLeast"/>
              <w:rPr>
                <w:rFonts w:asciiTheme="majorHAnsi" w:eastAsia="Calibri" w:hAnsiTheme="majorHAnsi" w:cstheme="majorHAnsi"/>
                <w:b/>
                <w:bCs/>
                <w:i/>
                <w:sz w:val="22"/>
                <w:szCs w:val="22"/>
                <w:lang w:val="en-GB" w:eastAsia="fi-FI"/>
              </w:rPr>
            </w:pPr>
          </w:p>
          <w:p w14:paraId="5CB3EB00" w14:textId="77777777" w:rsidR="0034794E" w:rsidRPr="0034794E" w:rsidRDefault="0034794E" w:rsidP="0034794E">
            <w:pPr>
              <w:pStyle w:val="ListParagraph"/>
              <w:shd w:val="clear" w:color="auto" w:fill="FFFFFF"/>
              <w:spacing w:line="270" w:lineRule="atLeast"/>
              <w:jc w:val="center"/>
              <w:rPr>
                <w:b/>
                <w:bCs/>
              </w:rPr>
            </w:pPr>
            <w:r w:rsidRPr="0034794E">
              <w:rPr>
                <w:rFonts w:asciiTheme="majorHAnsi" w:eastAsia="Calibri" w:hAnsiTheme="majorHAnsi" w:cstheme="majorHAnsi"/>
                <w:b/>
                <w:bCs/>
                <w:i/>
                <w:sz w:val="22"/>
                <w:szCs w:val="22"/>
                <w:lang w:eastAsia="fi-FI"/>
              </w:rPr>
              <w:t xml:space="preserve">Attention: </w:t>
            </w:r>
            <w:r w:rsidRPr="0034794E">
              <w:rPr>
                <w:rFonts w:asciiTheme="majorHAnsi" w:eastAsia="Calibri" w:hAnsiTheme="majorHAnsi" w:cstheme="majorHAnsi"/>
                <w:bCs/>
                <w:i/>
                <w:sz w:val="22"/>
                <w:szCs w:val="22"/>
                <w:lang w:eastAsia="fi-FI"/>
              </w:rPr>
              <w:t>En cas de divergence entre les textes français et anglais de cette politique, le texte anglais fait foi, sauf disposition expresse écrite contraire.</w:t>
            </w:r>
          </w:p>
        </w:tc>
      </w:tr>
    </w:tbl>
    <w:p w14:paraId="4B575030" w14:textId="77777777" w:rsidR="0034794E" w:rsidRPr="002D5FF8" w:rsidRDefault="0034794E" w:rsidP="0034794E">
      <w:pPr>
        <w:shd w:val="clear" w:color="auto" w:fill="FFFFFF"/>
        <w:spacing w:line="270" w:lineRule="atLeast"/>
        <w:jc w:val="both"/>
        <w:rPr>
          <w:rFonts w:eastAsia="Calibri"/>
          <w:b/>
          <w:bCs/>
          <w:lang w:eastAsia="fi-FI"/>
        </w:rPr>
      </w:pPr>
    </w:p>
    <w:p w14:paraId="4C73EF70" w14:textId="03BFB75D" w:rsidR="001E6D71" w:rsidRDefault="001E6D71" w:rsidP="0034794E">
      <w:pPr>
        <w:rPr>
          <w:rFonts w:ascii="Calibri" w:hAnsi="Calibri" w:cs="Arial"/>
          <w:sz w:val="22"/>
          <w:szCs w:val="22"/>
          <w:lang w:val="en-GB"/>
        </w:rPr>
      </w:pPr>
    </w:p>
    <w:p w14:paraId="6CEA1A70" w14:textId="6C05289B" w:rsidR="0034794E" w:rsidRPr="0034794E" w:rsidRDefault="0034794E" w:rsidP="0034794E">
      <w:pPr>
        <w:rPr>
          <w:rFonts w:ascii="Calibri" w:hAnsi="Calibri" w:cs="Arial"/>
          <w:sz w:val="22"/>
          <w:szCs w:val="22"/>
          <w:lang w:val="en-GB"/>
        </w:rPr>
      </w:pPr>
    </w:p>
    <w:p w14:paraId="1CF3AE22" w14:textId="4B6C1083" w:rsidR="0034794E" w:rsidRDefault="0034794E" w:rsidP="0034794E">
      <w:pPr>
        <w:rPr>
          <w:rFonts w:ascii="Calibri" w:hAnsi="Calibri" w:cs="Arial"/>
          <w:sz w:val="22"/>
          <w:szCs w:val="22"/>
          <w:lang w:val="en-GB"/>
        </w:rPr>
      </w:pPr>
    </w:p>
    <w:p w14:paraId="0BC25A58" w14:textId="3A1092E6" w:rsidR="0034794E" w:rsidRPr="0034794E" w:rsidRDefault="0034794E" w:rsidP="0034794E">
      <w:pPr>
        <w:tabs>
          <w:tab w:val="left" w:pos="2631"/>
        </w:tabs>
        <w:rPr>
          <w:rFonts w:ascii="Calibri" w:hAnsi="Calibri" w:cs="Arial"/>
          <w:sz w:val="22"/>
          <w:szCs w:val="22"/>
          <w:lang w:val="en-GB"/>
        </w:rPr>
      </w:pPr>
      <w:r>
        <w:rPr>
          <w:rFonts w:ascii="Calibri" w:hAnsi="Calibri" w:cs="Arial"/>
          <w:sz w:val="22"/>
          <w:szCs w:val="22"/>
          <w:lang w:val="en-GB"/>
        </w:rPr>
        <w:tab/>
      </w:r>
    </w:p>
    <w:sectPr w:rsidR="0034794E" w:rsidRPr="0034794E" w:rsidSect="0088209A">
      <w:headerReference w:type="default" r:id="rId13"/>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46097" w14:textId="77777777" w:rsidR="00CA7A3D" w:rsidRDefault="00CA7A3D" w:rsidP="006A295A">
      <w:r>
        <w:separator/>
      </w:r>
    </w:p>
  </w:endnote>
  <w:endnote w:type="continuationSeparator" w:id="0">
    <w:p w14:paraId="1FCC57A7" w14:textId="77777777" w:rsidR="00CA7A3D" w:rsidRDefault="00CA7A3D"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9695" w14:textId="3B2E5508" w:rsidR="00F07419" w:rsidRPr="008C084D" w:rsidRDefault="00F07419" w:rsidP="008C084D">
    <w:pPr>
      <w:rPr>
        <w:rFonts w:asciiTheme="majorHAnsi" w:hAnsiTheme="majorHAnsi" w:cstheme="majorHAnsi"/>
        <w:sz w:val="22"/>
        <w:szCs w:val="22"/>
      </w:rPr>
    </w:pPr>
    <w:r>
      <w:rPr>
        <w:rFonts w:asciiTheme="majorHAnsi" w:hAnsiTheme="majorHAnsi"/>
        <w:sz w:val="22"/>
        <w:szCs w:val="22"/>
      </w:rPr>
      <w:t xml:space="preserve">Page </w:t>
    </w:r>
    <w:r w:rsidRPr="008C084D">
      <w:rPr>
        <w:rFonts w:asciiTheme="majorHAnsi" w:hAnsiTheme="majorHAnsi" w:cstheme="majorHAnsi"/>
        <w:b/>
        <w:bCs/>
        <w:sz w:val="22"/>
        <w:szCs w:val="22"/>
      </w:rPr>
      <w:fldChar w:fldCharType="begin"/>
    </w:r>
    <w:r w:rsidRPr="008C084D">
      <w:rPr>
        <w:rFonts w:asciiTheme="majorHAnsi" w:hAnsiTheme="majorHAnsi" w:cstheme="majorHAnsi"/>
        <w:b/>
        <w:bCs/>
        <w:sz w:val="22"/>
        <w:szCs w:val="22"/>
      </w:rPr>
      <w:instrText>PAGE  \* Arabic  \* MERGEFORMAT</w:instrText>
    </w:r>
    <w:r w:rsidRPr="008C084D">
      <w:rPr>
        <w:rFonts w:asciiTheme="majorHAnsi" w:hAnsiTheme="majorHAnsi" w:cstheme="majorHAnsi"/>
        <w:b/>
        <w:bCs/>
        <w:sz w:val="22"/>
        <w:szCs w:val="22"/>
      </w:rPr>
      <w:fldChar w:fldCharType="separate"/>
    </w:r>
    <w:r w:rsidR="006E2DB2">
      <w:rPr>
        <w:rFonts w:asciiTheme="majorHAnsi" w:hAnsiTheme="majorHAnsi" w:cstheme="majorHAnsi"/>
        <w:b/>
        <w:bCs/>
        <w:noProof/>
        <w:sz w:val="22"/>
        <w:szCs w:val="22"/>
      </w:rPr>
      <w:t>1</w:t>
    </w:r>
    <w:r w:rsidRPr="008C084D">
      <w:rPr>
        <w:rFonts w:asciiTheme="majorHAnsi" w:hAnsiTheme="majorHAnsi" w:cstheme="majorHAnsi"/>
        <w:b/>
        <w:bCs/>
        <w:sz w:val="22"/>
        <w:szCs w:val="22"/>
      </w:rPr>
      <w:fldChar w:fldCharType="end"/>
    </w:r>
    <w:r>
      <w:rPr>
        <w:rFonts w:asciiTheme="majorHAnsi" w:hAnsiTheme="majorHAnsi"/>
        <w:sz w:val="22"/>
        <w:szCs w:val="22"/>
      </w:rPr>
      <w:t xml:space="preserve"> </w:t>
    </w:r>
    <w:r w:rsidR="0034794E" w:rsidRPr="0034794E">
      <w:rPr>
        <w:rFonts w:asciiTheme="majorHAnsi" w:hAnsiTheme="majorHAnsi"/>
        <w:sz w:val="22"/>
        <w:szCs w:val="22"/>
      </w:rPr>
      <w:t xml:space="preserve">de </w:t>
    </w:r>
    <w:r w:rsidR="00161F1E">
      <w:fldChar w:fldCharType="begin"/>
    </w:r>
    <w:r w:rsidR="00161F1E">
      <w:instrText>NUMPAGES  \* Arabic  \* MERGEFORMAT</w:instrText>
    </w:r>
    <w:r w:rsidR="00161F1E">
      <w:fldChar w:fldCharType="separate"/>
    </w:r>
    <w:r w:rsidR="006E2DB2" w:rsidRPr="006E2DB2">
      <w:rPr>
        <w:rFonts w:asciiTheme="majorHAnsi" w:hAnsiTheme="majorHAnsi" w:cstheme="majorHAnsi"/>
        <w:b/>
        <w:bCs/>
        <w:noProof/>
        <w:sz w:val="22"/>
        <w:szCs w:val="22"/>
      </w:rPr>
      <w:t>2</w:t>
    </w:r>
    <w:r w:rsidR="00161F1E">
      <w:rPr>
        <w:rFonts w:asciiTheme="majorHAnsi" w:hAnsiTheme="majorHAnsi" w:cstheme="majorHAnsi"/>
        <w:b/>
        <w:bCs/>
        <w:noProof/>
        <w:sz w:val="22"/>
        <w:szCs w:val="22"/>
      </w:rPr>
      <w:fldChar w:fldCharType="end"/>
    </w:r>
    <w:r>
      <w:ptab w:relativeTo="margin" w:alignment="center" w:leader="none"/>
    </w:r>
    <w:r>
      <w:rPr>
        <w:rFonts w:asciiTheme="majorHAnsi" w:hAnsiTheme="majorHAnsi"/>
        <w:sz w:val="22"/>
        <w:szCs w:val="22"/>
      </w:rPr>
      <w:t xml:space="preserve"> Date d</w:t>
    </w:r>
    <w:r w:rsidR="009A49FC">
      <w:rPr>
        <w:rFonts w:asciiTheme="majorHAnsi" w:hAnsiTheme="majorHAnsi"/>
        <w:sz w:val="22"/>
        <w:szCs w:val="22"/>
      </w:rPr>
      <w:t>’</w:t>
    </w:r>
    <w:r>
      <w:rPr>
        <w:rFonts w:asciiTheme="majorHAnsi" w:hAnsiTheme="majorHAnsi"/>
        <w:sz w:val="22"/>
        <w:szCs w:val="22"/>
      </w:rPr>
      <w:t>entrée en vigueur:</w:t>
    </w:r>
    <w:r w:rsidR="0034794E">
      <w:rPr>
        <w:rFonts w:asciiTheme="majorHAnsi" w:hAnsiTheme="majorHAnsi"/>
        <w:sz w:val="22"/>
        <w:szCs w:val="22"/>
      </w:rPr>
      <w:t xml:space="preserve"> </w:t>
    </w:r>
    <w:r w:rsidR="0034794E" w:rsidRPr="0034794E">
      <w:rPr>
        <w:rFonts w:asciiTheme="majorHAnsi" w:hAnsiTheme="majorHAnsi"/>
        <w:sz w:val="22"/>
        <w:szCs w:val="22"/>
      </w:rPr>
      <w:t>26/06/2016</w:t>
    </w: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Version n°: </w:t>
    </w:r>
    <w:sdt>
      <w:sdtPr>
        <w:rPr>
          <w:rFonts w:asciiTheme="majorHAnsi" w:hAnsiTheme="majorHAnsi" w:cstheme="majorHAnsi"/>
          <w:sz w:val="22"/>
          <w:szCs w:val="22"/>
        </w:rPr>
        <w:alias w:val="POPPRefItemVersion"/>
        <w:tag w:val="UNDP_POPP_REFITEM_VERSION"/>
        <w:id w:val="1506006280"/>
        <w:placeholder>
          <w:docPart w:val="7FD217A37A974E95A524762E8C7BE303"/>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15B243C3-A726-4697-A075-A6D3D6EC7181}"/>
        <w:text/>
      </w:sdtPr>
      <w:sdtEndPr/>
      <w:sdtContent>
        <w:r w:rsidR="00161F1E">
          <w:rPr>
            <w:rFonts w:asciiTheme="majorHAnsi" w:hAnsiTheme="majorHAnsi" w:cstheme="majorHAnsi"/>
            <w:sz w:val="22"/>
            <w:szCs w:val="22"/>
          </w:rPr>
          <w:t>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C4B45" w14:textId="77777777" w:rsidR="00CA7A3D" w:rsidRDefault="00CA7A3D" w:rsidP="006A295A">
      <w:r>
        <w:separator/>
      </w:r>
    </w:p>
  </w:footnote>
  <w:footnote w:type="continuationSeparator" w:id="0">
    <w:p w14:paraId="352C6FAE" w14:textId="77777777" w:rsidR="00CA7A3D" w:rsidRDefault="00CA7A3D" w:rsidP="006A29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D5108" w14:textId="4BB41BCA" w:rsidR="00F07419" w:rsidRDefault="009C6940" w:rsidP="00F71568">
    <w:pPr>
      <w:pStyle w:val="Header"/>
      <w:jc w:val="right"/>
    </w:pPr>
    <w:r>
      <w:rPr>
        <w:noProof/>
      </w:rPr>
      <w:drawing>
        <wp:inline distT="0" distB="0" distL="0" distR="0" wp14:anchorId="579AFF3B" wp14:editId="703E5505">
          <wp:extent cx="294640" cy="593090"/>
          <wp:effectExtent l="0" t="0" r="0" b="0"/>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p w14:paraId="1B7A6EF5" w14:textId="77777777" w:rsidR="00F07419" w:rsidRDefault="00F07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4B2E"/>
    <w:multiLevelType w:val="hybridMultilevel"/>
    <w:tmpl w:val="11869F7E"/>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1B5D7F51"/>
    <w:multiLevelType w:val="multilevel"/>
    <w:tmpl w:val="2466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16B0B"/>
    <w:multiLevelType w:val="hybridMultilevel"/>
    <w:tmpl w:val="950EBFD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15:restartNumberingAfterBreak="0">
    <w:nsid w:val="467252E8"/>
    <w:multiLevelType w:val="hybridMultilevel"/>
    <w:tmpl w:val="8956496C"/>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4F1F11D6"/>
    <w:multiLevelType w:val="multilevel"/>
    <w:tmpl w:val="07DA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864AA5"/>
    <w:multiLevelType w:val="hybridMultilevel"/>
    <w:tmpl w:val="AA9CD75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 w15:restartNumberingAfterBreak="0">
    <w:nsid w:val="555B38B7"/>
    <w:multiLevelType w:val="multilevel"/>
    <w:tmpl w:val="D6CABCF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764AD9"/>
    <w:multiLevelType w:val="multilevel"/>
    <w:tmpl w:val="525AA9F4"/>
    <w:lvl w:ilvl="0">
      <w:start w:val="1"/>
      <w:numFmt w:val="lowerLetter"/>
      <w:lvlText w:val="%1."/>
      <w:lvlJc w:val="left"/>
      <w:pPr>
        <w:tabs>
          <w:tab w:val="num" w:pos="720"/>
        </w:tabs>
        <w:ind w:left="720" w:hanging="360"/>
      </w:pPr>
      <w:rPr>
        <w:rFonts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4864179">
    <w:abstractNumId w:val="1"/>
  </w:num>
  <w:num w:numId="2" w16cid:durableId="1845439004">
    <w:abstractNumId w:val="4"/>
  </w:num>
  <w:num w:numId="3" w16cid:durableId="1211722816">
    <w:abstractNumId w:val="0"/>
  </w:num>
  <w:num w:numId="4" w16cid:durableId="1946225045">
    <w:abstractNumId w:val="2"/>
  </w:num>
  <w:num w:numId="5" w16cid:durableId="1700204687">
    <w:abstractNumId w:val="3"/>
  </w:num>
  <w:num w:numId="6" w16cid:durableId="14355980">
    <w:abstractNumId w:val="5"/>
  </w:num>
  <w:num w:numId="7" w16cid:durableId="575938593">
    <w:abstractNumId w:val="6"/>
  </w:num>
  <w:num w:numId="8" w16cid:durableId="10738948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14CE4"/>
    <w:rsid w:val="00066C36"/>
    <w:rsid w:val="00077DAE"/>
    <w:rsid w:val="000A1933"/>
    <w:rsid w:val="000D2A4B"/>
    <w:rsid w:val="000D42D2"/>
    <w:rsid w:val="00140870"/>
    <w:rsid w:val="00160BC9"/>
    <w:rsid w:val="00161F1E"/>
    <w:rsid w:val="001721EA"/>
    <w:rsid w:val="001769F5"/>
    <w:rsid w:val="00177584"/>
    <w:rsid w:val="00192536"/>
    <w:rsid w:val="00192BFE"/>
    <w:rsid w:val="001E677A"/>
    <w:rsid w:val="001E6D71"/>
    <w:rsid w:val="001E75E3"/>
    <w:rsid w:val="002415D7"/>
    <w:rsid w:val="00245C4D"/>
    <w:rsid w:val="00250560"/>
    <w:rsid w:val="002611A4"/>
    <w:rsid w:val="00262C6D"/>
    <w:rsid w:val="002638E5"/>
    <w:rsid w:val="0027329D"/>
    <w:rsid w:val="00274531"/>
    <w:rsid w:val="002B5C83"/>
    <w:rsid w:val="003317F3"/>
    <w:rsid w:val="00332CE9"/>
    <w:rsid w:val="0034794E"/>
    <w:rsid w:val="003C31E3"/>
    <w:rsid w:val="003E64D1"/>
    <w:rsid w:val="00444974"/>
    <w:rsid w:val="00474367"/>
    <w:rsid w:val="00487F38"/>
    <w:rsid w:val="004B7DEB"/>
    <w:rsid w:val="005123B5"/>
    <w:rsid w:val="00516592"/>
    <w:rsid w:val="00590C11"/>
    <w:rsid w:val="005A2542"/>
    <w:rsid w:val="005B1181"/>
    <w:rsid w:val="005B48A2"/>
    <w:rsid w:val="005C553A"/>
    <w:rsid w:val="005C7455"/>
    <w:rsid w:val="005F5F45"/>
    <w:rsid w:val="00613891"/>
    <w:rsid w:val="006178D4"/>
    <w:rsid w:val="006411DD"/>
    <w:rsid w:val="006578C6"/>
    <w:rsid w:val="00686A55"/>
    <w:rsid w:val="006A295A"/>
    <w:rsid w:val="006A7479"/>
    <w:rsid w:val="006E2DB2"/>
    <w:rsid w:val="00700D4A"/>
    <w:rsid w:val="0070538D"/>
    <w:rsid w:val="0078327E"/>
    <w:rsid w:val="007E3624"/>
    <w:rsid w:val="007F06AC"/>
    <w:rsid w:val="0088209A"/>
    <w:rsid w:val="008C084D"/>
    <w:rsid w:val="008C44CF"/>
    <w:rsid w:val="00902296"/>
    <w:rsid w:val="009067A6"/>
    <w:rsid w:val="00913139"/>
    <w:rsid w:val="00920CFB"/>
    <w:rsid w:val="00930B05"/>
    <w:rsid w:val="00947355"/>
    <w:rsid w:val="00956154"/>
    <w:rsid w:val="00960BC7"/>
    <w:rsid w:val="0098738F"/>
    <w:rsid w:val="0099752B"/>
    <w:rsid w:val="009A49FC"/>
    <w:rsid w:val="009C5D0C"/>
    <w:rsid w:val="009C6940"/>
    <w:rsid w:val="00A02F8F"/>
    <w:rsid w:val="00A25746"/>
    <w:rsid w:val="00A5637E"/>
    <w:rsid w:val="00AB0CA9"/>
    <w:rsid w:val="00AC55D4"/>
    <w:rsid w:val="00B022C9"/>
    <w:rsid w:val="00B56181"/>
    <w:rsid w:val="00B969A3"/>
    <w:rsid w:val="00BA02B1"/>
    <w:rsid w:val="00BB1CB0"/>
    <w:rsid w:val="00BB7AC9"/>
    <w:rsid w:val="00C2526E"/>
    <w:rsid w:val="00C26A7F"/>
    <w:rsid w:val="00C31711"/>
    <w:rsid w:val="00C32DF2"/>
    <w:rsid w:val="00C9252D"/>
    <w:rsid w:val="00CA7A3D"/>
    <w:rsid w:val="00CB5E3A"/>
    <w:rsid w:val="00CD6566"/>
    <w:rsid w:val="00CE05BC"/>
    <w:rsid w:val="00CE6563"/>
    <w:rsid w:val="00D00DDC"/>
    <w:rsid w:val="00D15F9E"/>
    <w:rsid w:val="00D257B6"/>
    <w:rsid w:val="00D76190"/>
    <w:rsid w:val="00DA2692"/>
    <w:rsid w:val="00DE503E"/>
    <w:rsid w:val="00DE5FED"/>
    <w:rsid w:val="00DF3260"/>
    <w:rsid w:val="00DF48CB"/>
    <w:rsid w:val="00E05C08"/>
    <w:rsid w:val="00E11AAD"/>
    <w:rsid w:val="00E1290B"/>
    <w:rsid w:val="00E52617"/>
    <w:rsid w:val="00E8340E"/>
    <w:rsid w:val="00ED6FAB"/>
    <w:rsid w:val="00F0537A"/>
    <w:rsid w:val="00F07419"/>
    <w:rsid w:val="00F71568"/>
    <w:rsid w:val="00F820D3"/>
    <w:rsid w:val="00FB22D4"/>
    <w:rsid w:val="00FF3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BFA5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295A"/>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ListParagraph">
    <w:name w:val="List Paragraph"/>
    <w:basedOn w:val="Normal"/>
    <w:uiPriority w:val="34"/>
    <w:qFormat/>
    <w:rsid w:val="0088209A"/>
    <w:pPr>
      <w:ind w:left="720"/>
      <w:contextualSpacing/>
    </w:pPr>
  </w:style>
  <w:style w:type="character" w:styleId="PlaceholderText">
    <w:name w:val="Placeholder Text"/>
    <w:basedOn w:val="DefaultParagraphFont"/>
    <w:uiPriority w:val="99"/>
    <w:semiHidden/>
    <w:rsid w:val="006178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28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D217A37A974E95A524762E8C7BE303"/>
        <w:category>
          <w:name w:val="Общие"/>
          <w:gallery w:val="placeholder"/>
        </w:category>
        <w:types>
          <w:type w:val="bbPlcHdr"/>
        </w:types>
        <w:behaviors>
          <w:behavior w:val="content"/>
        </w:behaviors>
        <w:guid w:val="{C34BE8A2-0F29-4E98-B147-22EB80F6A74A}"/>
      </w:docPartPr>
      <w:docPartBody>
        <w:p w:rsidR="00BF09B1" w:rsidRDefault="0093250F">
          <w:r w:rsidRPr="00763601">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3250F"/>
    <w:rsid w:val="003B431D"/>
    <w:rsid w:val="004A51C2"/>
    <w:rsid w:val="00772B90"/>
    <w:rsid w:val="0093250F"/>
    <w:rsid w:val="009D0D3F"/>
    <w:rsid w:val="00B46D5C"/>
    <w:rsid w:val="00B65A15"/>
    <w:rsid w:val="00BF09B1"/>
    <w:rsid w:val="00C3224F"/>
    <w:rsid w:val="00F05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250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50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UNITBMS-1904581467-79</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355</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2048</UNDP_POPP_FILEVERSION>
    <UNDP_POPP_REFITEM_VERSION xmlns="8264c5cc-ec60-4b56-8111-ce635d3d139a">1</UNDP_POPP_REFITEM_VERSION>
    <UNDP_POPP_ISACTIVE xmlns="8264c5cc-ec60-4b56-8111-ce635d3d139a">true</UNDP_POPP_ISACTIVE>
    <UNDP_POPP_TITLE_EN xmlns="8264c5cc-ec60-4b56-8111-ce635d3d139a">Aperçu et principes de l’approvisionnement</UNDP_POPP_TITLE_EN>
    <_dlc_DocIdUrl xmlns="8264c5cc-ec60-4b56-8111-ce635d3d139a">
      <Url>https://intranet.undp.org/unit/bms/dir/internal/init_popp/_layouts/15/DocIdRedir.aspx?ID=UNITBMS-1904581467-79</Url>
      <Description>UNITBMS-1904581467-79</Description>
    </_dlc_DocIdUrl>
    <DLCPolicyLabelLock xmlns="e560140e-7b2f-4392-90df-e7567e3021a3" xsi:nil="true"/>
    <DLCPolicyLabelClientValue xmlns="e560140e-7b2f-4392-90df-e7567e3021a3">Effective Date: {Effective Date}                                                Version #: 1.0</DLCPolicyLabelClientValue>
    <UNDP_POPP_BUSINESSUNITID_HIDDEN xmlns="8264c5cc-ec60-4b56-8111-ce635d3d139a" xsi:nil="true"/>
    <DLCPolicyLabelValue xmlns="e560140e-7b2f-4392-90df-e7567e3021a3">Effective Date: {Effective Date}                                                Version #: 1.0</DLCPolicyLabelVal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5B243C3-A726-4697-A075-A6D3D6EC7181}">
  <ds:schemaRefs>
    <ds:schemaRef ds:uri="http://schemas.microsoft.com/office/2006/metadata/properties"/>
    <ds:schemaRef ds:uri="e560140e-7b2f-4392-90df-e7567e3021a3"/>
    <ds:schemaRef ds:uri="http://purl.org/dc/elements/1.1/"/>
    <ds:schemaRef ds:uri="http://purl.org/dc/dcmitype/"/>
    <ds:schemaRef ds:uri="8264c5cc-ec60-4b56-8111-ce635d3d139a"/>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5B74F755-C1BB-1942-9308-EE0336E3595C}">
  <ds:schemaRefs>
    <ds:schemaRef ds:uri="http://schemas.openxmlformats.org/officeDocument/2006/bibliography"/>
  </ds:schemaRefs>
</ds:datastoreItem>
</file>

<file path=customXml/itemProps3.xml><?xml version="1.0" encoding="utf-8"?>
<ds:datastoreItem xmlns:ds="http://schemas.openxmlformats.org/officeDocument/2006/customXml" ds:itemID="{6E9D5C30-FE8C-4A51-BBF2-A58DDB0D4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96EFF-2C1D-4524-A03F-15D659DBB8CA}">
  <ds:schemaRefs>
    <ds:schemaRef ds:uri="office.server.policy"/>
  </ds:schemaRefs>
</ds:datastoreItem>
</file>

<file path=customXml/itemProps5.xml><?xml version="1.0" encoding="utf-8"?>
<ds:datastoreItem xmlns:ds="http://schemas.openxmlformats.org/officeDocument/2006/customXml" ds:itemID="{861DDEC6-7435-4AC2-B328-8B0736FA152B}">
  <ds:schemaRefs>
    <ds:schemaRef ds:uri="http://schemas.microsoft.com/sharepoint/v3/contenttype/forms"/>
  </ds:schemaRefs>
</ds:datastoreItem>
</file>

<file path=customXml/itemProps6.xml><?xml version="1.0" encoding="utf-8"?>
<ds:datastoreItem xmlns:ds="http://schemas.openxmlformats.org/officeDocument/2006/customXml" ds:itemID="{4A687EA8-0749-42E7-85F3-41E8DC9A81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TEMPLATE FOR LEVEL 3 PROCESSES and SUB PROCESSES</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LEVEL 3 PROCESSES and SUB PROCESSES</dc:title>
  <dc:subject/>
  <dc:creator>S B</dc:creator>
  <cp:lastModifiedBy>Emiliana Zhivkova</cp:lastModifiedBy>
  <cp:revision>4</cp:revision>
  <cp:lastPrinted>2013-10-25T21:11:00Z</cp:lastPrinted>
  <dcterms:created xsi:type="dcterms:W3CDTF">2023-12-12T00:01:00Z</dcterms:created>
  <dcterms:modified xsi:type="dcterms:W3CDTF">2023-12-12T00:07:00Z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f8bed903-69fc-4dda-87e0-5a2c04fc268f</vt:lpwstr>
  </property>
  <property fmtid="{D5CDD505-2E9C-101B-9397-08002B2CF9AE}" pid="4" name="BusinessUnit">
    <vt:lpwstr>355;#Procurement|254a9f96-b883-476a-8ef8-e81f93a2b38d</vt:lpwstr>
  </property>
  <property fmtid="{D5CDD505-2E9C-101B-9397-08002B2CF9AE}" pid="5" name="POPPBusinessProcess">
    <vt:lpwstr/>
  </property>
  <property fmtid="{D5CDD505-2E9C-101B-9397-08002B2CF9AE}" pid="6" name="Subject TYPE">
    <vt:lpwstr>BusinessUnit</vt:lpwstr>
  </property>
  <property fmtid="{D5CDD505-2E9C-101B-9397-08002B2CF9AE}" pid="7" name="l0e6ef0c43e74560bd7f3acd1f5e8571">
    <vt:lpwstr>Procurement|254a9f96-b883-476a-8ef8-e81f93a2b38d</vt:lpwstr>
  </property>
  <property fmtid="{D5CDD505-2E9C-101B-9397-08002B2CF9AE}" pid="8" name="UNDP_POPP_BUSINESSUNIT">
    <vt:lpwstr>355;#Procurement|254a9f96-b883-476a-8ef8-e81f93a2b38d</vt:lpwstr>
  </property>
  <property fmtid="{D5CDD505-2E9C-101B-9397-08002B2CF9AE}" pid="9" name="UNDPCountry">
    <vt:lpwstr/>
  </property>
  <property fmtid="{D5CDD505-2E9C-101B-9397-08002B2CF9AE}" pid="10" name="UndpDocTypeMM">
    <vt:lpwstr/>
  </property>
  <property fmtid="{D5CDD505-2E9C-101B-9397-08002B2CF9AE}" pid="11" name="UNDPDocumentCategory">
    <vt:lpwstr/>
  </property>
  <property fmtid="{D5CDD505-2E9C-101B-9397-08002B2CF9AE}" pid="12" name="UN Languages">
    <vt:lpwstr/>
  </property>
  <property fmtid="{D5CDD505-2E9C-101B-9397-08002B2CF9AE}" pid="13" name="UndpUnitMM">
    <vt:lpwstr/>
  </property>
  <property fmtid="{D5CDD505-2E9C-101B-9397-08002B2CF9AE}" pid="14" name="eRegFilingCodeMM">
    <vt:lpwstr/>
  </property>
  <property fmtid="{D5CDD505-2E9C-101B-9397-08002B2CF9AE}" pid="15" name="UNDPFocusAreas">
    <vt:lpwstr/>
  </property>
  <property fmtid="{D5CDD505-2E9C-101B-9397-08002B2CF9AE}" pid="16" name="UNDP_POPP_BUSINESSPROCESS_HIDDEN">
    <vt:lpwstr/>
  </property>
  <property fmtid="{D5CDD505-2E9C-101B-9397-08002B2CF9AE}" pid="17" name="Location">
    <vt:lpwstr>Public</vt:lpwstr>
  </property>
  <property fmtid="{D5CDD505-2E9C-101B-9397-08002B2CF9AE}" pid="18" name="UNDP_POPP_DOCUMENT_TYPE">
    <vt:lpwstr>Policy</vt:lpwstr>
  </property>
  <property fmtid="{D5CDD505-2E9C-101B-9397-08002B2CF9AE}" pid="19" name="UNDP_POPP_VERSION_COMMENTS">
    <vt:lpwstr/>
  </property>
  <property fmtid="{D5CDD505-2E9C-101B-9397-08002B2CF9AE}" pid="20" name="UNDP_POPP_DOCUMENT_LANGUAGE">
    <vt:lpwstr>French</vt:lpwstr>
  </property>
  <property fmtid="{D5CDD505-2E9C-101B-9397-08002B2CF9AE}" pid="21" name="UNDP_POPP_FILEVERSION">
    <vt:r8>2048</vt:r8>
  </property>
  <property fmtid="{D5CDD505-2E9C-101B-9397-08002B2CF9AE}" pid="22" name="UNDP_POPP_REFITEM_VERSION">
    <vt:r8>3</vt:r8>
  </property>
  <property fmtid="{D5CDD505-2E9C-101B-9397-08002B2CF9AE}" pid="23" name="UndpDocStatus">
    <vt:lpwstr>Draft</vt:lpwstr>
  </property>
  <property fmtid="{D5CDD505-2E9C-101B-9397-08002B2CF9AE}" pid="24" name="UndpClassificationLevel">
    <vt:lpwstr>Internal Use Only</vt:lpwstr>
  </property>
  <property fmtid="{D5CDD505-2E9C-101B-9397-08002B2CF9AE}" pid="25" name="UndpIsTemplate">
    <vt:lpwstr>No</vt:lpwstr>
  </property>
</Properties>
</file>