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B4B4" w14:textId="77777777" w:rsidR="006578C6" w:rsidRPr="0088209A" w:rsidRDefault="006578C6" w:rsidP="006578C6">
      <w:pPr>
        <w:shd w:val="clear" w:color="auto" w:fill="FFFFFF"/>
        <w:textAlignment w:val="top"/>
        <w:rPr>
          <w:rFonts w:ascii="Calibri" w:hAnsi="Calibri" w:cs="Arial"/>
          <w:b/>
          <w:bCs/>
          <w:sz w:val="28"/>
          <w:szCs w:val="22"/>
        </w:rPr>
      </w:pPr>
      <w:r>
        <w:rPr>
          <w:rFonts w:ascii="Calibri" w:hAnsi="Calibri"/>
          <w:b/>
          <w:sz w:val="28"/>
        </w:rPr>
        <w:t xml:space="preserve">Descripción General y Principios de Adquisición </w:t>
      </w:r>
    </w:p>
    <w:p w14:paraId="2108B4B5" w14:textId="77777777" w:rsidR="00B022C9" w:rsidRPr="0088209A" w:rsidRDefault="00B022C9" w:rsidP="001721EA">
      <w:pPr>
        <w:rPr>
          <w:rFonts w:ascii="Calibri" w:hAnsi="Calibri" w:cs="Arial"/>
          <w:b/>
          <w:bCs/>
          <w:sz w:val="22"/>
          <w:szCs w:val="22"/>
        </w:rPr>
      </w:pPr>
    </w:p>
    <w:p w14:paraId="2108B4B7" w14:textId="1CD56122" w:rsidR="00B022C9" w:rsidRPr="0088209A" w:rsidRDefault="00B022C9" w:rsidP="009B400E">
      <w:pPr>
        <w:pStyle w:val="ListParagraph"/>
        <w:numPr>
          <w:ilvl w:val="0"/>
          <w:numId w:val="3"/>
        </w:numPr>
        <w:shd w:val="clear" w:color="auto" w:fill="FFFFFF"/>
        <w:spacing w:before="100" w:beforeAutospacing="1" w:after="240"/>
        <w:textAlignment w:val="top"/>
        <w:rPr>
          <w:rFonts w:ascii="Calibri" w:hAnsi="Calibri" w:cs="Arial"/>
          <w:sz w:val="22"/>
          <w:szCs w:val="22"/>
        </w:rPr>
      </w:pPr>
      <w:r>
        <w:rPr>
          <w:rFonts w:ascii="Calibri" w:hAnsi="Calibri"/>
          <w:sz w:val="22"/>
        </w:rPr>
        <w:t xml:space="preserve">La adquisición implica obtener bienes, obras y servicios. Si bien el PNUD utiliza un enfoque descentralizado hacia la adquisición por parte de las diferentes </w:t>
      </w:r>
      <w:r w:rsidR="00E448AB">
        <w:rPr>
          <w:rFonts w:ascii="Calibri" w:hAnsi="Calibri"/>
          <w:sz w:val="22"/>
        </w:rPr>
        <w:t>unidades de negocio</w:t>
      </w:r>
      <w:r>
        <w:rPr>
          <w:rFonts w:ascii="Calibri" w:hAnsi="Calibri"/>
          <w:sz w:val="22"/>
        </w:rPr>
        <w:t>, a nivel de la organización rigen políticas y procedimientos. El proceso de adquisición abarca planificación, pedidos, selección de proveedores, solicitud y evaluación de ofertas, revisión de contratos, adjudicación de contratos, y gestión de contratos y activos.</w:t>
      </w:r>
      <w:r>
        <w:rPr>
          <w:rFonts w:ascii="Calibri" w:hAnsi="Calibri" w:cs="Arial"/>
          <w:sz w:val="22"/>
          <w:szCs w:val="22"/>
        </w:rPr>
        <w:br/>
      </w:r>
    </w:p>
    <w:p w14:paraId="2108B4B8" w14:textId="77777777" w:rsidR="006578C6" w:rsidRPr="0088209A" w:rsidRDefault="006578C6" w:rsidP="0088209A">
      <w:pPr>
        <w:pStyle w:val="ListParagraph"/>
        <w:numPr>
          <w:ilvl w:val="0"/>
          <w:numId w:val="3"/>
        </w:numPr>
        <w:shd w:val="clear" w:color="auto" w:fill="FFFFFF"/>
        <w:spacing w:before="100" w:beforeAutospacing="1" w:after="100" w:afterAutospacing="1"/>
        <w:jc w:val="both"/>
        <w:textAlignment w:val="top"/>
        <w:rPr>
          <w:rFonts w:ascii="Calibri" w:hAnsi="Calibri" w:cs="Arial"/>
          <w:sz w:val="22"/>
          <w:szCs w:val="22"/>
        </w:rPr>
      </w:pPr>
      <w:r>
        <w:rPr>
          <w:rFonts w:ascii="Calibri" w:hAnsi="Calibri"/>
          <w:sz w:val="22"/>
        </w:rPr>
        <w:t>Los siguientes principios generales deben aplicarse a todas las fases y todos los tipos de adquisición.</w:t>
      </w:r>
    </w:p>
    <w:p w14:paraId="2108B4B9" w14:textId="77777777" w:rsidR="006578C6" w:rsidRPr="0088209A" w:rsidRDefault="006578C6" w:rsidP="006578C6">
      <w:pPr>
        <w:shd w:val="clear" w:color="auto" w:fill="FFFFFF"/>
        <w:spacing w:before="100" w:beforeAutospacing="1" w:after="100" w:afterAutospacing="1"/>
        <w:textAlignment w:val="top"/>
        <w:rPr>
          <w:rFonts w:ascii="Calibri" w:hAnsi="Calibri" w:cs="Arial"/>
          <w:sz w:val="22"/>
          <w:szCs w:val="22"/>
        </w:rPr>
      </w:pPr>
      <w:bookmarkStart w:id="0" w:name="Procedures"/>
      <w:bookmarkEnd w:id="0"/>
      <w:r>
        <w:rPr>
          <w:rFonts w:ascii="Calibri" w:hAnsi="Calibri"/>
          <w:b/>
          <w:sz w:val="22"/>
        </w:rPr>
        <w:t xml:space="preserve">Mejor relación entre calidad y precio </w:t>
      </w:r>
    </w:p>
    <w:p w14:paraId="2108B4BA" w14:textId="77777777" w:rsidR="006578C6" w:rsidRDefault="006578C6" w:rsidP="0088209A">
      <w:pPr>
        <w:pStyle w:val="ListParagraph"/>
        <w:numPr>
          <w:ilvl w:val="0"/>
          <w:numId w:val="3"/>
        </w:numPr>
        <w:shd w:val="clear" w:color="auto" w:fill="FFFFFF"/>
        <w:spacing w:before="100" w:beforeAutospacing="1" w:after="100" w:afterAutospacing="1"/>
        <w:jc w:val="both"/>
        <w:textAlignment w:val="top"/>
        <w:rPr>
          <w:rFonts w:ascii="Calibri" w:hAnsi="Calibri" w:cs="Arial"/>
          <w:sz w:val="22"/>
          <w:szCs w:val="22"/>
        </w:rPr>
      </w:pPr>
      <w:r>
        <w:rPr>
          <w:rFonts w:ascii="Calibri" w:hAnsi="Calibri"/>
          <w:sz w:val="22"/>
        </w:rPr>
        <w:t xml:space="preserve">El principio rector principal es obtener la mejor relación entre calidad y precio. Esto significa la selección de la oferta que presenta la combinación óptima de costos y beneficios de ciclo de vida, y satisface las necesidades comerciales. </w:t>
      </w:r>
    </w:p>
    <w:p w14:paraId="2108B4BB" w14:textId="77777777" w:rsidR="000A1933" w:rsidRPr="0088209A" w:rsidRDefault="000A1933" w:rsidP="000A1933">
      <w:pPr>
        <w:pStyle w:val="ListParagraph"/>
        <w:shd w:val="clear" w:color="auto" w:fill="FFFFFF"/>
        <w:spacing w:before="100" w:beforeAutospacing="1" w:after="100" w:afterAutospacing="1"/>
        <w:jc w:val="both"/>
        <w:textAlignment w:val="top"/>
        <w:rPr>
          <w:rFonts w:ascii="Calibri" w:hAnsi="Calibri" w:cs="Arial"/>
          <w:sz w:val="22"/>
          <w:szCs w:val="22"/>
        </w:rPr>
      </w:pPr>
    </w:p>
    <w:p w14:paraId="2108B4BC" w14:textId="77777777" w:rsidR="006578C6"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rPr>
        <w:t xml:space="preserve">La mejor relación entre calidad y precio no debe confundirse con el precio más bajo. Esta requiere una evaluación integrada de factores técnicos, organizacionales y de precio según su importancia relativa (es decir, confiabilidad, calidad, experiencia, reputación, desempeño anterior, costo/tarifa y razonabilidad). Los parámetros también pueden incluir objetivos sociales, ambientales y otros objetivos estratégicos definidos en el plan de adquisición. </w:t>
      </w:r>
    </w:p>
    <w:p w14:paraId="2108B4BD" w14:textId="77777777" w:rsidR="006578C6" w:rsidRPr="0088209A" w:rsidRDefault="006578C6" w:rsidP="0088209A">
      <w:pPr>
        <w:shd w:val="clear" w:color="auto" w:fill="FFFFFF"/>
        <w:jc w:val="both"/>
        <w:textAlignment w:val="top"/>
        <w:rPr>
          <w:rFonts w:ascii="Calibri" w:hAnsi="Calibri" w:cs="Arial"/>
          <w:sz w:val="22"/>
          <w:szCs w:val="22"/>
        </w:rPr>
      </w:pPr>
    </w:p>
    <w:p w14:paraId="2108B4BE" w14:textId="77777777" w:rsidR="006578C6" w:rsidRPr="0088209A" w:rsidRDefault="0027329D"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rPr>
        <w:t xml:space="preserve">Como parte de mantener la mejor relación entre calidad y precio, los procesos de solicitud de ofertas y selección de un contratista deben lograr lo siguiente: </w:t>
      </w:r>
    </w:p>
    <w:p w14:paraId="2108B4BF"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Pr>
          <w:rFonts w:ascii="Calibri" w:hAnsi="Calibri"/>
          <w:sz w:val="22"/>
        </w:rPr>
        <w:t>Maximizar la competencia</w:t>
      </w:r>
    </w:p>
    <w:p w14:paraId="2108B4C0"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Pr>
          <w:rFonts w:ascii="Calibri" w:hAnsi="Calibri"/>
          <w:sz w:val="22"/>
        </w:rPr>
        <w:t xml:space="preserve">Minimizar la complejidad de los procesos de solicitud, evaluación y selección </w:t>
      </w:r>
    </w:p>
    <w:p w14:paraId="2108B4C1"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Pr>
          <w:rFonts w:ascii="Calibri" w:hAnsi="Calibri"/>
          <w:sz w:val="22"/>
        </w:rPr>
        <w:t xml:space="preserve">Garantizar la evaluación imparcial e integral de las ofertas solicitadas </w:t>
      </w:r>
    </w:p>
    <w:p w14:paraId="2108B4C2"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Pr>
          <w:rFonts w:ascii="Calibri" w:hAnsi="Calibri"/>
          <w:sz w:val="22"/>
        </w:rPr>
        <w:t>Asegurar la selección del contratista cuya oferta tenga el más alto grado de realismo y cuya ejecución se prevé que satisfará mejor las especificaciones, el detalle de los trabajos o los términos de referencia de la dependencia comercial</w:t>
      </w:r>
    </w:p>
    <w:p w14:paraId="2108B4C3" w14:textId="77777777" w:rsidR="006578C6" w:rsidRPr="0088209A" w:rsidRDefault="006578C6" w:rsidP="006578C6">
      <w:pPr>
        <w:shd w:val="clear" w:color="auto" w:fill="FFFFFF"/>
        <w:textAlignment w:val="top"/>
        <w:rPr>
          <w:rFonts w:ascii="Calibri" w:hAnsi="Calibri" w:cs="Arial"/>
          <w:sz w:val="22"/>
          <w:szCs w:val="22"/>
        </w:rPr>
      </w:pPr>
      <w:r>
        <w:rPr>
          <w:rFonts w:ascii="Calibri" w:hAnsi="Calibri"/>
          <w:b/>
          <w:sz w:val="22"/>
        </w:rPr>
        <w:t xml:space="preserve">Imparcialidad, Integridad y Transparencia </w:t>
      </w:r>
    </w:p>
    <w:p w14:paraId="2108B4C4" w14:textId="77777777" w:rsidR="006578C6" w:rsidRPr="0088209A" w:rsidRDefault="006578C6" w:rsidP="006578C6">
      <w:pPr>
        <w:shd w:val="clear" w:color="auto" w:fill="FFFFFF"/>
        <w:textAlignment w:val="top"/>
        <w:rPr>
          <w:rFonts w:ascii="Calibri" w:hAnsi="Calibri" w:cs="Arial"/>
          <w:sz w:val="22"/>
          <w:szCs w:val="22"/>
        </w:rPr>
      </w:pPr>
    </w:p>
    <w:p w14:paraId="2108B4C5" w14:textId="40FC09F4" w:rsidR="006578C6" w:rsidRDefault="006578C6"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rPr>
        <w:t xml:space="preserve">Dado que la competencia es la base para una adquisición eficiente, imparcial y transparente, las </w:t>
      </w:r>
      <w:r w:rsidR="00E448AB">
        <w:rPr>
          <w:rFonts w:ascii="Calibri" w:hAnsi="Calibri"/>
          <w:sz w:val="22"/>
        </w:rPr>
        <w:t>unidades de negocio</w:t>
      </w:r>
      <w:r>
        <w:rPr>
          <w:rFonts w:ascii="Calibri" w:hAnsi="Calibri"/>
          <w:sz w:val="22"/>
        </w:rPr>
        <w:t xml:space="preserve"> son responsables de proteger la integridad del proceso de adquisición y de mantener la imparcialidad en el tratamiento de todas las ofertas. Una adquisición acertada implica franqueza, honradez, registros completos y precisos, rendición de cuentas y confidencialidad. Establece y mantiene reglas y procedimientos que son alcanzables e inequívocos. </w:t>
      </w:r>
    </w:p>
    <w:p w14:paraId="2108B4C7" w14:textId="2DC62FB1" w:rsidR="00DE503E" w:rsidRPr="00D76190" w:rsidRDefault="00DE503E" w:rsidP="00D76190">
      <w:pPr>
        <w:shd w:val="clear" w:color="auto" w:fill="FFFFFF"/>
        <w:jc w:val="both"/>
        <w:textAlignment w:val="top"/>
        <w:rPr>
          <w:rFonts w:ascii="Calibri" w:hAnsi="Calibri" w:cs="Arial"/>
          <w:sz w:val="22"/>
          <w:szCs w:val="22"/>
        </w:rPr>
      </w:pPr>
    </w:p>
    <w:p w14:paraId="2108B4C8" w14:textId="77777777" w:rsidR="006578C6" w:rsidRPr="0088209A" w:rsidRDefault="006578C6" w:rsidP="0088209A">
      <w:pPr>
        <w:shd w:val="clear" w:color="auto" w:fill="FFFFFF"/>
        <w:jc w:val="both"/>
        <w:textAlignment w:val="top"/>
        <w:rPr>
          <w:rFonts w:ascii="Calibri" w:hAnsi="Calibri" w:cs="Arial"/>
          <w:sz w:val="22"/>
          <w:szCs w:val="22"/>
        </w:rPr>
      </w:pPr>
      <w:r>
        <w:rPr>
          <w:rFonts w:ascii="Calibri" w:hAnsi="Calibri"/>
          <w:sz w:val="22"/>
        </w:rPr>
        <w:t> </w:t>
      </w:r>
    </w:p>
    <w:p w14:paraId="2108B4C9" w14:textId="77777777" w:rsidR="006578C6" w:rsidRPr="0088209A" w:rsidRDefault="006578C6" w:rsidP="0088209A">
      <w:pPr>
        <w:shd w:val="clear" w:color="auto" w:fill="FFFFFF"/>
        <w:jc w:val="both"/>
        <w:textAlignment w:val="top"/>
        <w:rPr>
          <w:rFonts w:ascii="Calibri" w:hAnsi="Calibri" w:cs="Arial"/>
          <w:sz w:val="22"/>
          <w:szCs w:val="22"/>
        </w:rPr>
      </w:pPr>
      <w:r>
        <w:rPr>
          <w:rFonts w:ascii="Calibri" w:hAnsi="Calibri"/>
          <w:b/>
          <w:sz w:val="22"/>
        </w:rPr>
        <w:t xml:space="preserve">Competencia Efectiva </w:t>
      </w:r>
    </w:p>
    <w:p w14:paraId="2108B4CA" w14:textId="77777777" w:rsidR="006578C6" w:rsidRPr="0088209A" w:rsidRDefault="006578C6" w:rsidP="0088209A">
      <w:pPr>
        <w:shd w:val="clear" w:color="auto" w:fill="FFFFFF"/>
        <w:jc w:val="both"/>
        <w:textAlignment w:val="top"/>
        <w:rPr>
          <w:rFonts w:ascii="Calibri" w:hAnsi="Calibri" w:cs="Arial"/>
          <w:sz w:val="22"/>
          <w:szCs w:val="22"/>
        </w:rPr>
      </w:pPr>
      <w:r>
        <w:rPr>
          <w:rFonts w:ascii="Calibri" w:hAnsi="Calibri"/>
          <w:sz w:val="22"/>
        </w:rPr>
        <w:lastRenderedPageBreak/>
        <w:t> </w:t>
      </w:r>
    </w:p>
    <w:p w14:paraId="2108B4CB" w14:textId="1E8833B0" w:rsidR="0027329D"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rPr>
        <w:t xml:space="preserve">Los procesos competitivos deben proporcionar a todos los </w:t>
      </w:r>
      <w:r w:rsidR="00936C37">
        <w:rPr>
          <w:rFonts w:ascii="Calibri" w:hAnsi="Calibri"/>
          <w:sz w:val="22"/>
        </w:rPr>
        <w:t>ofertantes</w:t>
      </w:r>
      <w:r>
        <w:rPr>
          <w:rFonts w:ascii="Calibri" w:hAnsi="Calibri"/>
          <w:sz w:val="22"/>
        </w:rPr>
        <w:t xml:space="preserve"> que reúnen las condiciones una notificación oportuna y adecuada de los requisitos del PNUD, y una oportunidad equitativa para presentar ofertas de bienes, obras y servicios. </w:t>
      </w:r>
    </w:p>
    <w:p w14:paraId="2108B4CC" w14:textId="77777777" w:rsidR="0027329D" w:rsidRPr="0088209A" w:rsidRDefault="0027329D" w:rsidP="0088209A">
      <w:pPr>
        <w:shd w:val="clear" w:color="auto" w:fill="FFFFFF"/>
        <w:jc w:val="both"/>
        <w:textAlignment w:val="top"/>
        <w:rPr>
          <w:rFonts w:ascii="Calibri" w:hAnsi="Calibri" w:cs="Arial"/>
          <w:sz w:val="22"/>
          <w:szCs w:val="22"/>
        </w:rPr>
      </w:pPr>
    </w:p>
    <w:p w14:paraId="2108B4CD" w14:textId="77777777" w:rsidR="006578C6"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rPr>
        <w:t xml:space="preserve">El PNUD no acepta la restricción de adjudicaciones a contratistas o países exclusivos, a menos que esté explícitamente mencionado en un acuerdo de donante aprobado por el Oficial </w:t>
      </w:r>
      <w:proofErr w:type="gramStart"/>
      <w:r>
        <w:rPr>
          <w:rFonts w:ascii="Calibri" w:hAnsi="Calibri"/>
          <w:sz w:val="22"/>
        </w:rPr>
        <w:t>Jefe</w:t>
      </w:r>
      <w:proofErr w:type="gramEnd"/>
      <w:r>
        <w:rPr>
          <w:rFonts w:ascii="Calibri" w:hAnsi="Calibri"/>
          <w:sz w:val="22"/>
        </w:rPr>
        <w:t xml:space="preserve"> de Adquisiciones. </w:t>
      </w:r>
    </w:p>
    <w:p w14:paraId="2108B4CE" w14:textId="77777777" w:rsidR="006578C6" w:rsidRPr="0088209A" w:rsidRDefault="006578C6" w:rsidP="0088209A">
      <w:pPr>
        <w:shd w:val="clear" w:color="auto" w:fill="FFFFFF"/>
        <w:jc w:val="both"/>
        <w:textAlignment w:val="top"/>
        <w:rPr>
          <w:rFonts w:ascii="Calibri" w:hAnsi="Calibri" w:cs="Arial"/>
          <w:sz w:val="22"/>
          <w:szCs w:val="22"/>
        </w:rPr>
      </w:pPr>
      <w:r>
        <w:rPr>
          <w:rFonts w:ascii="Calibri" w:hAnsi="Calibri"/>
          <w:sz w:val="22"/>
        </w:rPr>
        <w:t> </w:t>
      </w:r>
    </w:p>
    <w:p w14:paraId="2108B4CF" w14:textId="77777777" w:rsidR="006578C6" w:rsidRPr="0088209A" w:rsidRDefault="006578C6" w:rsidP="0088209A">
      <w:pPr>
        <w:shd w:val="clear" w:color="auto" w:fill="FFFFFF"/>
        <w:jc w:val="both"/>
        <w:textAlignment w:val="top"/>
        <w:rPr>
          <w:rFonts w:ascii="Calibri" w:hAnsi="Calibri" w:cs="Arial"/>
          <w:sz w:val="22"/>
          <w:szCs w:val="22"/>
        </w:rPr>
      </w:pPr>
      <w:r>
        <w:rPr>
          <w:rFonts w:ascii="Calibri" w:hAnsi="Calibri"/>
          <w:b/>
          <w:sz w:val="22"/>
        </w:rPr>
        <w:t>Interés del PNUD</w:t>
      </w:r>
    </w:p>
    <w:p w14:paraId="2108B4D0" w14:textId="77777777" w:rsidR="006578C6" w:rsidRPr="0088209A" w:rsidRDefault="006578C6" w:rsidP="0088209A">
      <w:pPr>
        <w:shd w:val="clear" w:color="auto" w:fill="FFFFFF"/>
        <w:jc w:val="both"/>
        <w:textAlignment w:val="top"/>
        <w:rPr>
          <w:rFonts w:ascii="Calibri" w:hAnsi="Calibri" w:cs="Arial"/>
          <w:sz w:val="22"/>
          <w:szCs w:val="22"/>
        </w:rPr>
      </w:pPr>
      <w:r>
        <w:rPr>
          <w:rFonts w:ascii="Calibri" w:hAnsi="Calibri"/>
          <w:sz w:val="22"/>
        </w:rPr>
        <w:t> </w:t>
      </w:r>
    </w:p>
    <w:p w14:paraId="2108B4D1" w14:textId="77777777" w:rsidR="006578C6"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rPr>
        <w:t xml:space="preserve">Hay cuatro aspectos que orientan de manera consistente la consideración del interés del PNUD: </w:t>
      </w:r>
    </w:p>
    <w:p w14:paraId="2108B4D2" w14:textId="77777777" w:rsidR="006578C6" w:rsidRPr="0088209A"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Pr>
          <w:rFonts w:ascii="Calibri" w:hAnsi="Calibri"/>
          <w:sz w:val="22"/>
        </w:rPr>
        <w:t xml:space="preserve">Economía y eficiencia en la ejecución del programa, incluida la adquisición de bienes, obras y servicios </w:t>
      </w:r>
    </w:p>
    <w:p w14:paraId="2108B4D3" w14:textId="6A33BAC8" w:rsidR="006578C6" w:rsidRPr="0088209A"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Pr>
          <w:rFonts w:ascii="Calibri" w:hAnsi="Calibri"/>
          <w:sz w:val="22"/>
        </w:rPr>
        <w:t xml:space="preserve">Acceso a oportunidades de adquisición para todos los </w:t>
      </w:r>
      <w:r w:rsidR="00936C37">
        <w:rPr>
          <w:rFonts w:ascii="Calibri" w:hAnsi="Calibri"/>
          <w:sz w:val="22"/>
        </w:rPr>
        <w:t>ofertantes</w:t>
      </w:r>
      <w:r>
        <w:rPr>
          <w:rFonts w:ascii="Calibri" w:hAnsi="Calibri"/>
          <w:sz w:val="22"/>
        </w:rPr>
        <w:t xml:space="preserve"> interesados y calificados del mundo, excepto cuando el Consejo de Seguridad de la ONU o la Asamblea General de la ONU establezcan otros criterios </w:t>
      </w:r>
    </w:p>
    <w:p w14:paraId="2108B4D4" w14:textId="5D916E4F" w:rsidR="006578C6" w:rsidRPr="0088209A"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Pr>
          <w:rFonts w:ascii="Calibri" w:hAnsi="Calibri"/>
          <w:sz w:val="22"/>
        </w:rPr>
        <w:t xml:space="preserve">Otorgar a todos los </w:t>
      </w:r>
      <w:r w:rsidR="00936C37">
        <w:rPr>
          <w:rFonts w:ascii="Calibri" w:hAnsi="Calibri"/>
          <w:sz w:val="22"/>
        </w:rPr>
        <w:t>ofertantes</w:t>
      </w:r>
      <w:r>
        <w:rPr>
          <w:rFonts w:ascii="Calibri" w:hAnsi="Calibri"/>
          <w:sz w:val="22"/>
        </w:rPr>
        <w:t xml:space="preserve"> que reúnen las condiciones la misma información e igualdad de oportunidades para competir en la provisión de bienes, obras o servicios </w:t>
      </w:r>
    </w:p>
    <w:p w14:paraId="2108B4D5" w14:textId="7F76DE03" w:rsidR="006578C6" w:rsidRPr="00F82978"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Pr>
          <w:rFonts w:ascii="Calibri" w:hAnsi="Calibri"/>
          <w:sz w:val="22"/>
        </w:rPr>
        <w:t>Transparencia en todo el proceso de adquisición</w:t>
      </w:r>
    </w:p>
    <w:p w14:paraId="0E301998" w14:textId="73A7679D" w:rsidR="00F82978" w:rsidRDefault="00F82978" w:rsidP="00F82978">
      <w:pPr>
        <w:shd w:val="clear" w:color="auto" w:fill="FFFFFF"/>
        <w:spacing w:before="240" w:after="100" w:afterAutospacing="1"/>
        <w:jc w:val="both"/>
        <w:textAlignment w:val="top"/>
        <w:rPr>
          <w:rFonts w:ascii="Calibri" w:hAnsi="Calibri"/>
          <w:sz w:val="22"/>
        </w:rPr>
      </w:pPr>
    </w:p>
    <w:p w14:paraId="783EE486" w14:textId="0564298F" w:rsidR="00F82978" w:rsidRDefault="00F82978" w:rsidP="00F82978">
      <w:pPr>
        <w:shd w:val="clear" w:color="auto" w:fill="FFFFFF"/>
        <w:spacing w:before="240" w:after="100" w:afterAutospacing="1"/>
        <w:jc w:val="both"/>
        <w:textAlignment w:val="top"/>
        <w:rPr>
          <w:rFonts w:ascii="Calibri" w:hAnsi="Calibri"/>
          <w:sz w:val="22"/>
        </w:rPr>
      </w:pPr>
    </w:p>
    <w:p w14:paraId="6E9B12DC" w14:textId="4E2F7FCD" w:rsidR="00F82978" w:rsidRDefault="00F82978" w:rsidP="00F82978">
      <w:pPr>
        <w:shd w:val="clear" w:color="auto" w:fill="FFFFFF"/>
        <w:spacing w:before="240" w:after="100" w:afterAutospacing="1"/>
        <w:jc w:val="both"/>
        <w:textAlignment w:val="top"/>
        <w:rPr>
          <w:rFonts w:ascii="Calibri" w:hAnsi="Calibri"/>
          <w:sz w:val="22"/>
        </w:rPr>
      </w:pPr>
    </w:p>
    <w:p w14:paraId="0F46BB4F" w14:textId="278C8564" w:rsidR="00F82978" w:rsidRDefault="00F82978" w:rsidP="00F82978">
      <w:pPr>
        <w:shd w:val="clear" w:color="auto" w:fill="FFFFFF"/>
        <w:spacing w:before="240" w:after="100" w:afterAutospacing="1"/>
        <w:jc w:val="both"/>
        <w:textAlignment w:val="top"/>
        <w:rPr>
          <w:rFonts w:ascii="Calibri" w:hAnsi="Calibri"/>
          <w:sz w:val="22"/>
        </w:rPr>
      </w:pPr>
    </w:p>
    <w:p w14:paraId="0928FCC5" w14:textId="77777777" w:rsidR="00F82978" w:rsidRPr="00F82978" w:rsidRDefault="00F82978" w:rsidP="00F82978">
      <w:pPr>
        <w:shd w:val="clear" w:color="auto" w:fill="FFFFFF"/>
        <w:jc w:val="center"/>
        <w:rPr>
          <w:rFonts w:ascii="Calibri" w:hAnsi="Calibri"/>
          <w:color w:val="333333"/>
          <w:sz w:val="22"/>
          <w:szCs w:val="22"/>
          <w:lang w:val="en-US" w:eastAsia="en-US" w:bidi="ar-SA"/>
        </w:rPr>
      </w:pPr>
      <w:r w:rsidRPr="00F82978">
        <w:rPr>
          <w:rFonts w:ascii="Calibri" w:hAnsi="Calibri"/>
          <w:b/>
          <w:bCs/>
          <w:i/>
          <w:iCs/>
          <w:color w:val="333333"/>
          <w:sz w:val="22"/>
          <w:szCs w:val="22"/>
          <w:lang w:val="en-US" w:eastAsia="en-US" w:bidi="ar-SA"/>
        </w:rPr>
        <w:t>Disclaimer:</w:t>
      </w:r>
      <w:r w:rsidRPr="00F82978">
        <w:rPr>
          <w:rFonts w:ascii="Calibri" w:hAnsi="Calibri"/>
          <w:i/>
          <w:iCs/>
          <w:color w:val="333333"/>
          <w:sz w:val="22"/>
          <w:szCs w:val="22"/>
          <w:lang w:val="en-US" w:eastAsia="en-US" w:bidi="ar-SA"/>
        </w:rPr>
        <w:t xml:space="preserve"> This document was translated from English into Spanish. In the event of any discrepancy between this translation and the original English document, the original English document shall prevail.</w:t>
      </w:r>
    </w:p>
    <w:p w14:paraId="0475CF9C" w14:textId="77777777" w:rsidR="00F82978" w:rsidRPr="00F82978" w:rsidRDefault="00F82978" w:rsidP="00F82978">
      <w:pPr>
        <w:shd w:val="clear" w:color="auto" w:fill="FFFFFF"/>
        <w:jc w:val="center"/>
        <w:rPr>
          <w:rFonts w:ascii="Calibri" w:hAnsi="Calibri"/>
          <w:color w:val="333333"/>
          <w:sz w:val="22"/>
          <w:szCs w:val="22"/>
          <w:lang w:val="en-US" w:eastAsia="en-US" w:bidi="ar-SA"/>
        </w:rPr>
      </w:pPr>
      <w:r w:rsidRPr="00F82978">
        <w:rPr>
          <w:rFonts w:ascii="Calibri" w:hAnsi="Calibri"/>
          <w:i/>
          <w:iCs/>
          <w:color w:val="333333"/>
          <w:sz w:val="22"/>
          <w:szCs w:val="22"/>
          <w:lang w:val="en-US" w:eastAsia="en-US" w:bidi="ar-SA"/>
        </w:rPr>
        <w:t> </w:t>
      </w:r>
    </w:p>
    <w:p w14:paraId="36AA566F" w14:textId="77777777" w:rsidR="00F82978" w:rsidRPr="00F82978" w:rsidRDefault="00F82978" w:rsidP="00F82978">
      <w:pPr>
        <w:shd w:val="clear" w:color="auto" w:fill="FFFFFF"/>
        <w:jc w:val="center"/>
        <w:rPr>
          <w:rFonts w:ascii="Calibri" w:hAnsi="Calibri"/>
          <w:color w:val="333333"/>
          <w:sz w:val="22"/>
          <w:szCs w:val="22"/>
          <w:lang w:val="es-ES_tradnl" w:eastAsia="en-US" w:bidi="ar-SA"/>
        </w:rPr>
      </w:pPr>
      <w:r w:rsidRPr="00F82978">
        <w:rPr>
          <w:rFonts w:ascii="Calibri" w:hAnsi="Calibri"/>
          <w:b/>
          <w:bCs/>
          <w:i/>
          <w:iCs/>
          <w:color w:val="333333"/>
          <w:sz w:val="22"/>
          <w:szCs w:val="22"/>
          <w:shd w:val="clear" w:color="auto" w:fill="FFFFFF"/>
          <w:lang w:val="es-ES_tradnl" w:eastAsia="en-US" w:bidi="ar-SA"/>
        </w:rPr>
        <w:t>Descargo de responsabilidad:</w:t>
      </w:r>
      <w:r w:rsidRPr="00F82978">
        <w:rPr>
          <w:rFonts w:ascii="Calibri" w:hAnsi="Calibri"/>
          <w:i/>
          <w:iCs/>
          <w:color w:val="333333"/>
          <w:sz w:val="22"/>
          <w:szCs w:val="22"/>
          <w:shd w:val="clear" w:color="auto" w:fill="FFFFFF"/>
          <w:lang w:val="es-ES_tradnl" w:eastAsia="en-US" w:bidi="ar-SA"/>
        </w:rPr>
        <w:t xml:space="preserve"> esta es una traducción de un documento original en inglés. </w:t>
      </w:r>
      <w:r w:rsidRPr="00F82978">
        <w:rPr>
          <w:rFonts w:ascii="Calibri" w:hAnsi="Calibri"/>
          <w:i/>
          <w:iCs/>
          <w:color w:val="333333"/>
          <w:sz w:val="22"/>
          <w:szCs w:val="22"/>
          <w:shd w:val="clear" w:color="auto" w:fill="FFFFFF"/>
          <w:lang w:val="es-UY" w:eastAsia="en-US" w:bidi="ar-SA"/>
        </w:rPr>
        <w:t>En caso de discrepancias entre esta traducción y el documento original en inglés, prevalecerá el documento original en inglés.</w:t>
      </w:r>
    </w:p>
    <w:p w14:paraId="3FC2B418" w14:textId="77777777" w:rsidR="00F82978" w:rsidRPr="00F82978" w:rsidRDefault="00F82978" w:rsidP="00F82978">
      <w:pPr>
        <w:shd w:val="clear" w:color="auto" w:fill="FFFFFF"/>
        <w:spacing w:line="270" w:lineRule="atLeast"/>
        <w:rPr>
          <w:rFonts w:ascii="Calibri" w:eastAsia="Calibri" w:hAnsi="Calibri"/>
          <w:sz w:val="22"/>
          <w:szCs w:val="22"/>
          <w:lang w:val="es-ES_tradnl"/>
        </w:rPr>
      </w:pPr>
    </w:p>
    <w:p w14:paraId="0B564F33" w14:textId="77777777" w:rsidR="00F82978" w:rsidRPr="0088209A" w:rsidRDefault="00F82978" w:rsidP="00F82978">
      <w:pPr>
        <w:shd w:val="clear" w:color="auto" w:fill="FFFFFF"/>
        <w:spacing w:before="240" w:after="100" w:afterAutospacing="1"/>
        <w:jc w:val="both"/>
        <w:textAlignment w:val="top"/>
        <w:rPr>
          <w:rFonts w:ascii="Calibri" w:hAnsi="Calibri" w:cs="Arial"/>
          <w:sz w:val="22"/>
          <w:szCs w:val="22"/>
        </w:rPr>
      </w:pPr>
    </w:p>
    <w:sectPr w:rsidR="00F82978" w:rsidRPr="0088209A" w:rsidSect="0088209A">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BDD3" w14:textId="77777777" w:rsidR="00BA7B93" w:rsidRDefault="00BA7B93" w:rsidP="006A295A">
      <w:r>
        <w:separator/>
      </w:r>
    </w:p>
  </w:endnote>
  <w:endnote w:type="continuationSeparator" w:id="0">
    <w:p w14:paraId="013E6608" w14:textId="77777777" w:rsidR="00BA7B93" w:rsidRDefault="00BA7B93"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B515" w14:textId="17B3139F" w:rsidR="0088209A" w:rsidRPr="008C084D" w:rsidRDefault="006178D4" w:rsidP="008C084D">
    <w:pPr>
      <w:rPr>
        <w:rFonts w:asciiTheme="majorHAnsi" w:hAnsiTheme="majorHAnsi" w:cstheme="majorHAnsi"/>
        <w:sz w:val="22"/>
        <w:szCs w:val="22"/>
      </w:rPr>
    </w:pPr>
    <w:r>
      <w:rPr>
        <w:rFonts w:asciiTheme="majorHAnsi" w:hAnsiTheme="majorHAnsi" w:cstheme="majorHAnsi"/>
        <w:sz w:val="22"/>
      </w:rPr>
      <w:t xml:space="preserve">Página </w:t>
    </w:r>
    <w:r w:rsidRPr="008C084D">
      <w:rPr>
        <w:rFonts w:asciiTheme="majorHAnsi" w:hAnsiTheme="majorHAnsi" w:cstheme="majorHAnsi"/>
        <w:b/>
        <w:bCs/>
        <w:sz w:val="22"/>
        <w:szCs w:val="22"/>
      </w:rPr>
      <w:fldChar w:fldCharType="begin"/>
    </w:r>
    <w:r w:rsidRPr="008C084D">
      <w:rPr>
        <w:rFonts w:asciiTheme="majorHAnsi" w:hAnsiTheme="majorHAnsi" w:cstheme="majorHAnsi"/>
        <w:b/>
        <w:bCs/>
        <w:sz w:val="22"/>
        <w:szCs w:val="22"/>
      </w:rPr>
      <w:instrText>PAGE  \* Arabic  \* MERGEFORMAT</w:instrText>
    </w:r>
    <w:r w:rsidRPr="008C084D">
      <w:rPr>
        <w:rFonts w:asciiTheme="majorHAnsi" w:hAnsiTheme="majorHAnsi" w:cstheme="majorHAnsi"/>
        <w:b/>
        <w:bCs/>
        <w:sz w:val="22"/>
        <w:szCs w:val="22"/>
      </w:rPr>
      <w:fldChar w:fldCharType="separate"/>
    </w:r>
    <w:r w:rsidR="00737B7F">
      <w:rPr>
        <w:rFonts w:asciiTheme="majorHAnsi" w:hAnsiTheme="majorHAnsi" w:cstheme="majorHAnsi"/>
        <w:b/>
        <w:bCs/>
        <w:noProof/>
        <w:sz w:val="22"/>
        <w:szCs w:val="22"/>
      </w:rPr>
      <w:t>1</w:t>
    </w:r>
    <w:r w:rsidRPr="008C084D">
      <w:rPr>
        <w:rFonts w:asciiTheme="majorHAnsi" w:hAnsiTheme="majorHAnsi" w:cstheme="majorHAnsi"/>
        <w:b/>
        <w:bCs/>
        <w:sz w:val="22"/>
        <w:szCs w:val="22"/>
      </w:rPr>
      <w:fldChar w:fldCharType="end"/>
    </w:r>
    <w:r>
      <w:rPr>
        <w:rFonts w:asciiTheme="majorHAnsi" w:hAnsiTheme="majorHAnsi" w:cstheme="majorHAnsi"/>
        <w:sz w:val="22"/>
      </w:rPr>
      <w:t xml:space="preserve"> de </w:t>
    </w:r>
    <w:r w:rsidRPr="008C084D">
      <w:rPr>
        <w:rFonts w:asciiTheme="majorHAnsi" w:hAnsiTheme="majorHAnsi" w:cstheme="majorHAnsi"/>
        <w:b/>
        <w:bCs/>
        <w:sz w:val="22"/>
        <w:szCs w:val="22"/>
      </w:rPr>
      <w:fldChar w:fldCharType="begin"/>
    </w:r>
    <w:r w:rsidRPr="008C084D">
      <w:rPr>
        <w:rFonts w:asciiTheme="majorHAnsi" w:hAnsiTheme="majorHAnsi" w:cstheme="majorHAnsi"/>
        <w:b/>
        <w:bCs/>
        <w:sz w:val="22"/>
        <w:szCs w:val="22"/>
      </w:rPr>
      <w:instrText>NUMPAGES  \* Arabic  \* MERGEFORMAT</w:instrText>
    </w:r>
    <w:r w:rsidRPr="008C084D">
      <w:rPr>
        <w:rFonts w:asciiTheme="majorHAnsi" w:hAnsiTheme="majorHAnsi" w:cstheme="majorHAnsi"/>
        <w:b/>
        <w:bCs/>
        <w:sz w:val="22"/>
        <w:szCs w:val="22"/>
      </w:rPr>
      <w:fldChar w:fldCharType="separate"/>
    </w:r>
    <w:r w:rsidR="00737B7F">
      <w:rPr>
        <w:rFonts w:asciiTheme="majorHAnsi" w:hAnsiTheme="majorHAnsi" w:cstheme="majorHAnsi"/>
        <w:b/>
        <w:bCs/>
        <w:noProof/>
        <w:sz w:val="22"/>
        <w:szCs w:val="22"/>
      </w:rPr>
      <w:t>2</w:t>
    </w:r>
    <w:r w:rsidRPr="008C084D">
      <w:rPr>
        <w:rFonts w:asciiTheme="majorHAnsi" w:hAnsiTheme="majorHAnsi" w:cstheme="majorHAnsi"/>
        <w:b/>
        <w:bCs/>
        <w:sz w:val="22"/>
        <w:szCs w:val="22"/>
      </w:rPr>
      <w:fldChar w:fldCharType="end"/>
    </w:r>
    <w:r>
      <w:ptab w:relativeTo="margin" w:alignment="center" w:leader="none"/>
    </w:r>
    <w:r>
      <w:rPr>
        <w:rFonts w:asciiTheme="majorHAnsi" w:hAnsiTheme="majorHAnsi" w:cstheme="majorHAnsi"/>
        <w:sz w:val="22"/>
      </w:rPr>
      <w:t xml:space="preserve"> Fecha de entrada en vigor:</w:t>
    </w:r>
    <w:r w:rsidR="00F82978">
      <w:rPr>
        <w:rFonts w:asciiTheme="majorHAnsi" w:hAnsiTheme="majorHAnsi" w:cstheme="majorHAnsi"/>
        <w:sz w:val="22"/>
      </w:rPr>
      <w:t xml:space="preserve"> </w:t>
    </w:r>
    <w:r w:rsidR="00F82978" w:rsidRPr="00F82978">
      <w:rPr>
        <w:rFonts w:asciiTheme="majorHAnsi" w:hAnsiTheme="majorHAnsi" w:cstheme="majorHAnsi"/>
        <w:sz w:val="22"/>
      </w:rPr>
      <w:t>26/06/2016</w:t>
    </w:r>
    <w:r>
      <w:tab/>
    </w:r>
    <w:r>
      <w:tab/>
    </w:r>
    <w:r>
      <w:rPr>
        <w:rFonts w:asciiTheme="majorHAnsi" w:hAnsiTheme="majorHAnsi" w:cstheme="majorHAnsi"/>
        <w:sz w:val="22"/>
      </w:rPr>
      <w:t xml:space="preserve">      </w:t>
    </w:r>
    <w:r w:rsidR="00F82978">
      <w:rPr>
        <w:rFonts w:asciiTheme="majorHAnsi" w:hAnsiTheme="majorHAnsi" w:cstheme="majorHAnsi"/>
        <w:sz w:val="22"/>
      </w:rPr>
      <w:t xml:space="preserve">          </w:t>
    </w:r>
    <w:r>
      <w:rPr>
        <w:rFonts w:asciiTheme="majorHAnsi" w:hAnsiTheme="majorHAnsi" w:cstheme="majorHAnsi"/>
        <w:sz w:val="22"/>
      </w:rPr>
      <w:t xml:space="preserve">Versión n.°: </w:t>
    </w:r>
    <w:sdt>
      <w:sdtPr>
        <w:rPr>
          <w:rFonts w:asciiTheme="majorHAnsi" w:hAnsiTheme="majorHAnsi" w:cstheme="majorHAnsi"/>
          <w:sz w:val="22"/>
          <w:szCs w:val="22"/>
        </w:rPr>
        <w:alias w:val="POPPRefItemVersion"/>
        <w:tag w:val="UNDP_POPP_REFITEM_VERSION"/>
        <w:id w:val="1506006280"/>
        <w:placeholder>
          <w:docPart w:val="7FD217A37A974E95A524762E8C7BE30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F82978">
          <w:rPr>
            <w:rFonts w:asciiTheme="majorHAnsi" w:hAnsiTheme="majorHAnsi" w:cstheme="majorHAnsi"/>
            <w:sz w:val="22"/>
            <w:szCs w:val="22"/>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54E7" w14:textId="77777777" w:rsidR="00BA7B93" w:rsidRDefault="00BA7B93" w:rsidP="006A295A">
      <w:r>
        <w:separator/>
      </w:r>
    </w:p>
  </w:footnote>
  <w:footnote w:type="continuationSeparator" w:id="0">
    <w:p w14:paraId="22E8177A" w14:textId="77777777" w:rsidR="00BA7B93" w:rsidRDefault="00BA7B93"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A228" w14:textId="1C03EF84" w:rsidR="00F71568" w:rsidRDefault="003E6827" w:rsidP="00F71568">
    <w:pPr>
      <w:pStyle w:val="Header"/>
      <w:jc w:val="right"/>
    </w:pPr>
    <w:r>
      <w:rPr>
        <w:noProof/>
      </w:rPr>
      <w:drawing>
        <wp:inline distT="0" distB="0" distL="0" distR="0" wp14:anchorId="5E084DAE" wp14:editId="0A681375">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1D4D2C1C" w14:textId="77777777" w:rsidR="00F71568" w:rsidRDefault="00F7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B2E"/>
    <w:multiLevelType w:val="hybridMultilevel"/>
    <w:tmpl w:val="11869F7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1B5D7F51"/>
    <w:multiLevelType w:val="multilevel"/>
    <w:tmpl w:val="2466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16B0B"/>
    <w:multiLevelType w:val="hybridMultilevel"/>
    <w:tmpl w:val="950EBFD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467252E8"/>
    <w:multiLevelType w:val="hybridMultilevel"/>
    <w:tmpl w:val="8956496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4F1F11D6"/>
    <w:multiLevelType w:val="multilevel"/>
    <w:tmpl w:val="07D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64AA5"/>
    <w:multiLevelType w:val="hybridMultilevel"/>
    <w:tmpl w:val="AA9CD75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55B38B7"/>
    <w:multiLevelType w:val="multilevel"/>
    <w:tmpl w:val="D6CABCF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64AD9"/>
    <w:multiLevelType w:val="multilevel"/>
    <w:tmpl w:val="525AA9F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802956">
    <w:abstractNumId w:val="1"/>
  </w:num>
  <w:num w:numId="2" w16cid:durableId="676689511">
    <w:abstractNumId w:val="4"/>
  </w:num>
  <w:num w:numId="3" w16cid:durableId="1129323447">
    <w:abstractNumId w:val="0"/>
  </w:num>
  <w:num w:numId="4" w16cid:durableId="1884823240">
    <w:abstractNumId w:val="2"/>
  </w:num>
  <w:num w:numId="5" w16cid:durableId="1041250352">
    <w:abstractNumId w:val="3"/>
  </w:num>
  <w:num w:numId="6" w16cid:durableId="1635452839">
    <w:abstractNumId w:val="5"/>
  </w:num>
  <w:num w:numId="7" w16cid:durableId="244072147">
    <w:abstractNumId w:val="6"/>
  </w:num>
  <w:num w:numId="8" w16cid:durableId="1847329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66C36"/>
    <w:rsid w:val="00077DAE"/>
    <w:rsid w:val="000A1933"/>
    <w:rsid w:val="000D2A4B"/>
    <w:rsid w:val="00134226"/>
    <w:rsid w:val="00160BC9"/>
    <w:rsid w:val="001721EA"/>
    <w:rsid w:val="001769F5"/>
    <w:rsid w:val="00177584"/>
    <w:rsid w:val="00192536"/>
    <w:rsid w:val="001E677A"/>
    <w:rsid w:val="00250560"/>
    <w:rsid w:val="00262C6D"/>
    <w:rsid w:val="0027329D"/>
    <w:rsid w:val="00274531"/>
    <w:rsid w:val="002B5C83"/>
    <w:rsid w:val="003317F3"/>
    <w:rsid w:val="00332CE9"/>
    <w:rsid w:val="003C299B"/>
    <w:rsid w:val="003E64D1"/>
    <w:rsid w:val="003E6827"/>
    <w:rsid w:val="00444974"/>
    <w:rsid w:val="00474367"/>
    <w:rsid w:val="004B7DEB"/>
    <w:rsid w:val="005123B5"/>
    <w:rsid w:val="00516592"/>
    <w:rsid w:val="0057062E"/>
    <w:rsid w:val="005B48A2"/>
    <w:rsid w:val="005F5F45"/>
    <w:rsid w:val="00613891"/>
    <w:rsid w:val="006178D4"/>
    <w:rsid w:val="006411DD"/>
    <w:rsid w:val="006578C6"/>
    <w:rsid w:val="006A295A"/>
    <w:rsid w:val="006A7479"/>
    <w:rsid w:val="00700D4A"/>
    <w:rsid w:val="0070538D"/>
    <w:rsid w:val="00737B7F"/>
    <w:rsid w:val="0078327E"/>
    <w:rsid w:val="007E3624"/>
    <w:rsid w:val="007F06AC"/>
    <w:rsid w:val="00802939"/>
    <w:rsid w:val="0088209A"/>
    <w:rsid w:val="008C084D"/>
    <w:rsid w:val="008D0854"/>
    <w:rsid w:val="00902296"/>
    <w:rsid w:val="00913139"/>
    <w:rsid w:val="00930B05"/>
    <w:rsid w:val="00936C37"/>
    <w:rsid w:val="00956154"/>
    <w:rsid w:val="0099752B"/>
    <w:rsid w:val="009B400E"/>
    <w:rsid w:val="00A02F8F"/>
    <w:rsid w:val="00A5637E"/>
    <w:rsid w:val="00AB0CA9"/>
    <w:rsid w:val="00AC55D4"/>
    <w:rsid w:val="00B022C9"/>
    <w:rsid w:val="00B56181"/>
    <w:rsid w:val="00B969A3"/>
    <w:rsid w:val="00BA02B1"/>
    <w:rsid w:val="00BA7B93"/>
    <w:rsid w:val="00C2526E"/>
    <w:rsid w:val="00C26A7F"/>
    <w:rsid w:val="00C9252D"/>
    <w:rsid w:val="00CB5E3A"/>
    <w:rsid w:val="00CD6566"/>
    <w:rsid w:val="00CE19CE"/>
    <w:rsid w:val="00D00DDC"/>
    <w:rsid w:val="00D15F9E"/>
    <w:rsid w:val="00D257B6"/>
    <w:rsid w:val="00D76190"/>
    <w:rsid w:val="00DE503E"/>
    <w:rsid w:val="00DF3260"/>
    <w:rsid w:val="00E11AAD"/>
    <w:rsid w:val="00E1290B"/>
    <w:rsid w:val="00E448AB"/>
    <w:rsid w:val="00E8340E"/>
    <w:rsid w:val="00ED6FAB"/>
    <w:rsid w:val="00F0537A"/>
    <w:rsid w:val="00F71568"/>
    <w:rsid w:val="00F820D3"/>
    <w:rsid w:val="00F82978"/>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8B4B4"/>
  <w14:defaultImageDpi w14:val="30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uiPriority w:val="34"/>
    <w:qFormat/>
    <w:rsid w:val="0088209A"/>
    <w:pPr>
      <w:ind w:left="720"/>
      <w:contextualSpacing/>
    </w:pPr>
  </w:style>
  <w:style w:type="character" w:styleId="PlaceholderText">
    <w:name w:val="Placeholder Text"/>
    <w:basedOn w:val="DefaultParagraphFont"/>
    <w:uiPriority w:val="99"/>
    <w:semiHidden/>
    <w:rsid w:val="006178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217A37A974E95A524762E8C7BE303"/>
        <w:category>
          <w:name w:val="Общие"/>
          <w:gallery w:val="placeholder"/>
        </w:category>
        <w:types>
          <w:type w:val="bbPlcHdr"/>
        </w:types>
        <w:behaviors>
          <w:behavior w:val="content"/>
        </w:behaviors>
        <w:guid w:val="{C34BE8A2-0F29-4E98-B147-22EB80F6A74A}"/>
      </w:docPartPr>
      <w:docPartBody>
        <w:p w:rsidR="00775A77" w:rsidRDefault="0093250F">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0F"/>
    <w:rsid w:val="00775A77"/>
    <w:rsid w:val="0093250F"/>
    <w:rsid w:val="00AE0478"/>
    <w:rsid w:val="00DC2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50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5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_dlc_DocId xmlns="8264c5cc-ec60-4b56-8111-ce635d3d139a">POPP-11-2620</_dlc_DocId>
    <_dlc_DocIdUrl xmlns="8264c5cc-ec60-4b56-8111-ce635d3d139a">
      <Url>https://popp.undp.org/_layouts/15/DocIdRedir.aspx?ID=POPP-11-2620</Url>
      <Description>POPP-11-2620</Description>
    </_dlc_DocIdUrl>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{Effective Date}                                                Version #: 1.0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Descripción General y Principios de Adquisición</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DLCPolicyLabelValue xmlns="e560140e-7b2f-4392-90df-e7567e3021a3">Effective Date: {Effective Date}                                                Version #: 1.0</DLCPolicyLabelVal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E8C6D8-0CA1-4478-ADBE-2D5265F7E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674F2-EFAD-481F-B064-2C948B66D3DF}">
  <ds:schemaRefs>
    <ds:schemaRef ds:uri="http://schemas.openxmlformats.org/officeDocument/2006/bibliography"/>
  </ds:schemaRefs>
</ds:datastoreItem>
</file>

<file path=customXml/itemProps3.xml><?xml version="1.0" encoding="utf-8"?>
<ds:datastoreItem xmlns:ds="http://schemas.openxmlformats.org/officeDocument/2006/customXml" ds:itemID="{15B243C3-A726-4697-A075-A6D3D6EC7181}">
  <ds:schemaRefs>
    <ds:schemaRef ds:uri="e560140e-7b2f-4392-90df-e7567e3021a3"/>
    <ds:schemaRef ds:uri="http://schemas.microsoft.com/sharepoint/v3"/>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8264c5cc-ec60-4b56-8111-ce635d3d139a"/>
    <ds:schemaRef ds:uri="http://www.w3.org/XML/1998/namespace"/>
  </ds:schemaRefs>
</ds:datastoreItem>
</file>

<file path=customXml/itemProps4.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5.xml><?xml version="1.0" encoding="utf-8"?>
<ds:datastoreItem xmlns:ds="http://schemas.openxmlformats.org/officeDocument/2006/customXml" ds:itemID="{C975E264-80BD-4CC3-900B-F86044A123E2}">
  <ds:schemaRefs>
    <ds:schemaRef ds:uri="office.server.policy"/>
  </ds:schemaRefs>
</ds:datastoreItem>
</file>

<file path=customXml/itemProps6.xml><?xml version="1.0" encoding="utf-8"?>
<ds:datastoreItem xmlns:ds="http://schemas.openxmlformats.org/officeDocument/2006/customXml" ds:itemID="{4A687EA8-0749-42E7-85F3-41E8DC9A81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Emiliana Zhivkova</cp:lastModifiedBy>
  <cp:revision>2</cp:revision>
  <cp:lastPrinted>2013-10-25T21:11:00Z</cp:lastPrinted>
  <dcterms:created xsi:type="dcterms:W3CDTF">2023-12-12T00:03:00Z</dcterms:created>
  <dcterms:modified xsi:type="dcterms:W3CDTF">2023-12-12T00:03:00Z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17dcce8f-8fd2-449c-9dbc-7a9ac01ed8fc</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ies>
</file>