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A820" w14:textId="77777777" w:rsidR="00C64126" w:rsidRPr="00B94811" w:rsidRDefault="000625EB" w:rsidP="00C64126">
      <w:pPr>
        <w:shd w:val="clear" w:color="auto" w:fill="FFFFFF"/>
        <w:textAlignment w:val="top"/>
        <w:rPr>
          <w:rFonts w:asciiTheme="minorHAnsi" w:eastAsia="Times New Roman" w:hAnsiTheme="minorHAnsi" w:cs="Arial"/>
          <w:b/>
          <w:bCs/>
          <w:sz w:val="28"/>
        </w:rPr>
      </w:pPr>
      <w:r w:rsidRPr="000625EB">
        <w:rPr>
          <w:rFonts w:asciiTheme="minorHAnsi" w:hAnsiTheme="minorHAnsi"/>
          <w:b/>
          <w:bCs/>
          <w:sz w:val="28"/>
        </w:rPr>
        <w:t>Liquidation et comptabilisation en pertes d</w:t>
      </w:r>
      <w:r w:rsidR="00381677">
        <w:rPr>
          <w:rFonts w:asciiTheme="minorHAnsi" w:hAnsiTheme="minorHAnsi"/>
          <w:b/>
          <w:bCs/>
          <w:sz w:val="28"/>
        </w:rPr>
        <w:t>’</w:t>
      </w:r>
      <w:r w:rsidRPr="000625EB">
        <w:rPr>
          <w:rFonts w:asciiTheme="minorHAnsi" w:hAnsiTheme="minorHAnsi"/>
          <w:b/>
          <w:bCs/>
          <w:sz w:val="28"/>
        </w:rPr>
        <w:t>améliorations locatives</w:t>
      </w:r>
    </w:p>
    <w:tbl>
      <w:tblPr>
        <w:tblW w:w="0" w:type="auto"/>
        <w:jc w:val="right"/>
        <w:tblCellMar>
          <w:top w:w="15" w:type="dxa"/>
          <w:left w:w="15" w:type="dxa"/>
          <w:bottom w:w="15" w:type="dxa"/>
          <w:right w:w="15" w:type="dxa"/>
        </w:tblCellMar>
        <w:tblLook w:val="04A0" w:firstRow="1" w:lastRow="0" w:firstColumn="1" w:lastColumn="0" w:noHBand="0" w:noVBand="1"/>
      </w:tblPr>
      <w:tblGrid>
        <w:gridCol w:w="76"/>
        <w:gridCol w:w="50"/>
        <w:gridCol w:w="36"/>
      </w:tblGrid>
      <w:tr w:rsidR="00C64126" w:rsidRPr="00B94811" w14:paraId="6EBFDFE1" w14:textId="77777777" w:rsidTr="00B94811">
        <w:trPr>
          <w:jc w:val="right"/>
        </w:trPr>
        <w:tc>
          <w:tcPr>
            <w:tcW w:w="76" w:type="dxa"/>
            <w:noWrap/>
            <w:vAlign w:val="center"/>
          </w:tcPr>
          <w:p w14:paraId="2526BC9A" w14:textId="77777777" w:rsidR="00C64126" w:rsidRPr="00B94811" w:rsidRDefault="00C64126" w:rsidP="001023E6">
            <w:pPr>
              <w:rPr>
                <w:rFonts w:asciiTheme="minorHAnsi" w:eastAsia="Times New Roman" w:hAnsiTheme="minorHAnsi" w:cs="Arial"/>
                <w:sz w:val="28"/>
              </w:rPr>
            </w:pPr>
          </w:p>
        </w:tc>
        <w:tc>
          <w:tcPr>
            <w:tcW w:w="50" w:type="dxa"/>
          </w:tcPr>
          <w:p w14:paraId="5A1E25C7" w14:textId="77777777" w:rsidR="00C64126" w:rsidRPr="00B94811" w:rsidRDefault="00C64126" w:rsidP="001023E6">
            <w:pPr>
              <w:rPr>
                <w:rFonts w:asciiTheme="minorHAnsi" w:eastAsia="Times New Roman" w:hAnsiTheme="minorHAnsi" w:cs="Arial"/>
                <w:sz w:val="28"/>
              </w:rPr>
            </w:pPr>
          </w:p>
        </w:tc>
        <w:tc>
          <w:tcPr>
            <w:tcW w:w="0" w:type="auto"/>
            <w:noWrap/>
            <w:vAlign w:val="center"/>
          </w:tcPr>
          <w:p w14:paraId="519C2838" w14:textId="77777777" w:rsidR="00C64126" w:rsidRPr="00B94811" w:rsidRDefault="00C64126" w:rsidP="001023E6">
            <w:pPr>
              <w:rPr>
                <w:rFonts w:asciiTheme="minorHAnsi" w:eastAsia="Times New Roman" w:hAnsiTheme="minorHAnsi" w:cs="Arial"/>
                <w:sz w:val="28"/>
              </w:rPr>
            </w:pPr>
          </w:p>
        </w:tc>
      </w:tr>
    </w:tbl>
    <w:p w14:paraId="51FCBE63" w14:textId="77777777" w:rsidR="005A7097" w:rsidRDefault="000625EB">
      <w:pPr>
        <w:shd w:val="clear" w:color="auto" w:fill="FFFFFF"/>
        <w:jc w:val="right"/>
        <w:textAlignment w:val="top"/>
        <w:rPr>
          <w:rFonts w:asciiTheme="minorHAnsi" w:eastAsia="Times New Roman" w:hAnsiTheme="minorHAnsi" w:cs="Arial"/>
          <w:vanish/>
        </w:rPr>
      </w:pPr>
      <w:r w:rsidRPr="000625EB">
        <w:rPr>
          <w:rFonts w:asciiTheme="minorHAnsi" w:hAnsiTheme="minorHAnsi"/>
          <w:vanish/>
        </w:rPr>
        <w:t>Structure Element - Description</w:t>
      </w:r>
    </w:p>
    <w:p w14:paraId="6820BB59" w14:textId="77777777" w:rsidR="00C64126" w:rsidRPr="00B94811" w:rsidRDefault="00C64126" w:rsidP="00C64126">
      <w:pPr>
        <w:shd w:val="clear" w:color="auto" w:fill="FFFFFF"/>
        <w:spacing w:line="270" w:lineRule="atLeast"/>
        <w:textAlignment w:val="top"/>
        <w:rPr>
          <w:rFonts w:asciiTheme="minorHAnsi" w:eastAsia="Times New Roman" w:hAnsiTheme="minorHAnsi" w:cs="Arial"/>
        </w:rPr>
      </w:pPr>
    </w:p>
    <w:p w14:paraId="4AC027F0" w14:textId="77777777" w:rsidR="00C64126" w:rsidRPr="00B94811" w:rsidRDefault="000625EB" w:rsidP="00C64126">
      <w:pPr>
        <w:pStyle w:val="ListParagraph"/>
        <w:numPr>
          <w:ilvl w:val="0"/>
          <w:numId w:val="1"/>
        </w:numPr>
        <w:shd w:val="clear" w:color="auto" w:fill="FFFFFF"/>
        <w:spacing w:line="270" w:lineRule="atLeast"/>
        <w:textAlignment w:val="top"/>
        <w:rPr>
          <w:rFonts w:asciiTheme="minorHAnsi" w:eastAsia="Times New Roman" w:hAnsiTheme="minorHAnsi" w:cs="Arial"/>
        </w:rPr>
      </w:pPr>
      <w:r w:rsidRPr="000625EB">
        <w:rPr>
          <w:rFonts w:asciiTheme="minorHAnsi" w:hAnsiTheme="minorHAnsi"/>
        </w:rPr>
        <w:t>En général, les améliorations locatives ne seront pas liquidées ou comptabilisées en pertes puisqu</w:t>
      </w:r>
      <w:r w:rsidR="00381677">
        <w:rPr>
          <w:rFonts w:asciiTheme="minorHAnsi" w:hAnsiTheme="minorHAnsi"/>
        </w:rPr>
        <w:t>’</w:t>
      </w:r>
      <w:r w:rsidRPr="000625EB">
        <w:rPr>
          <w:rFonts w:asciiTheme="minorHAnsi" w:hAnsiTheme="minorHAnsi"/>
        </w:rPr>
        <w:t xml:space="preserve">elles sont rattachées au bâtiment. Le contrat de bail standard du </w:t>
      </w:r>
      <w:r w:rsidR="00B94811">
        <w:rPr>
          <w:rFonts w:asciiTheme="minorHAnsi" w:hAnsiTheme="minorHAnsi"/>
        </w:rPr>
        <w:t>Programme des Nations Unies pour le développement (PNUD)</w:t>
      </w:r>
      <w:r w:rsidRPr="000625EB">
        <w:rPr>
          <w:rFonts w:asciiTheme="minorHAnsi" w:hAnsiTheme="minorHAnsi"/>
        </w:rPr>
        <w:t xml:space="preserve"> contient l</w:t>
      </w:r>
      <w:r w:rsidR="00381677">
        <w:rPr>
          <w:rFonts w:asciiTheme="minorHAnsi" w:hAnsiTheme="minorHAnsi"/>
        </w:rPr>
        <w:t>’</w:t>
      </w:r>
      <w:r w:rsidRPr="000625EB">
        <w:rPr>
          <w:rFonts w:asciiTheme="minorHAnsi" w:hAnsiTheme="minorHAnsi"/>
        </w:rPr>
        <w:t>article suivant</w:t>
      </w:r>
      <w:r w:rsidR="00381677">
        <w:rPr>
          <w:rFonts w:asciiTheme="minorHAnsi" w:hAnsiTheme="minorHAnsi"/>
        </w:rPr>
        <w:t> :</w:t>
      </w:r>
    </w:p>
    <w:p w14:paraId="48C8FD86" w14:textId="77777777" w:rsidR="00C64126" w:rsidRPr="00B94811" w:rsidRDefault="00C64126" w:rsidP="00C64126">
      <w:pPr>
        <w:shd w:val="clear" w:color="auto" w:fill="FFFFFF"/>
        <w:spacing w:line="270" w:lineRule="atLeast"/>
        <w:textAlignment w:val="top"/>
        <w:rPr>
          <w:rFonts w:asciiTheme="minorHAnsi" w:eastAsia="Times New Roman" w:hAnsiTheme="minorHAnsi" w:cs="Arial"/>
        </w:rPr>
      </w:pPr>
    </w:p>
    <w:p w14:paraId="61B2E7A0" w14:textId="72019C12" w:rsidR="00C64126" w:rsidRPr="00B94811" w:rsidRDefault="6C23C8DA" w:rsidP="6C23C8DA">
      <w:pPr>
        <w:shd w:val="clear" w:color="auto" w:fill="FFFFFF" w:themeFill="background1"/>
        <w:spacing w:line="270" w:lineRule="atLeast"/>
        <w:ind w:left="1440"/>
        <w:textAlignment w:val="top"/>
        <w:rPr>
          <w:rFonts w:asciiTheme="minorHAnsi" w:eastAsia="Times New Roman" w:hAnsiTheme="minorHAnsi" w:cs="Arial"/>
        </w:rPr>
      </w:pPr>
      <w:r w:rsidRPr="6C23C8DA">
        <w:rPr>
          <w:rFonts w:asciiTheme="minorHAnsi" w:hAnsiTheme="minorHAnsi"/>
          <w:i/>
          <w:iCs/>
        </w:rPr>
        <w:t>« Lorsque, avec le consentement écrit préalable du bailleur, des modifications</w:t>
      </w:r>
      <w:r w:rsidR="009E3825">
        <w:rPr>
          <w:rFonts w:asciiTheme="minorHAnsi" w:hAnsiTheme="minorHAnsi"/>
          <w:i/>
          <w:iCs/>
        </w:rPr>
        <w:t xml:space="preserve"> importantes</w:t>
      </w:r>
      <w:r w:rsidRPr="6C23C8DA">
        <w:rPr>
          <w:rFonts w:asciiTheme="minorHAnsi" w:hAnsiTheme="minorHAnsi"/>
          <w:i/>
          <w:iCs/>
        </w:rPr>
        <w:t xml:space="preserve">, rénovations ou des ajouts majeurs sont effectués sur les locaux loués, </w:t>
      </w:r>
      <w:r w:rsidRPr="6C23C8DA">
        <w:rPr>
          <w:rFonts w:asciiTheme="minorHAnsi" w:hAnsiTheme="minorHAnsi"/>
          <w:b/>
          <w:bCs/>
          <w:i/>
          <w:iCs/>
          <w:u w:val="single"/>
        </w:rPr>
        <w:t xml:space="preserve">le PNUD ne sera pas tenu de remettre les locaux loués dans l’état </w:t>
      </w:r>
      <w:r w:rsidR="009E3825">
        <w:rPr>
          <w:rFonts w:asciiTheme="minorHAnsi" w:hAnsiTheme="minorHAnsi"/>
          <w:b/>
          <w:bCs/>
          <w:i/>
          <w:iCs/>
          <w:u w:val="single"/>
        </w:rPr>
        <w:t>initial</w:t>
      </w:r>
      <w:r w:rsidRPr="6C23C8DA">
        <w:rPr>
          <w:rFonts w:asciiTheme="minorHAnsi" w:hAnsiTheme="minorHAnsi"/>
          <w:b/>
          <w:bCs/>
          <w:i/>
          <w:iCs/>
          <w:u w:val="single"/>
        </w:rPr>
        <w:t xml:space="preserve"> avant </w:t>
      </w:r>
      <w:r w:rsidR="00F27FB6">
        <w:rPr>
          <w:rFonts w:asciiTheme="minorHAnsi" w:hAnsiTheme="minorHAnsi"/>
          <w:b/>
          <w:bCs/>
          <w:i/>
          <w:iCs/>
          <w:u w:val="single"/>
        </w:rPr>
        <w:t>occupation</w:t>
      </w:r>
      <w:r w:rsidRPr="6C23C8DA">
        <w:rPr>
          <w:rFonts w:asciiTheme="minorHAnsi" w:hAnsiTheme="minorHAnsi"/>
          <w:b/>
          <w:bCs/>
          <w:i/>
          <w:iCs/>
          <w:u w:val="single"/>
        </w:rPr>
        <w:t xml:space="preserve"> en vertu du présent contrat de location.</w:t>
      </w:r>
      <w:r w:rsidRPr="6C23C8DA">
        <w:rPr>
          <w:rFonts w:asciiTheme="minorHAnsi" w:hAnsiTheme="minorHAnsi"/>
          <w:i/>
          <w:iCs/>
        </w:rPr>
        <w:t xml:space="preserve"> Ce consentement doit être établi par écrit et doit contenir des dispositions sur l’amortissement ou la compensation des dépenses</w:t>
      </w:r>
      <w:r w:rsidR="00FE7029">
        <w:rPr>
          <w:rFonts w:asciiTheme="minorHAnsi" w:hAnsiTheme="minorHAnsi"/>
          <w:i/>
          <w:iCs/>
        </w:rPr>
        <w:t>,</w:t>
      </w:r>
      <w:r w:rsidRPr="6C23C8DA">
        <w:rPr>
          <w:rFonts w:asciiTheme="minorHAnsi" w:hAnsiTheme="minorHAnsi"/>
          <w:i/>
          <w:iCs/>
        </w:rPr>
        <w:t xml:space="preserve"> soit en </w:t>
      </w:r>
      <w:r w:rsidR="00384814">
        <w:rPr>
          <w:rFonts w:asciiTheme="minorHAnsi" w:hAnsiTheme="minorHAnsi"/>
          <w:i/>
          <w:iCs/>
        </w:rPr>
        <w:t>déduisant</w:t>
      </w:r>
      <w:r w:rsidR="00384814" w:rsidRPr="6C23C8DA">
        <w:rPr>
          <w:rFonts w:asciiTheme="minorHAnsi" w:hAnsiTheme="minorHAnsi"/>
          <w:i/>
          <w:iCs/>
        </w:rPr>
        <w:t xml:space="preserve"> </w:t>
      </w:r>
      <w:r w:rsidRPr="6C23C8DA">
        <w:rPr>
          <w:rFonts w:asciiTheme="minorHAnsi" w:hAnsiTheme="minorHAnsi"/>
          <w:i/>
          <w:iCs/>
        </w:rPr>
        <w:t xml:space="preserve">les dépenses </w:t>
      </w:r>
      <w:r w:rsidR="00384814">
        <w:rPr>
          <w:rFonts w:asciiTheme="minorHAnsi" w:hAnsiTheme="minorHAnsi"/>
          <w:i/>
          <w:iCs/>
        </w:rPr>
        <w:t>d</w:t>
      </w:r>
      <w:r w:rsidRPr="6C23C8DA">
        <w:rPr>
          <w:rFonts w:asciiTheme="minorHAnsi" w:hAnsiTheme="minorHAnsi"/>
          <w:i/>
          <w:iCs/>
        </w:rPr>
        <w:t>es loyers, soit en payant leur juste valeur marchande. »</w:t>
      </w:r>
    </w:p>
    <w:p w14:paraId="276CDF2F" w14:textId="77777777" w:rsidR="00C64126" w:rsidRPr="00B94811" w:rsidRDefault="00C64126" w:rsidP="00C64126">
      <w:pPr>
        <w:shd w:val="clear" w:color="auto" w:fill="FFFFFF"/>
        <w:spacing w:line="270" w:lineRule="atLeast"/>
        <w:textAlignment w:val="top"/>
        <w:rPr>
          <w:rFonts w:asciiTheme="minorHAnsi" w:eastAsia="Times New Roman" w:hAnsiTheme="minorHAnsi" w:cs="Arial"/>
        </w:rPr>
      </w:pPr>
    </w:p>
    <w:p w14:paraId="16BAE3CC" w14:textId="3170F56D" w:rsidR="00C64126" w:rsidRPr="000C363A" w:rsidRDefault="000625EB" w:rsidP="000C363A">
      <w:pPr>
        <w:pStyle w:val="ListParagraph"/>
        <w:numPr>
          <w:ilvl w:val="0"/>
          <w:numId w:val="1"/>
        </w:numPr>
        <w:shd w:val="clear" w:color="auto" w:fill="FFFFFF" w:themeFill="background1"/>
        <w:spacing w:line="270" w:lineRule="atLeast"/>
        <w:textAlignment w:val="top"/>
        <w:rPr>
          <w:rFonts w:asciiTheme="minorHAnsi" w:eastAsia="Times New Roman" w:hAnsiTheme="minorHAnsi" w:cs="Arial"/>
        </w:rPr>
      </w:pPr>
      <w:r w:rsidRPr="0B804CAF">
        <w:rPr>
          <w:rFonts w:asciiTheme="minorHAnsi" w:hAnsiTheme="minorHAnsi"/>
        </w:rPr>
        <w:t>Dans des circonstances ordinaires, il n</w:t>
      </w:r>
      <w:r w:rsidR="00381677" w:rsidRPr="0B804CAF">
        <w:rPr>
          <w:rFonts w:asciiTheme="minorHAnsi" w:hAnsiTheme="minorHAnsi"/>
        </w:rPr>
        <w:t>’</w:t>
      </w:r>
      <w:r w:rsidRPr="0B804CAF">
        <w:rPr>
          <w:rFonts w:asciiTheme="minorHAnsi" w:hAnsiTheme="minorHAnsi"/>
        </w:rPr>
        <w:t xml:space="preserve">y a pas de liquidation des </w:t>
      </w:r>
      <w:r w:rsidR="00B94811" w:rsidRPr="0B804CAF">
        <w:rPr>
          <w:rFonts w:asciiTheme="minorHAnsi" w:hAnsiTheme="minorHAnsi"/>
        </w:rPr>
        <w:t>améliorations locatives</w:t>
      </w:r>
      <w:r w:rsidRPr="0B804CAF">
        <w:rPr>
          <w:rFonts w:asciiTheme="minorHAnsi" w:hAnsiTheme="minorHAnsi"/>
        </w:rPr>
        <w:t>. Cependant, si une occasion se présente où le PNUD est en mesure de démanteler l</w:t>
      </w:r>
      <w:r w:rsidR="00381677" w:rsidRPr="0B804CAF">
        <w:rPr>
          <w:rFonts w:asciiTheme="minorHAnsi" w:hAnsiTheme="minorHAnsi"/>
        </w:rPr>
        <w:t>’</w:t>
      </w:r>
      <w:r w:rsidRPr="0B804CAF">
        <w:rPr>
          <w:rFonts w:asciiTheme="minorHAnsi" w:hAnsiTheme="minorHAnsi"/>
        </w:rPr>
        <w:t xml:space="preserve">amélioration conformément aux </w:t>
      </w:r>
      <w:r w:rsidR="00EB5E55" w:rsidRPr="0B804CAF">
        <w:rPr>
          <w:rFonts w:asciiTheme="minorHAnsi" w:hAnsiTheme="minorHAnsi"/>
        </w:rPr>
        <w:t>clauses</w:t>
      </w:r>
      <w:r w:rsidRPr="0B804CAF">
        <w:rPr>
          <w:rFonts w:asciiTheme="minorHAnsi" w:hAnsiTheme="minorHAnsi"/>
        </w:rPr>
        <w:t xml:space="preserve"> et conditions du bail et de la liquider, il convient de suivre les procédures de liquidation prévues dans le cadre d</w:t>
      </w:r>
      <w:r w:rsidR="00EB5E55" w:rsidRPr="0B804CAF">
        <w:rPr>
          <w:rFonts w:asciiTheme="minorHAnsi" w:hAnsiTheme="minorHAnsi"/>
        </w:rPr>
        <w:t xml:space="preserve">es </w:t>
      </w:r>
      <w:r w:rsidR="00EB5E55" w:rsidRPr="000C363A">
        <w:rPr>
          <w:rFonts w:asciiTheme="minorHAnsi" w:hAnsiTheme="minorHAnsi"/>
        </w:rPr>
        <w:t>politiques et procédures régissant les programmes et opérations</w:t>
      </w:r>
      <w:r w:rsidR="2325DAFA" w:rsidRPr="000C363A">
        <w:rPr>
          <w:rFonts w:asciiTheme="minorHAnsi" w:hAnsiTheme="minorHAnsi"/>
        </w:rPr>
        <w:t xml:space="preserve"> </w:t>
      </w:r>
      <w:r w:rsidR="004D2916" w:rsidRPr="000C363A">
        <w:rPr>
          <w:rFonts w:asciiTheme="minorHAnsi" w:hAnsiTheme="minorHAnsi"/>
        </w:rPr>
        <w:t>(POPP).</w:t>
      </w:r>
    </w:p>
    <w:p w14:paraId="1AC1B4CC" w14:textId="77777777" w:rsidR="00C64126" w:rsidRPr="00B94811" w:rsidRDefault="00C64126" w:rsidP="00C64126">
      <w:pPr>
        <w:pStyle w:val="ListParagraph"/>
        <w:shd w:val="clear" w:color="auto" w:fill="FFFFFF"/>
        <w:spacing w:line="270" w:lineRule="atLeast"/>
        <w:textAlignment w:val="top"/>
        <w:rPr>
          <w:rFonts w:asciiTheme="minorHAnsi" w:eastAsia="Times New Roman" w:hAnsiTheme="minorHAnsi" w:cs="Arial"/>
        </w:rPr>
      </w:pPr>
    </w:p>
    <w:p w14:paraId="1441A59E" w14:textId="188BC04A" w:rsidR="00C64126" w:rsidRPr="000C363A" w:rsidRDefault="000625EB" w:rsidP="000C363A">
      <w:pPr>
        <w:pStyle w:val="ListParagraph"/>
        <w:numPr>
          <w:ilvl w:val="0"/>
          <w:numId w:val="1"/>
        </w:numPr>
        <w:shd w:val="clear" w:color="auto" w:fill="FFFFFF" w:themeFill="background1"/>
        <w:spacing w:line="270" w:lineRule="atLeast"/>
        <w:textAlignment w:val="top"/>
        <w:rPr>
          <w:rFonts w:asciiTheme="minorHAnsi" w:eastAsia="Times New Roman" w:hAnsiTheme="minorHAnsi" w:cs="Arial"/>
        </w:rPr>
      </w:pPr>
      <w:r w:rsidRPr="263CF1F5">
        <w:rPr>
          <w:rFonts w:asciiTheme="minorHAnsi" w:hAnsiTheme="minorHAnsi"/>
        </w:rPr>
        <w:t>Lorsqu</w:t>
      </w:r>
      <w:r w:rsidR="00381677" w:rsidRPr="263CF1F5">
        <w:rPr>
          <w:rFonts w:asciiTheme="minorHAnsi" w:hAnsiTheme="minorHAnsi"/>
        </w:rPr>
        <w:t>’</w:t>
      </w:r>
      <w:r w:rsidRPr="263CF1F5">
        <w:rPr>
          <w:rFonts w:asciiTheme="minorHAnsi" w:hAnsiTheme="minorHAnsi"/>
        </w:rPr>
        <w:t>un bail de location est résilié avant que l</w:t>
      </w:r>
      <w:r w:rsidR="00381677" w:rsidRPr="263CF1F5">
        <w:rPr>
          <w:rFonts w:asciiTheme="minorHAnsi" w:hAnsiTheme="minorHAnsi"/>
        </w:rPr>
        <w:t>’</w:t>
      </w:r>
      <w:r w:rsidR="00B94811" w:rsidRPr="263CF1F5">
        <w:rPr>
          <w:rFonts w:asciiTheme="minorHAnsi" w:hAnsiTheme="minorHAnsi"/>
        </w:rPr>
        <w:t xml:space="preserve">amélioration locative </w:t>
      </w:r>
      <w:r w:rsidRPr="263CF1F5">
        <w:rPr>
          <w:rFonts w:asciiTheme="minorHAnsi" w:hAnsiTheme="minorHAnsi"/>
        </w:rPr>
        <w:t>ne soit entièrement amortie, le montant non amorti de l</w:t>
      </w:r>
      <w:r w:rsidR="00381677" w:rsidRPr="263CF1F5">
        <w:rPr>
          <w:rFonts w:asciiTheme="minorHAnsi" w:hAnsiTheme="minorHAnsi"/>
        </w:rPr>
        <w:t>’</w:t>
      </w:r>
      <w:r w:rsidR="00B94811" w:rsidRPr="263CF1F5">
        <w:rPr>
          <w:rFonts w:asciiTheme="minorHAnsi" w:hAnsiTheme="minorHAnsi"/>
        </w:rPr>
        <w:t xml:space="preserve">amélioration locative </w:t>
      </w:r>
      <w:r w:rsidRPr="263CF1F5">
        <w:rPr>
          <w:rFonts w:asciiTheme="minorHAnsi" w:hAnsiTheme="minorHAnsi"/>
        </w:rPr>
        <w:t xml:space="preserve">dans le module des actifs du système </w:t>
      </w:r>
      <w:r w:rsidR="003F7198">
        <w:rPr>
          <w:rFonts w:asciiTheme="minorHAnsi" w:hAnsiTheme="minorHAnsi"/>
        </w:rPr>
        <w:t>Quantum</w:t>
      </w:r>
      <w:r w:rsidRPr="263CF1F5">
        <w:rPr>
          <w:rFonts w:asciiTheme="minorHAnsi" w:hAnsiTheme="minorHAnsi"/>
        </w:rPr>
        <w:t xml:space="preserve"> du PNUD devra être intégralement comptabilisé en pertes dans les livres comptables.</w:t>
      </w:r>
      <w:r w:rsidR="00B94811" w:rsidRPr="263CF1F5">
        <w:rPr>
          <w:rFonts w:asciiTheme="minorHAnsi" w:hAnsiTheme="minorHAnsi"/>
        </w:rPr>
        <w:t xml:space="preserve"> </w:t>
      </w:r>
      <w:r w:rsidRPr="263CF1F5">
        <w:rPr>
          <w:rFonts w:asciiTheme="minorHAnsi" w:hAnsiTheme="minorHAnsi"/>
        </w:rPr>
        <w:t>Ces comptabilisations en pertes doivent suivre les mécanismes d</w:t>
      </w:r>
      <w:r w:rsidR="00381677" w:rsidRPr="263CF1F5">
        <w:rPr>
          <w:rFonts w:asciiTheme="minorHAnsi" w:hAnsiTheme="minorHAnsi"/>
        </w:rPr>
        <w:t>’</w:t>
      </w:r>
      <w:r w:rsidRPr="263CF1F5">
        <w:rPr>
          <w:rFonts w:asciiTheme="minorHAnsi" w:hAnsiTheme="minorHAnsi"/>
        </w:rPr>
        <w:t xml:space="preserve">approbation appropriés prévus </w:t>
      </w:r>
      <w:r w:rsidR="263CF1F5" w:rsidRPr="263CF1F5">
        <w:rPr>
          <w:rFonts w:asciiTheme="minorHAnsi" w:hAnsiTheme="minorHAnsi"/>
        </w:rPr>
        <w:t>dans</w:t>
      </w:r>
      <w:r w:rsidR="24A72B11" w:rsidRPr="263CF1F5">
        <w:rPr>
          <w:rFonts w:asciiTheme="minorHAnsi" w:hAnsiTheme="minorHAnsi"/>
        </w:rPr>
        <w:t xml:space="preserve"> </w:t>
      </w:r>
      <w:r w:rsidR="0033627C" w:rsidRPr="263CF1F5">
        <w:rPr>
          <w:rFonts w:asciiTheme="minorHAnsi" w:hAnsiTheme="minorHAnsi"/>
        </w:rPr>
        <w:t>la rub</w:t>
      </w:r>
      <w:r w:rsidR="003E61C5" w:rsidRPr="263CF1F5">
        <w:rPr>
          <w:rFonts w:asciiTheme="minorHAnsi" w:hAnsiTheme="minorHAnsi"/>
        </w:rPr>
        <w:t>rique L</w:t>
      </w:r>
      <w:r w:rsidRPr="263CF1F5">
        <w:rPr>
          <w:rFonts w:asciiTheme="minorHAnsi" w:hAnsiTheme="minorHAnsi"/>
        </w:rPr>
        <w:t xml:space="preserve">iquidation et </w:t>
      </w:r>
      <w:r w:rsidR="003E61C5" w:rsidRPr="263CF1F5">
        <w:rPr>
          <w:rFonts w:asciiTheme="minorHAnsi" w:hAnsiTheme="minorHAnsi"/>
        </w:rPr>
        <w:t>C</w:t>
      </w:r>
      <w:r w:rsidRPr="263CF1F5">
        <w:rPr>
          <w:rFonts w:asciiTheme="minorHAnsi" w:hAnsiTheme="minorHAnsi"/>
        </w:rPr>
        <w:t xml:space="preserve">omptabilisation en </w:t>
      </w:r>
      <w:r w:rsidR="003E61C5" w:rsidRPr="263CF1F5">
        <w:rPr>
          <w:rFonts w:asciiTheme="minorHAnsi" w:hAnsiTheme="minorHAnsi"/>
        </w:rPr>
        <w:t>P</w:t>
      </w:r>
      <w:r w:rsidRPr="263CF1F5">
        <w:rPr>
          <w:rFonts w:asciiTheme="minorHAnsi" w:hAnsiTheme="minorHAnsi"/>
        </w:rPr>
        <w:t xml:space="preserve">ertes du </w:t>
      </w:r>
      <w:r w:rsidR="00A311A3" w:rsidRPr="263CF1F5">
        <w:rPr>
          <w:rFonts w:asciiTheme="minorHAnsi" w:hAnsiTheme="minorHAnsi"/>
        </w:rPr>
        <w:t>M</w:t>
      </w:r>
      <w:r w:rsidRPr="263CF1F5">
        <w:rPr>
          <w:rFonts w:asciiTheme="minorHAnsi" w:hAnsiTheme="minorHAnsi"/>
        </w:rPr>
        <w:t xml:space="preserve">obilier et du </w:t>
      </w:r>
      <w:r w:rsidR="00A311A3" w:rsidRPr="263CF1F5">
        <w:rPr>
          <w:rFonts w:asciiTheme="minorHAnsi" w:hAnsiTheme="minorHAnsi"/>
        </w:rPr>
        <w:t>M</w:t>
      </w:r>
      <w:r w:rsidRPr="263CF1F5">
        <w:rPr>
          <w:rFonts w:asciiTheme="minorHAnsi" w:hAnsiTheme="minorHAnsi"/>
        </w:rPr>
        <w:t>atériel d</w:t>
      </w:r>
      <w:r w:rsidR="00B94811" w:rsidRPr="263CF1F5">
        <w:rPr>
          <w:rFonts w:asciiTheme="minorHAnsi" w:hAnsiTheme="minorHAnsi"/>
        </w:rPr>
        <w:t>es</w:t>
      </w:r>
      <w:r w:rsidRPr="263CF1F5">
        <w:rPr>
          <w:rFonts w:asciiTheme="minorHAnsi" w:hAnsiTheme="minorHAnsi"/>
        </w:rPr>
        <w:t xml:space="preserve"> </w:t>
      </w:r>
      <w:r w:rsidRPr="000C363A">
        <w:rPr>
          <w:rFonts w:asciiTheme="minorHAnsi" w:hAnsiTheme="minorHAnsi"/>
        </w:rPr>
        <w:t>politiques et procédures régissant les programmes et opérations</w:t>
      </w:r>
      <w:r w:rsidR="00A311A3" w:rsidRPr="000C363A">
        <w:rPr>
          <w:rFonts w:asciiTheme="minorHAnsi" w:hAnsiTheme="minorHAnsi"/>
        </w:rPr>
        <w:t xml:space="preserve"> (POPP)</w:t>
      </w:r>
      <w:r w:rsidRPr="263CF1F5">
        <w:rPr>
          <w:rFonts w:asciiTheme="minorHAnsi" w:hAnsiTheme="minorHAnsi"/>
        </w:rPr>
        <w:t>.</w:t>
      </w:r>
    </w:p>
    <w:p w14:paraId="357B5805" w14:textId="77777777" w:rsidR="00C64126" w:rsidRPr="00B94811" w:rsidRDefault="00C64126" w:rsidP="00C64126">
      <w:pPr>
        <w:shd w:val="clear" w:color="auto" w:fill="FFFFFF"/>
        <w:spacing w:line="270" w:lineRule="atLeast"/>
        <w:textAlignment w:val="top"/>
        <w:rPr>
          <w:rFonts w:asciiTheme="minorHAnsi" w:eastAsia="Times New Roman" w:hAnsiTheme="minorHAnsi" w:cs="Arial"/>
        </w:rPr>
      </w:pPr>
    </w:p>
    <w:p w14:paraId="57EC8571" w14:textId="77777777" w:rsidR="00C64126" w:rsidRPr="00B94811" w:rsidRDefault="00C64126" w:rsidP="00C64126">
      <w:pPr>
        <w:shd w:val="clear" w:color="auto" w:fill="FFFFFF"/>
        <w:spacing w:line="270" w:lineRule="atLeast"/>
        <w:textAlignment w:val="top"/>
        <w:rPr>
          <w:rFonts w:asciiTheme="minorHAnsi" w:eastAsia="Times New Roman" w:hAnsiTheme="minorHAnsi" w:cs="Arial"/>
        </w:rPr>
      </w:pPr>
    </w:p>
    <w:p w14:paraId="5AA655EA" w14:textId="77777777" w:rsidR="000C363A" w:rsidRPr="00ED558C" w:rsidRDefault="000C363A" w:rsidP="000C363A">
      <w:pPr>
        <w:pStyle w:val="NormalWeb"/>
        <w:shd w:val="clear" w:color="auto" w:fill="FFFFFF"/>
        <w:spacing w:before="0" w:beforeAutospacing="0" w:after="0" w:afterAutospacing="0"/>
        <w:jc w:val="center"/>
        <w:rPr>
          <w:rFonts w:ascii="Calibri" w:hAnsi="Calibri"/>
          <w:i/>
          <w:color w:val="000000"/>
          <w:lang w:val="fr-FR"/>
        </w:rPr>
      </w:pPr>
      <w:r w:rsidRPr="00ED558C">
        <w:rPr>
          <w:rFonts w:ascii="Calibri" w:hAnsi="Calibri"/>
          <w:b/>
          <w:bCs/>
          <w:i/>
          <w:color w:val="212121"/>
          <w:sz w:val="22"/>
          <w:szCs w:val="22"/>
          <w:u w:val="single"/>
          <w:lang w:val="fr-FR"/>
        </w:rPr>
        <w:t>Avertissement:</w:t>
      </w:r>
      <w:r w:rsidRPr="00ED558C">
        <w:rPr>
          <w:rFonts w:ascii="Calibri" w:hAnsi="Calibri"/>
          <w:i/>
          <w:color w:val="212121"/>
          <w:sz w:val="22"/>
          <w:szCs w:val="22"/>
          <w:lang w:val="fr-FR"/>
        </w:rPr>
        <w:t> Ce document a été traduit de l'anglais vers le français. En cas de divergence entre cette traduction et le document anglais original, le document anglais original prévaudra.</w:t>
      </w:r>
    </w:p>
    <w:p w14:paraId="3A3AC7E0" w14:textId="77777777" w:rsidR="000C363A" w:rsidRPr="00ED558C" w:rsidRDefault="000C363A" w:rsidP="000C363A">
      <w:pPr>
        <w:pStyle w:val="NormalWeb"/>
        <w:shd w:val="clear" w:color="auto" w:fill="FFFFFF"/>
        <w:spacing w:before="0" w:beforeAutospacing="0" w:after="0" w:afterAutospacing="0"/>
        <w:jc w:val="center"/>
        <w:rPr>
          <w:rFonts w:ascii="Calibri" w:hAnsi="Calibri"/>
          <w:i/>
          <w:color w:val="000000"/>
          <w:lang w:val="fr-FR"/>
        </w:rPr>
      </w:pPr>
    </w:p>
    <w:p w14:paraId="7C12BC5B" w14:textId="77777777" w:rsidR="000C363A" w:rsidRPr="00F92CA9" w:rsidRDefault="000C363A" w:rsidP="000C363A">
      <w:pPr>
        <w:pStyle w:val="NormalWeb"/>
        <w:shd w:val="clear" w:color="auto" w:fill="FFFFFF"/>
        <w:spacing w:before="0" w:beforeAutospacing="0" w:after="0" w:afterAutospacing="0"/>
        <w:jc w:val="center"/>
        <w:rPr>
          <w:rFonts w:ascii="Calibri" w:hAnsi="Calibri"/>
          <w:i/>
          <w:color w:val="000000"/>
        </w:rPr>
      </w:pPr>
      <w:r w:rsidRPr="00F92CA9">
        <w:rPr>
          <w:rFonts w:ascii="Calibri" w:hAnsi="Calibri"/>
          <w:b/>
          <w:bCs/>
          <w:i/>
          <w:color w:val="000000"/>
          <w:sz w:val="22"/>
          <w:szCs w:val="22"/>
          <w:u w:val="single"/>
          <w:lang w:val="en-GB"/>
        </w:rPr>
        <w:t>Disclaimer:</w:t>
      </w:r>
      <w:r w:rsidRPr="00F92CA9">
        <w:rPr>
          <w:rFonts w:ascii="Calibri" w:hAnsi="Calibri"/>
          <w:i/>
          <w:color w:val="000000"/>
          <w:sz w:val="22"/>
          <w:szCs w:val="22"/>
          <w:lang w:val="en-GB"/>
        </w:rPr>
        <w:t> This document was translated from English into French. In the event of any discrepancy between this translation and the original English document, the original English document shall prevail.</w:t>
      </w:r>
    </w:p>
    <w:p w14:paraId="27C820C9" w14:textId="77777777" w:rsidR="00A2358F" w:rsidRPr="000C363A" w:rsidRDefault="00A2358F">
      <w:pPr>
        <w:rPr>
          <w:rFonts w:asciiTheme="minorHAnsi" w:hAnsiTheme="minorHAnsi"/>
          <w:lang w:val="en-US"/>
        </w:rPr>
      </w:pPr>
    </w:p>
    <w:sectPr w:rsidR="00A2358F" w:rsidRPr="000C363A" w:rsidSect="000C363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383A" w14:textId="77777777" w:rsidR="00D0580C" w:rsidRDefault="00D0580C" w:rsidP="004D6CAE">
      <w:r>
        <w:separator/>
      </w:r>
    </w:p>
  </w:endnote>
  <w:endnote w:type="continuationSeparator" w:id="0">
    <w:p w14:paraId="17C453D8" w14:textId="77777777" w:rsidR="00D0580C" w:rsidRDefault="00D0580C" w:rsidP="004D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A266" w14:textId="77777777" w:rsidR="00ED558C" w:rsidRDefault="00ED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CADC" w14:textId="4C81383F" w:rsidR="004D6CAE" w:rsidRDefault="004D6CAE">
    <w:pPr>
      <w:pStyle w:val="Footer"/>
    </w:pPr>
    <w:r>
      <w:t xml:space="preserve">Page </w:t>
    </w:r>
    <w:r w:rsidR="000625EB">
      <w:rPr>
        <w:b/>
      </w:rPr>
      <w:fldChar w:fldCharType="begin"/>
    </w:r>
    <w:r>
      <w:rPr>
        <w:b/>
      </w:rPr>
      <w:instrText xml:space="preserve"> PAGE  \* Arabic  \* MERGEFORMAT </w:instrText>
    </w:r>
    <w:r w:rsidR="000625EB">
      <w:rPr>
        <w:b/>
      </w:rPr>
      <w:fldChar w:fldCharType="separate"/>
    </w:r>
    <w:r w:rsidR="00EE14F3">
      <w:rPr>
        <w:b/>
        <w:noProof/>
      </w:rPr>
      <w:t>1</w:t>
    </w:r>
    <w:r w:rsidR="000625EB">
      <w:rPr>
        <w:b/>
      </w:rPr>
      <w:fldChar w:fldCharType="end"/>
    </w:r>
    <w:r>
      <w:t xml:space="preserve"> de </w:t>
    </w:r>
    <w:fldSimple w:instr=" NUMPAGES  \* Arabic  \* MERGEFORMAT ">
      <w:r w:rsidR="00EE14F3" w:rsidRPr="00EE14F3">
        <w:rPr>
          <w:b/>
          <w:noProof/>
        </w:rPr>
        <w:t>1</w:t>
      </w:r>
    </w:fldSimple>
    <w:r>
      <w:ptab w:relativeTo="margin" w:alignment="center" w:leader="none"/>
    </w:r>
    <w:r>
      <w:t>Date d</w:t>
    </w:r>
    <w:r w:rsidR="00381677">
      <w:t>’</w:t>
    </w:r>
    <w:r>
      <w:t>entrée en vigueur</w:t>
    </w:r>
    <w:r w:rsidR="00DB1F0F">
      <w:t> : 26/07/2016</w:t>
    </w:r>
    <w:r>
      <w:ptab w:relativeTo="margin" w:alignment="right" w:leader="none"/>
    </w:r>
    <w:r>
      <w:t>Version n</w:t>
    </w:r>
    <w:r w:rsidR="000625EB" w:rsidRPr="000625EB">
      <w:rPr>
        <w:vertAlign w:val="superscript"/>
      </w:rPr>
      <w:t>o</w:t>
    </w:r>
    <w:r>
      <w:t xml:space="preserve">°: </w:t>
    </w:r>
    <w:sdt>
      <w:sdtPr>
        <w:alias w:val="POPPRefItemVersion"/>
        <w:tag w:val="UNDP_POPP_REFITEM_VERSION"/>
        <w:id w:val="395255623"/>
        <w:placeholder>
          <w:docPart w:val="FB8A7CBC164546D0BEE6E32E4CCB8A9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C96671D-974B-42D5-92CA-F0483F11FA24}"/>
        <w:text/>
      </w:sdtPr>
      <w:sdtContent>
        <w:r w:rsidR="00D87D0E">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C0B2" w14:textId="77777777" w:rsidR="00ED558C" w:rsidRDefault="00ED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EF86" w14:textId="77777777" w:rsidR="00D0580C" w:rsidRDefault="00D0580C" w:rsidP="004D6CAE">
      <w:r>
        <w:separator/>
      </w:r>
    </w:p>
  </w:footnote>
  <w:footnote w:type="continuationSeparator" w:id="0">
    <w:p w14:paraId="28C01610" w14:textId="77777777" w:rsidR="00D0580C" w:rsidRDefault="00D0580C" w:rsidP="004D6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B226" w14:textId="77777777" w:rsidR="00ED558C" w:rsidRDefault="00ED5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CA38" w14:textId="789331C9" w:rsidR="004D6CAE" w:rsidRDefault="004D6CAE" w:rsidP="004D6CAE">
    <w:pPr>
      <w:pStyle w:val="Header"/>
      <w:jc w:val="right"/>
    </w:pPr>
    <w:r>
      <w:rPr>
        <w:noProof/>
        <w:lang w:val="en-US" w:eastAsia="en-US"/>
      </w:rPr>
      <w:drawing>
        <wp:inline distT="0" distB="0" distL="0" distR="0" wp14:anchorId="6B0ADB31" wp14:editId="3DF0F889">
          <wp:extent cx="313509" cy="5747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877" b="18234"/>
                  <a:stretch/>
                </pic:blipFill>
                <pic:spPr bwMode="auto">
                  <a:xfrm>
                    <a:off x="0" y="0"/>
                    <a:ext cx="318212" cy="5833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2832" w14:textId="77777777" w:rsidR="00ED558C" w:rsidRDefault="00ED5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BCE"/>
    <w:multiLevelType w:val="hybridMultilevel"/>
    <w:tmpl w:val="D428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13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26"/>
    <w:rsid w:val="000625EB"/>
    <w:rsid w:val="000C363A"/>
    <w:rsid w:val="0010344E"/>
    <w:rsid w:val="0013052E"/>
    <w:rsid w:val="00273D65"/>
    <w:rsid w:val="002C4E19"/>
    <w:rsid w:val="0033627C"/>
    <w:rsid w:val="00381677"/>
    <w:rsid w:val="00384814"/>
    <w:rsid w:val="003D1053"/>
    <w:rsid w:val="003D55BB"/>
    <w:rsid w:val="003E61C5"/>
    <w:rsid w:val="003F7198"/>
    <w:rsid w:val="004D2916"/>
    <w:rsid w:val="004D6CAE"/>
    <w:rsid w:val="005A7097"/>
    <w:rsid w:val="0064572F"/>
    <w:rsid w:val="00842C43"/>
    <w:rsid w:val="00947EBA"/>
    <w:rsid w:val="009E3825"/>
    <w:rsid w:val="00A12708"/>
    <w:rsid w:val="00A2358F"/>
    <w:rsid w:val="00A311A3"/>
    <w:rsid w:val="00AD12A4"/>
    <w:rsid w:val="00B50F24"/>
    <w:rsid w:val="00B94811"/>
    <w:rsid w:val="00BB244A"/>
    <w:rsid w:val="00BC3B47"/>
    <w:rsid w:val="00C068B8"/>
    <w:rsid w:val="00C64126"/>
    <w:rsid w:val="00C83E69"/>
    <w:rsid w:val="00C8613D"/>
    <w:rsid w:val="00CC26FA"/>
    <w:rsid w:val="00D0580C"/>
    <w:rsid w:val="00D87D0E"/>
    <w:rsid w:val="00DA04BC"/>
    <w:rsid w:val="00DB1F0F"/>
    <w:rsid w:val="00E022C5"/>
    <w:rsid w:val="00E86C37"/>
    <w:rsid w:val="00EB5E55"/>
    <w:rsid w:val="00ED558C"/>
    <w:rsid w:val="00EE14F3"/>
    <w:rsid w:val="00F27FB6"/>
    <w:rsid w:val="00FE7029"/>
    <w:rsid w:val="0B804CAF"/>
    <w:rsid w:val="2325DAFA"/>
    <w:rsid w:val="24A72B11"/>
    <w:rsid w:val="263CF1F5"/>
    <w:rsid w:val="6C23C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694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41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26"/>
    <w:pPr>
      <w:ind w:left="720"/>
      <w:contextualSpacing/>
    </w:pPr>
  </w:style>
  <w:style w:type="character" w:styleId="Hyperlink">
    <w:name w:val="Hyperlink"/>
    <w:basedOn w:val="DefaultParagraphFont"/>
    <w:uiPriority w:val="99"/>
    <w:unhideWhenUsed/>
    <w:rsid w:val="00C64126"/>
    <w:rPr>
      <w:color w:val="0563C1" w:themeColor="hyperlink"/>
      <w:u w:val="single"/>
    </w:rPr>
  </w:style>
  <w:style w:type="paragraph" w:styleId="Header">
    <w:name w:val="header"/>
    <w:basedOn w:val="Normal"/>
    <w:link w:val="HeaderChar"/>
    <w:uiPriority w:val="99"/>
    <w:unhideWhenUsed/>
    <w:rsid w:val="004D6CAE"/>
    <w:pPr>
      <w:tabs>
        <w:tab w:val="center" w:pos="4513"/>
        <w:tab w:val="right" w:pos="9026"/>
      </w:tabs>
    </w:pPr>
  </w:style>
  <w:style w:type="character" w:customStyle="1" w:styleId="HeaderChar">
    <w:name w:val="Header Char"/>
    <w:basedOn w:val="DefaultParagraphFont"/>
    <w:link w:val="Header"/>
    <w:uiPriority w:val="99"/>
    <w:rsid w:val="004D6CAE"/>
    <w:rPr>
      <w:rFonts w:ascii="Calibri" w:hAnsi="Calibri" w:cs="Times New Roman"/>
    </w:rPr>
  </w:style>
  <w:style w:type="paragraph" w:styleId="Footer">
    <w:name w:val="footer"/>
    <w:basedOn w:val="Normal"/>
    <w:link w:val="FooterChar"/>
    <w:uiPriority w:val="99"/>
    <w:unhideWhenUsed/>
    <w:rsid w:val="004D6CAE"/>
    <w:pPr>
      <w:tabs>
        <w:tab w:val="center" w:pos="4513"/>
        <w:tab w:val="right" w:pos="9026"/>
      </w:tabs>
    </w:pPr>
  </w:style>
  <w:style w:type="character" w:customStyle="1" w:styleId="FooterChar">
    <w:name w:val="Footer Char"/>
    <w:basedOn w:val="DefaultParagraphFont"/>
    <w:link w:val="Footer"/>
    <w:uiPriority w:val="99"/>
    <w:rsid w:val="004D6CAE"/>
    <w:rPr>
      <w:rFonts w:ascii="Calibri" w:hAnsi="Calibri" w:cs="Times New Roman"/>
    </w:rPr>
  </w:style>
  <w:style w:type="paragraph" w:styleId="BalloonText">
    <w:name w:val="Balloon Text"/>
    <w:basedOn w:val="Normal"/>
    <w:link w:val="BalloonTextChar"/>
    <w:uiPriority w:val="99"/>
    <w:semiHidden/>
    <w:unhideWhenUsed/>
    <w:rsid w:val="004D6CAE"/>
    <w:rPr>
      <w:rFonts w:ascii="Tahoma" w:hAnsi="Tahoma" w:cs="Tahoma"/>
      <w:sz w:val="16"/>
      <w:szCs w:val="16"/>
    </w:rPr>
  </w:style>
  <w:style w:type="character" w:customStyle="1" w:styleId="BalloonTextChar">
    <w:name w:val="Balloon Text Char"/>
    <w:basedOn w:val="DefaultParagraphFont"/>
    <w:link w:val="BalloonText"/>
    <w:uiPriority w:val="99"/>
    <w:semiHidden/>
    <w:rsid w:val="004D6CAE"/>
    <w:rPr>
      <w:rFonts w:ascii="Tahoma" w:hAnsi="Tahoma" w:cs="Tahoma"/>
      <w:sz w:val="16"/>
      <w:szCs w:val="16"/>
    </w:rPr>
  </w:style>
  <w:style w:type="character" w:styleId="PlaceholderText">
    <w:name w:val="Placeholder Text"/>
    <w:basedOn w:val="DefaultParagraphFont"/>
    <w:uiPriority w:val="99"/>
    <w:semiHidden/>
    <w:rsid w:val="004D6CAE"/>
    <w:rPr>
      <w:color w:val="808080"/>
    </w:rPr>
  </w:style>
  <w:style w:type="paragraph" w:styleId="Revision">
    <w:name w:val="Revision"/>
    <w:hidden/>
    <w:uiPriority w:val="99"/>
    <w:semiHidden/>
    <w:rsid w:val="00EB5E55"/>
    <w:pPr>
      <w:spacing w:after="0" w:line="240" w:lineRule="auto"/>
    </w:pPr>
    <w:rPr>
      <w:rFonts w:ascii="Calibri" w:hAnsi="Calibri" w:cs="Times New Roman"/>
    </w:rPr>
  </w:style>
  <w:style w:type="paragraph" w:styleId="NormalWeb">
    <w:name w:val="Normal (Web)"/>
    <w:basedOn w:val="Normal"/>
    <w:uiPriority w:val="99"/>
    <w:semiHidden/>
    <w:unhideWhenUsed/>
    <w:rsid w:val="000C363A"/>
    <w:pPr>
      <w:spacing w:before="100" w:beforeAutospacing="1" w:after="100" w:afterAutospacing="1"/>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A7CBC164546D0BEE6E32E4CCB8A9E"/>
        <w:category>
          <w:name w:val="General"/>
          <w:gallery w:val="placeholder"/>
        </w:category>
        <w:types>
          <w:type w:val="bbPlcHdr"/>
        </w:types>
        <w:behaviors>
          <w:behavior w:val="content"/>
        </w:behaviors>
        <w:guid w:val="{FB6D2B9E-D399-4A04-BC21-27BEAE1ADE41}"/>
      </w:docPartPr>
      <w:docPartBody>
        <w:p w:rsidR="00DC0E0D" w:rsidRDefault="00FC4D26">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C4D26"/>
    <w:rsid w:val="0037523D"/>
    <w:rsid w:val="003C0FDB"/>
    <w:rsid w:val="00407E3C"/>
    <w:rsid w:val="006A00F1"/>
    <w:rsid w:val="00CE524B"/>
    <w:rsid w:val="00D4498E"/>
    <w:rsid w:val="00DC0E0D"/>
    <w:rsid w:val="00EE408D"/>
    <w:rsid w:val="00F4659D"/>
    <w:rsid w:val="00FC4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0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03/12/2021                                                Version #: 3</DLCPolicyLabelValue>
    <UNDP_POPP_EFFECTIVEDATE xmlns="8264c5cc-ec60-4b56-8111-ce635d3d139a">2021-12-02T23:00:00+00:00</UNDP_POPP_EFFECTIVEDATE>
    <UNDP_POPP_FILEVERSION xmlns="8264c5cc-ec60-4b56-8111-ce635d3d139a">512</UNDP_POPP_FILEVERSION>
    <UNDP_POPP_REFITEM_VERSION xmlns="8264c5cc-ec60-4b56-8111-ce635d3d139a">3</UNDP_POPP_REFITEM_VERSION>
    <UNDP_POPP_TITLE_EN xmlns="8264c5cc-ec60-4b56-8111-ce635d3d139a">Liquidation et comptabilisation en pertes d’améliorations locatives</UNDP_POPP_TITLE_EN>
    <UNDP_POPP_ISACTIVE xmlns="8264c5cc-ec60-4b56-8111-ce635d3d139a">true</UNDP_POPP_ISACTIVE>
    <DLCPolicyLabelLock xmlns="e560140e-7b2f-4392-90df-e7567e3021a3" xsi:nil="true"/>
    <DLCPolicyLabelClientValue xmlns="e560140e-7b2f-4392-90df-e7567e3021a3">Effective Date: 03/12/2021                                                Version #: 3.0</DLCPolicyLabelClientValue>
    <UNDP_POPP_BUSINESSUNITID_HIDDEN xmlns="8264c5cc-ec60-4b56-8111-ce635d3d139a" xsi:nil="true"/>
    <_dlc_DocId xmlns="8264c5cc-ec60-4b56-8111-ce635d3d139a">POPP-11-3051</_dlc_DocId>
    <_dlc_DocIdUrl xmlns="8264c5cc-ec60-4b56-8111-ce635d3d139a">
      <Url>https://popp.undp.org/_layouts/15/DocIdRedir.aspx?ID=POPP-11-3051</Url>
      <Description>POPP-11-3051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467AF-D6CF-44C3-88D9-029242F0F252}">
  <ds:schemaRefs>
    <ds:schemaRef ds:uri="http://schemas.microsoft.com/sharepoint/v3/contenttype/forms"/>
  </ds:schemaRefs>
</ds:datastoreItem>
</file>

<file path=customXml/itemProps2.xml><?xml version="1.0" encoding="utf-8"?>
<ds:datastoreItem xmlns:ds="http://schemas.openxmlformats.org/officeDocument/2006/customXml" ds:itemID="{4CEF11DF-2B94-4919-909B-8AAF5600171E}">
  <ds:schemaRefs>
    <ds:schemaRef ds:uri="office.server.policy"/>
  </ds:schemaRefs>
</ds:datastoreItem>
</file>

<file path=customXml/itemProps3.xml><?xml version="1.0" encoding="utf-8"?>
<ds:datastoreItem xmlns:ds="http://schemas.openxmlformats.org/officeDocument/2006/customXml" ds:itemID="{7C96671D-974B-42D5-92CA-F0483F11FA24}">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FD1A0A75-F364-409C-85B6-72E39469EDFF}">
  <ds:schemaRefs>
    <ds:schemaRef ds:uri="http://schemas.microsoft.com/sharepoint/events"/>
  </ds:schemaRefs>
</ds:datastoreItem>
</file>

<file path=customXml/itemProps5.xml><?xml version="1.0" encoding="utf-8"?>
<ds:datastoreItem xmlns:ds="http://schemas.openxmlformats.org/officeDocument/2006/customXml" ds:itemID="{E13AA4C4-2330-49F6-9F1B-40B93A6FA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lastModifiedBy>Pablo Morete</cp:lastModifiedBy>
  <cp:revision>3</cp:revision>
  <dcterms:created xsi:type="dcterms:W3CDTF">2023-01-04T20:24:00Z</dcterms:created>
  <dcterms:modified xsi:type="dcterms:W3CDTF">2023-11-20T11:39:00Z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353;#Administrative Services|a78f4201-2936-4934-95ba-30c4111d72d7</vt:lpwstr>
  </property>
  <property fmtid="{D5CDD505-2E9C-101B-9397-08002B2CF9AE}" pid="4" name="POPPBusinessProcess">
    <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8c542f8e-695c-447a-b467-19c25bcc53a8</vt:lpwstr>
  </property>
  <property fmtid="{D5CDD505-2E9C-101B-9397-08002B2CF9AE}" pid="8" name="UNDPCountry">
    <vt:lpwstr/>
  </property>
  <property fmtid="{D5CDD505-2E9C-101B-9397-08002B2CF9AE}" pid="9" name="UndpDocTypeMM">
    <vt:lpwstr/>
  </property>
  <property fmtid="{D5CDD505-2E9C-101B-9397-08002B2CF9AE}" pid="10" name="UNDPDocumentCategory">
    <vt:lpwstr/>
  </property>
  <property fmtid="{D5CDD505-2E9C-101B-9397-08002B2CF9AE}" pid="11" name="UNDPFocusAreas">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_POPP_BUSINESSPROCESS_HIDDEN">
    <vt:lpwstr/>
  </property>
  <property fmtid="{D5CDD505-2E9C-101B-9397-08002B2CF9AE}" pid="16" name="Location">
    <vt:lpwstr>Public</vt:lpwstr>
  </property>
  <property fmtid="{D5CDD505-2E9C-101B-9397-08002B2CF9AE}" pid="17" name="UNDP_POPP_DOCUMENT_TYPE">
    <vt:lpwstr>Policy</vt:lpwstr>
  </property>
  <property fmtid="{D5CDD505-2E9C-101B-9397-08002B2CF9AE}" pid="18" name="UNDP_POPP_VERSION_COMMENTS">
    <vt:lpwstr/>
  </property>
  <property fmtid="{D5CDD505-2E9C-101B-9397-08002B2CF9AE}" pid="19" name="UNDP_POPP_DOCUMENT_LANGUAGE">
    <vt:lpwstr>French</vt:lpwstr>
  </property>
  <property fmtid="{D5CDD505-2E9C-101B-9397-08002B2CF9AE}" pid="20" name="UNDP_POPP_FILEVERSION">
    <vt:r8>512</vt:r8>
  </property>
  <property fmtid="{D5CDD505-2E9C-101B-9397-08002B2CF9AE}" pid="21" name="UNDP_POPP_REFITEM_VERSION">
    <vt:r8>2</vt:r8>
  </property>
  <property fmtid="{D5CDD505-2E9C-101B-9397-08002B2CF9AE}" pid="22" name="TaxCatchAll">
    <vt:lpwstr>353;#Administrative Services|a78f4201-2936-4934-95ba-30c4111d72d7</vt:lpwstr>
  </property>
  <property fmtid="{D5CDD505-2E9C-101B-9397-08002B2CF9AE}" pid="23" name="DLCPolicyLabelValue">
    <vt:lpwstr>Effective Date: {Effective Date}                                                Version #: 2</vt:lpwstr>
  </property>
</Properties>
</file>