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CD6F1" w14:textId="77777777" w:rsidR="00BB7464" w:rsidRPr="00A37B2A" w:rsidRDefault="00BB7464" w:rsidP="00A37B2A">
      <w:pPr>
        <w:shd w:val="clear" w:color="auto" w:fill="FFFFFF"/>
        <w:spacing w:line="240" w:lineRule="auto"/>
        <w:contextualSpacing/>
        <w:jc w:val="both"/>
        <w:textAlignment w:val="top"/>
        <w:rPr>
          <w:rFonts w:eastAsia="Times New Roman" w:cstheme="minorHAnsi"/>
          <w:b/>
          <w:bCs/>
          <w:sz w:val="28"/>
          <w:szCs w:val="28"/>
        </w:rPr>
      </w:pPr>
      <w:r>
        <w:rPr>
          <w:b/>
          <w:bCs/>
          <w:sz w:val="28"/>
          <w:szCs w:val="28"/>
        </w:rPr>
        <w:t xml:space="preserve">Desarrollo de un estudio de viabilidad para una presencia local </w:t>
      </w:r>
    </w:p>
    <w:p w14:paraId="366AF89C" w14:textId="15B6C3F1" w:rsidR="00BB7464" w:rsidRPr="00435B45" w:rsidRDefault="00435B45" w:rsidP="003C5DD5">
      <w:pPr>
        <w:shd w:val="clear" w:color="auto" w:fill="FFFFFF"/>
        <w:spacing w:before="100" w:beforeAutospacing="1" w:after="100" w:afterAutospacing="1" w:line="240" w:lineRule="auto"/>
        <w:jc w:val="both"/>
        <w:textAlignment w:val="top"/>
        <w:rPr>
          <w:rFonts w:eastAsia="Times New Roman" w:cstheme="minorHAnsi"/>
          <w:color w:val="333333"/>
          <w:lang w:val="en-US"/>
        </w:rPr>
      </w:pPr>
      <w:r>
        <w:rPr>
          <w:noProof/>
        </w:rPr>
        <w:drawing>
          <wp:inline distT="0" distB="0" distL="0" distR="0" wp14:anchorId="517F7B12" wp14:editId="23F620A6">
            <wp:extent cx="5943600" cy="2607362"/>
            <wp:effectExtent l="0" t="0" r="0" b="2540"/>
            <wp:docPr id="3" name="Imagen 3" descr="C:\Users\Usuario\Desktop\Nueva carpeta\Admin Service_Management of Local Presence_Developing a Business C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2">
                      <a:extLst>
                        <a:ext uri="{28A0092B-C50C-407E-A947-70E740481C1C}">
                          <a14:useLocalDpi xmlns:a14="http://schemas.microsoft.com/office/drawing/2010/main" val="0"/>
                        </a:ext>
                      </a:extLst>
                    </a:blip>
                    <a:stretch>
                      <a:fillRect/>
                    </a:stretch>
                  </pic:blipFill>
                  <pic:spPr>
                    <a:xfrm>
                      <a:off x="0" y="0"/>
                      <a:ext cx="5943600" cy="2607362"/>
                    </a:xfrm>
                    <a:prstGeom prst="rect">
                      <a:avLst/>
                    </a:prstGeom>
                  </pic:spPr>
                </pic:pic>
              </a:graphicData>
            </a:graphic>
          </wp:inline>
        </w:drawing>
      </w:r>
    </w:p>
    <w:p w14:paraId="40D04626" w14:textId="02D7A3FD" w:rsidR="00BB7464" w:rsidRPr="00A00243" w:rsidRDefault="00BB7464" w:rsidP="23F620A6">
      <w:pPr>
        <w:pStyle w:val="ListParagraph"/>
        <w:numPr>
          <w:ilvl w:val="0"/>
          <w:numId w:val="18"/>
        </w:numPr>
        <w:shd w:val="clear" w:color="auto" w:fill="FFFFFF" w:themeFill="background1"/>
        <w:spacing w:before="100" w:beforeAutospacing="1" w:after="100" w:afterAutospacing="1" w:line="240" w:lineRule="auto"/>
        <w:jc w:val="both"/>
        <w:textAlignment w:val="top"/>
        <w:rPr>
          <w:rFonts w:eastAsia="Times New Roman"/>
        </w:rPr>
      </w:pPr>
      <w:r>
        <w:t>El estudio de viabilidad establece la justificación para invertir en una presencia local e incluye una evaluación del impacto potencial en: a) la obtención de los resultados de desarrollo; b) la eficiencia de los costos; y c) la sostenibilidad financiera. También aborda consideraciones clave de gestión en relación con la seguridad, el bienestar del personal y la gestión de las relaciones con el Gobierno del país receptor. Debe desarrollarse en 7 pasos (véase el gráfico anterior), que consisten en los siguientes elementos:</w:t>
      </w:r>
    </w:p>
    <w:p w14:paraId="111FF29B" w14:textId="77777777" w:rsidR="00BB7464" w:rsidRPr="00A00243" w:rsidRDefault="00BB7464" w:rsidP="00A37B2A">
      <w:pPr>
        <w:numPr>
          <w:ilvl w:val="0"/>
          <w:numId w:val="1"/>
        </w:numPr>
        <w:shd w:val="clear" w:color="auto" w:fill="FFFFFF"/>
        <w:spacing w:before="100" w:beforeAutospacing="1" w:after="100" w:afterAutospacing="1" w:line="240" w:lineRule="auto"/>
        <w:ind w:left="1276"/>
        <w:jc w:val="both"/>
        <w:textAlignment w:val="top"/>
        <w:rPr>
          <w:rFonts w:eastAsia="Times New Roman" w:cstheme="minorHAnsi"/>
        </w:rPr>
      </w:pPr>
      <w:r>
        <w:t>Justificación y visión</w:t>
      </w:r>
    </w:p>
    <w:p w14:paraId="11AACCC6" w14:textId="77777777" w:rsidR="00BB7464" w:rsidRPr="00A00243" w:rsidRDefault="00BB7464" w:rsidP="00A37B2A">
      <w:pPr>
        <w:numPr>
          <w:ilvl w:val="0"/>
          <w:numId w:val="1"/>
        </w:numPr>
        <w:shd w:val="clear" w:color="auto" w:fill="FFFFFF"/>
        <w:spacing w:before="100" w:beforeAutospacing="1" w:after="100" w:afterAutospacing="1" w:line="240" w:lineRule="auto"/>
        <w:ind w:left="1276"/>
        <w:jc w:val="both"/>
        <w:textAlignment w:val="top"/>
        <w:rPr>
          <w:rFonts w:eastAsia="Times New Roman" w:cstheme="minorHAnsi"/>
        </w:rPr>
      </w:pPr>
      <w:r>
        <w:t>Tipo de oficina: equipos, funciones y alcance de la delegación</w:t>
      </w:r>
    </w:p>
    <w:p w14:paraId="607E7EB3" w14:textId="77777777" w:rsidR="00BB7464" w:rsidRPr="00A00243" w:rsidRDefault="00BB7464" w:rsidP="00A37B2A">
      <w:pPr>
        <w:numPr>
          <w:ilvl w:val="0"/>
          <w:numId w:val="1"/>
        </w:numPr>
        <w:shd w:val="clear" w:color="auto" w:fill="FFFFFF"/>
        <w:spacing w:before="100" w:beforeAutospacing="1" w:after="100" w:afterAutospacing="1" w:line="240" w:lineRule="auto"/>
        <w:ind w:left="1276"/>
        <w:jc w:val="both"/>
        <w:textAlignment w:val="top"/>
        <w:rPr>
          <w:rFonts w:eastAsia="Times New Roman" w:cstheme="minorHAnsi"/>
        </w:rPr>
      </w:pPr>
      <w:r>
        <w:t>Descripción estructural (incluido un organigrama con líneas de mando y todo el personal planificado, que destaca a quienes se reasignarán desde la oficina principal y, si corresponde, el personal adicional)</w:t>
      </w:r>
    </w:p>
    <w:p w14:paraId="6FCF90C3" w14:textId="77777777" w:rsidR="00BB7464" w:rsidRPr="00A00243" w:rsidRDefault="00BB7464" w:rsidP="00A37B2A">
      <w:pPr>
        <w:numPr>
          <w:ilvl w:val="0"/>
          <w:numId w:val="1"/>
        </w:numPr>
        <w:shd w:val="clear" w:color="auto" w:fill="FFFFFF"/>
        <w:spacing w:before="100" w:beforeAutospacing="1" w:after="100" w:afterAutospacing="1" w:line="240" w:lineRule="auto"/>
        <w:ind w:left="1276"/>
        <w:jc w:val="both"/>
        <w:textAlignment w:val="top"/>
        <w:rPr>
          <w:rFonts w:eastAsia="Times New Roman" w:cstheme="minorHAnsi"/>
        </w:rPr>
      </w:pPr>
      <w:r>
        <w:t>Acuerdos de supervisión y gestión</w:t>
      </w:r>
    </w:p>
    <w:p w14:paraId="08F16CB9" w14:textId="77777777" w:rsidR="00BB7464" w:rsidRPr="00A00243" w:rsidRDefault="00BB7464" w:rsidP="00A37B2A">
      <w:pPr>
        <w:numPr>
          <w:ilvl w:val="0"/>
          <w:numId w:val="1"/>
        </w:numPr>
        <w:shd w:val="clear" w:color="auto" w:fill="FFFFFF"/>
        <w:spacing w:before="100" w:beforeAutospacing="1" w:after="100" w:afterAutospacing="1" w:line="240" w:lineRule="auto"/>
        <w:ind w:left="1276"/>
        <w:jc w:val="both"/>
        <w:textAlignment w:val="top"/>
        <w:rPr>
          <w:rFonts w:eastAsia="Times New Roman" w:cstheme="minorHAnsi"/>
        </w:rPr>
      </w:pPr>
      <w:r>
        <w:t>Modelo de costos (incluidos los costos de establecimiento y operacionales) y financiación</w:t>
      </w:r>
    </w:p>
    <w:p w14:paraId="30E4ADA1" w14:textId="77777777" w:rsidR="00BB7464" w:rsidRPr="00A00243" w:rsidRDefault="00BB7464" w:rsidP="00A37B2A">
      <w:pPr>
        <w:numPr>
          <w:ilvl w:val="0"/>
          <w:numId w:val="1"/>
        </w:numPr>
        <w:shd w:val="clear" w:color="auto" w:fill="FFFFFF"/>
        <w:spacing w:before="100" w:beforeAutospacing="1" w:after="100" w:afterAutospacing="1" w:line="240" w:lineRule="auto"/>
        <w:ind w:left="1276"/>
        <w:jc w:val="both"/>
        <w:textAlignment w:val="top"/>
        <w:rPr>
          <w:rFonts w:eastAsia="Times New Roman" w:cstheme="minorHAnsi"/>
        </w:rPr>
      </w:pPr>
      <w:r>
        <w:t>Análisis de la relación costo-beneficio de los costos y del impacto de desarrollo esperado de la presencia local en comparación con un escenario en el que la oficina opera solo desde la capital</w:t>
      </w:r>
    </w:p>
    <w:p w14:paraId="4FE5CAB6" w14:textId="77777777" w:rsidR="00BB7464" w:rsidRPr="00A00243" w:rsidRDefault="00BB7464" w:rsidP="00A37B2A">
      <w:pPr>
        <w:numPr>
          <w:ilvl w:val="0"/>
          <w:numId w:val="1"/>
        </w:numPr>
        <w:shd w:val="clear" w:color="auto" w:fill="FFFFFF"/>
        <w:spacing w:before="100" w:beforeAutospacing="1" w:after="100" w:afterAutospacing="1" w:line="240" w:lineRule="auto"/>
        <w:ind w:left="1276"/>
        <w:jc w:val="both"/>
        <w:textAlignment w:val="top"/>
        <w:rPr>
          <w:rFonts w:eastAsia="Times New Roman" w:cstheme="minorHAnsi"/>
        </w:rPr>
      </w:pPr>
      <w:r>
        <w:t>Análisis y gestión del riesgo (que incluyen la seguridad, el bienestar del personal y la relación-gestión con el Gobierno del país receptor); tenga en cuenta que se requiere una evaluación completa de riesgos de seguridad y de explosiones antes de que pueda establecerse la presencia; esta podría incluirse en el estudio de viabilidad</w:t>
      </w:r>
    </w:p>
    <w:p w14:paraId="3D9E7E0F" w14:textId="77777777" w:rsidR="00BB7464" w:rsidRPr="00A00243" w:rsidRDefault="00BB7464" w:rsidP="23F620A6">
      <w:pPr>
        <w:numPr>
          <w:ilvl w:val="0"/>
          <w:numId w:val="1"/>
        </w:numPr>
        <w:shd w:val="clear" w:color="auto" w:fill="FFFFFF" w:themeFill="background1"/>
        <w:spacing w:before="100" w:beforeAutospacing="1" w:after="100" w:afterAutospacing="1" w:line="240" w:lineRule="auto"/>
        <w:ind w:left="1276"/>
        <w:jc w:val="both"/>
        <w:textAlignment w:val="top"/>
        <w:rPr>
          <w:rFonts w:eastAsia="Times New Roman"/>
        </w:rPr>
      </w:pPr>
      <w:r>
        <w:t>Disposiciones basadas en criterios o en el tiempo para el cierre de la oficina (cláusula de extinción) y estrategia de salida (En casos excepcionales en los que se espera que la presencia local permanezca establecida durante un plazo mayor y en los que no pueden definirse disposiciones para el cierre basadas en criterios o en el tiempo, una estrategia de sostenibilidad reemplaza a la estrategia de salida).</w:t>
      </w:r>
    </w:p>
    <w:p w14:paraId="0456EC68" w14:textId="56FF8C97" w:rsidR="00BB7464" w:rsidRPr="00A00243" w:rsidRDefault="00BB7464" w:rsidP="23F620A6">
      <w:pPr>
        <w:pStyle w:val="ListParagraph"/>
        <w:numPr>
          <w:ilvl w:val="0"/>
          <w:numId w:val="18"/>
        </w:numPr>
        <w:shd w:val="clear" w:color="auto" w:fill="FFFFFF" w:themeFill="background1"/>
        <w:spacing w:before="100" w:beforeAutospacing="1" w:after="100" w:afterAutospacing="1" w:line="240" w:lineRule="auto"/>
        <w:jc w:val="both"/>
        <w:textAlignment w:val="top"/>
        <w:rPr>
          <w:rFonts w:eastAsia="Times New Roman"/>
        </w:rPr>
      </w:pPr>
      <w:r w:rsidRPr="23F620A6">
        <w:rPr>
          <w:b/>
          <w:bCs/>
        </w:rPr>
        <w:lastRenderedPageBreak/>
        <w:t>Las Oficinas de País deben presentar el estudio de viabilidad completo de una suboficina para su aprobación al Buró Regional pertinente.</w:t>
      </w:r>
      <w:r>
        <w:t xml:space="preserve"> Los estudios de viabilidad aprobados deben mantenerse en un expediente para auditorías futuras. Para el establecimiento de oficinas de proyectos, se espera que un análisis minucioso de los costos, los beneficios y los riesgos forme parte de la documentación del proyecto aprobada por el personal directivo superior de la Oficina de País (véase «Autorización de una presencia local»). </w:t>
      </w:r>
    </w:p>
    <w:p w14:paraId="15B7F4ED" w14:textId="77777777" w:rsidR="00A37B2A" w:rsidRPr="00A00243"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4D3BE2D7" w14:textId="77777777" w:rsidR="00BB7464" w:rsidRPr="00A00243" w:rsidRDefault="00BB7464" w:rsidP="23F620A6">
      <w:pPr>
        <w:pStyle w:val="ListParagraph"/>
        <w:numPr>
          <w:ilvl w:val="0"/>
          <w:numId w:val="18"/>
        </w:numPr>
        <w:shd w:val="clear" w:color="auto" w:fill="FFFFFF"/>
        <w:spacing w:before="100" w:beforeAutospacing="1" w:after="0" w:line="240" w:lineRule="auto"/>
        <w:jc w:val="both"/>
        <w:textAlignment w:val="top"/>
        <w:rPr>
          <w:rFonts w:eastAsia="Times New Roman"/>
        </w:rPr>
      </w:pPr>
      <w:r>
        <w:t xml:space="preserve">La persona designada para gestionar el desarrollo de un estudio de viabilidad («gerente designado») y todos los colegas involucrados («equipo de tareas») deben seguir los pasos descritos para este subproceso, consultando a las unidades pertinentes de la Oficina de País y al personal directivo superior, según sea necesario. </w:t>
      </w:r>
    </w:p>
    <w:p w14:paraId="0D7A3B88" w14:textId="77777777" w:rsidR="00A37B2A" w:rsidRPr="00A00243"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254A99B0" w14:textId="11C7D1BA" w:rsidR="00BB7464" w:rsidRPr="00A00243" w:rsidRDefault="00BB7464" w:rsidP="23F620A6">
      <w:pPr>
        <w:pStyle w:val="ListParagraph"/>
        <w:numPr>
          <w:ilvl w:val="0"/>
          <w:numId w:val="18"/>
        </w:numPr>
        <w:shd w:val="clear" w:color="auto" w:fill="FFFFFF"/>
        <w:spacing w:before="100" w:beforeAutospacing="1" w:after="0" w:line="240" w:lineRule="auto"/>
        <w:jc w:val="both"/>
        <w:textAlignment w:val="top"/>
        <w:rPr>
          <w:rFonts w:eastAsia="Times New Roman"/>
        </w:rPr>
      </w:pPr>
      <w:r>
        <w:t xml:space="preserve">Véase también la </w:t>
      </w:r>
      <w:hyperlink r:id="rId13">
        <w:r w:rsidRPr="23F620A6">
          <w:rPr>
            <w:rStyle w:val="Hyperlink"/>
          </w:rPr>
          <w:t>Nota orientativa</w:t>
        </w:r>
      </w:hyperlink>
      <w:r w:rsidRPr="23F620A6">
        <w:rPr>
          <w:color w:val="333333"/>
        </w:rPr>
        <w:t xml:space="preserve"> </w:t>
      </w:r>
      <w:r>
        <w:t xml:space="preserve">del capítulo I.1 («Estudio de viabilidad»), para conocer las mejores prácticas y una orientación detallada del proceso para cada componente del estudio de viabilidad. </w:t>
      </w:r>
    </w:p>
    <w:p w14:paraId="39F6C124" w14:textId="77777777" w:rsidR="00A37B2A" w:rsidRPr="00A00243" w:rsidRDefault="00A37B2A" w:rsidP="00A37B2A">
      <w:pPr>
        <w:shd w:val="clear" w:color="auto" w:fill="FFFFFF"/>
        <w:spacing w:after="0" w:line="240" w:lineRule="auto"/>
        <w:jc w:val="both"/>
        <w:textAlignment w:val="top"/>
        <w:rPr>
          <w:rFonts w:eastAsia="Times New Roman" w:cstheme="minorHAnsi"/>
        </w:rPr>
      </w:pPr>
    </w:p>
    <w:p w14:paraId="4A5C5180" w14:textId="77777777" w:rsidR="00BB7464" w:rsidRPr="00A00243" w:rsidRDefault="00BB7464" w:rsidP="23F620A6">
      <w:pPr>
        <w:pStyle w:val="ListParagraph"/>
        <w:numPr>
          <w:ilvl w:val="0"/>
          <w:numId w:val="18"/>
        </w:numPr>
        <w:shd w:val="clear" w:color="auto" w:fill="FFFFFF"/>
        <w:spacing w:after="0" w:line="240" w:lineRule="auto"/>
        <w:jc w:val="both"/>
        <w:textAlignment w:val="top"/>
        <w:rPr>
          <w:rFonts w:eastAsia="Times New Roman"/>
        </w:rPr>
      </w:pPr>
      <w:r>
        <w:t>El estudio de viabilidad debe incluir lo siguiente:</w:t>
      </w:r>
    </w:p>
    <w:p w14:paraId="52AF8A05" w14:textId="77777777" w:rsidR="00BB7464" w:rsidRPr="00A00243" w:rsidRDefault="00BB7464" w:rsidP="00A37B2A">
      <w:pPr>
        <w:pStyle w:val="ListParagraph"/>
        <w:numPr>
          <w:ilvl w:val="0"/>
          <w:numId w:val="20"/>
        </w:numPr>
        <w:shd w:val="clear" w:color="auto" w:fill="FFFFFF"/>
        <w:spacing w:after="0" w:line="240" w:lineRule="auto"/>
        <w:ind w:left="1276" w:hanging="425"/>
        <w:jc w:val="both"/>
        <w:textAlignment w:val="top"/>
        <w:rPr>
          <w:rFonts w:eastAsia="Times New Roman" w:cstheme="minorHAnsi"/>
        </w:rPr>
      </w:pPr>
      <w:r>
        <w:t>Definición de la justificación y la visión estratégica</w:t>
      </w:r>
    </w:p>
    <w:p w14:paraId="334EB896" w14:textId="77777777" w:rsidR="00BB7464" w:rsidRPr="00A00243" w:rsidRDefault="00BB7464" w:rsidP="00A37B2A">
      <w:pPr>
        <w:pStyle w:val="ListParagraph"/>
        <w:numPr>
          <w:ilvl w:val="0"/>
          <w:numId w:val="20"/>
        </w:numPr>
        <w:shd w:val="clear" w:color="auto" w:fill="FFFFFF"/>
        <w:spacing w:after="0" w:line="240" w:lineRule="auto"/>
        <w:ind w:left="1276" w:hanging="425"/>
        <w:jc w:val="both"/>
        <w:textAlignment w:val="top"/>
        <w:rPr>
          <w:rFonts w:eastAsia="Times New Roman" w:cstheme="minorHAnsi"/>
        </w:rPr>
      </w:pPr>
      <w:r>
        <w:t>Lista de funciones, equipos y alcance de la delegación</w:t>
      </w:r>
    </w:p>
    <w:p w14:paraId="6E0C1301" w14:textId="77777777" w:rsidR="00BB7464" w:rsidRPr="00A00243" w:rsidRDefault="00BB7464" w:rsidP="00A37B2A">
      <w:pPr>
        <w:pStyle w:val="ListParagraph"/>
        <w:numPr>
          <w:ilvl w:val="0"/>
          <w:numId w:val="20"/>
        </w:numPr>
        <w:shd w:val="clear" w:color="auto" w:fill="FFFFFF"/>
        <w:spacing w:after="0" w:line="240" w:lineRule="auto"/>
        <w:ind w:left="1276" w:hanging="425"/>
        <w:jc w:val="both"/>
        <w:textAlignment w:val="top"/>
        <w:rPr>
          <w:rFonts w:eastAsia="Times New Roman" w:cstheme="minorHAnsi"/>
        </w:rPr>
      </w:pPr>
      <w:r>
        <w:t>Tabla de dotación de personal (puestos), organigrama</w:t>
      </w:r>
    </w:p>
    <w:p w14:paraId="6041F643" w14:textId="77777777" w:rsidR="00BB7464" w:rsidRPr="00A00243" w:rsidRDefault="00BB7464" w:rsidP="00A37B2A">
      <w:pPr>
        <w:pStyle w:val="ListParagraph"/>
        <w:numPr>
          <w:ilvl w:val="0"/>
          <w:numId w:val="20"/>
        </w:numPr>
        <w:shd w:val="clear" w:color="auto" w:fill="FFFFFF"/>
        <w:spacing w:after="0" w:line="240" w:lineRule="auto"/>
        <w:ind w:left="1276" w:hanging="425"/>
        <w:jc w:val="both"/>
        <w:textAlignment w:val="top"/>
        <w:rPr>
          <w:rFonts w:eastAsia="Times New Roman" w:cstheme="minorHAnsi"/>
        </w:rPr>
      </w:pPr>
      <w:r>
        <w:t>Descripción de las funciones y responsabilidades para los procesos operativos clave</w:t>
      </w:r>
    </w:p>
    <w:p w14:paraId="5D914D91" w14:textId="77777777" w:rsidR="00BB7464" w:rsidRPr="00A00243" w:rsidRDefault="00BB7464" w:rsidP="00A37B2A">
      <w:pPr>
        <w:pStyle w:val="ListParagraph"/>
        <w:numPr>
          <w:ilvl w:val="0"/>
          <w:numId w:val="20"/>
        </w:numPr>
        <w:shd w:val="clear" w:color="auto" w:fill="FFFFFF"/>
        <w:spacing w:after="0" w:line="240" w:lineRule="auto"/>
        <w:ind w:left="1276" w:hanging="425"/>
        <w:jc w:val="both"/>
        <w:textAlignment w:val="top"/>
        <w:rPr>
          <w:rFonts w:eastAsia="Times New Roman" w:cstheme="minorHAnsi"/>
        </w:rPr>
      </w:pPr>
      <w:r>
        <w:t xml:space="preserve">Marco de control interno (ICF, </w:t>
      </w:r>
      <w:r>
        <w:rPr>
          <w:i/>
        </w:rPr>
        <w:t>Internal Control Framework</w:t>
      </w:r>
      <w:r>
        <w:t>, por sus siglas en inglés) revisado</w:t>
      </w:r>
    </w:p>
    <w:p w14:paraId="2A599CBA" w14:textId="77777777" w:rsidR="00BB7464" w:rsidRPr="00A00243" w:rsidRDefault="00BB7464" w:rsidP="00A37B2A">
      <w:pPr>
        <w:pStyle w:val="ListParagraph"/>
        <w:numPr>
          <w:ilvl w:val="0"/>
          <w:numId w:val="20"/>
        </w:numPr>
        <w:shd w:val="clear" w:color="auto" w:fill="FFFFFF"/>
        <w:spacing w:after="0" w:line="240" w:lineRule="auto"/>
        <w:ind w:left="1276" w:hanging="425"/>
        <w:jc w:val="both"/>
        <w:textAlignment w:val="top"/>
        <w:rPr>
          <w:rFonts w:eastAsia="Times New Roman" w:cstheme="minorHAnsi"/>
        </w:rPr>
      </w:pPr>
      <w:r>
        <w:t>Presupuesto de la presencia, incluidos los costos de establecimiento y los gastos recurrentes</w:t>
      </w:r>
    </w:p>
    <w:p w14:paraId="4ADE585F" w14:textId="77777777" w:rsidR="00BB7464" w:rsidRPr="00A00243" w:rsidRDefault="00BB7464" w:rsidP="00A37B2A">
      <w:pPr>
        <w:pStyle w:val="ListParagraph"/>
        <w:numPr>
          <w:ilvl w:val="0"/>
          <w:numId w:val="20"/>
        </w:numPr>
        <w:shd w:val="clear" w:color="auto" w:fill="FFFFFF"/>
        <w:spacing w:after="0" w:line="240" w:lineRule="auto"/>
        <w:ind w:left="1276" w:hanging="425"/>
        <w:jc w:val="both"/>
        <w:textAlignment w:val="top"/>
        <w:rPr>
          <w:rFonts w:eastAsia="Times New Roman" w:cstheme="minorHAnsi"/>
        </w:rPr>
      </w:pPr>
      <w:r>
        <w:t>Registro de riesgos específicos de la presencia</w:t>
      </w:r>
    </w:p>
    <w:p w14:paraId="4EF11552" w14:textId="77777777" w:rsidR="00BB7464" w:rsidRPr="00A00243" w:rsidRDefault="00BB7464" w:rsidP="00A37B2A">
      <w:pPr>
        <w:pStyle w:val="ListParagraph"/>
        <w:numPr>
          <w:ilvl w:val="0"/>
          <w:numId w:val="20"/>
        </w:numPr>
        <w:shd w:val="clear" w:color="auto" w:fill="FFFFFF"/>
        <w:spacing w:after="0" w:line="240" w:lineRule="auto"/>
        <w:ind w:left="1276" w:hanging="425"/>
        <w:jc w:val="both"/>
        <w:textAlignment w:val="top"/>
        <w:rPr>
          <w:rFonts w:eastAsia="Times New Roman" w:cstheme="minorHAnsi"/>
        </w:rPr>
      </w:pPr>
      <w:r>
        <w:t>Disposición para el cierre de la oficina y la estrategia de salida</w:t>
      </w:r>
    </w:p>
    <w:p w14:paraId="11CBB858" w14:textId="77777777" w:rsidR="00BB7464" w:rsidRPr="00A00243" w:rsidRDefault="00BB7464" w:rsidP="23F620A6">
      <w:pPr>
        <w:pStyle w:val="ListParagraph"/>
        <w:numPr>
          <w:ilvl w:val="0"/>
          <w:numId w:val="20"/>
        </w:numPr>
        <w:shd w:val="clear" w:color="auto" w:fill="FFFFFF" w:themeFill="background1"/>
        <w:spacing w:after="0" w:line="240" w:lineRule="auto"/>
        <w:ind w:left="1276" w:hanging="425"/>
        <w:jc w:val="both"/>
        <w:textAlignment w:val="top"/>
        <w:rPr>
          <w:rFonts w:eastAsia="Times New Roman"/>
        </w:rPr>
      </w:pPr>
      <w:r>
        <w:t>Delegación de autoridad escrita</w:t>
      </w:r>
    </w:p>
    <w:p w14:paraId="1B9B025C" w14:textId="17DB4077" w:rsidR="23F620A6" w:rsidRDefault="23F620A6" w:rsidP="0063208D">
      <w:pPr>
        <w:shd w:val="clear" w:color="auto" w:fill="FFFFFF" w:themeFill="background1"/>
        <w:spacing w:after="0" w:line="240" w:lineRule="auto"/>
        <w:ind w:left="491"/>
        <w:jc w:val="both"/>
      </w:pPr>
    </w:p>
    <w:p w14:paraId="4F6BBB5E" w14:textId="77777777" w:rsidR="00BB7464" w:rsidRPr="00A00243" w:rsidRDefault="00BB7464" w:rsidP="23F620A6">
      <w:pPr>
        <w:shd w:val="clear" w:color="auto" w:fill="FFFFFF" w:themeFill="background1"/>
        <w:spacing w:before="100" w:beforeAutospacing="1" w:after="0" w:line="240" w:lineRule="auto"/>
        <w:jc w:val="both"/>
        <w:textAlignment w:val="top"/>
        <w:rPr>
          <w:rFonts w:eastAsia="Times New Roman"/>
        </w:rPr>
      </w:pPr>
      <w:r w:rsidRPr="23F620A6">
        <w:rPr>
          <w:b/>
          <w:bCs/>
          <w:i/>
          <w:iCs/>
        </w:rPr>
        <w:t>Justificación y visión estratégica</w:t>
      </w:r>
    </w:p>
    <w:p w14:paraId="72FFF636" w14:textId="5D5B9CD4" w:rsidR="00BB7464" w:rsidRPr="00A00243" w:rsidRDefault="00BB7464" w:rsidP="23F620A6">
      <w:pPr>
        <w:pStyle w:val="ListParagraph"/>
        <w:numPr>
          <w:ilvl w:val="0"/>
          <w:numId w:val="18"/>
        </w:numPr>
        <w:shd w:val="clear" w:color="auto" w:fill="FFFFFF"/>
        <w:spacing w:before="100" w:beforeAutospacing="1" w:after="0" w:line="240" w:lineRule="auto"/>
        <w:jc w:val="both"/>
        <w:textAlignment w:val="top"/>
        <w:rPr>
          <w:rFonts w:eastAsia="Times New Roman"/>
        </w:rPr>
      </w:pPr>
      <w:r>
        <w:t xml:space="preserve">Al identificar la justificación y la visión estratégica para una presencia local, la Oficina de País debe analizar los desafíos programáticos y operacionales en el área geográfica donde se propone la presencia local. La función y el impacto esperados de la presencia local y el plazo para su existencia deben definirse teniendo en consideración estos desafíos. </w:t>
      </w:r>
    </w:p>
    <w:p w14:paraId="6095797D" w14:textId="77777777" w:rsidR="00A37B2A" w:rsidRPr="00A00243"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6162A49F" w14:textId="78CF93CD" w:rsidR="00BB7464" w:rsidRPr="00A00243" w:rsidRDefault="00BB7464" w:rsidP="23F620A6">
      <w:pPr>
        <w:pStyle w:val="ListParagraph"/>
        <w:numPr>
          <w:ilvl w:val="0"/>
          <w:numId w:val="18"/>
        </w:numPr>
        <w:shd w:val="clear" w:color="auto" w:fill="FFFFFF" w:themeFill="background1"/>
        <w:spacing w:before="100" w:beforeAutospacing="1" w:after="0" w:line="240" w:lineRule="auto"/>
        <w:jc w:val="both"/>
        <w:textAlignment w:val="top"/>
        <w:rPr>
          <w:rFonts w:eastAsia="Times New Roman"/>
        </w:rPr>
      </w:pPr>
      <w:r>
        <w:t>La presencia del PNUD (Programa de las Naciones Unidas para el Desarrollo) fuera de la Oficina de País puede considerarse en las siguientes circunstancias:</w:t>
      </w:r>
    </w:p>
    <w:p w14:paraId="20525D67" w14:textId="77777777" w:rsidR="00BB7464" w:rsidRPr="00A00243" w:rsidRDefault="00BB7464" w:rsidP="00A37B2A">
      <w:pPr>
        <w:numPr>
          <w:ilvl w:val="0"/>
          <w:numId w:val="2"/>
        </w:numPr>
        <w:shd w:val="clear" w:color="auto" w:fill="FFFFFF"/>
        <w:spacing w:before="100" w:beforeAutospacing="1" w:after="100" w:afterAutospacing="1" w:line="240" w:lineRule="auto"/>
        <w:ind w:left="1276"/>
        <w:jc w:val="both"/>
        <w:textAlignment w:val="top"/>
        <w:rPr>
          <w:rFonts w:eastAsia="Times New Roman" w:cstheme="minorHAnsi"/>
        </w:rPr>
      </w:pPr>
      <w:r>
        <w:rPr>
          <w:b/>
        </w:rPr>
        <w:t>Alcance y volumen de la cartera</w:t>
      </w:r>
      <w:r>
        <w:t>: es decir, el PNUD es responsable de llevar a cabo un volumen significativo de actividades de socorro o desarrollo en un área geográfica particular. Una presencia local permite aumentar las capacidades de ejecución de proyectos de una manera específica y eficiente.</w:t>
      </w:r>
    </w:p>
    <w:p w14:paraId="12D5F2A4" w14:textId="77777777" w:rsidR="00BB7464" w:rsidRPr="00A00243" w:rsidRDefault="00BB7464" w:rsidP="00A37B2A">
      <w:pPr>
        <w:numPr>
          <w:ilvl w:val="0"/>
          <w:numId w:val="2"/>
        </w:numPr>
        <w:shd w:val="clear" w:color="auto" w:fill="FFFFFF"/>
        <w:spacing w:before="100" w:beforeAutospacing="1" w:after="100" w:afterAutospacing="1" w:line="240" w:lineRule="auto"/>
        <w:ind w:left="1276"/>
        <w:jc w:val="both"/>
        <w:textAlignment w:val="top"/>
        <w:rPr>
          <w:rFonts w:eastAsia="Times New Roman" w:cstheme="minorHAnsi"/>
        </w:rPr>
      </w:pPr>
      <w:r>
        <w:rPr>
          <w:b/>
        </w:rPr>
        <w:lastRenderedPageBreak/>
        <w:t>Desafíos logísticos</w:t>
      </w:r>
      <w:r>
        <w:t xml:space="preserve">: es decir, la infraestructura deficiente o las distancias significativas dentro de un país inhiben las operaciones oportunas y costo-eficientes hasta el punto en que resulta más económico establecer una oficina a nivel local. </w:t>
      </w:r>
    </w:p>
    <w:p w14:paraId="34CA363A" w14:textId="77777777" w:rsidR="00BB7464" w:rsidRPr="00A00243" w:rsidRDefault="00BB7464" w:rsidP="00A37B2A">
      <w:pPr>
        <w:numPr>
          <w:ilvl w:val="0"/>
          <w:numId w:val="2"/>
        </w:numPr>
        <w:shd w:val="clear" w:color="auto" w:fill="FFFFFF"/>
        <w:spacing w:before="100" w:beforeAutospacing="1" w:after="100" w:afterAutospacing="1" w:line="240" w:lineRule="auto"/>
        <w:ind w:left="1276"/>
        <w:jc w:val="both"/>
        <w:textAlignment w:val="top"/>
        <w:rPr>
          <w:rFonts w:eastAsia="Times New Roman" w:cstheme="minorHAnsi"/>
        </w:rPr>
      </w:pPr>
      <w:r>
        <w:rPr>
          <w:b/>
        </w:rPr>
        <w:t>Proximidad con el Gobierno local</w:t>
      </w:r>
      <w:r>
        <w:t xml:space="preserve">: es decir, la ejecución exitosa de las actividades de desarrollo requiere que el PNUD esté situado más cerca de las entidades políticas o administrativas. Una presencia local permitiría una interacción más continua con las autoridades locales y un apoyo más constante a dichas autoridades. </w:t>
      </w:r>
    </w:p>
    <w:p w14:paraId="4C8F0ED5" w14:textId="77777777" w:rsidR="00BB7464" w:rsidRPr="00A00243" w:rsidRDefault="00BB7464" w:rsidP="00A37B2A">
      <w:pPr>
        <w:numPr>
          <w:ilvl w:val="0"/>
          <w:numId w:val="2"/>
        </w:numPr>
        <w:shd w:val="clear" w:color="auto" w:fill="FFFFFF"/>
        <w:spacing w:before="100" w:beforeAutospacing="1" w:after="100" w:afterAutospacing="1" w:line="240" w:lineRule="auto"/>
        <w:ind w:left="1276"/>
        <w:jc w:val="both"/>
        <w:textAlignment w:val="top"/>
        <w:rPr>
          <w:rFonts w:eastAsia="Times New Roman" w:cstheme="minorHAnsi"/>
        </w:rPr>
      </w:pPr>
      <w:r>
        <w:rPr>
          <w:b/>
        </w:rPr>
        <w:t>Necesidad de una interacción intensificada a nivel local</w:t>
      </w:r>
      <w:r>
        <w:t xml:space="preserve">: es decir, la interacción con los grupos sociales o políticos a nivel local se requiere para lograr los resultados de desarrollo. Una presencia local continua del PNUD facilitaría la asociación y el desarrollo de confianza, especialmente cuando las circunstancias logísticas y políticas limitan la movilidad. </w:t>
      </w:r>
    </w:p>
    <w:p w14:paraId="2738F153" w14:textId="77777777" w:rsidR="00BB7464" w:rsidRPr="00A00243" w:rsidRDefault="00BB7464" w:rsidP="00A37B2A">
      <w:pPr>
        <w:numPr>
          <w:ilvl w:val="0"/>
          <w:numId w:val="2"/>
        </w:numPr>
        <w:shd w:val="clear" w:color="auto" w:fill="FFFFFF"/>
        <w:spacing w:before="100" w:beforeAutospacing="1" w:after="100" w:afterAutospacing="1" w:line="240" w:lineRule="auto"/>
        <w:ind w:left="1276"/>
        <w:jc w:val="both"/>
        <w:textAlignment w:val="top"/>
        <w:rPr>
          <w:rFonts w:eastAsia="Times New Roman" w:cstheme="minorHAnsi"/>
        </w:rPr>
      </w:pPr>
      <w:r>
        <w:rPr>
          <w:b/>
        </w:rPr>
        <w:t>Necesidades locales particulares</w:t>
      </w:r>
      <w:r>
        <w:t>: es decir, un área geográfica dentro de un país se caracteriza por desafíos de recuperación o desarrollo diferentes de los del resto del país. En regiones limítrofes, esto podría requerir la colaboración entre las Oficinas de País. Una presencia local permitiría una mejor selección e implementación de apoyo específico del área y podría servir como un centro operacional para múltiples Oficinas de País.</w:t>
      </w:r>
    </w:p>
    <w:p w14:paraId="6009CDC5" w14:textId="3AF3F29C" w:rsidR="00BB7464" w:rsidRPr="00A00243" w:rsidRDefault="00BB7464" w:rsidP="23F620A6">
      <w:pPr>
        <w:numPr>
          <w:ilvl w:val="0"/>
          <w:numId w:val="2"/>
        </w:numPr>
        <w:shd w:val="clear" w:color="auto" w:fill="FFFFFF" w:themeFill="background1"/>
        <w:spacing w:before="100" w:beforeAutospacing="1" w:after="100" w:afterAutospacing="1" w:line="240" w:lineRule="auto"/>
        <w:ind w:left="1276"/>
        <w:jc w:val="both"/>
        <w:textAlignment w:val="top"/>
        <w:rPr>
          <w:rFonts w:eastAsia="Times New Roman"/>
        </w:rPr>
      </w:pPr>
      <w:r w:rsidRPr="23F620A6">
        <w:rPr>
          <w:b/>
          <w:bCs/>
        </w:rPr>
        <w:t>Visibilidad y posicionamiento políticos</w:t>
      </w:r>
      <w:r>
        <w:t>: es decir, la visibilidad a nivel local se considera esencial por motivos políticos o estratégicos. Esto puede o no estar asociado con las oportunidades de programación futuras.</w:t>
      </w:r>
    </w:p>
    <w:p w14:paraId="553D0996" w14:textId="67DFDADF" w:rsidR="00BB7464" w:rsidRPr="0063208D" w:rsidRDefault="00BB7464" w:rsidP="0063208D">
      <w:pPr>
        <w:pStyle w:val="ListParagraph"/>
        <w:numPr>
          <w:ilvl w:val="0"/>
          <w:numId w:val="18"/>
        </w:numPr>
        <w:shd w:val="clear" w:color="auto" w:fill="FFFFFF" w:themeFill="background1"/>
        <w:spacing w:before="100" w:beforeAutospacing="1" w:after="100" w:afterAutospacing="1" w:line="240" w:lineRule="auto"/>
        <w:jc w:val="both"/>
        <w:textAlignment w:val="top"/>
        <w:rPr>
          <w:rFonts w:eastAsia="Times New Roman"/>
        </w:rPr>
      </w:pPr>
      <w:r>
        <w:t>Si bien las consideraciones de seguridad no deben ser los principales impulsores del establecimiento de una presencia local, podrían ser un factor contribuyente. Esto se aplicaría especialmente en casos en que los miembros del personal del PNUD están diseminados por varias ubicaciones, y reunirlos en un lugar concentrado proporcionaría mayor seguridad.</w:t>
      </w:r>
    </w:p>
    <w:p w14:paraId="0C18DFCF" w14:textId="60E78B0C" w:rsidR="23F620A6" w:rsidRPr="00EC33F1" w:rsidRDefault="00BB7464" w:rsidP="00EC33F1">
      <w:pPr>
        <w:shd w:val="clear" w:color="auto" w:fill="FFFFFF" w:themeFill="background1"/>
        <w:spacing w:before="100" w:beforeAutospacing="1" w:after="100" w:afterAutospacing="1" w:line="240" w:lineRule="auto"/>
        <w:jc w:val="both"/>
        <w:textAlignment w:val="top"/>
        <w:rPr>
          <w:rFonts w:eastAsia="Times New Roman"/>
        </w:rPr>
      </w:pPr>
      <w:r w:rsidRPr="23F620A6">
        <w:rPr>
          <w:b/>
          <w:bCs/>
          <w:i/>
          <w:iCs/>
        </w:rPr>
        <w:t>Tipo de oficina: equipos, funciones y alcance de la delegación</w:t>
      </w:r>
    </w:p>
    <w:p w14:paraId="3FD17944" w14:textId="71B418CF" w:rsidR="23F620A6" w:rsidRPr="00EC33F1" w:rsidRDefault="00BB7464" w:rsidP="0063208D">
      <w:pPr>
        <w:pStyle w:val="ListParagraph"/>
        <w:numPr>
          <w:ilvl w:val="0"/>
          <w:numId w:val="18"/>
        </w:numPr>
        <w:shd w:val="clear" w:color="auto" w:fill="FFFFFF" w:themeFill="background1"/>
        <w:spacing w:before="100" w:beforeAutospacing="1" w:after="100" w:afterAutospacing="1" w:line="240" w:lineRule="auto"/>
        <w:jc w:val="both"/>
        <w:textAlignment w:val="top"/>
        <w:rPr>
          <w:rFonts w:eastAsia="Times New Roman"/>
        </w:rPr>
      </w:pPr>
      <w:r>
        <w:t>El tipo de oficina se determina según el conjunto específico de funciones desempeñadas por la presencia y el alcance de la delegación proporcionada. Existen tres tipos diferentes de presencias con apoyo del PNUD fuera de la Oficina de País:</w:t>
      </w:r>
    </w:p>
    <w:p w14:paraId="13E32140" w14:textId="77777777" w:rsidR="00BB7464" w:rsidRPr="00A00243" w:rsidRDefault="00BB7464" w:rsidP="00A37B2A">
      <w:pPr>
        <w:numPr>
          <w:ilvl w:val="0"/>
          <w:numId w:val="21"/>
        </w:numPr>
        <w:shd w:val="clear" w:color="auto" w:fill="FFFFFF"/>
        <w:spacing w:before="100" w:beforeAutospacing="1" w:after="100" w:afterAutospacing="1" w:line="240" w:lineRule="auto"/>
        <w:jc w:val="both"/>
        <w:textAlignment w:val="top"/>
        <w:rPr>
          <w:rFonts w:eastAsia="Times New Roman" w:cstheme="minorHAnsi"/>
        </w:rPr>
      </w:pPr>
      <w:r>
        <w:t>Oficinas de proyectos del PNUD</w:t>
      </w:r>
    </w:p>
    <w:p w14:paraId="0B7F5E5C" w14:textId="77777777" w:rsidR="00BB7464" w:rsidRPr="00A00243" w:rsidRDefault="00BB7464" w:rsidP="00A37B2A">
      <w:pPr>
        <w:numPr>
          <w:ilvl w:val="0"/>
          <w:numId w:val="21"/>
        </w:numPr>
        <w:shd w:val="clear" w:color="auto" w:fill="FFFFFF"/>
        <w:spacing w:before="100" w:beforeAutospacing="1" w:after="100" w:afterAutospacing="1" w:line="240" w:lineRule="auto"/>
        <w:jc w:val="both"/>
        <w:textAlignment w:val="top"/>
        <w:rPr>
          <w:rFonts w:eastAsia="Times New Roman" w:cstheme="minorHAnsi"/>
        </w:rPr>
      </w:pPr>
      <w:r>
        <w:t>Suboficinas del PNUD</w:t>
      </w:r>
    </w:p>
    <w:p w14:paraId="341E68BB" w14:textId="58CFDD39" w:rsidR="23F620A6" w:rsidRPr="00EC33F1" w:rsidRDefault="00BB7464" w:rsidP="00EC33F1">
      <w:pPr>
        <w:shd w:val="clear" w:color="auto" w:fill="FFFFFF" w:themeFill="background1"/>
        <w:spacing w:before="100" w:beforeAutospacing="1" w:after="100" w:afterAutospacing="1" w:line="240" w:lineRule="auto"/>
        <w:ind w:firstLine="720"/>
        <w:jc w:val="both"/>
        <w:textAlignment w:val="top"/>
        <w:rPr>
          <w:rFonts w:eastAsia="Times New Roman"/>
          <w:u w:val="single"/>
        </w:rPr>
      </w:pPr>
      <w:r w:rsidRPr="23F620A6">
        <w:rPr>
          <w:u w:val="single"/>
        </w:rPr>
        <w:t>Oficinas de proyectos</w:t>
      </w:r>
    </w:p>
    <w:p w14:paraId="3A078F78" w14:textId="6786161A" w:rsidR="00BB7464" w:rsidRPr="00A00243" w:rsidRDefault="00BB7464" w:rsidP="23F620A6">
      <w:pPr>
        <w:pStyle w:val="ListParagraph"/>
        <w:numPr>
          <w:ilvl w:val="0"/>
          <w:numId w:val="18"/>
        </w:numPr>
        <w:shd w:val="clear" w:color="auto" w:fill="FFFFFF" w:themeFill="background1"/>
        <w:spacing w:before="100" w:beforeAutospacing="1" w:after="100" w:afterAutospacing="1" w:line="240" w:lineRule="auto"/>
        <w:jc w:val="both"/>
        <w:textAlignment w:val="top"/>
        <w:rPr>
          <w:rFonts w:eastAsia="Times New Roman"/>
        </w:rPr>
      </w:pPr>
      <w:r>
        <w:t xml:space="preserve">El personal de la </w:t>
      </w:r>
      <w:r w:rsidRPr="23F620A6">
        <w:rPr>
          <w:i/>
          <w:iCs/>
        </w:rPr>
        <w:t>oficina de proyectos</w:t>
      </w:r>
      <w:r>
        <w:t xml:space="preserve"> de nombramiento temporal (TA, </w:t>
      </w:r>
      <w:r w:rsidRPr="23F620A6">
        <w:rPr>
          <w:i/>
          <w:iCs/>
        </w:rPr>
        <w:t>Temporary Appointment</w:t>
      </w:r>
      <w:r>
        <w:t xml:space="preserve">, por sus siglas en inglés) no tiene funciones formalmente delegadas de representación y coordinación más allá del nivel del proyecto. Sus funciones se limitan a la ejecución, el seguimiento y la presentación de informes de los servicios a nivel del proyecto. Puede abarcar uno o más proyectos. Además, el personal puede llevar a cabo actividades de evaluación de alcance o planificación de proyectos para la ejecución de proyectos futuros. Dada la duración limitada de la mayoría de los proyectos, se debe otorgar flexibilidad a las oficinas de proyectos para permitirles aumentar o reducir sus capacidades en respuesta a las circunstancias cambiantes. Se recomienda también que los proyectos compartan instalaciones, tanto como medida de ahorro de costos como para capturar sinergias a través de la coordinación y la </w:t>
      </w:r>
      <w:r>
        <w:lastRenderedPageBreak/>
        <w:t xml:space="preserve">colaboración informales.  Sin embargo, la responsabilidad formal para la coordinación y la supervisión continúa siendo de la Oficina de País. Todo el personal en las oficinas de proyectos es financiado a través de los presupuestos de los proyectos, y trabaja exclusivamente en apoyo de </w:t>
      </w:r>
      <w:r w:rsidR="00922F67">
        <w:t>sus proyectos</w:t>
      </w:r>
      <w:r>
        <w:t>. Las funciones desempeñadas por una oficina de proyectos se limitan a lo siguiente:</w:t>
      </w:r>
    </w:p>
    <w:p w14:paraId="4F17C4FC" w14:textId="77777777" w:rsidR="00BB7464" w:rsidRPr="00A37B2A" w:rsidRDefault="00BB7464" w:rsidP="00A37B2A">
      <w:pPr>
        <w:numPr>
          <w:ilvl w:val="0"/>
          <w:numId w:val="4"/>
        </w:numPr>
        <w:shd w:val="clear" w:color="auto" w:fill="FFFFFF"/>
        <w:spacing w:before="100" w:beforeAutospacing="1" w:after="100" w:afterAutospacing="1" w:line="240" w:lineRule="auto"/>
        <w:ind w:left="1418"/>
        <w:jc w:val="both"/>
        <w:textAlignment w:val="top"/>
        <w:rPr>
          <w:rFonts w:eastAsia="Times New Roman" w:cstheme="minorHAnsi"/>
        </w:rPr>
      </w:pPr>
      <w:r>
        <w:t>Transacciones de proyectos (Recursos Humanos, Adquisiciones, Finanzas)</w:t>
      </w:r>
    </w:p>
    <w:p w14:paraId="5DECE1F2" w14:textId="77777777" w:rsidR="00BB7464" w:rsidRPr="00A37B2A" w:rsidRDefault="00BB7464" w:rsidP="00A37B2A">
      <w:pPr>
        <w:numPr>
          <w:ilvl w:val="0"/>
          <w:numId w:val="4"/>
        </w:numPr>
        <w:shd w:val="clear" w:color="auto" w:fill="FFFFFF"/>
        <w:spacing w:before="100" w:beforeAutospacing="1" w:after="100" w:afterAutospacing="1" w:line="240" w:lineRule="auto"/>
        <w:ind w:left="1418"/>
        <w:jc w:val="both"/>
        <w:textAlignment w:val="top"/>
        <w:rPr>
          <w:rFonts w:eastAsia="Times New Roman" w:cstheme="minorHAnsi"/>
        </w:rPr>
      </w:pPr>
      <w:r>
        <w:t>Supervisión, seguimiento y presentación de informes de ejecución de actividades de proyectos</w:t>
      </w:r>
    </w:p>
    <w:p w14:paraId="63A4D80E" w14:textId="77777777" w:rsidR="00BB7464" w:rsidRPr="00A37B2A" w:rsidRDefault="00BB7464" w:rsidP="00A37B2A">
      <w:pPr>
        <w:numPr>
          <w:ilvl w:val="0"/>
          <w:numId w:val="4"/>
        </w:numPr>
        <w:shd w:val="clear" w:color="auto" w:fill="FFFFFF"/>
        <w:spacing w:before="100" w:beforeAutospacing="1" w:after="100" w:afterAutospacing="1" w:line="240" w:lineRule="auto"/>
        <w:ind w:left="1418"/>
        <w:jc w:val="both"/>
        <w:textAlignment w:val="top"/>
        <w:rPr>
          <w:rFonts w:eastAsia="Times New Roman" w:cstheme="minorHAnsi"/>
        </w:rPr>
      </w:pPr>
      <w:r>
        <w:t>Provisión de apoyo de implementación técnica </w:t>
      </w:r>
    </w:p>
    <w:p w14:paraId="4F9566F4" w14:textId="5F2B35B9" w:rsidR="23F620A6" w:rsidRPr="00DB127A" w:rsidRDefault="00BB7464" w:rsidP="00DB127A">
      <w:pPr>
        <w:numPr>
          <w:ilvl w:val="0"/>
          <w:numId w:val="4"/>
        </w:numPr>
        <w:shd w:val="clear" w:color="auto" w:fill="FFFFFF" w:themeFill="background1"/>
        <w:spacing w:before="100" w:beforeAutospacing="1" w:after="100" w:afterAutospacing="1" w:line="240" w:lineRule="auto"/>
        <w:ind w:left="1418"/>
        <w:jc w:val="both"/>
        <w:textAlignment w:val="top"/>
        <w:rPr>
          <w:rFonts w:eastAsia="Times New Roman"/>
        </w:rPr>
      </w:pPr>
      <w:r>
        <w:t>Enlace relacionado con el proyecto con el asociado del proyecto</w:t>
      </w:r>
    </w:p>
    <w:p w14:paraId="34AD6D48" w14:textId="17B8F1A5" w:rsidR="23F620A6" w:rsidRPr="00DB127A" w:rsidRDefault="00BB7464" w:rsidP="00DB127A">
      <w:pPr>
        <w:shd w:val="clear" w:color="auto" w:fill="FFFFFF" w:themeFill="background1"/>
        <w:spacing w:before="100" w:beforeAutospacing="1" w:after="100" w:afterAutospacing="1" w:line="240" w:lineRule="auto"/>
        <w:ind w:firstLine="720"/>
        <w:jc w:val="both"/>
        <w:textAlignment w:val="top"/>
        <w:rPr>
          <w:rFonts w:eastAsia="Times New Roman"/>
        </w:rPr>
      </w:pPr>
      <w:r w:rsidRPr="23F620A6">
        <w:rPr>
          <w:u w:val="single"/>
        </w:rPr>
        <w:t>Suboficinas del PNUD</w:t>
      </w:r>
    </w:p>
    <w:p w14:paraId="46696351" w14:textId="4FDC72B9" w:rsidR="23F620A6" w:rsidRPr="00DB127A" w:rsidRDefault="00A37B2A" w:rsidP="0063208D">
      <w:pPr>
        <w:pStyle w:val="ListParagraph"/>
        <w:numPr>
          <w:ilvl w:val="0"/>
          <w:numId w:val="18"/>
        </w:numPr>
        <w:shd w:val="clear" w:color="auto" w:fill="FFFFFF" w:themeFill="background1"/>
        <w:spacing w:before="100" w:beforeAutospacing="1" w:after="0" w:line="240" w:lineRule="auto"/>
        <w:jc w:val="both"/>
        <w:textAlignment w:val="top"/>
        <w:rPr>
          <w:rFonts w:eastAsia="Times New Roman"/>
        </w:rPr>
      </w:pPr>
      <w:r>
        <w:t>Son gestionadas por un Jefe de Oficina con un contrato de personal y con autoridad formal (escrita) delegada para representar al PNUD al nivel local. A diferencia de la oficina de proyectos, la suboficina representa a todo el programa de país del PNUD al nivel local y desempeña funciones de gestión delegadas tales como supervisión de programas y operaciones, garantía, coordinación de programas, y desarrollo de asociaciones. En consulta con la gestión de la Oficina de País del PNUD, el Jefe de Oficina establece la dirección estratégica al nivel local y supervisa todas las actividades de la oficina. El tamaño de una suboficina puede variar significativamente en términos de la cantidad de proyectos, la dotación de personal, el presupuesto y el alcance de las responsabilidades. Una suboficina puede desempeñar funciones de una oficina de proyectos. Además, lleva a cabo una o más de las siguientes funciones:</w:t>
      </w:r>
    </w:p>
    <w:p w14:paraId="2FF043FB" w14:textId="77777777" w:rsidR="00BB7464" w:rsidRPr="003D6C44" w:rsidRDefault="00BB7464" w:rsidP="00A37B2A">
      <w:pPr>
        <w:numPr>
          <w:ilvl w:val="0"/>
          <w:numId w:val="5"/>
        </w:numPr>
        <w:shd w:val="clear" w:color="auto" w:fill="FFFFFF"/>
        <w:spacing w:beforeAutospacing="1" w:after="100" w:afterAutospacing="1" w:line="240" w:lineRule="auto"/>
        <w:ind w:left="1276"/>
        <w:jc w:val="both"/>
        <w:textAlignment w:val="top"/>
        <w:rPr>
          <w:rFonts w:eastAsia="Times New Roman" w:cstheme="minorHAnsi"/>
        </w:rPr>
      </w:pPr>
      <w:r>
        <w:t xml:space="preserve">Representación del PNUD con el equipo de las Naciones Unidas en el país (UNCT, </w:t>
      </w:r>
      <w:r>
        <w:rPr>
          <w:i/>
        </w:rPr>
        <w:t>UN Country Team</w:t>
      </w:r>
      <w:r>
        <w:t>, por sus siglas en inglés) y asociados a nivel local</w:t>
      </w:r>
    </w:p>
    <w:p w14:paraId="2F6CCD20" w14:textId="77777777" w:rsidR="00BB7464" w:rsidRPr="003D6C44" w:rsidRDefault="00BB7464" w:rsidP="00A37B2A">
      <w:pPr>
        <w:numPr>
          <w:ilvl w:val="0"/>
          <w:numId w:val="5"/>
        </w:numPr>
        <w:shd w:val="clear" w:color="auto" w:fill="FFFFFF"/>
        <w:spacing w:beforeAutospacing="1" w:after="100" w:afterAutospacing="1" w:line="240" w:lineRule="auto"/>
        <w:ind w:left="1276"/>
        <w:jc w:val="both"/>
        <w:textAlignment w:val="top"/>
        <w:rPr>
          <w:rFonts w:eastAsia="Times New Roman" w:cstheme="minorHAnsi"/>
        </w:rPr>
      </w:pPr>
      <w:r>
        <w:t>Formulación/garantía del programa</w:t>
      </w:r>
    </w:p>
    <w:p w14:paraId="7C060F66" w14:textId="77777777" w:rsidR="00BB7464" w:rsidRPr="003D6C44" w:rsidRDefault="00BB7464" w:rsidP="00A37B2A">
      <w:pPr>
        <w:numPr>
          <w:ilvl w:val="0"/>
          <w:numId w:val="5"/>
        </w:numPr>
        <w:shd w:val="clear" w:color="auto" w:fill="FFFFFF"/>
        <w:spacing w:beforeAutospacing="1" w:after="100" w:afterAutospacing="1" w:line="240" w:lineRule="auto"/>
        <w:ind w:left="1276"/>
        <w:jc w:val="both"/>
        <w:textAlignment w:val="top"/>
        <w:rPr>
          <w:rFonts w:eastAsia="Times New Roman" w:cstheme="minorHAnsi"/>
        </w:rPr>
      </w:pPr>
      <w:r>
        <w:t>Presentación de informes de resultados</w:t>
      </w:r>
    </w:p>
    <w:p w14:paraId="0F89C6E6" w14:textId="77777777" w:rsidR="00BB7464" w:rsidRPr="003D6C44" w:rsidRDefault="00BB7464" w:rsidP="00A37B2A">
      <w:pPr>
        <w:numPr>
          <w:ilvl w:val="0"/>
          <w:numId w:val="5"/>
        </w:numPr>
        <w:shd w:val="clear" w:color="auto" w:fill="FFFFFF"/>
        <w:spacing w:beforeAutospacing="1" w:after="100" w:afterAutospacing="1" w:line="240" w:lineRule="auto"/>
        <w:ind w:left="1276"/>
        <w:jc w:val="both"/>
        <w:textAlignment w:val="top"/>
        <w:rPr>
          <w:rFonts w:eastAsia="Times New Roman" w:cstheme="minorHAnsi"/>
        </w:rPr>
      </w:pPr>
      <w:r>
        <w:t>Supervisión de proyectos</w:t>
      </w:r>
    </w:p>
    <w:p w14:paraId="33A02F5C" w14:textId="77777777" w:rsidR="00BB7464" w:rsidRPr="003D6C44" w:rsidRDefault="00BB7464" w:rsidP="00A37B2A">
      <w:pPr>
        <w:numPr>
          <w:ilvl w:val="0"/>
          <w:numId w:val="5"/>
        </w:numPr>
        <w:shd w:val="clear" w:color="auto" w:fill="FFFFFF"/>
        <w:spacing w:beforeAutospacing="1" w:after="100" w:afterAutospacing="1" w:line="240" w:lineRule="auto"/>
        <w:ind w:left="1276"/>
        <w:jc w:val="both"/>
        <w:textAlignment w:val="top"/>
        <w:rPr>
          <w:rFonts w:eastAsia="Times New Roman" w:cstheme="minorHAnsi"/>
        </w:rPr>
      </w:pPr>
      <w:r>
        <w:t>Coordinación de la evaluación local</w:t>
      </w:r>
    </w:p>
    <w:p w14:paraId="2345B30B" w14:textId="77777777" w:rsidR="00BB7464" w:rsidRPr="003D6C44" w:rsidRDefault="00BB7464" w:rsidP="00A37B2A">
      <w:pPr>
        <w:numPr>
          <w:ilvl w:val="0"/>
          <w:numId w:val="5"/>
        </w:numPr>
        <w:shd w:val="clear" w:color="auto" w:fill="FFFFFF"/>
        <w:spacing w:beforeAutospacing="1" w:after="100" w:afterAutospacing="1" w:line="240" w:lineRule="auto"/>
        <w:ind w:left="1276"/>
        <w:jc w:val="both"/>
        <w:textAlignment w:val="top"/>
        <w:rPr>
          <w:rFonts w:eastAsia="Times New Roman" w:cstheme="minorHAnsi"/>
        </w:rPr>
      </w:pPr>
      <w:r>
        <w:t>Enlace entre donantes y asociados</w:t>
      </w:r>
    </w:p>
    <w:p w14:paraId="43F25F93" w14:textId="77777777" w:rsidR="00BB7464" w:rsidRPr="003D6C44" w:rsidRDefault="00BB7464" w:rsidP="00A37B2A">
      <w:pPr>
        <w:numPr>
          <w:ilvl w:val="0"/>
          <w:numId w:val="5"/>
        </w:numPr>
        <w:shd w:val="clear" w:color="auto" w:fill="FFFFFF"/>
        <w:spacing w:beforeAutospacing="1" w:after="100" w:afterAutospacing="1" w:line="240" w:lineRule="auto"/>
        <w:ind w:left="1276"/>
        <w:jc w:val="both"/>
        <w:textAlignment w:val="top"/>
        <w:rPr>
          <w:rFonts w:eastAsia="Times New Roman" w:cstheme="minorHAnsi"/>
        </w:rPr>
      </w:pPr>
      <w:r>
        <w:t>Asesoramiento de políticas</w:t>
      </w:r>
    </w:p>
    <w:p w14:paraId="4449552E" w14:textId="77777777" w:rsidR="00BB7464" w:rsidRPr="003D6C44" w:rsidRDefault="00BB7464" w:rsidP="00A37B2A">
      <w:pPr>
        <w:numPr>
          <w:ilvl w:val="0"/>
          <w:numId w:val="5"/>
        </w:numPr>
        <w:shd w:val="clear" w:color="auto" w:fill="FFFFFF"/>
        <w:spacing w:beforeAutospacing="1" w:after="100" w:afterAutospacing="1" w:line="240" w:lineRule="auto"/>
        <w:ind w:left="1276"/>
        <w:jc w:val="both"/>
        <w:textAlignment w:val="top"/>
        <w:rPr>
          <w:rFonts w:eastAsia="Times New Roman" w:cstheme="minorHAnsi"/>
        </w:rPr>
      </w:pPr>
      <w:r>
        <w:t>Apoyo de operaciones, incluida la seguridad</w:t>
      </w:r>
    </w:p>
    <w:p w14:paraId="4C55AA30" w14:textId="77777777" w:rsidR="00BB7464" w:rsidRPr="003D6C44" w:rsidRDefault="00BB7464" w:rsidP="00A37B2A">
      <w:pPr>
        <w:numPr>
          <w:ilvl w:val="0"/>
          <w:numId w:val="5"/>
        </w:numPr>
        <w:shd w:val="clear" w:color="auto" w:fill="FFFFFF"/>
        <w:spacing w:beforeAutospacing="1" w:after="100" w:afterAutospacing="1" w:line="240" w:lineRule="auto"/>
        <w:ind w:left="1276"/>
        <w:jc w:val="both"/>
        <w:textAlignment w:val="top"/>
        <w:rPr>
          <w:rFonts w:eastAsia="Times New Roman" w:cstheme="minorHAnsi"/>
        </w:rPr>
      </w:pPr>
      <w:r>
        <w:t>Movilización de recursos y comunicación</w:t>
      </w:r>
    </w:p>
    <w:p w14:paraId="2F43BBE7" w14:textId="470E710C" w:rsidR="23F620A6" w:rsidRPr="00DB127A" w:rsidRDefault="00BB7464" w:rsidP="00DB127A">
      <w:pPr>
        <w:numPr>
          <w:ilvl w:val="0"/>
          <w:numId w:val="5"/>
        </w:numPr>
        <w:shd w:val="clear" w:color="auto" w:fill="FFFFFF" w:themeFill="background1"/>
        <w:spacing w:beforeAutospacing="1" w:after="100" w:afterAutospacing="1" w:line="240" w:lineRule="auto"/>
        <w:ind w:left="1276"/>
        <w:jc w:val="both"/>
        <w:textAlignment w:val="top"/>
        <w:rPr>
          <w:rFonts w:eastAsia="Times New Roman"/>
        </w:rPr>
      </w:pPr>
      <w:r>
        <w:t>Supervisión de gestión</w:t>
      </w:r>
    </w:p>
    <w:p w14:paraId="295580AC" w14:textId="77777777" w:rsidR="00BB7464" w:rsidRPr="003D6C44" w:rsidRDefault="00BB7464" w:rsidP="23F620A6">
      <w:pPr>
        <w:shd w:val="clear" w:color="auto" w:fill="FFFFFF" w:themeFill="background1"/>
        <w:spacing w:before="100" w:beforeAutospacing="1" w:after="0" w:line="240" w:lineRule="auto"/>
        <w:jc w:val="both"/>
        <w:textAlignment w:val="top"/>
        <w:rPr>
          <w:rFonts w:eastAsia="Times New Roman"/>
        </w:rPr>
      </w:pPr>
      <w:r w:rsidRPr="23F620A6">
        <w:rPr>
          <w:b/>
          <w:bCs/>
          <w:i/>
          <w:iCs/>
        </w:rPr>
        <w:t>Estructura y disposiciones de supervisión</w:t>
      </w:r>
    </w:p>
    <w:p w14:paraId="50361875" w14:textId="77777777" w:rsidR="00BB7464" w:rsidRPr="003D6C44" w:rsidRDefault="00BB7464" w:rsidP="23F620A6">
      <w:pPr>
        <w:pStyle w:val="ListParagraph"/>
        <w:numPr>
          <w:ilvl w:val="0"/>
          <w:numId w:val="18"/>
        </w:numPr>
        <w:shd w:val="clear" w:color="auto" w:fill="FFFFFF"/>
        <w:spacing w:before="100" w:beforeAutospacing="1" w:after="0" w:line="240" w:lineRule="auto"/>
        <w:jc w:val="both"/>
        <w:textAlignment w:val="top"/>
        <w:rPr>
          <w:rFonts w:eastAsia="Times New Roman"/>
        </w:rPr>
      </w:pPr>
      <w:r>
        <w:t xml:space="preserve">El diseño minucioso de estructuras, procesos y disposiciones de gestión a una etapa temprana asegura que la presencia local pueda llevar a cabo todas las funciones anticipadas requeridas y que el personal en la Oficina de País y al nivel local disfrute de una comprensión compartida de las funciones y responsabilidades. </w:t>
      </w:r>
    </w:p>
    <w:p w14:paraId="46550F67" w14:textId="77777777" w:rsidR="00A37B2A" w:rsidRPr="003D6C44"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483CC686" w14:textId="77777777" w:rsidR="00BB7464" w:rsidRPr="003D6C44" w:rsidRDefault="00BB7464" w:rsidP="23F620A6">
      <w:pPr>
        <w:pStyle w:val="ListParagraph"/>
        <w:numPr>
          <w:ilvl w:val="0"/>
          <w:numId w:val="18"/>
        </w:numPr>
        <w:shd w:val="clear" w:color="auto" w:fill="FFFFFF"/>
        <w:spacing w:before="100" w:beforeAutospacing="1" w:after="0" w:line="240" w:lineRule="auto"/>
        <w:jc w:val="both"/>
        <w:textAlignment w:val="top"/>
        <w:rPr>
          <w:rFonts w:eastAsia="Times New Roman"/>
        </w:rPr>
      </w:pPr>
      <w:r>
        <w:t xml:space="preserve">Las decisiones de dotación de personal deben considerar la posible reubicación de personal de la Oficina de País además de la contratación de nuevo personal, junto con el tipo y la duración </w:t>
      </w:r>
      <w:r>
        <w:lastRenderedPageBreak/>
        <w:t xml:space="preserve">de los contratos, la distribución de las funciones a través de las descripciones de los trabajos, y las líneas de mando. </w:t>
      </w:r>
    </w:p>
    <w:p w14:paraId="5E98CFEE" w14:textId="77777777" w:rsidR="00A37B2A" w:rsidRPr="003D6C44"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276DC1B8" w14:textId="6C859339" w:rsidR="00BB7464" w:rsidRPr="003D6C44" w:rsidRDefault="00BB7464" w:rsidP="23F620A6">
      <w:pPr>
        <w:pStyle w:val="ListParagraph"/>
        <w:numPr>
          <w:ilvl w:val="0"/>
          <w:numId w:val="18"/>
        </w:numPr>
        <w:shd w:val="clear" w:color="auto" w:fill="FFFFFF"/>
        <w:spacing w:before="100" w:beforeAutospacing="1" w:after="0" w:line="240" w:lineRule="auto"/>
        <w:jc w:val="both"/>
        <w:textAlignment w:val="top"/>
        <w:rPr>
          <w:rFonts w:eastAsia="Times New Roman"/>
        </w:rPr>
      </w:pPr>
      <w:r>
        <w:t xml:space="preserve">Las decisiones sobre la cantidad de puestos ubicados en la presencia local deben basarse en una estimación del volumen de la cartera, además del tipo y la cantidad de actividades que deben gestionarse al nivel local. En algunos casos, puede ser útil una estimación detallada del volumen de trabajo previsto (véase la </w:t>
      </w:r>
      <w:hyperlink r:id="rId14">
        <w:r w:rsidRPr="23F620A6">
          <w:rPr>
            <w:rStyle w:val="Hyperlink"/>
          </w:rPr>
          <w:t>nota orientativa</w:t>
        </w:r>
      </w:hyperlink>
      <w:r w:rsidRPr="23F620A6">
        <w:rPr>
          <w:color w:val="333333"/>
        </w:rPr>
        <w:t xml:space="preserve"> </w:t>
      </w:r>
      <w:r>
        <w:t>del capítulo I.1.2, Paso 3) para determinar la cantidad requerida o deseada de puestos. Las decisiones finales sobre las estructuras de dotación de personal estarán sujetas al análisis financiero descrito en la sección siguiente.  </w:t>
      </w:r>
    </w:p>
    <w:p w14:paraId="38AD64AB" w14:textId="77777777" w:rsidR="00A37B2A" w:rsidRPr="003D6C44"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6EFBD021" w14:textId="1F87AE9D" w:rsidR="00BB7464" w:rsidRPr="008C110B" w:rsidRDefault="00BB7464" w:rsidP="23F620A6">
      <w:pPr>
        <w:pStyle w:val="ListParagraph"/>
        <w:numPr>
          <w:ilvl w:val="0"/>
          <w:numId w:val="18"/>
        </w:numPr>
        <w:shd w:val="clear" w:color="auto" w:fill="FFFFFF"/>
        <w:spacing w:before="100" w:beforeAutospacing="1" w:after="0" w:line="240" w:lineRule="auto"/>
        <w:jc w:val="both"/>
        <w:textAlignment w:val="top"/>
        <w:rPr>
          <w:rFonts w:eastAsia="Times New Roman"/>
        </w:rPr>
      </w:pPr>
      <w:r>
        <w:t xml:space="preserve">Si bien </w:t>
      </w:r>
      <w:r w:rsidR="00922F67">
        <w:t>la preparación de las descripciones de los trabajos puede</w:t>
      </w:r>
      <w:r>
        <w:t xml:space="preserve"> postergarse para una etapa posterior, deben determinarse las tareas clave para (a) cada equipo y (b) cada puesto.  También se requiere un organigrama que muestre las líneas de mando dentro de la oficina local y entre la oficina local y la Oficina de País (véase la </w:t>
      </w:r>
      <w:hyperlink r:id="rId15">
        <w:r w:rsidRPr="23F620A6">
          <w:rPr>
            <w:rStyle w:val="Hyperlink"/>
          </w:rPr>
          <w:t>nota orientativa</w:t>
        </w:r>
      </w:hyperlink>
      <w:r w:rsidRPr="23F620A6">
        <w:rPr>
          <w:color w:val="333333"/>
        </w:rPr>
        <w:t xml:space="preserve"> </w:t>
      </w:r>
      <w:r>
        <w:t xml:space="preserve">del capítulo I.1.2, Paso 3). </w:t>
      </w:r>
    </w:p>
    <w:p w14:paraId="4D6C844A" w14:textId="77777777" w:rsidR="00A37B2A" w:rsidRPr="008C110B"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571BDFED" w14:textId="77777777" w:rsidR="00BB7464" w:rsidRPr="008C110B" w:rsidRDefault="00BB7464" w:rsidP="23F620A6">
      <w:pPr>
        <w:pStyle w:val="ListParagraph"/>
        <w:numPr>
          <w:ilvl w:val="0"/>
          <w:numId w:val="18"/>
        </w:numPr>
        <w:shd w:val="clear" w:color="auto" w:fill="FFFFFF"/>
        <w:spacing w:before="100" w:beforeAutospacing="1" w:after="0" w:line="240" w:lineRule="auto"/>
        <w:jc w:val="both"/>
        <w:textAlignment w:val="top"/>
        <w:rPr>
          <w:rFonts w:eastAsia="Times New Roman"/>
        </w:rPr>
      </w:pPr>
      <w:r>
        <w:t xml:space="preserve">Los procesos operativos clave que involucran a la oficina local o que son gestionados por esta también pueden desarrollarse en una etapa posterior. Sin embargo, se recomienda establecerlos durante los primeros 3 meses después del inicio de las operaciones. </w:t>
      </w:r>
    </w:p>
    <w:p w14:paraId="636A6727" w14:textId="77777777" w:rsidR="00A37B2A" w:rsidRPr="008C110B"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04043E21" w14:textId="77777777" w:rsidR="00BB7464" w:rsidRPr="008C110B" w:rsidRDefault="00BB7464" w:rsidP="23F620A6">
      <w:pPr>
        <w:pStyle w:val="ListParagraph"/>
        <w:numPr>
          <w:ilvl w:val="0"/>
          <w:numId w:val="18"/>
        </w:numPr>
        <w:shd w:val="clear" w:color="auto" w:fill="FFFFFF" w:themeFill="background1"/>
        <w:spacing w:before="100" w:beforeAutospacing="1" w:after="0" w:line="240" w:lineRule="auto"/>
        <w:jc w:val="both"/>
        <w:textAlignment w:val="top"/>
        <w:rPr>
          <w:rFonts w:eastAsia="Times New Roman"/>
        </w:rPr>
      </w:pPr>
      <w:r>
        <w:t>La Oficina de País es completamente responsable de la supervisión programática y operacional de la presencia local. Es necesario determinar disposiciones detalladas de supervisión como parte del estudio de viabilidad. Como mínimo, la Oficina de País debe establecer misiones semestrales de supervisión de programas y operaciones que evalúen el cumplimiento de las actividades gestionadas al nivel local con las reglas y los reglamentos del PNUD. Se recomienda combinar estas misiones con actividades de capacitación provistas por miembros experimentados de la Oficina de País para el personal asignado al nivel local.</w:t>
      </w:r>
    </w:p>
    <w:p w14:paraId="31D02E3D" w14:textId="77777777" w:rsidR="00BB7464" w:rsidRPr="008C110B" w:rsidRDefault="00BB7464" w:rsidP="23F620A6">
      <w:pPr>
        <w:shd w:val="clear" w:color="auto" w:fill="FFFFFF" w:themeFill="background1"/>
        <w:spacing w:before="100" w:beforeAutospacing="1" w:after="0" w:line="240" w:lineRule="auto"/>
        <w:jc w:val="both"/>
        <w:textAlignment w:val="top"/>
        <w:rPr>
          <w:rFonts w:eastAsia="Times New Roman"/>
        </w:rPr>
      </w:pPr>
      <w:r w:rsidRPr="23F620A6">
        <w:rPr>
          <w:b/>
          <w:bCs/>
        </w:rPr>
        <w:t>Costos y modalidades de financiación</w:t>
      </w:r>
    </w:p>
    <w:p w14:paraId="7CD56B24" w14:textId="47365813" w:rsidR="23F620A6" w:rsidRDefault="23F620A6" w:rsidP="23F620A6">
      <w:pPr>
        <w:shd w:val="clear" w:color="auto" w:fill="FFFFFF" w:themeFill="background1"/>
        <w:spacing w:beforeAutospacing="1" w:after="0" w:line="240" w:lineRule="auto"/>
        <w:jc w:val="both"/>
        <w:rPr>
          <w:b/>
          <w:bCs/>
        </w:rPr>
      </w:pPr>
    </w:p>
    <w:p w14:paraId="1A8AA11F" w14:textId="279F0A99" w:rsidR="00BB7464" w:rsidRPr="008C110B" w:rsidRDefault="00BB7464" w:rsidP="23F620A6">
      <w:pPr>
        <w:pStyle w:val="ListParagraph"/>
        <w:numPr>
          <w:ilvl w:val="0"/>
          <w:numId w:val="18"/>
        </w:numPr>
        <w:shd w:val="clear" w:color="auto" w:fill="FFFFFF"/>
        <w:spacing w:before="100" w:beforeAutospacing="1" w:after="0" w:line="240" w:lineRule="auto"/>
        <w:jc w:val="both"/>
        <w:textAlignment w:val="top"/>
        <w:rPr>
          <w:rFonts w:eastAsia="Times New Roman"/>
        </w:rPr>
      </w:pPr>
      <w:r>
        <w:t>Se llevará a cabo una evaluación realista de los costos para el establecimiento y el mantenimiento de la presencia local para determinar la vi</w:t>
      </w:r>
      <w:r w:rsidR="002A5DEB">
        <w:t>abilidad e identificar opciones</w:t>
      </w:r>
      <w:r>
        <w:br/>
        <w:t xml:space="preserve">de financiación. </w:t>
      </w:r>
    </w:p>
    <w:p w14:paraId="5353D643" w14:textId="77777777" w:rsidR="00A37B2A" w:rsidRPr="008C110B"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57A51A8C" w14:textId="1F99061F" w:rsidR="23F620A6" w:rsidRPr="00DB127A" w:rsidRDefault="00BB7464" w:rsidP="0063208D">
      <w:pPr>
        <w:pStyle w:val="ListParagraph"/>
        <w:numPr>
          <w:ilvl w:val="0"/>
          <w:numId w:val="18"/>
        </w:numPr>
        <w:shd w:val="clear" w:color="auto" w:fill="FFFFFF" w:themeFill="background1"/>
        <w:spacing w:before="100" w:beforeAutospacing="1" w:after="0" w:line="240" w:lineRule="auto"/>
        <w:jc w:val="both"/>
        <w:textAlignment w:val="top"/>
        <w:rPr>
          <w:rFonts w:eastAsia="Times New Roman"/>
        </w:rPr>
      </w:pPr>
      <w:r>
        <w:t>Deben distinguirse dos tipos de costos: costos iniciales de establecimiento y costos recurrentes mensuales o anuales. Los costos de establecimiento pueden incluir (entre otros):</w:t>
      </w:r>
    </w:p>
    <w:p w14:paraId="5463CC81" w14:textId="77777777" w:rsidR="00BB7464" w:rsidRPr="008C110B" w:rsidRDefault="00BB7464" w:rsidP="00A37B2A">
      <w:pPr>
        <w:numPr>
          <w:ilvl w:val="1"/>
          <w:numId w:val="22"/>
        </w:numPr>
        <w:shd w:val="clear" w:color="auto" w:fill="FFFFFF"/>
        <w:spacing w:before="100" w:beforeAutospacing="1" w:after="100" w:afterAutospacing="1" w:line="240" w:lineRule="auto"/>
        <w:jc w:val="both"/>
        <w:textAlignment w:val="top"/>
        <w:rPr>
          <w:rFonts w:eastAsia="Times New Roman" w:cstheme="minorHAnsi"/>
        </w:rPr>
      </w:pPr>
      <w:r>
        <w:t xml:space="preserve">Establecimiento del cumplimiento de las Normas Mínimas de Seguridad Operacional (MOSS, </w:t>
      </w:r>
      <w:r>
        <w:rPr>
          <w:i/>
        </w:rPr>
        <w:t>Minimum Operating Security Standards</w:t>
      </w:r>
      <w:r>
        <w:t>, por sus siglas en inglés)</w:t>
      </w:r>
    </w:p>
    <w:p w14:paraId="13A941B7" w14:textId="77777777" w:rsidR="00BB7464" w:rsidRPr="008C110B" w:rsidRDefault="00BB7464" w:rsidP="00A37B2A">
      <w:pPr>
        <w:numPr>
          <w:ilvl w:val="1"/>
          <w:numId w:val="22"/>
        </w:numPr>
        <w:shd w:val="clear" w:color="auto" w:fill="FFFFFF"/>
        <w:spacing w:before="100" w:beforeAutospacing="1" w:after="100" w:afterAutospacing="1" w:line="240" w:lineRule="auto"/>
        <w:jc w:val="both"/>
        <w:textAlignment w:val="top"/>
        <w:rPr>
          <w:rFonts w:eastAsia="Times New Roman" w:cstheme="minorHAnsi"/>
        </w:rPr>
      </w:pPr>
      <w:r>
        <w:t>Renovación de oficinas</w:t>
      </w:r>
    </w:p>
    <w:p w14:paraId="5F4ABC94" w14:textId="77777777" w:rsidR="00BB7464" w:rsidRPr="008C110B" w:rsidRDefault="00BB7464" w:rsidP="00A37B2A">
      <w:pPr>
        <w:numPr>
          <w:ilvl w:val="1"/>
          <w:numId w:val="22"/>
        </w:numPr>
        <w:shd w:val="clear" w:color="auto" w:fill="FFFFFF"/>
        <w:spacing w:before="100" w:beforeAutospacing="1" w:after="100" w:afterAutospacing="1" w:line="240" w:lineRule="auto"/>
        <w:jc w:val="both"/>
        <w:textAlignment w:val="top"/>
        <w:rPr>
          <w:rFonts w:eastAsia="Times New Roman" w:cstheme="minorHAnsi"/>
        </w:rPr>
      </w:pPr>
      <w:r>
        <w:t>Infraestructura de comunicaciones</w:t>
      </w:r>
    </w:p>
    <w:p w14:paraId="51317552" w14:textId="77777777" w:rsidR="00BB7464" w:rsidRPr="008C110B" w:rsidRDefault="00BB7464" w:rsidP="00A37B2A">
      <w:pPr>
        <w:numPr>
          <w:ilvl w:val="1"/>
          <w:numId w:val="22"/>
        </w:numPr>
        <w:shd w:val="clear" w:color="auto" w:fill="FFFFFF"/>
        <w:spacing w:before="100" w:beforeAutospacing="1" w:after="100" w:afterAutospacing="1" w:line="240" w:lineRule="auto"/>
        <w:jc w:val="both"/>
        <w:textAlignment w:val="top"/>
        <w:rPr>
          <w:rFonts w:eastAsia="Times New Roman" w:cstheme="minorHAnsi"/>
        </w:rPr>
      </w:pPr>
      <w:r>
        <w:t>Equipamiento de oficinas</w:t>
      </w:r>
    </w:p>
    <w:p w14:paraId="3A6BC11B" w14:textId="2AF6A077" w:rsidR="23F620A6" w:rsidRPr="00DB127A" w:rsidRDefault="00BB7464" w:rsidP="00DB127A">
      <w:pPr>
        <w:numPr>
          <w:ilvl w:val="1"/>
          <w:numId w:val="22"/>
        </w:numPr>
        <w:shd w:val="clear" w:color="auto" w:fill="FFFFFF" w:themeFill="background1"/>
        <w:spacing w:before="100" w:beforeAutospacing="1" w:after="100" w:afterAutospacing="1" w:line="240" w:lineRule="auto"/>
        <w:jc w:val="both"/>
        <w:textAlignment w:val="top"/>
        <w:rPr>
          <w:rFonts w:eastAsia="Times New Roman"/>
        </w:rPr>
      </w:pPr>
      <w:r>
        <w:t>Transporte (vehículos)</w:t>
      </w:r>
    </w:p>
    <w:p w14:paraId="3FB3C35F" w14:textId="77777777" w:rsidR="00BB7464" w:rsidRPr="008C110B" w:rsidRDefault="00BB7464" w:rsidP="23F620A6">
      <w:pPr>
        <w:pStyle w:val="ListParagraph"/>
        <w:numPr>
          <w:ilvl w:val="0"/>
          <w:numId w:val="18"/>
        </w:numPr>
        <w:shd w:val="clear" w:color="auto" w:fill="FFFFFF"/>
        <w:spacing w:before="100" w:beforeAutospacing="1" w:after="0" w:line="240" w:lineRule="auto"/>
        <w:jc w:val="both"/>
        <w:textAlignment w:val="top"/>
        <w:rPr>
          <w:rFonts w:eastAsia="Times New Roman"/>
        </w:rPr>
      </w:pPr>
      <w:r>
        <w:t>Los costos recurrentes incluyen:</w:t>
      </w:r>
    </w:p>
    <w:p w14:paraId="6E5AF0F2" w14:textId="77777777" w:rsidR="00BB7464" w:rsidRPr="008C110B" w:rsidRDefault="00BB7464" w:rsidP="00A37B2A">
      <w:pPr>
        <w:numPr>
          <w:ilvl w:val="1"/>
          <w:numId w:val="23"/>
        </w:numPr>
        <w:shd w:val="clear" w:color="auto" w:fill="FFFFFF"/>
        <w:spacing w:beforeAutospacing="1" w:after="100" w:afterAutospacing="1" w:line="240" w:lineRule="auto"/>
        <w:jc w:val="both"/>
        <w:textAlignment w:val="top"/>
        <w:rPr>
          <w:rFonts w:eastAsia="Times New Roman" w:cstheme="minorHAnsi"/>
        </w:rPr>
      </w:pPr>
      <w:r>
        <w:lastRenderedPageBreak/>
        <w:t>Costos de dotación de personal</w:t>
      </w:r>
    </w:p>
    <w:p w14:paraId="31DA6129" w14:textId="77777777" w:rsidR="00BB7464" w:rsidRPr="008C110B" w:rsidRDefault="00BB7464" w:rsidP="00A37B2A">
      <w:pPr>
        <w:numPr>
          <w:ilvl w:val="1"/>
          <w:numId w:val="23"/>
        </w:numPr>
        <w:shd w:val="clear" w:color="auto" w:fill="FFFFFF"/>
        <w:spacing w:beforeAutospacing="1" w:after="100" w:afterAutospacing="1" w:line="240" w:lineRule="auto"/>
        <w:jc w:val="both"/>
        <w:textAlignment w:val="top"/>
        <w:rPr>
          <w:rFonts w:eastAsia="Times New Roman" w:cstheme="minorHAnsi"/>
        </w:rPr>
      </w:pPr>
      <w:r>
        <w:t>Costos operativos mensuales (combustible, electricidad, comunicaciones, etc.)</w:t>
      </w:r>
    </w:p>
    <w:p w14:paraId="21CE3571" w14:textId="77777777" w:rsidR="00BB7464" w:rsidRPr="008C110B" w:rsidRDefault="00BB7464" w:rsidP="00A37B2A">
      <w:pPr>
        <w:numPr>
          <w:ilvl w:val="1"/>
          <w:numId w:val="23"/>
        </w:numPr>
        <w:shd w:val="clear" w:color="auto" w:fill="FFFFFF"/>
        <w:spacing w:beforeAutospacing="1" w:after="100" w:afterAutospacing="1" w:line="240" w:lineRule="auto"/>
        <w:jc w:val="both"/>
        <w:textAlignment w:val="top"/>
        <w:rPr>
          <w:rFonts w:eastAsia="Times New Roman" w:cstheme="minorHAnsi"/>
        </w:rPr>
      </w:pPr>
      <w:r>
        <w:t>Costos de mantenimiento de equipos</w:t>
      </w:r>
    </w:p>
    <w:p w14:paraId="7EE4F7D4" w14:textId="77777777" w:rsidR="00BB7464" w:rsidRPr="008C110B" w:rsidRDefault="00BB7464" w:rsidP="00A37B2A">
      <w:pPr>
        <w:numPr>
          <w:ilvl w:val="1"/>
          <w:numId w:val="23"/>
        </w:numPr>
        <w:shd w:val="clear" w:color="auto" w:fill="FFFFFF"/>
        <w:spacing w:beforeAutospacing="1" w:after="100" w:afterAutospacing="1" w:line="240" w:lineRule="auto"/>
        <w:jc w:val="both"/>
        <w:textAlignment w:val="top"/>
        <w:rPr>
          <w:rFonts w:eastAsia="Times New Roman" w:cstheme="minorHAnsi"/>
        </w:rPr>
      </w:pPr>
      <w:r>
        <w:t>Alquiler de oficinas</w:t>
      </w:r>
    </w:p>
    <w:p w14:paraId="310480AB" w14:textId="6CC902BA" w:rsidR="00BB7464" w:rsidRPr="008C110B" w:rsidRDefault="00BB7464" w:rsidP="00A37B2A">
      <w:pPr>
        <w:numPr>
          <w:ilvl w:val="1"/>
          <w:numId w:val="23"/>
        </w:numPr>
        <w:shd w:val="clear" w:color="auto" w:fill="FFFFFF"/>
        <w:spacing w:beforeAutospacing="1" w:after="100" w:afterAutospacing="1" w:line="240" w:lineRule="auto"/>
        <w:jc w:val="both"/>
        <w:textAlignment w:val="top"/>
        <w:rPr>
          <w:rFonts w:eastAsia="Times New Roman" w:cstheme="minorHAnsi"/>
        </w:rPr>
      </w:pPr>
      <w:r>
        <w:t>Costos relacionados con la seguridad (guardias, etc.)</w:t>
      </w:r>
    </w:p>
    <w:p w14:paraId="14C8F551" w14:textId="77777777" w:rsidR="00BB7464" w:rsidRPr="008C110B" w:rsidRDefault="00BB7464" w:rsidP="23F620A6">
      <w:pPr>
        <w:pStyle w:val="ListParagraph"/>
        <w:numPr>
          <w:ilvl w:val="0"/>
          <w:numId w:val="18"/>
        </w:numPr>
        <w:shd w:val="clear" w:color="auto" w:fill="FFFFFF"/>
        <w:spacing w:before="100" w:beforeAutospacing="1" w:after="0" w:line="240" w:lineRule="auto"/>
        <w:jc w:val="both"/>
        <w:textAlignment w:val="top"/>
        <w:rPr>
          <w:rFonts w:eastAsia="Times New Roman"/>
        </w:rPr>
      </w:pPr>
      <w:r>
        <w:t xml:space="preserve">Los costos anticipados deben compararse con los fondos y los ingresos disponibles previstos. Esto debe analizarse y documentarse. Este análisis fundamentará las decisiones finales sobre la estructura de dotación de personal de la presencia. </w:t>
      </w:r>
    </w:p>
    <w:p w14:paraId="7C77EC0E" w14:textId="77777777" w:rsidR="00A37B2A" w:rsidRPr="008C110B"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1FA7C7CE" w14:textId="77777777" w:rsidR="00BB7464" w:rsidRPr="008C110B" w:rsidRDefault="00BB7464" w:rsidP="23F620A6">
      <w:pPr>
        <w:pStyle w:val="ListParagraph"/>
        <w:numPr>
          <w:ilvl w:val="0"/>
          <w:numId w:val="18"/>
        </w:numPr>
        <w:shd w:val="clear" w:color="auto" w:fill="FFFFFF"/>
        <w:spacing w:before="100" w:beforeAutospacing="1" w:after="0" w:line="240" w:lineRule="auto"/>
        <w:jc w:val="both"/>
        <w:textAlignment w:val="top"/>
        <w:rPr>
          <w:rFonts w:eastAsia="Times New Roman"/>
        </w:rPr>
      </w:pPr>
      <w:r>
        <w:t xml:space="preserve">Tenga en cuenta que las </w:t>
      </w:r>
      <w:r w:rsidRPr="23F620A6">
        <w:rPr>
          <w:b/>
          <w:bCs/>
        </w:rPr>
        <w:t>instalaciones</w:t>
      </w:r>
      <w:r>
        <w:t xml:space="preserve"> y las </w:t>
      </w:r>
      <w:r w:rsidRPr="23F620A6">
        <w:rPr>
          <w:b/>
          <w:bCs/>
        </w:rPr>
        <w:t>evaluaciones de riesgos de seguridad y explosiones</w:t>
      </w:r>
      <w:r>
        <w:t xml:space="preserve"> pueden tener un impacto significativo en los costos de establecimiento y los gastos ordinarios (recurrentes). Además, la autorización de seguridad que proporciona el Gerente Senior de la Seguridad de la sede es una condición previa para el establecimiento de la oficina. Por lo tanto, en los entornos expuestos a riesgos, debe identificar las instalaciones potenciales y realizar evaluaciones relacionadas con la seguridad lo antes posible, idealmente antes de la finalización del estudio de viabilidad.</w:t>
      </w:r>
    </w:p>
    <w:p w14:paraId="02A8E0EA" w14:textId="77777777" w:rsidR="00A37B2A" w:rsidRPr="008C110B"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23C91187" w14:textId="77777777" w:rsidR="00BB7464" w:rsidRPr="008C110B" w:rsidRDefault="00BB7464" w:rsidP="23F620A6">
      <w:pPr>
        <w:pStyle w:val="ListParagraph"/>
        <w:numPr>
          <w:ilvl w:val="0"/>
          <w:numId w:val="18"/>
        </w:numPr>
        <w:shd w:val="clear" w:color="auto" w:fill="FFFFFF"/>
        <w:spacing w:before="100" w:beforeAutospacing="1" w:after="0" w:line="240" w:lineRule="auto"/>
        <w:jc w:val="both"/>
        <w:textAlignment w:val="top"/>
        <w:rPr>
          <w:rFonts w:eastAsia="Times New Roman"/>
        </w:rPr>
      </w:pPr>
      <w:r>
        <w:t>Las fuentes permitidas de financiación dependen del tipo de presencia y de las funciones relacionadas:</w:t>
      </w:r>
    </w:p>
    <w:p w14:paraId="73B23B70" w14:textId="77777777" w:rsidR="00BB7464" w:rsidRPr="008C110B" w:rsidRDefault="00BB7464" w:rsidP="00A37B2A">
      <w:pPr>
        <w:numPr>
          <w:ilvl w:val="0"/>
          <w:numId w:val="10"/>
        </w:numPr>
        <w:shd w:val="clear" w:color="auto" w:fill="FFFFFF"/>
        <w:spacing w:before="100" w:beforeAutospacing="1" w:after="100" w:afterAutospacing="1" w:line="240" w:lineRule="auto"/>
        <w:ind w:left="1134"/>
        <w:jc w:val="both"/>
        <w:textAlignment w:val="top"/>
        <w:rPr>
          <w:rFonts w:eastAsia="Times New Roman" w:cstheme="minorHAnsi"/>
        </w:rPr>
      </w:pPr>
      <w:r>
        <w:t xml:space="preserve">Las </w:t>
      </w:r>
      <w:r>
        <w:rPr>
          <w:i/>
          <w:iCs/>
        </w:rPr>
        <w:t>oficinas de proyectos</w:t>
      </w:r>
      <w:r>
        <w:t xml:space="preserve"> llevan a cabo actividades de ejecución, seguimiento y presentación de informes de proyectos. Son financiadas mediante recursos de proyectos de desarrollo (básicos y/o complementarios). Los fondos deben abarcar la totalidad de los costos de las operaciones, que se reflejan en los presupuestos del proyecto de desarrollo. Los recursos de gestión de las Oficinas de País pueden complementar estos recursos durante un plazo limitado para financiar las brechas en los recursos de los proyectos o como inversiones en los costos de establecimiento y los gastos ordinarios de las presencias a nivel local. Los costos de las oficinas deben compartirse entre los proyectos beneficiarios de acuerdo con criterios claramente definidos (por ejemplo: metros cuadrados ocupados por el proyecto, cantidad de personal, etc.).</w:t>
      </w:r>
    </w:p>
    <w:p w14:paraId="179F2EE7" w14:textId="725210BD" w:rsidR="00BB7464" w:rsidRPr="008C110B" w:rsidRDefault="00BB7464" w:rsidP="00A37B2A">
      <w:pPr>
        <w:numPr>
          <w:ilvl w:val="0"/>
          <w:numId w:val="10"/>
        </w:numPr>
        <w:shd w:val="clear" w:color="auto" w:fill="FFFFFF"/>
        <w:spacing w:before="100" w:beforeAutospacing="1" w:after="100" w:afterAutospacing="1" w:line="240" w:lineRule="auto"/>
        <w:ind w:left="1134"/>
        <w:jc w:val="both"/>
        <w:textAlignment w:val="top"/>
        <w:rPr>
          <w:rFonts w:eastAsia="Times New Roman" w:cstheme="minorHAnsi"/>
        </w:rPr>
      </w:pPr>
      <w:r>
        <w:t xml:space="preserve">En el caso de las suboficinas, cada proyecto financia su parte de los costos totales en relación con las funciones de ejecución de proyectos que desempeña la oficina. La representación, la gestión y la supervisión del PNUD son financiadas con el presupuesto de apoyo bienal (BSB, </w:t>
      </w:r>
      <w:r>
        <w:rPr>
          <w:i/>
        </w:rPr>
        <w:t>Biennial Support Budget</w:t>
      </w:r>
      <w:r>
        <w:t>, por sus siglas en inglés) de la Oficina de País y/o con ingresos extrapresupuestarios. La Oficina de País debe asignar estos fondos en proporción directa con el volumen de los presupuestos de los programas básicos y/o complementarios asociados que gestiona la suboficina. Esto implica la asignación o redistribución de recursos y capacidad de la Oficina de País a la presencia local. Además, los fondos institucionales pueden solicitarse cuando existen limitaciones para la financiación local y cuando la necesidad de establecer dicha presencia a nivel local es crítica para la organización. Para obtener detalles, véase el subproceso «autorización de una presencia». Los fondos institucionales pueden incluir los costos de personal clave, como el Jefe de Oficina y el Gerente de Operaciones, además de costos operacionales relacionados con el establecimiento de la presencia local.</w:t>
      </w:r>
    </w:p>
    <w:p w14:paraId="6437FFE1" w14:textId="77777777" w:rsidR="00BB7464" w:rsidRPr="008C110B" w:rsidRDefault="00BB7464" w:rsidP="23F620A6">
      <w:pPr>
        <w:pStyle w:val="ListParagraph"/>
        <w:numPr>
          <w:ilvl w:val="0"/>
          <w:numId w:val="18"/>
        </w:numPr>
        <w:shd w:val="clear" w:color="auto" w:fill="FFFFFF"/>
        <w:spacing w:before="100" w:beforeAutospacing="1" w:after="100" w:afterAutospacing="1" w:line="240" w:lineRule="auto"/>
        <w:jc w:val="both"/>
        <w:textAlignment w:val="top"/>
        <w:rPr>
          <w:rFonts w:eastAsia="Times New Roman"/>
        </w:rPr>
      </w:pPr>
      <w:r>
        <w:lastRenderedPageBreak/>
        <w:t>Las Oficinas de País que necesitan establecer o aumentar las presencias locales en respuesta a emergencias pueden solicitar apoyo y financiación institucional a través del mecanismo SURGE.</w:t>
      </w:r>
      <w:r w:rsidRPr="23F620A6">
        <w:rPr>
          <w:color w:val="333333"/>
        </w:rPr>
        <w:t xml:space="preserve"> </w:t>
      </w:r>
      <w:r>
        <w:t xml:space="preserve">Para reducir costos, se recomienda especialmente a las Oficinas de País que colaboren con los organismos asociados y que compartan instalaciones siempre que sea posible. </w:t>
      </w:r>
    </w:p>
    <w:p w14:paraId="5360449C" w14:textId="77777777" w:rsidR="00A37B2A" w:rsidRPr="008C110B" w:rsidRDefault="00A37B2A" w:rsidP="00A37B2A">
      <w:pPr>
        <w:pStyle w:val="ListParagraph"/>
        <w:shd w:val="clear" w:color="auto" w:fill="FFFFFF"/>
        <w:spacing w:before="100" w:beforeAutospacing="1" w:after="100" w:afterAutospacing="1" w:line="240" w:lineRule="auto"/>
        <w:jc w:val="both"/>
        <w:textAlignment w:val="top"/>
        <w:rPr>
          <w:rFonts w:eastAsia="Times New Roman" w:cstheme="minorHAnsi"/>
        </w:rPr>
      </w:pPr>
    </w:p>
    <w:p w14:paraId="06C8B3D3" w14:textId="2D01BCDE" w:rsidR="23F620A6" w:rsidRPr="00DB127A" w:rsidRDefault="00BB7464" w:rsidP="0063208D">
      <w:pPr>
        <w:pStyle w:val="ListParagraph"/>
        <w:numPr>
          <w:ilvl w:val="0"/>
          <w:numId w:val="18"/>
        </w:numPr>
        <w:shd w:val="clear" w:color="auto" w:fill="FFFFFF" w:themeFill="background1"/>
        <w:spacing w:before="100" w:beforeAutospacing="1" w:after="100" w:afterAutospacing="1" w:line="240" w:lineRule="auto"/>
        <w:jc w:val="both"/>
        <w:textAlignment w:val="top"/>
        <w:rPr>
          <w:rFonts w:eastAsia="Times New Roman"/>
          <w:color w:val="333333"/>
        </w:rPr>
      </w:pPr>
      <w:r>
        <w:t>Todos los costos relacionados con garantizar que las presencias locales cumplan las MOSS normalmente están cubiertos mediante recursos extrapresupuestarios, recursos de programas, o una combinación de ambos. Cualquier brecha remanente en la financiación deberá comunicarse al Gerente Senior de la Seguridad de la sede. Con base en una solicitud de financiación realizada a la Oficina de Seguridad del Buró de Gestión de Servicios, podría proporcionarse financiación para estas medidas caso por caso. Para obtener más detalles, consulte las «</w:t>
      </w:r>
      <w:hyperlink r:id="rId16">
        <w:r w:rsidRPr="23F620A6">
          <w:rPr>
            <w:rStyle w:val="Hyperlink"/>
          </w:rPr>
          <w:t>Directrices operacionales en relación con las medidas de seguridad exigidas por las Naciones Unidas para el personal y las instalaciones del PNUD</w:t>
        </w:r>
      </w:hyperlink>
      <w:r w:rsidRPr="23F620A6">
        <w:rPr>
          <w:color w:val="333333"/>
        </w:rPr>
        <w:t>».</w:t>
      </w:r>
    </w:p>
    <w:p w14:paraId="3AB6BAC3" w14:textId="538D30B0" w:rsidR="23F620A6" w:rsidRPr="00DB127A" w:rsidRDefault="00BB7464" w:rsidP="00DB127A">
      <w:pPr>
        <w:shd w:val="clear" w:color="auto" w:fill="FFFFFF" w:themeFill="background1"/>
        <w:spacing w:before="100" w:beforeAutospacing="1" w:after="0" w:line="240" w:lineRule="auto"/>
        <w:jc w:val="both"/>
        <w:textAlignment w:val="top"/>
        <w:rPr>
          <w:rFonts w:eastAsia="Times New Roman"/>
        </w:rPr>
      </w:pPr>
      <w:r>
        <w:t> </w:t>
      </w:r>
      <w:r w:rsidRPr="23F620A6">
        <w:rPr>
          <w:b/>
          <w:bCs/>
        </w:rPr>
        <w:t>Análisis de la relación costo-beneficio</w:t>
      </w:r>
    </w:p>
    <w:p w14:paraId="5BEC487C" w14:textId="2C722C68" w:rsidR="002A5DEB" w:rsidRPr="00DB127A" w:rsidRDefault="00BB7464" w:rsidP="002A5DEB">
      <w:pPr>
        <w:pStyle w:val="ListParagraph"/>
        <w:numPr>
          <w:ilvl w:val="0"/>
          <w:numId w:val="18"/>
        </w:numPr>
        <w:shd w:val="clear" w:color="auto" w:fill="FFFFFF"/>
        <w:spacing w:before="100" w:beforeAutospacing="1" w:after="0" w:line="240" w:lineRule="auto"/>
        <w:jc w:val="both"/>
        <w:textAlignment w:val="top"/>
        <w:rPr>
          <w:rFonts w:eastAsia="Times New Roman"/>
        </w:rPr>
      </w:pPr>
      <w:r>
        <w:t xml:space="preserve">El análisis de la relación costo-beneficio se basa en los primeros 4 componentes del estudio de viabilidad. Resume y evalúa la contribución potencial de la presencia local en: a) la obtención de los resultados de desarrollo; b) la eficiencia de los costos y la sostenibilidad financiera; y c) la viabilidad de gestión. Debe considerar las relaciones con las contrapartes y los asociados, la seguridad y el bienestar del personal, y debe establecer con claridad que los beneficios del establecimiento de la presencia superan los costos y los desafíos involucrados. Por lo tanto, el análisis de la relación costo-beneficio debe considerar el período completo de la presencia local y tener en cuenta los beneficios futuros anticipados (véase la </w:t>
      </w:r>
      <w:hyperlink r:id="rId17">
        <w:r w:rsidRPr="23F620A6">
          <w:rPr>
            <w:rStyle w:val="Hyperlink"/>
          </w:rPr>
          <w:t>nota orientativa</w:t>
        </w:r>
      </w:hyperlink>
      <w:r w:rsidRPr="23F620A6">
        <w:rPr>
          <w:color w:val="333333"/>
        </w:rPr>
        <w:t xml:space="preserve"> </w:t>
      </w:r>
      <w:r>
        <w:t xml:space="preserve">del capítulo I.1.2, Paso 5). </w:t>
      </w:r>
    </w:p>
    <w:p w14:paraId="2DFAD07E" w14:textId="77777777" w:rsidR="00BB7464" w:rsidRPr="00A37B2A" w:rsidRDefault="00BB7464" w:rsidP="00A37B2A">
      <w:pPr>
        <w:shd w:val="clear" w:color="auto" w:fill="FFFFFF"/>
        <w:spacing w:before="100" w:beforeAutospacing="1" w:after="0" w:line="240" w:lineRule="auto"/>
        <w:jc w:val="both"/>
        <w:textAlignment w:val="top"/>
        <w:rPr>
          <w:rFonts w:eastAsia="Times New Roman" w:cstheme="minorHAnsi"/>
        </w:rPr>
      </w:pPr>
      <w:r>
        <w:t> </w:t>
      </w:r>
      <w:r>
        <w:rPr>
          <w:b/>
          <w:bCs/>
        </w:rPr>
        <w:t>Riesgos y medidas de mitigación</w:t>
      </w:r>
    </w:p>
    <w:p w14:paraId="0A1D4001" w14:textId="77777777" w:rsidR="00BB7464" w:rsidRPr="00A37B2A" w:rsidRDefault="00BB7464" w:rsidP="23F620A6">
      <w:pPr>
        <w:pStyle w:val="ListParagraph"/>
        <w:numPr>
          <w:ilvl w:val="0"/>
          <w:numId w:val="18"/>
        </w:numPr>
        <w:shd w:val="clear" w:color="auto" w:fill="FFFFFF"/>
        <w:spacing w:before="100" w:beforeAutospacing="1" w:after="0" w:line="240" w:lineRule="auto"/>
        <w:jc w:val="both"/>
        <w:textAlignment w:val="top"/>
        <w:rPr>
          <w:rFonts w:eastAsia="Times New Roman"/>
        </w:rPr>
      </w:pPr>
      <w:r>
        <w:t xml:space="preserve">El análisis de riesgos implica la revisión sistemática de los problemas potenciales y la definición de medidas apropiadas de mitigación para reducir la probabilidad de que el riesgo se materialice. </w:t>
      </w:r>
    </w:p>
    <w:p w14:paraId="1F2D0BC1" w14:textId="77777777" w:rsidR="00A37B2A" w:rsidRPr="00A37B2A"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1E28B718" w14:textId="77777777" w:rsidR="00BB7464" w:rsidRPr="00A37B2A" w:rsidRDefault="00BB7464" w:rsidP="23F620A6">
      <w:pPr>
        <w:pStyle w:val="ListParagraph"/>
        <w:numPr>
          <w:ilvl w:val="0"/>
          <w:numId w:val="18"/>
        </w:numPr>
        <w:shd w:val="clear" w:color="auto" w:fill="FFFFFF"/>
        <w:spacing w:before="100" w:beforeAutospacing="1" w:after="0" w:line="240" w:lineRule="auto"/>
        <w:jc w:val="both"/>
        <w:textAlignment w:val="top"/>
        <w:rPr>
          <w:rFonts w:eastAsia="Times New Roman"/>
        </w:rPr>
      </w:pPr>
      <w:r>
        <w:t>En consonancia con la política institucional sobre la gestión de riesgos, debe utilizarse la matriz de riesgos y deben considerarse las siguientes categorías de riesgos:</w:t>
      </w:r>
    </w:p>
    <w:p w14:paraId="1B04CE3E" w14:textId="77777777" w:rsidR="00BB7464" w:rsidRPr="00A37B2A" w:rsidRDefault="00BB7464" w:rsidP="00A37B2A">
      <w:pPr>
        <w:numPr>
          <w:ilvl w:val="0"/>
          <w:numId w:val="11"/>
        </w:numPr>
        <w:shd w:val="clear" w:color="auto" w:fill="FFFFFF"/>
        <w:spacing w:before="100" w:beforeAutospacing="1" w:after="100" w:afterAutospacing="1" w:line="240" w:lineRule="auto"/>
        <w:ind w:left="1276"/>
        <w:jc w:val="both"/>
        <w:textAlignment w:val="top"/>
        <w:rPr>
          <w:rFonts w:eastAsia="Times New Roman" w:cstheme="minorHAnsi"/>
        </w:rPr>
      </w:pPr>
      <w:r>
        <w:t>Ambientales</w:t>
      </w:r>
    </w:p>
    <w:p w14:paraId="2268CEAE" w14:textId="77777777" w:rsidR="00BB7464" w:rsidRPr="00A37B2A" w:rsidRDefault="00BB7464" w:rsidP="00A37B2A">
      <w:pPr>
        <w:numPr>
          <w:ilvl w:val="0"/>
          <w:numId w:val="11"/>
        </w:numPr>
        <w:shd w:val="clear" w:color="auto" w:fill="FFFFFF"/>
        <w:spacing w:before="100" w:beforeAutospacing="1" w:after="100" w:afterAutospacing="1" w:line="240" w:lineRule="auto"/>
        <w:ind w:left="1276"/>
        <w:jc w:val="both"/>
        <w:textAlignment w:val="top"/>
        <w:rPr>
          <w:rFonts w:eastAsia="Times New Roman" w:cstheme="minorHAnsi"/>
        </w:rPr>
      </w:pPr>
      <w:r>
        <w:t>Financieros</w:t>
      </w:r>
    </w:p>
    <w:p w14:paraId="29CDBEDB" w14:textId="77777777" w:rsidR="00BB7464" w:rsidRPr="00A37B2A" w:rsidRDefault="00BB7464" w:rsidP="00A37B2A">
      <w:pPr>
        <w:numPr>
          <w:ilvl w:val="0"/>
          <w:numId w:val="11"/>
        </w:numPr>
        <w:shd w:val="clear" w:color="auto" w:fill="FFFFFF"/>
        <w:spacing w:before="100" w:beforeAutospacing="1" w:after="100" w:afterAutospacing="1" w:line="240" w:lineRule="auto"/>
        <w:ind w:left="1276"/>
        <w:jc w:val="both"/>
        <w:textAlignment w:val="top"/>
        <w:rPr>
          <w:rFonts w:eastAsia="Times New Roman" w:cstheme="minorHAnsi"/>
        </w:rPr>
      </w:pPr>
      <w:r>
        <w:t>Operacionales</w:t>
      </w:r>
    </w:p>
    <w:p w14:paraId="551FA2A3" w14:textId="77777777" w:rsidR="00BB7464" w:rsidRPr="00A37B2A" w:rsidRDefault="00BB7464" w:rsidP="00A37B2A">
      <w:pPr>
        <w:numPr>
          <w:ilvl w:val="0"/>
          <w:numId w:val="11"/>
        </w:numPr>
        <w:shd w:val="clear" w:color="auto" w:fill="FFFFFF"/>
        <w:spacing w:before="100" w:beforeAutospacing="1" w:after="100" w:afterAutospacing="1" w:line="240" w:lineRule="auto"/>
        <w:ind w:left="1276"/>
        <w:jc w:val="both"/>
        <w:textAlignment w:val="top"/>
        <w:rPr>
          <w:rFonts w:eastAsia="Times New Roman" w:cstheme="minorHAnsi"/>
        </w:rPr>
      </w:pPr>
      <w:r>
        <w:t>Organizacionales</w:t>
      </w:r>
    </w:p>
    <w:p w14:paraId="39AF2134" w14:textId="77777777" w:rsidR="00BB7464" w:rsidRPr="00A37B2A" w:rsidRDefault="00BB7464" w:rsidP="00A37B2A">
      <w:pPr>
        <w:numPr>
          <w:ilvl w:val="0"/>
          <w:numId w:val="11"/>
        </w:numPr>
        <w:shd w:val="clear" w:color="auto" w:fill="FFFFFF"/>
        <w:spacing w:before="100" w:beforeAutospacing="1" w:after="100" w:afterAutospacing="1" w:line="240" w:lineRule="auto"/>
        <w:ind w:left="1276"/>
        <w:jc w:val="both"/>
        <w:textAlignment w:val="top"/>
        <w:rPr>
          <w:rFonts w:eastAsia="Times New Roman" w:cstheme="minorHAnsi"/>
        </w:rPr>
      </w:pPr>
      <w:r>
        <w:t>Políticos</w:t>
      </w:r>
    </w:p>
    <w:p w14:paraId="0E99A781" w14:textId="77777777" w:rsidR="00BB7464" w:rsidRPr="00A37B2A" w:rsidRDefault="00BB7464" w:rsidP="00A37B2A">
      <w:pPr>
        <w:numPr>
          <w:ilvl w:val="0"/>
          <w:numId w:val="11"/>
        </w:numPr>
        <w:shd w:val="clear" w:color="auto" w:fill="FFFFFF"/>
        <w:spacing w:before="100" w:beforeAutospacing="1" w:after="100" w:afterAutospacing="1" w:line="240" w:lineRule="auto"/>
        <w:ind w:left="1276"/>
        <w:jc w:val="both"/>
        <w:textAlignment w:val="top"/>
        <w:rPr>
          <w:rFonts w:eastAsia="Times New Roman" w:cstheme="minorHAnsi"/>
        </w:rPr>
      </w:pPr>
      <w:r>
        <w:t>Regulatorios</w:t>
      </w:r>
    </w:p>
    <w:p w14:paraId="37BBAAA6" w14:textId="77777777" w:rsidR="00BB7464" w:rsidRPr="00A37B2A" w:rsidRDefault="00BB7464" w:rsidP="00A37B2A">
      <w:pPr>
        <w:numPr>
          <w:ilvl w:val="0"/>
          <w:numId w:val="11"/>
        </w:numPr>
        <w:shd w:val="clear" w:color="auto" w:fill="FFFFFF"/>
        <w:spacing w:before="100" w:beforeAutospacing="1" w:after="100" w:afterAutospacing="1" w:line="240" w:lineRule="auto"/>
        <w:ind w:left="1276"/>
        <w:jc w:val="both"/>
        <w:textAlignment w:val="top"/>
        <w:rPr>
          <w:rFonts w:eastAsia="Times New Roman" w:cstheme="minorHAnsi"/>
        </w:rPr>
      </w:pPr>
      <w:r>
        <w:t>Seguridad del personal</w:t>
      </w:r>
    </w:p>
    <w:p w14:paraId="5A50291A" w14:textId="208C2877" w:rsidR="23F620A6" w:rsidRPr="00DB127A" w:rsidRDefault="00BB7464" w:rsidP="00DB127A">
      <w:pPr>
        <w:numPr>
          <w:ilvl w:val="0"/>
          <w:numId w:val="11"/>
        </w:numPr>
        <w:shd w:val="clear" w:color="auto" w:fill="FFFFFF" w:themeFill="background1"/>
        <w:spacing w:before="100" w:beforeAutospacing="1" w:after="100" w:afterAutospacing="1" w:line="240" w:lineRule="auto"/>
        <w:ind w:left="1276"/>
        <w:jc w:val="both"/>
        <w:textAlignment w:val="top"/>
        <w:rPr>
          <w:rFonts w:eastAsia="Times New Roman"/>
        </w:rPr>
      </w:pPr>
      <w:r>
        <w:t>Estratégicos</w:t>
      </w:r>
    </w:p>
    <w:p w14:paraId="349C9BDE" w14:textId="77777777" w:rsidR="00BB7464" w:rsidRPr="00A37B2A" w:rsidRDefault="00BB7464" w:rsidP="23F620A6">
      <w:pPr>
        <w:pStyle w:val="ListParagraph"/>
        <w:numPr>
          <w:ilvl w:val="0"/>
          <w:numId w:val="18"/>
        </w:numPr>
        <w:shd w:val="clear" w:color="auto" w:fill="FFFFFF"/>
        <w:spacing w:before="100" w:beforeAutospacing="1" w:after="0" w:line="240" w:lineRule="auto"/>
        <w:jc w:val="both"/>
        <w:textAlignment w:val="top"/>
        <w:rPr>
          <w:rFonts w:eastAsia="Times New Roman"/>
        </w:rPr>
      </w:pPr>
      <w:r>
        <w:t xml:space="preserve">Al determinar la probabilidad y el impacto, se priorizan los riesgos y se definen medidas específicas de mitigación.  Si los riesgos residuales continúan siendo altos, deberá reconsiderarse la viabilidad del establecimiento de la presencia. </w:t>
      </w:r>
    </w:p>
    <w:p w14:paraId="77145CC7" w14:textId="77777777" w:rsidR="00A37B2A" w:rsidRPr="00A37B2A"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633822EB" w14:textId="3A6026A7" w:rsidR="00BB7464" w:rsidRPr="00DB127A" w:rsidRDefault="00BB7464" w:rsidP="0063208D">
      <w:pPr>
        <w:pStyle w:val="ListParagraph"/>
        <w:numPr>
          <w:ilvl w:val="0"/>
          <w:numId w:val="18"/>
        </w:numPr>
        <w:shd w:val="clear" w:color="auto" w:fill="FFFFFF" w:themeFill="background1"/>
        <w:spacing w:before="100" w:beforeAutospacing="1" w:after="0" w:line="240" w:lineRule="auto"/>
        <w:jc w:val="both"/>
        <w:textAlignment w:val="top"/>
        <w:rPr>
          <w:rFonts w:eastAsia="Times New Roman"/>
        </w:rPr>
      </w:pPr>
      <w:r>
        <w:t>Las Oficinas de País que realizan evaluaciones de riesgos de seguridad y explosiones durante el desarrollo del estudio de viabilidad (generalmente en entornos expuestos a riesgos) deben integrarlas en la evaluación general de riesgos.</w:t>
      </w:r>
    </w:p>
    <w:p w14:paraId="25C04C83" w14:textId="15B79AA7" w:rsidR="23F620A6" w:rsidRPr="00DB127A" w:rsidRDefault="00BB7464" w:rsidP="00DB127A">
      <w:pPr>
        <w:shd w:val="clear" w:color="auto" w:fill="FFFFFF" w:themeFill="background1"/>
        <w:spacing w:before="100" w:beforeAutospacing="1" w:after="0" w:line="240" w:lineRule="auto"/>
        <w:jc w:val="both"/>
        <w:textAlignment w:val="top"/>
        <w:rPr>
          <w:rFonts w:eastAsia="Times New Roman"/>
        </w:rPr>
      </w:pPr>
      <w:r w:rsidRPr="23F620A6">
        <w:rPr>
          <w:b/>
          <w:bCs/>
        </w:rPr>
        <w:t>Disposiciones para el cierre y la estrategia de salida</w:t>
      </w:r>
    </w:p>
    <w:p w14:paraId="59AD09B2" w14:textId="77777777" w:rsidR="00BB7464" w:rsidRPr="00A37B2A" w:rsidRDefault="00BB7464" w:rsidP="23F620A6">
      <w:pPr>
        <w:pStyle w:val="ListParagraph"/>
        <w:numPr>
          <w:ilvl w:val="0"/>
          <w:numId w:val="18"/>
        </w:numPr>
        <w:shd w:val="clear" w:color="auto" w:fill="FFFFFF"/>
        <w:spacing w:before="100" w:beforeAutospacing="1" w:after="0" w:line="240" w:lineRule="auto"/>
        <w:jc w:val="both"/>
        <w:textAlignment w:val="top"/>
        <w:rPr>
          <w:rFonts w:eastAsia="Times New Roman"/>
        </w:rPr>
      </w:pPr>
      <w:r>
        <w:t xml:space="preserve">El paso final de la fase de diseño es la definición de una disposición basada en criterios o en el tiempo para el cierre de la oficina (cláusula de extinción), acompañada por una estrategia de salida que proporcione instrucciones sobre la gestión de personal y recursos, en especial los siguientes: reubicación de personal, rescisión de contratos (cuando sea necesario), transferencia o reubicación de recursos y protección de los expedientes y registros oficiales de la oficina. </w:t>
      </w:r>
    </w:p>
    <w:p w14:paraId="5E59CB80" w14:textId="77777777" w:rsidR="00A37B2A" w:rsidRPr="00A37B2A"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35E0E589" w14:textId="77777777" w:rsidR="00BB7464" w:rsidRPr="00A37B2A" w:rsidRDefault="00BB7464" w:rsidP="23F620A6">
      <w:pPr>
        <w:pStyle w:val="ListParagraph"/>
        <w:numPr>
          <w:ilvl w:val="0"/>
          <w:numId w:val="18"/>
        </w:numPr>
        <w:shd w:val="clear" w:color="auto" w:fill="FFFFFF"/>
        <w:spacing w:before="100" w:beforeAutospacing="1" w:after="0" w:line="240" w:lineRule="auto"/>
        <w:jc w:val="both"/>
        <w:textAlignment w:val="top"/>
        <w:rPr>
          <w:rFonts w:eastAsia="Times New Roman"/>
        </w:rPr>
      </w:pPr>
      <w:r>
        <w:t xml:space="preserve">El personal directivo superior comunicará las disposiciones para el cierre y la estrategia de salida relacionada, incluidas las funciones y responsabilidades, a todo el personal involucrado durante el establecimiento de la presencia. </w:t>
      </w:r>
    </w:p>
    <w:p w14:paraId="0FD2922A" w14:textId="77777777" w:rsidR="00A37B2A" w:rsidRPr="00A37B2A" w:rsidRDefault="00A37B2A" w:rsidP="00A37B2A">
      <w:pPr>
        <w:pStyle w:val="ListParagraph"/>
        <w:shd w:val="clear" w:color="auto" w:fill="FFFFFF"/>
        <w:spacing w:before="100" w:beforeAutospacing="1" w:after="0" w:line="240" w:lineRule="auto"/>
        <w:jc w:val="both"/>
        <w:textAlignment w:val="top"/>
        <w:rPr>
          <w:rFonts w:eastAsia="Times New Roman" w:cstheme="minorHAnsi"/>
        </w:rPr>
      </w:pPr>
    </w:p>
    <w:p w14:paraId="1C3DFD1F" w14:textId="77777777" w:rsidR="00BB7464" w:rsidRPr="00A37B2A" w:rsidRDefault="00BB7464" w:rsidP="23F620A6">
      <w:pPr>
        <w:pStyle w:val="ListParagraph"/>
        <w:numPr>
          <w:ilvl w:val="0"/>
          <w:numId w:val="18"/>
        </w:numPr>
        <w:shd w:val="clear" w:color="auto" w:fill="FFFFFF"/>
        <w:spacing w:before="100" w:beforeAutospacing="1" w:after="0" w:line="240" w:lineRule="auto"/>
        <w:jc w:val="both"/>
        <w:textAlignment w:val="top"/>
        <w:rPr>
          <w:rFonts w:eastAsia="Times New Roman"/>
        </w:rPr>
      </w:pPr>
      <w:r>
        <w:t xml:space="preserve">En casos excepcionales en los que se espera que la presencia local permanezca establecida durante un plazo mayor y en los que no pueden definirse disposiciones para el cierre basadas en criterios o en el tiempo, una estrategia de sostenibilidad reemplaza a la estrategia de salida. Es necesario que el Buró Regional apruebe la estrategia de sostenibilidad.  </w:t>
      </w:r>
    </w:p>
    <w:p w14:paraId="11245A04" w14:textId="77777777" w:rsidR="00BB7464" w:rsidRPr="00A37B2A" w:rsidRDefault="00BB7464" w:rsidP="00A37B2A">
      <w:pPr>
        <w:shd w:val="clear" w:color="auto" w:fill="FFFFFF"/>
        <w:spacing w:after="0" w:line="240" w:lineRule="auto"/>
        <w:jc w:val="both"/>
        <w:textAlignment w:val="top"/>
        <w:rPr>
          <w:rFonts w:eastAsia="Times New Roman" w:cstheme="minorHAnsi"/>
          <w:color w:val="333333"/>
        </w:rPr>
      </w:pPr>
    </w:p>
    <w:p w14:paraId="0F1D4E59" w14:textId="3B026CB1" w:rsidR="00A37B2A" w:rsidRDefault="00A37B2A" w:rsidP="00A37B2A">
      <w:pPr>
        <w:shd w:val="clear" w:color="auto" w:fill="FFFFFF"/>
        <w:spacing w:after="0" w:line="240" w:lineRule="auto"/>
        <w:jc w:val="both"/>
        <w:textAlignment w:val="top"/>
      </w:pPr>
      <w:bookmarkStart w:id="0" w:name="FlowChart"/>
      <w:bookmarkEnd w:id="0"/>
    </w:p>
    <w:p w14:paraId="14FCEDEC" w14:textId="77777777" w:rsidR="00DB127A" w:rsidRDefault="00DB127A" w:rsidP="00A37B2A">
      <w:pPr>
        <w:shd w:val="clear" w:color="auto" w:fill="FFFFFF"/>
        <w:spacing w:after="0" w:line="240" w:lineRule="auto"/>
        <w:jc w:val="both"/>
        <w:textAlignment w:val="top"/>
      </w:pPr>
    </w:p>
    <w:p w14:paraId="72537576" w14:textId="3FB4C52C" w:rsidR="00BB7464" w:rsidRDefault="00000000" w:rsidP="00A37B2A">
      <w:pPr>
        <w:shd w:val="clear" w:color="auto" w:fill="FFFFFF"/>
        <w:spacing w:after="0" w:line="240" w:lineRule="auto"/>
        <w:jc w:val="both"/>
        <w:textAlignment w:val="top"/>
        <w:rPr>
          <w:rFonts w:eastAsia="Times New Roman" w:cstheme="minorHAnsi"/>
          <w:color w:val="0072BC"/>
        </w:rPr>
      </w:pPr>
      <w:hyperlink r:id="rId18" w:history="1">
        <w:r w:rsidR="00525EF0">
          <w:rPr>
            <w:rStyle w:val="Hyperlink"/>
          </w:rPr>
          <w:t>Nota orientativa para el establecimiento de presencias con apoyo del PNUD fuera de la oficina de país</w:t>
        </w:r>
      </w:hyperlink>
    </w:p>
    <w:p w14:paraId="06CE1480" w14:textId="77777777" w:rsidR="0019789C" w:rsidRDefault="0019789C" w:rsidP="00A37B2A">
      <w:pPr>
        <w:shd w:val="clear" w:color="auto" w:fill="FFFFFF"/>
        <w:spacing w:after="0" w:line="240" w:lineRule="auto"/>
        <w:jc w:val="both"/>
        <w:textAlignment w:val="top"/>
        <w:rPr>
          <w:rFonts w:eastAsia="Times New Roman" w:cstheme="minorHAnsi"/>
          <w:color w:val="0072BC"/>
        </w:rPr>
      </w:pPr>
    </w:p>
    <w:p w14:paraId="2AF523E1" w14:textId="0236BC9F" w:rsidR="0019789C" w:rsidRPr="0019789C" w:rsidRDefault="00000000" w:rsidP="00587697">
      <w:pPr>
        <w:pStyle w:val="ListParagraph"/>
        <w:numPr>
          <w:ilvl w:val="1"/>
          <w:numId w:val="25"/>
        </w:numPr>
        <w:shd w:val="clear" w:color="auto" w:fill="FFFFFF"/>
        <w:spacing w:after="0" w:line="240" w:lineRule="auto"/>
        <w:ind w:left="993"/>
        <w:jc w:val="both"/>
        <w:textAlignment w:val="top"/>
        <w:rPr>
          <w:rFonts w:eastAsia="Times New Roman" w:cstheme="minorHAnsi"/>
          <w:color w:val="333333"/>
        </w:rPr>
      </w:pPr>
      <w:hyperlink r:id="rId19" w:history="1">
        <w:r w:rsidR="00525EF0">
          <w:rPr>
            <w:rStyle w:val="Hyperlink"/>
          </w:rPr>
          <w:t>Modelo de estudio de viabilidad</w:t>
        </w:r>
      </w:hyperlink>
    </w:p>
    <w:p w14:paraId="196E3D1E" w14:textId="08EED7D0" w:rsidR="0019789C" w:rsidRPr="0019789C" w:rsidRDefault="00000000" w:rsidP="00587697">
      <w:pPr>
        <w:pStyle w:val="ListParagraph"/>
        <w:numPr>
          <w:ilvl w:val="1"/>
          <w:numId w:val="25"/>
        </w:numPr>
        <w:shd w:val="clear" w:color="auto" w:fill="FFFFFF"/>
        <w:spacing w:after="0" w:line="240" w:lineRule="auto"/>
        <w:ind w:left="993"/>
        <w:jc w:val="both"/>
        <w:textAlignment w:val="top"/>
        <w:rPr>
          <w:rFonts w:eastAsia="Times New Roman" w:cstheme="minorHAnsi"/>
          <w:color w:val="333333"/>
        </w:rPr>
      </w:pPr>
      <w:hyperlink r:id="rId20" w:history="1">
        <w:r w:rsidR="00525EF0">
          <w:rPr>
            <w:rStyle w:val="Hyperlink"/>
          </w:rPr>
          <w:t>Modelo para la delegación de autoridad</w:t>
        </w:r>
      </w:hyperlink>
    </w:p>
    <w:p w14:paraId="352B5B3A" w14:textId="4DD9F4F2" w:rsidR="0019789C" w:rsidRPr="0019789C" w:rsidRDefault="00000000" w:rsidP="00587697">
      <w:pPr>
        <w:pStyle w:val="ListParagraph"/>
        <w:numPr>
          <w:ilvl w:val="1"/>
          <w:numId w:val="25"/>
        </w:numPr>
        <w:shd w:val="clear" w:color="auto" w:fill="FFFFFF"/>
        <w:spacing w:after="0" w:line="240" w:lineRule="auto"/>
        <w:ind w:left="993"/>
        <w:jc w:val="both"/>
        <w:textAlignment w:val="top"/>
        <w:rPr>
          <w:rFonts w:eastAsia="Times New Roman" w:cstheme="minorHAnsi"/>
          <w:color w:val="333333"/>
        </w:rPr>
      </w:pPr>
      <w:hyperlink r:id="rId21" w:history="1">
        <w:r w:rsidR="00525EF0">
          <w:rPr>
            <w:rStyle w:val="Hyperlink"/>
          </w:rPr>
          <w:t>Modelo de presupuesto</w:t>
        </w:r>
      </w:hyperlink>
    </w:p>
    <w:p w14:paraId="5B5783CE" w14:textId="3D96C318" w:rsidR="0019789C" w:rsidRPr="0019789C" w:rsidRDefault="00000000" w:rsidP="00587697">
      <w:pPr>
        <w:pStyle w:val="ListParagraph"/>
        <w:numPr>
          <w:ilvl w:val="1"/>
          <w:numId w:val="25"/>
        </w:numPr>
        <w:shd w:val="clear" w:color="auto" w:fill="FFFFFF"/>
        <w:spacing w:after="0" w:line="240" w:lineRule="auto"/>
        <w:ind w:left="993"/>
        <w:jc w:val="both"/>
        <w:textAlignment w:val="top"/>
        <w:rPr>
          <w:rFonts w:eastAsia="Times New Roman" w:cstheme="minorHAnsi"/>
          <w:color w:val="333333"/>
        </w:rPr>
      </w:pPr>
      <w:hyperlink r:id="rId22" w:history="1">
        <w:r w:rsidR="00525EF0">
          <w:rPr>
            <w:rStyle w:val="Hyperlink"/>
          </w:rPr>
          <w:t>Modelo de modalidad de financiación</w:t>
        </w:r>
      </w:hyperlink>
    </w:p>
    <w:p w14:paraId="47685778" w14:textId="5BC73C72" w:rsidR="0019789C" w:rsidRPr="008C2E2F" w:rsidRDefault="00000000" w:rsidP="00587697">
      <w:pPr>
        <w:pStyle w:val="ListParagraph"/>
        <w:numPr>
          <w:ilvl w:val="1"/>
          <w:numId w:val="25"/>
        </w:numPr>
        <w:shd w:val="clear" w:color="auto" w:fill="FFFFFF"/>
        <w:spacing w:after="0" w:line="240" w:lineRule="auto"/>
        <w:ind w:left="993"/>
        <w:jc w:val="both"/>
        <w:textAlignment w:val="top"/>
        <w:rPr>
          <w:rFonts w:eastAsia="Times New Roman" w:cstheme="minorHAnsi"/>
          <w:color w:val="333333"/>
        </w:rPr>
      </w:pPr>
      <w:hyperlink r:id="rId23" w:history="1">
        <w:r w:rsidR="00525EF0">
          <w:rPr>
            <w:rStyle w:val="Hyperlink"/>
          </w:rPr>
          <w:t>Matriz de muestras de evaluación de riesgos</w:t>
        </w:r>
      </w:hyperlink>
    </w:p>
    <w:p w14:paraId="08F06413" w14:textId="0566BB42" w:rsidR="008C2E2F" w:rsidRPr="008C2E2F" w:rsidRDefault="00000000" w:rsidP="00587697">
      <w:pPr>
        <w:pStyle w:val="ListParagraph"/>
        <w:numPr>
          <w:ilvl w:val="1"/>
          <w:numId w:val="25"/>
        </w:numPr>
        <w:shd w:val="clear" w:color="auto" w:fill="FFFFFF"/>
        <w:spacing w:after="0" w:line="240" w:lineRule="auto"/>
        <w:ind w:left="993"/>
        <w:jc w:val="both"/>
        <w:textAlignment w:val="top"/>
        <w:rPr>
          <w:rFonts w:eastAsia="Times New Roman" w:cstheme="minorHAnsi"/>
          <w:color w:val="333333"/>
        </w:rPr>
      </w:pPr>
      <w:hyperlink r:id="rId24" w:history="1">
        <w:r w:rsidR="00525EF0">
          <w:rPr>
            <w:rStyle w:val="Hyperlink"/>
          </w:rPr>
          <w:t>Modelo de plan de cierre de la oficina</w:t>
        </w:r>
      </w:hyperlink>
    </w:p>
    <w:p w14:paraId="093BD957" w14:textId="440E59C2" w:rsidR="008C2E2F" w:rsidRDefault="008C2E2F" w:rsidP="00587697">
      <w:pPr>
        <w:shd w:val="clear" w:color="auto" w:fill="FFFFFF"/>
        <w:spacing w:after="0" w:line="240" w:lineRule="auto"/>
        <w:jc w:val="both"/>
        <w:textAlignment w:val="top"/>
        <w:rPr>
          <w:rFonts w:eastAsia="Times New Roman" w:cstheme="minorHAnsi"/>
          <w:color w:val="333333"/>
        </w:rPr>
      </w:pPr>
    </w:p>
    <w:p w14:paraId="75963EEA" w14:textId="1FF8963D" w:rsidR="00FA3C05" w:rsidRDefault="00FA3C05" w:rsidP="00587697">
      <w:pPr>
        <w:shd w:val="clear" w:color="auto" w:fill="FFFFFF"/>
        <w:spacing w:after="0" w:line="240" w:lineRule="auto"/>
        <w:jc w:val="both"/>
        <w:textAlignment w:val="top"/>
        <w:rPr>
          <w:rFonts w:eastAsia="Times New Roman" w:cstheme="minorHAnsi"/>
          <w:color w:val="333333"/>
        </w:rPr>
      </w:pPr>
    </w:p>
    <w:p w14:paraId="48173E7A" w14:textId="77777777" w:rsidR="00FA3C05" w:rsidRPr="00FA3C05" w:rsidRDefault="00FA3C05" w:rsidP="00FA3C05">
      <w:pPr>
        <w:pStyle w:val="NormalWeb"/>
        <w:shd w:val="clear" w:color="auto" w:fill="FFFFFF"/>
        <w:spacing w:before="0" w:beforeAutospacing="0" w:after="0" w:afterAutospacing="0"/>
        <w:jc w:val="center"/>
        <w:rPr>
          <w:rFonts w:ascii="Calibri" w:hAnsi="Calibri"/>
          <w:color w:val="201F1E"/>
          <w:sz w:val="23"/>
          <w:szCs w:val="23"/>
          <w:lang w:val="es-ES"/>
        </w:rPr>
      </w:pPr>
      <w:r>
        <w:rPr>
          <w:rFonts w:ascii="Calibri" w:hAnsi="Calibri"/>
          <w:i/>
          <w:iCs/>
          <w:color w:val="000000"/>
          <w:sz w:val="22"/>
          <w:szCs w:val="22"/>
          <w:bdr w:val="none" w:sz="0" w:space="0" w:color="auto" w:frame="1"/>
          <w:shd w:val="clear" w:color="auto" w:fill="FFFFFF"/>
          <w:lang w:val="es-ES_tradnl"/>
        </w:rPr>
        <w:t>Descargo de responsabilidad: esta es una traducción de un documento original en inglés. </w:t>
      </w:r>
      <w:r>
        <w:rPr>
          <w:rFonts w:ascii="Calibri" w:hAnsi="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1EA8661F" w14:textId="77777777" w:rsidR="00FA3C05" w:rsidRPr="00FA3C05" w:rsidRDefault="00FA3C05" w:rsidP="00587697">
      <w:pPr>
        <w:shd w:val="clear" w:color="auto" w:fill="FFFFFF"/>
        <w:spacing w:after="0" w:line="240" w:lineRule="auto"/>
        <w:jc w:val="both"/>
        <w:textAlignment w:val="top"/>
        <w:rPr>
          <w:rFonts w:eastAsia="Times New Roman" w:cstheme="minorHAnsi"/>
          <w:color w:val="333333"/>
        </w:rPr>
      </w:pPr>
    </w:p>
    <w:p w14:paraId="65C13333" w14:textId="39D6E9CE" w:rsidR="00BB7464" w:rsidRPr="00FA3C05" w:rsidRDefault="00BB7464" w:rsidP="002A5DEB">
      <w:pPr>
        <w:pStyle w:val="ListParagraph"/>
        <w:ind w:left="1440"/>
        <w:rPr>
          <w:vanish/>
        </w:rPr>
      </w:pPr>
      <w:bookmarkStart w:id="1" w:name="Deliverables"/>
      <w:bookmarkEnd w:id="1"/>
    </w:p>
    <w:sectPr w:rsidR="00BB7464" w:rsidRPr="00FA3C05">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3F680" w14:textId="77777777" w:rsidR="00DD79DD" w:rsidRDefault="00DD79DD" w:rsidP="00A37B2A">
      <w:pPr>
        <w:spacing w:after="0" w:line="240" w:lineRule="auto"/>
      </w:pPr>
      <w:r>
        <w:separator/>
      </w:r>
    </w:p>
  </w:endnote>
  <w:endnote w:type="continuationSeparator" w:id="0">
    <w:p w14:paraId="1B570A63" w14:textId="77777777" w:rsidR="00DD79DD" w:rsidRDefault="00DD79DD" w:rsidP="00A37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B72C" w14:textId="77777777" w:rsidR="006535F7" w:rsidRDefault="00653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5595" w14:textId="46742EFE" w:rsidR="00A37B2A" w:rsidRDefault="00525EF0">
    <w:pPr>
      <w:pStyle w:val="Footer"/>
    </w:pPr>
    <w:r>
      <w:t xml:space="preserve">Página </w:t>
    </w:r>
    <w:r>
      <w:rPr>
        <w:b/>
      </w:rPr>
      <w:fldChar w:fldCharType="begin"/>
    </w:r>
    <w:r>
      <w:rPr>
        <w:b/>
      </w:rPr>
      <w:instrText xml:space="preserve"> PAGE  \* Arabic  \* MERGEFORMAT </w:instrText>
    </w:r>
    <w:r>
      <w:rPr>
        <w:b/>
      </w:rPr>
      <w:fldChar w:fldCharType="separate"/>
    </w:r>
    <w:r w:rsidR="002A5DEB">
      <w:rPr>
        <w:b/>
        <w:noProof/>
      </w:rPr>
      <w:t>3</w:t>
    </w:r>
    <w:r>
      <w:rPr>
        <w:b/>
      </w:rPr>
      <w:fldChar w:fldCharType="end"/>
    </w:r>
    <w:r>
      <w:t xml:space="preserve"> de </w:t>
    </w:r>
    <w:r>
      <w:rPr>
        <w:b/>
      </w:rPr>
      <w:fldChar w:fldCharType="begin"/>
    </w:r>
    <w:r>
      <w:rPr>
        <w:b/>
      </w:rPr>
      <w:instrText xml:space="preserve"> NUMPAGES  \* Arabic  \* MERGEFORMAT </w:instrText>
    </w:r>
    <w:r>
      <w:rPr>
        <w:b/>
      </w:rPr>
      <w:fldChar w:fldCharType="separate"/>
    </w:r>
    <w:r w:rsidR="002A5DEB">
      <w:rPr>
        <w:b/>
        <w:noProof/>
      </w:rPr>
      <w:t>10</w:t>
    </w:r>
    <w:r>
      <w:rPr>
        <w:b/>
      </w:rPr>
      <w:fldChar w:fldCharType="end"/>
    </w:r>
    <w:r>
      <w:ptab w:relativeTo="margin" w:alignment="center" w:leader="none"/>
    </w:r>
    <w:r>
      <w:t xml:space="preserve">Fecha de entrada en vigor: </w:t>
    </w:r>
    <w:r w:rsidR="002E4896" w:rsidRPr="002E4896">
      <w:t>25/07/2016</w:t>
    </w:r>
    <w:r w:rsidR="002E4896" w:rsidRPr="002E4896">
      <w:t xml:space="preserve"> </w:t>
    </w:r>
    <w:r>
      <w:ptab w:relativeTo="margin" w:alignment="right" w:leader="none"/>
    </w:r>
    <w:r>
      <w:t>Versión n.º:</w:t>
    </w:r>
    <w:r w:rsidR="00157E0B">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C2F7" w14:textId="77777777" w:rsidR="006535F7" w:rsidRDefault="00653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A057A" w14:textId="77777777" w:rsidR="00DD79DD" w:rsidRDefault="00DD79DD" w:rsidP="00A37B2A">
      <w:pPr>
        <w:spacing w:after="0" w:line="240" w:lineRule="auto"/>
      </w:pPr>
      <w:r>
        <w:separator/>
      </w:r>
    </w:p>
  </w:footnote>
  <w:footnote w:type="continuationSeparator" w:id="0">
    <w:p w14:paraId="29519CFA" w14:textId="77777777" w:rsidR="00DD79DD" w:rsidRDefault="00DD79DD" w:rsidP="00A37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5D03B" w14:textId="77777777" w:rsidR="006535F7" w:rsidRDefault="00653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2A2F1" w14:textId="2D653977" w:rsidR="00525EF0" w:rsidRDefault="23F620A6" w:rsidP="00525EF0">
    <w:pPr>
      <w:pStyle w:val="Header"/>
      <w:jc w:val="right"/>
    </w:pPr>
    <w:r>
      <w:rPr>
        <w:noProof/>
      </w:rPr>
      <w:drawing>
        <wp:inline distT="0" distB="0" distL="0" distR="0" wp14:anchorId="1F5A5F47" wp14:editId="1D07F6C6">
          <wp:extent cx="304800" cy="582230"/>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r="-18" b="17172"/>
                  <a:stretch/>
                </pic:blipFill>
                <pic:spPr bwMode="auto">
                  <a:xfrm>
                    <a:off x="0" y="0"/>
                    <a:ext cx="304855" cy="582335"/>
                  </a:xfrm>
                  <a:prstGeom prst="rect">
                    <a:avLst/>
                  </a:prstGeom>
                  <a:ln>
                    <a:noFill/>
                  </a:ln>
                  <a:extLst>
                    <a:ext uri="{53640926-AAD7-44D8-BBD7-CCE9431645EC}">
                      <a14:shadowObscured xmlns:a14="http://schemas.microsoft.com/office/drawing/2010/main"/>
                    </a:ext>
                  </a:extLst>
                </pic:spPr>
              </pic:pic>
            </a:graphicData>
          </a:graphic>
        </wp:inline>
      </w:drawing>
    </w:r>
  </w:p>
  <w:p w14:paraId="2181F002" w14:textId="77777777" w:rsidR="00525EF0" w:rsidRDefault="00525EF0" w:rsidP="00525EF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DE72" w14:textId="77777777" w:rsidR="006535F7" w:rsidRDefault="00653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632"/>
    <w:multiLevelType w:val="multilevel"/>
    <w:tmpl w:val="40C89F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1" w15:restartNumberingAfterBreak="0">
    <w:nsid w:val="051F29A5"/>
    <w:multiLevelType w:val="multilevel"/>
    <w:tmpl w:val="D38E7A14"/>
    <w:lvl w:ilvl="0">
      <w:start w:val="1"/>
      <w:numFmt w:val="lowerLetter"/>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072A73ED"/>
    <w:multiLevelType w:val="hybridMultilevel"/>
    <w:tmpl w:val="708E6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E87DF3"/>
    <w:multiLevelType w:val="hybridMultilevel"/>
    <w:tmpl w:val="537877DC"/>
    <w:lvl w:ilvl="0" w:tplc="A26C89EA">
      <w:numFmt w:val="bullet"/>
      <w:lvlText w:val="•"/>
      <w:lvlJc w:val="left"/>
      <w:pPr>
        <w:ind w:left="1080" w:hanging="72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280234"/>
    <w:multiLevelType w:val="multilevel"/>
    <w:tmpl w:val="5B5E8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333332"/>
    <w:multiLevelType w:val="multilevel"/>
    <w:tmpl w:val="6458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D26CC2"/>
    <w:multiLevelType w:val="multilevel"/>
    <w:tmpl w:val="1A2C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207FA"/>
    <w:multiLevelType w:val="multilevel"/>
    <w:tmpl w:val="49B0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DD2156"/>
    <w:multiLevelType w:val="hybridMultilevel"/>
    <w:tmpl w:val="30E04F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E6551B"/>
    <w:multiLevelType w:val="hybridMultilevel"/>
    <w:tmpl w:val="7446F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2A1A06"/>
    <w:multiLevelType w:val="multilevel"/>
    <w:tmpl w:val="361A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64651B"/>
    <w:multiLevelType w:val="multilevel"/>
    <w:tmpl w:val="F92808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0D6110"/>
    <w:multiLevelType w:val="multilevel"/>
    <w:tmpl w:val="F440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72714D"/>
    <w:multiLevelType w:val="multilevel"/>
    <w:tmpl w:val="E258E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B621F6"/>
    <w:multiLevelType w:val="hybridMultilevel"/>
    <w:tmpl w:val="E4B21EF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E0F663B"/>
    <w:multiLevelType w:val="multilevel"/>
    <w:tmpl w:val="523068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FEE164F"/>
    <w:multiLevelType w:val="multilevel"/>
    <w:tmpl w:val="25465678"/>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o"/>
      <w:lvlJc w:val="left"/>
      <w:pPr>
        <w:tabs>
          <w:tab w:val="num" w:pos="900"/>
        </w:tabs>
        <w:ind w:left="900" w:hanging="360"/>
      </w:pPr>
      <w:rPr>
        <w:rFonts w:ascii="Courier New" w:hAnsi="Courier New" w:hint="default"/>
        <w:sz w:val="20"/>
      </w:rPr>
    </w:lvl>
    <w:lvl w:ilvl="2" w:tentative="1">
      <w:start w:val="1"/>
      <w:numFmt w:val="bullet"/>
      <w:lvlText w:val=""/>
      <w:lvlJc w:val="left"/>
      <w:pPr>
        <w:tabs>
          <w:tab w:val="num" w:pos="1620"/>
        </w:tabs>
        <w:ind w:left="1620" w:hanging="360"/>
      </w:pPr>
      <w:rPr>
        <w:rFonts w:ascii="Wingdings" w:hAnsi="Wingdings" w:hint="default"/>
        <w:sz w:val="20"/>
      </w:rPr>
    </w:lvl>
    <w:lvl w:ilvl="3" w:tentative="1">
      <w:start w:val="1"/>
      <w:numFmt w:val="bullet"/>
      <w:lvlText w:val=""/>
      <w:lvlJc w:val="left"/>
      <w:pPr>
        <w:tabs>
          <w:tab w:val="num" w:pos="2340"/>
        </w:tabs>
        <w:ind w:left="2340" w:hanging="360"/>
      </w:pPr>
      <w:rPr>
        <w:rFonts w:ascii="Wingdings" w:hAnsi="Wingdings" w:hint="default"/>
        <w:sz w:val="20"/>
      </w:rPr>
    </w:lvl>
    <w:lvl w:ilvl="4" w:tentative="1">
      <w:start w:val="1"/>
      <w:numFmt w:val="bullet"/>
      <w:lvlText w:val=""/>
      <w:lvlJc w:val="left"/>
      <w:pPr>
        <w:tabs>
          <w:tab w:val="num" w:pos="3060"/>
        </w:tabs>
        <w:ind w:left="3060" w:hanging="360"/>
      </w:pPr>
      <w:rPr>
        <w:rFonts w:ascii="Wingdings" w:hAnsi="Wingdings" w:hint="default"/>
        <w:sz w:val="20"/>
      </w:rPr>
    </w:lvl>
    <w:lvl w:ilvl="5" w:tentative="1">
      <w:start w:val="1"/>
      <w:numFmt w:val="bullet"/>
      <w:lvlText w:val=""/>
      <w:lvlJc w:val="left"/>
      <w:pPr>
        <w:tabs>
          <w:tab w:val="num" w:pos="3780"/>
        </w:tabs>
        <w:ind w:left="3780" w:hanging="360"/>
      </w:pPr>
      <w:rPr>
        <w:rFonts w:ascii="Wingdings" w:hAnsi="Wingdings" w:hint="default"/>
        <w:sz w:val="20"/>
      </w:rPr>
    </w:lvl>
    <w:lvl w:ilvl="6" w:tentative="1">
      <w:start w:val="1"/>
      <w:numFmt w:val="bullet"/>
      <w:lvlText w:val=""/>
      <w:lvlJc w:val="left"/>
      <w:pPr>
        <w:tabs>
          <w:tab w:val="num" w:pos="4500"/>
        </w:tabs>
        <w:ind w:left="4500" w:hanging="360"/>
      </w:pPr>
      <w:rPr>
        <w:rFonts w:ascii="Wingdings" w:hAnsi="Wingdings" w:hint="default"/>
        <w:sz w:val="20"/>
      </w:rPr>
    </w:lvl>
    <w:lvl w:ilvl="7" w:tentative="1">
      <w:start w:val="1"/>
      <w:numFmt w:val="bullet"/>
      <w:lvlText w:val=""/>
      <w:lvlJc w:val="left"/>
      <w:pPr>
        <w:tabs>
          <w:tab w:val="num" w:pos="5220"/>
        </w:tabs>
        <w:ind w:left="5220" w:hanging="360"/>
      </w:pPr>
      <w:rPr>
        <w:rFonts w:ascii="Wingdings" w:hAnsi="Wingdings" w:hint="default"/>
        <w:sz w:val="20"/>
      </w:rPr>
    </w:lvl>
    <w:lvl w:ilvl="8" w:tentative="1">
      <w:start w:val="1"/>
      <w:numFmt w:val="bullet"/>
      <w:lvlText w:val=""/>
      <w:lvlJc w:val="left"/>
      <w:pPr>
        <w:tabs>
          <w:tab w:val="num" w:pos="5940"/>
        </w:tabs>
        <w:ind w:left="5940" w:hanging="360"/>
      </w:pPr>
      <w:rPr>
        <w:rFonts w:ascii="Wingdings" w:hAnsi="Wingdings" w:hint="default"/>
        <w:sz w:val="20"/>
      </w:rPr>
    </w:lvl>
  </w:abstractNum>
  <w:abstractNum w:abstractNumId="17" w15:restartNumberingAfterBreak="0">
    <w:nsid w:val="560F43F0"/>
    <w:multiLevelType w:val="multilevel"/>
    <w:tmpl w:val="18889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573945"/>
    <w:multiLevelType w:val="hybridMultilevel"/>
    <w:tmpl w:val="97983BCE"/>
    <w:lvl w:ilvl="0" w:tplc="307444C6">
      <w:start w:val="1"/>
      <w:numFmt w:val="bullet"/>
      <w:lvlText w:val=""/>
      <w:lvlJc w:val="left"/>
      <w:pPr>
        <w:tabs>
          <w:tab w:val="num" w:pos="720"/>
        </w:tabs>
        <w:ind w:left="720" w:hanging="360"/>
      </w:pPr>
      <w:rPr>
        <w:rFonts w:ascii="Symbol" w:hAnsi="Symbol" w:hint="default"/>
        <w:sz w:val="20"/>
      </w:rPr>
    </w:lvl>
    <w:lvl w:ilvl="1" w:tplc="DAB8724E" w:tentative="1">
      <w:start w:val="1"/>
      <w:numFmt w:val="bullet"/>
      <w:lvlText w:val="o"/>
      <w:lvlJc w:val="left"/>
      <w:pPr>
        <w:tabs>
          <w:tab w:val="num" w:pos="1440"/>
        </w:tabs>
        <w:ind w:left="1440" w:hanging="360"/>
      </w:pPr>
      <w:rPr>
        <w:rFonts w:ascii="Courier New" w:hAnsi="Courier New" w:hint="default"/>
        <w:sz w:val="20"/>
      </w:rPr>
    </w:lvl>
    <w:lvl w:ilvl="2" w:tplc="A4F850A4" w:tentative="1">
      <w:start w:val="1"/>
      <w:numFmt w:val="bullet"/>
      <w:lvlText w:val=""/>
      <w:lvlJc w:val="left"/>
      <w:pPr>
        <w:tabs>
          <w:tab w:val="num" w:pos="2160"/>
        </w:tabs>
        <w:ind w:left="2160" w:hanging="360"/>
      </w:pPr>
      <w:rPr>
        <w:rFonts w:ascii="Wingdings" w:hAnsi="Wingdings" w:hint="default"/>
        <w:sz w:val="20"/>
      </w:rPr>
    </w:lvl>
    <w:lvl w:ilvl="3" w:tplc="2776390C" w:tentative="1">
      <w:start w:val="1"/>
      <w:numFmt w:val="bullet"/>
      <w:lvlText w:val=""/>
      <w:lvlJc w:val="left"/>
      <w:pPr>
        <w:tabs>
          <w:tab w:val="num" w:pos="2880"/>
        </w:tabs>
        <w:ind w:left="2880" w:hanging="360"/>
      </w:pPr>
      <w:rPr>
        <w:rFonts w:ascii="Wingdings" w:hAnsi="Wingdings" w:hint="default"/>
        <w:sz w:val="20"/>
      </w:rPr>
    </w:lvl>
    <w:lvl w:ilvl="4" w:tplc="11F07A70" w:tentative="1">
      <w:start w:val="1"/>
      <w:numFmt w:val="bullet"/>
      <w:lvlText w:val=""/>
      <w:lvlJc w:val="left"/>
      <w:pPr>
        <w:tabs>
          <w:tab w:val="num" w:pos="3600"/>
        </w:tabs>
        <w:ind w:left="3600" w:hanging="360"/>
      </w:pPr>
      <w:rPr>
        <w:rFonts w:ascii="Wingdings" w:hAnsi="Wingdings" w:hint="default"/>
        <w:sz w:val="20"/>
      </w:rPr>
    </w:lvl>
    <w:lvl w:ilvl="5" w:tplc="BB4038CC" w:tentative="1">
      <w:start w:val="1"/>
      <w:numFmt w:val="bullet"/>
      <w:lvlText w:val=""/>
      <w:lvlJc w:val="left"/>
      <w:pPr>
        <w:tabs>
          <w:tab w:val="num" w:pos="4320"/>
        </w:tabs>
        <w:ind w:left="4320" w:hanging="360"/>
      </w:pPr>
      <w:rPr>
        <w:rFonts w:ascii="Wingdings" w:hAnsi="Wingdings" w:hint="default"/>
        <w:sz w:val="20"/>
      </w:rPr>
    </w:lvl>
    <w:lvl w:ilvl="6" w:tplc="54023C02" w:tentative="1">
      <w:start w:val="1"/>
      <w:numFmt w:val="bullet"/>
      <w:lvlText w:val=""/>
      <w:lvlJc w:val="left"/>
      <w:pPr>
        <w:tabs>
          <w:tab w:val="num" w:pos="5040"/>
        </w:tabs>
        <w:ind w:left="5040" w:hanging="360"/>
      </w:pPr>
      <w:rPr>
        <w:rFonts w:ascii="Wingdings" w:hAnsi="Wingdings" w:hint="default"/>
        <w:sz w:val="20"/>
      </w:rPr>
    </w:lvl>
    <w:lvl w:ilvl="7" w:tplc="8D8CA1B6" w:tentative="1">
      <w:start w:val="1"/>
      <w:numFmt w:val="bullet"/>
      <w:lvlText w:val=""/>
      <w:lvlJc w:val="left"/>
      <w:pPr>
        <w:tabs>
          <w:tab w:val="num" w:pos="5760"/>
        </w:tabs>
        <w:ind w:left="5760" w:hanging="360"/>
      </w:pPr>
      <w:rPr>
        <w:rFonts w:ascii="Wingdings" w:hAnsi="Wingdings" w:hint="default"/>
        <w:sz w:val="20"/>
      </w:rPr>
    </w:lvl>
    <w:lvl w:ilvl="8" w:tplc="7186BDBA"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5A73C1"/>
    <w:multiLevelType w:val="hybridMultilevel"/>
    <w:tmpl w:val="23E214D6"/>
    <w:lvl w:ilvl="0" w:tplc="D7D6E60C">
      <w:start w:val="1"/>
      <w:numFmt w:val="bullet"/>
      <w:lvlText w:val=""/>
      <w:lvlJc w:val="left"/>
      <w:pPr>
        <w:tabs>
          <w:tab w:val="num" w:pos="720"/>
        </w:tabs>
        <w:ind w:left="720" w:hanging="360"/>
      </w:pPr>
      <w:rPr>
        <w:rFonts w:ascii="Symbol" w:hAnsi="Symbol" w:hint="default"/>
        <w:sz w:val="20"/>
      </w:rPr>
    </w:lvl>
    <w:lvl w:ilvl="1" w:tplc="D7902A54" w:tentative="1">
      <w:start w:val="1"/>
      <w:numFmt w:val="bullet"/>
      <w:lvlText w:val="o"/>
      <w:lvlJc w:val="left"/>
      <w:pPr>
        <w:tabs>
          <w:tab w:val="num" w:pos="1440"/>
        </w:tabs>
        <w:ind w:left="1440" w:hanging="360"/>
      </w:pPr>
      <w:rPr>
        <w:rFonts w:ascii="Courier New" w:hAnsi="Courier New" w:hint="default"/>
        <w:sz w:val="20"/>
      </w:rPr>
    </w:lvl>
    <w:lvl w:ilvl="2" w:tplc="373C775E" w:tentative="1">
      <w:start w:val="1"/>
      <w:numFmt w:val="bullet"/>
      <w:lvlText w:val=""/>
      <w:lvlJc w:val="left"/>
      <w:pPr>
        <w:tabs>
          <w:tab w:val="num" w:pos="2160"/>
        </w:tabs>
        <w:ind w:left="2160" w:hanging="360"/>
      </w:pPr>
      <w:rPr>
        <w:rFonts w:ascii="Wingdings" w:hAnsi="Wingdings" w:hint="default"/>
        <w:sz w:val="20"/>
      </w:rPr>
    </w:lvl>
    <w:lvl w:ilvl="3" w:tplc="E9AAC36E" w:tentative="1">
      <w:start w:val="1"/>
      <w:numFmt w:val="bullet"/>
      <w:lvlText w:val=""/>
      <w:lvlJc w:val="left"/>
      <w:pPr>
        <w:tabs>
          <w:tab w:val="num" w:pos="2880"/>
        </w:tabs>
        <w:ind w:left="2880" w:hanging="360"/>
      </w:pPr>
      <w:rPr>
        <w:rFonts w:ascii="Wingdings" w:hAnsi="Wingdings" w:hint="default"/>
        <w:sz w:val="20"/>
      </w:rPr>
    </w:lvl>
    <w:lvl w:ilvl="4" w:tplc="E9E81626" w:tentative="1">
      <w:start w:val="1"/>
      <w:numFmt w:val="bullet"/>
      <w:lvlText w:val=""/>
      <w:lvlJc w:val="left"/>
      <w:pPr>
        <w:tabs>
          <w:tab w:val="num" w:pos="3600"/>
        </w:tabs>
        <w:ind w:left="3600" w:hanging="360"/>
      </w:pPr>
      <w:rPr>
        <w:rFonts w:ascii="Wingdings" w:hAnsi="Wingdings" w:hint="default"/>
        <w:sz w:val="20"/>
      </w:rPr>
    </w:lvl>
    <w:lvl w:ilvl="5" w:tplc="0C8249E0" w:tentative="1">
      <w:start w:val="1"/>
      <w:numFmt w:val="bullet"/>
      <w:lvlText w:val=""/>
      <w:lvlJc w:val="left"/>
      <w:pPr>
        <w:tabs>
          <w:tab w:val="num" w:pos="4320"/>
        </w:tabs>
        <w:ind w:left="4320" w:hanging="360"/>
      </w:pPr>
      <w:rPr>
        <w:rFonts w:ascii="Wingdings" w:hAnsi="Wingdings" w:hint="default"/>
        <w:sz w:val="20"/>
      </w:rPr>
    </w:lvl>
    <w:lvl w:ilvl="6" w:tplc="7B1C7540" w:tentative="1">
      <w:start w:val="1"/>
      <w:numFmt w:val="bullet"/>
      <w:lvlText w:val=""/>
      <w:lvlJc w:val="left"/>
      <w:pPr>
        <w:tabs>
          <w:tab w:val="num" w:pos="5040"/>
        </w:tabs>
        <w:ind w:left="5040" w:hanging="360"/>
      </w:pPr>
      <w:rPr>
        <w:rFonts w:ascii="Wingdings" w:hAnsi="Wingdings" w:hint="default"/>
        <w:sz w:val="20"/>
      </w:rPr>
    </w:lvl>
    <w:lvl w:ilvl="7" w:tplc="B0C04DCA" w:tentative="1">
      <w:start w:val="1"/>
      <w:numFmt w:val="bullet"/>
      <w:lvlText w:val=""/>
      <w:lvlJc w:val="left"/>
      <w:pPr>
        <w:tabs>
          <w:tab w:val="num" w:pos="5760"/>
        </w:tabs>
        <w:ind w:left="5760" w:hanging="360"/>
      </w:pPr>
      <w:rPr>
        <w:rFonts w:ascii="Wingdings" w:hAnsi="Wingdings" w:hint="default"/>
        <w:sz w:val="20"/>
      </w:rPr>
    </w:lvl>
    <w:lvl w:ilvl="8" w:tplc="9ABCB820"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CA301E"/>
    <w:multiLevelType w:val="hybridMultilevel"/>
    <w:tmpl w:val="5DB2FDF2"/>
    <w:lvl w:ilvl="0" w:tplc="720A7FD8">
      <w:start w:val="1"/>
      <w:numFmt w:val="bullet"/>
      <w:lvlText w:val=""/>
      <w:lvlJc w:val="left"/>
      <w:pPr>
        <w:tabs>
          <w:tab w:val="num" w:pos="720"/>
        </w:tabs>
        <w:ind w:left="720" w:hanging="360"/>
      </w:pPr>
      <w:rPr>
        <w:rFonts w:ascii="Symbol" w:hAnsi="Symbol" w:hint="default"/>
        <w:sz w:val="20"/>
      </w:rPr>
    </w:lvl>
    <w:lvl w:ilvl="1" w:tplc="1986B364" w:tentative="1">
      <w:start w:val="1"/>
      <w:numFmt w:val="bullet"/>
      <w:lvlText w:val="o"/>
      <w:lvlJc w:val="left"/>
      <w:pPr>
        <w:tabs>
          <w:tab w:val="num" w:pos="1440"/>
        </w:tabs>
        <w:ind w:left="1440" w:hanging="360"/>
      </w:pPr>
      <w:rPr>
        <w:rFonts w:ascii="Courier New" w:hAnsi="Courier New" w:hint="default"/>
        <w:sz w:val="20"/>
      </w:rPr>
    </w:lvl>
    <w:lvl w:ilvl="2" w:tplc="95B02EC2" w:tentative="1">
      <w:start w:val="1"/>
      <w:numFmt w:val="bullet"/>
      <w:lvlText w:val=""/>
      <w:lvlJc w:val="left"/>
      <w:pPr>
        <w:tabs>
          <w:tab w:val="num" w:pos="2160"/>
        </w:tabs>
        <w:ind w:left="2160" w:hanging="360"/>
      </w:pPr>
      <w:rPr>
        <w:rFonts w:ascii="Wingdings" w:hAnsi="Wingdings" w:hint="default"/>
        <w:sz w:val="20"/>
      </w:rPr>
    </w:lvl>
    <w:lvl w:ilvl="3" w:tplc="1C949C32" w:tentative="1">
      <w:start w:val="1"/>
      <w:numFmt w:val="bullet"/>
      <w:lvlText w:val=""/>
      <w:lvlJc w:val="left"/>
      <w:pPr>
        <w:tabs>
          <w:tab w:val="num" w:pos="2880"/>
        </w:tabs>
        <w:ind w:left="2880" w:hanging="360"/>
      </w:pPr>
      <w:rPr>
        <w:rFonts w:ascii="Wingdings" w:hAnsi="Wingdings" w:hint="default"/>
        <w:sz w:val="20"/>
      </w:rPr>
    </w:lvl>
    <w:lvl w:ilvl="4" w:tplc="AE0221CC" w:tentative="1">
      <w:start w:val="1"/>
      <w:numFmt w:val="bullet"/>
      <w:lvlText w:val=""/>
      <w:lvlJc w:val="left"/>
      <w:pPr>
        <w:tabs>
          <w:tab w:val="num" w:pos="3600"/>
        </w:tabs>
        <w:ind w:left="3600" w:hanging="360"/>
      </w:pPr>
      <w:rPr>
        <w:rFonts w:ascii="Wingdings" w:hAnsi="Wingdings" w:hint="default"/>
        <w:sz w:val="20"/>
      </w:rPr>
    </w:lvl>
    <w:lvl w:ilvl="5" w:tplc="1B4A6EB6" w:tentative="1">
      <w:start w:val="1"/>
      <w:numFmt w:val="bullet"/>
      <w:lvlText w:val=""/>
      <w:lvlJc w:val="left"/>
      <w:pPr>
        <w:tabs>
          <w:tab w:val="num" w:pos="4320"/>
        </w:tabs>
        <w:ind w:left="4320" w:hanging="360"/>
      </w:pPr>
      <w:rPr>
        <w:rFonts w:ascii="Wingdings" w:hAnsi="Wingdings" w:hint="default"/>
        <w:sz w:val="20"/>
      </w:rPr>
    </w:lvl>
    <w:lvl w:ilvl="6" w:tplc="AAA2AAAE" w:tentative="1">
      <w:start w:val="1"/>
      <w:numFmt w:val="bullet"/>
      <w:lvlText w:val=""/>
      <w:lvlJc w:val="left"/>
      <w:pPr>
        <w:tabs>
          <w:tab w:val="num" w:pos="5040"/>
        </w:tabs>
        <w:ind w:left="5040" w:hanging="360"/>
      </w:pPr>
      <w:rPr>
        <w:rFonts w:ascii="Wingdings" w:hAnsi="Wingdings" w:hint="default"/>
        <w:sz w:val="20"/>
      </w:rPr>
    </w:lvl>
    <w:lvl w:ilvl="7" w:tplc="807A2CAA" w:tentative="1">
      <w:start w:val="1"/>
      <w:numFmt w:val="bullet"/>
      <w:lvlText w:val=""/>
      <w:lvlJc w:val="left"/>
      <w:pPr>
        <w:tabs>
          <w:tab w:val="num" w:pos="5760"/>
        </w:tabs>
        <w:ind w:left="5760" w:hanging="360"/>
      </w:pPr>
      <w:rPr>
        <w:rFonts w:ascii="Wingdings" w:hAnsi="Wingdings" w:hint="default"/>
        <w:sz w:val="20"/>
      </w:rPr>
    </w:lvl>
    <w:lvl w:ilvl="8" w:tplc="C478B3C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975420"/>
    <w:multiLevelType w:val="multilevel"/>
    <w:tmpl w:val="25F6B6E8"/>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o"/>
      <w:lvlJc w:val="left"/>
      <w:pPr>
        <w:tabs>
          <w:tab w:val="num" w:pos="900"/>
        </w:tabs>
        <w:ind w:left="900" w:hanging="360"/>
      </w:pPr>
      <w:rPr>
        <w:rFonts w:ascii="Courier New" w:hAnsi="Courier New" w:hint="default"/>
        <w:sz w:val="20"/>
      </w:rPr>
    </w:lvl>
    <w:lvl w:ilvl="2" w:tentative="1">
      <w:start w:val="1"/>
      <w:numFmt w:val="bullet"/>
      <w:lvlText w:val=""/>
      <w:lvlJc w:val="left"/>
      <w:pPr>
        <w:tabs>
          <w:tab w:val="num" w:pos="1620"/>
        </w:tabs>
        <w:ind w:left="1620" w:hanging="360"/>
      </w:pPr>
      <w:rPr>
        <w:rFonts w:ascii="Wingdings" w:hAnsi="Wingdings" w:hint="default"/>
        <w:sz w:val="20"/>
      </w:rPr>
    </w:lvl>
    <w:lvl w:ilvl="3" w:tentative="1">
      <w:start w:val="1"/>
      <w:numFmt w:val="bullet"/>
      <w:lvlText w:val=""/>
      <w:lvlJc w:val="left"/>
      <w:pPr>
        <w:tabs>
          <w:tab w:val="num" w:pos="2340"/>
        </w:tabs>
        <w:ind w:left="2340" w:hanging="360"/>
      </w:pPr>
      <w:rPr>
        <w:rFonts w:ascii="Wingdings" w:hAnsi="Wingdings" w:hint="default"/>
        <w:sz w:val="20"/>
      </w:rPr>
    </w:lvl>
    <w:lvl w:ilvl="4" w:tentative="1">
      <w:start w:val="1"/>
      <w:numFmt w:val="bullet"/>
      <w:lvlText w:val=""/>
      <w:lvlJc w:val="left"/>
      <w:pPr>
        <w:tabs>
          <w:tab w:val="num" w:pos="3060"/>
        </w:tabs>
        <w:ind w:left="3060" w:hanging="360"/>
      </w:pPr>
      <w:rPr>
        <w:rFonts w:ascii="Wingdings" w:hAnsi="Wingdings" w:hint="default"/>
        <w:sz w:val="20"/>
      </w:rPr>
    </w:lvl>
    <w:lvl w:ilvl="5" w:tentative="1">
      <w:start w:val="1"/>
      <w:numFmt w:val="bullet"/>
      <w:lvlText w:val=""/>
      <w:lvlJc w:val="left"/>
      <w:pPr>
        <w:tabs>
          <w:tab w:val="num" w:pos="3780"/>
        </w:tabs>
        <w:ind w:left="3780" w:hanging="360"/>
      </w:pPr>
      <w:rPr>
        <w:rFonts w:ascii="Wingdings" w:hAnsi="Wingdings" w:hint="default"/>
        <w:sz w:val="20"/>
      </w:rPr>
    </w:lvl>
    <w:lvl w:ilvl="6" w:tentative="1">
      <w:start w:val="1"/>
      <w:numFmt w:val="bullet"/>
      <w:lvlText w:val=""/>
      <w:lvlJc w:val="left"/>
      <w:pPr>
        <w:tabs>
          <w:tab w:val="num" w:pos="4500"/>
        </w:tabs>
        <w:ind w:left="4500" w:hanging="360"/>
      </w:pPr>
      <w:rPr>
        <w:rFonts w:ascii="Wingdings" w:hAnsi="Wingdings" w:hint="default"/>
        <w:sz w:val="20"/>
      </w:rPr>
    </w:lvl>
    <w:lvl w:ilvl="7" w:tentative="1">
      <w:start w:val="1"/>
      <w:numFmt w:val="bullet"/>
      <w:lvlText w:val=""/>
      <w:lvlJc w:val="left"/>
      <w:pPr>
        <w:tabs>
          <w:tab w:val="num" w:pos="5220"/>
        </w:tabs>
        <w:ind w:left="5220" w:hanging="360"/>
      </w:pPr>
      <w:rPr>
        <w:rFonts w:ascii="Wingdings" w:hAnsi="Wingdings" w:hint="default"/>
        <w:sz w:val="20"/>
      </w:rPr>
    </w:lvl>
    <w:lvl w:ilvl="8" w:tentative="1">
      <w:start w:val="1"/>
      <w:numFmt w:val="bullet"/>
      <w:lvlText w:val=""/>
      <w:lvlJc w:val="left"/>
      <w:pPr>
        <w:tabs>
          <w:tab w:val="num" w:pos="5940"/>
        </w:tabs>
        <w:ind w:left="5940" w:hanging="360"/>
      </w:pPr>
      <w:rPr>
        <w:rFonts w:ascii="Wingdings" w:hAnsi="Wingdings" w:hint="default"/>
        <w:sz w:val="20"/>
      </w:rPr>
    </w:lvl>
  </w:abstractNum>
  <w:abstractNum w:abstractNumId="22" w15:restartNumberingAfterBreak="0">
    <w:nsid w:val="64B3061F"/>
    <w:multiLevelType w:val="multilevel"/>
    <w:tmpl w:val="FD846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572440"/>
    <w:multiLevelType w:val="multilevel"/>
    <w:tmpl w:val="B0A434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DF5317"/>
    <w:multiLevelType w:val="hybridMultilevel"/>
    <w:tmpl w:val="C3E4758A"/>
    <w:lvl w:ilvl="0" w:tplc="02AA7676">
      <w:start w:val="1"/>
      <w:numFmt w:val="bullet"/>
      <w:lvlText w:val=""/>
      <w:lvlJc w:val="left"/>
      <w:pPr>
        <w:tabs>
          <w:tab w:val="num" w:pos="720"/>
        </w:tabs>
        <w:ind w:left="720" w:hanging="360"/>
      </w:pPr>
      <w:rPr>
        <w:rFonts w:ascii="Symbol" w:hAnsi="Symbol" w:hint="default"/>
        <w:sz w:val="20"/>
      </w:rPr>
    </w:lvl>
    <w:lvl w:ilvl="1" w:tplc="FF4827A2" w:tentative="1">
      <w:start w:val="1"/>
      <w:numFmt w:val="bullet"/>
      <w:lvlText w:val="o"/>
      <w:lvlJc w:val="left"/>
      <w:pPr>
        <w:tabs>
          <w:tab w:val="num" w:pos="1440"/>
        </w:tabs>
        <w:ind w:left="1440" w:hanging="360"/>
      </w:pPr>
      <w:rPr>
        <w:rFonts w:ascii="Courier New" w:hAnsi="Courier New" w:hint="default"/>
        <w:sz w:val="20"/>
      </w:rPr>
    </w:lvl>
    <w:lvl w:ilvl="2" w:tplc="FDF08C64" w:tentative="1">
      <w:start w:val="1"/>
      <w:numFmt w:val="bullet"/>
      <w:lvlText w:val=""/>
      <w:lvlJc w:val="left"/>
      <w:pPr>
        <w:tabs>
          <w:tab w:val="num" w:pos="2160"/>
        </w:tabs>
        <w:ind w:left="2160" w:hanging="360"/>
      </w:pPr>
      <w:rPr>
        <w:rFonts w:ascii="Wingdings" w:hAnsi="Wingdings" w:hint="default"/>
        <w:sz w:val="20"/>
      </w:rPr>
    </w:lvl>
    <w:lvl w:ilvl="3" w:tplc="406AB7F2" w:tentative="1">
      <w:start w:val="1"/>
      <w:numFmt w:val="bullet"/>
      <w:lvlText w:val=""/>
      <w:lvlJc w:val="left"/>
      <w:pPr>
        <w:tabs>
          <w:tab w:val="num" w:pos="2880"/>
        </w:tabs>
        <w:ind w:left="2880" w:hanging="360"/>
      </w:pPr>
      <w:rPr>
        <w:rFonts w:ascii="Wingdings" w:hAnsi="Wingdings" w:hint="default"/>
        <w:sz w:val="20"/>
      </w:rPr>
    </w:lvl>
    <w:lvl w:ilvl="4" w:tplc="4594A340" w:tentative="1">
      <w:start w:val="1"/>
      <w:numFmt w:val="bullet"/>
      <w:lvlText w:val=""/>
      <w:lvlJc w:val="left"/>
      <w:pPr>
        <w:tabs>
          <w:tab w:val="num" w:pos="3600"/>
        </w:tabs>
        <w:ind w:left="3600" w:hanging="360"/>
      </w:pPr>
      <w:rPr>
        <w:rFonts w:ascii="Wingdings" w:hAnsi="Wingdings" w:hint="default"/>
        <w:sz w:val="20"/>
      </w:rPr>
    </w:lvl>
    <w:lvl w:ilvl="5" w:tplc="6C5A34EC" w:tentative="1">
      <w:start w:val="1"/>
      <w:numFmt w:val="bullet"/>
      <w:lvlText w:val=""/>
      <w:lvlJc w:val="left"/>
      <w:pPr>
        <w:tabs>
          <w:tab w:val="num" w:pos="4320"/>
        </w:tabs>
        <w:ind w:left="4320" w:hanging="360"/>
      </w:pPr>
      <w:rPr>
        <w:rFonts w:ascii="Wingdings" w:hAnsi="Wingdings" w:hint="default"/>
        <w:sz w:val="20"/>
      </w:rPr>
    </w:lvl>
    <w:lvl w:ilvl="6" w:tplc="A4C45E7A" w:tentative="1">
      <w:start w:val="1"/>
      <w:numFmt w:val="bullet"/>
      <w:lvlText w:val=""/>
      <w:lvlJc w:val="left"/>
      <w:pPr>
        <w:tabs>
          <w:tab w:val="num" w:pos="5040"/>
        </w:tabs>
        <w:ind w:left="5040" w:hanging="360"/>
      </w:pPr>
      <w:rPr>
        <w:rFonts w:ascii="Wingdings" w:hAnsi="Wingdings" w:hint="default"/>
        <w:sz w:val="20"/>
      </w:rPr>
    </w:lvl>
    <w:lvl w:ilvl="7" w:tplc="EEA6E7FE" w:tentative="1">
      <w:start w:val="1"/>
      <w:numFmt w:val="bullet"/>
      <w:lvlText w:val=""/>
      <w:lvlJc w:val="left"/>
      <w:pPr>
        <w:tabs>
          <w:tab w:val="num" w:pos="5760"/>
        </w:tabs>
        <w:ind w:left="5760" w:hanging="360"/>
      </w:pPr>
      <w:rPr>
        <w:rFonts w:ascii="Wingdings" w:hAnsi="Wingdings" w:hint="default"/>
        <w:sz w:val="20"/>
      </w:rPr>
    </w:lvl>
    <w:lvl w:ilvl="8" w:tplc="9A8C984A" w:tentative="1">
      <w:start w:val="1"/>
      <w:numFmt w:val="bullet"/>
      <w:lvlText w:val=""/>
      <w:lvlJc w:val="left"/>
      <w:pPr>
        <w:tabs>
          <w:tab w:val="num" w:pos="6480"/>
        </w:tabs>
        <w:ind w:left="6480" w:hanging="360"/>
      </w:pPr>
      <w:rPr>
        <w:rFonts w:ascii="Wingdings" w:hAnsi="Wingdings" w:hint="default"/>
        <w:sz w:val="20"/>
      </w:rPr>
    </w:lvl>
  </w:abstractNum>
  <w:num w:numId="1" w16cid:durableId="1400590603">
    <w:abstractNumId w:val="19"/>
  </w:num>
  <w:num w:numId="2" w16cid:durableId="529299140">
    <w:abstractNumId w:val="0"/>
  </w:num>
  <w:num w:numId="3" w16cid:durableId="1413696069">
    <w:abstractNumId w:val="4"/>
  </w:num>
  <w:num w:numId="4" w16cid:durableId="673610196">
    <w:abstractNumId w:val="7"/>
  </w:num>
  <w:num w:numId="5" w16cid:durableId="1690521706">
    <w:abstractNumId w:val="21"/>
  </w:num>
  <w:num w:numId="6" w16cid:durableId="1717319310">
    <w:abstractNumId w:val="6"/>
  </w:num>
  <w:num w:numId="7" w16cid:durableId="2142991943">
    <w:abstractNumId w:val="13"/>
  </w:num>
  <w:num w:numId="8" w16cid:durableId="1192720032">
    <w:abstractNumId w:val="22"/>
  </w:num>
  <w:num w:numId="9" w16cid:durableId="305742133">
    <w:abstractNumId w:val="17"/>
  </w:num>
  <w:num w:numId="10" w16cid:durableId="1002702738">
    <w:abstractNumId w:val="16"/>
  </w:num>
  <w:num w:numId="11" w16cid:durableId="776995200">
    <w:abstractNumId w:val="12"/>
  </w:num>
  <w:num w:numId="12" w16cid:durableId="1577399211">
    <w:abstractNumId w:val="5"/>
  </w:num>
  <w:num w:numId="13" w16cid:durableId="1421948678">
    <w:abstractNumId w:val="24"/>
  </w:num>
  <w:num w:numId="14" w16cid:durableId="1435976590">
    <w:abstractNumId w:val="20"/>
  </w:num>
  <w:num w:numId="15" w16cid:durableId="202911865">
    <w:abstractNumId w:val="18"/>
  </w:num>
  <w:num w:numId="16" w16cid:durableId="1161505312">
    <w:abstractNumId w:val="10"/>
  </w:num>
  <w:num w:numId="17" w16cid:durableId="688750412">
    <w:abstractNumId w:val="15"/>
  </w:num>
  <w:num w:numId="18" w16cid:durableId="562716915">
    <w:abstractNumId w:val="2"/>
  </w:num>
  <w:num w:numId="19" w16cid:durableId="1887833556">
    <w:abstractNumId w:val="9"/>
  </w:num>
  <w:num w:numId="20" w16cid:durableId="1138567336">
    <w:abstractNumId w:val="3"/>
  </w:num>
  <w:num w:numId="21" w16cid:durableId="1902013687">
    <w:abstractNumId w:val="1"/>
  </w:num>
  <w:num w:numId="22" w16cid:durableId="630750029">
    <w:abstractNumId w:val="23"/>
  </w:num>
  <w:num w:numId="23" w16cid:durableId="2138405596">
    <w:abstractNumId w:val="11"/>
  </w:num>
  <w:num w:numId="24" w16cid:durableId="386926741">
    <w:abstractNumId w:val="8"/>
  </w:num>
  <w:num w:numId="25" w16cid:durableId="19558658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464"/>
    <w:rsid w:val="00062DCA"/>
    <w:rsid w:val="00113FB6"/>
    <w:rsid w:val="00133FD7"/>
    <w:rsid w:val="00157E0B"/>
    <w:rsid w:val="00184703"/>
    <w:rsid w:val="0019789C"/>
    <w:rsid w:val="001B46DD"/>
    <w:rsid w:val="00274EE5"/>
    <w:rsid w:val="002A5DEB"/>
    <w:rsid w:val="002E4896"/>
    <w:rsid w:val="00337948"/>
    <w:rsid w:val="00373C91"/>
    <w:rsid w:val="003911D6"/>
    <w:rsid w:val="003C5DD5"/>
    <w:rsid w:val="003C71A4"/>
    <w:rsid w:val="003D6C44"/>
    <w:rsid w:val="00435B45"/>
    <w:rsid w:val="00525EF0"/>
    <w:rsid w:val="00570E88"/>
    <w:rsid w:val="00575F12"/>
    <w:rsid w:val="00587697"/>
    <w:rsid w:val="00595B86"/>
    <w:rsid w:val="005E7220"/>
    <w:rsid w:val="0063208D"/>
    <w:rsid w:val="006535F7"/>
    <w:rsid w:val="006B06BF"/>
    <w:rsid w:val="00791AE1"/>
    <w:rsid w:val="007B1CA5"/>
    <w:rsid w:val="008254CC"/>
    <w:rsid w:val="008C110B"/>
    <w:rsid w:val="008C2E2F"/>
    <w:rsid w:val="008F0CAA"/>
    <w:rsid w:val="00922F67"/>
    <w:rsid w:val="00A00243"/>
    <w:rsid w:val="00A2358F"/>
    <w:rsid w:val="00A37B2A"/>
    <w:rsid w:val="00A65B8A"/>
    <w:rsid w:val="00AA4658"/>
    <w:rsid w:val="00AD445C"/>
    <w:rsid w:val="00B1573D"/>
    <w:rsid w:val="00B26D5E"/>
    <w:rsid w:val="00BB7464"/>
    <w:rsid w:val="00BF05A9"/>
    <w:rsid w:val="00CD1D43"/>
    <w:rsid w:val="00DB127A"/>
    <w:rsid w:val="00DD79DD"/>
    <w:rsid w:val="00EA1BEC"/>
    <w:rsid w:val="00EC33F1"/>
    <w:rsid w:val="00FA3C05"/>
    <w:rsid w:val="00FA4579"/>
    <w:rsid w:val="023F4388"/>
    <w:rsid w:val="17F7B26C"/>
    <w:rsid w:val="1BFC8818"/>
    <w:rsid w:val="23F620A6"/>
    <w:rsid w:val="29BD54BC"/>
    <w:rsid w:val="2CF4F57E"/>
    <w:rsid w:val="3682AF67"/>
    <w:rsid w:val="39BA5029"/>
    <w:rsid w:val="5A855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2ECC0"/>
  <w15:docId w15:val="{4F83222B-5276-4D4E-A7B4-A44679E8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B7464"/>
    <w:rPr>
      <w:sz w:val="16"/>
      <w:szCs w:val="16"/>
    </w:rPr>
  </w:style>
  <w:style w:type="paragraph" w:styleId="CommentText">
    <w:name w:val="annotation text"/>
    <w:basedOn w:val="Normal"/>
    <w:link w:val="CommentTextChar"/>
    <w:uiPriority w:val="99"/>
    <w:semiHidden/>
    <w:unhideWhenUsed/>
    <w:rsid w:val="00BB7464"/>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BB7464"/>
    <w:rPr>
      <w:rFonts w:eastAsiaTheme="minorHAnsi"/>
      <w:sz w:val="20"/>
      <w:szCs w:val="20"/>
      <w:lang w:eastAsia="en-US"/>
    </w:rPr>
  </w:style>
  <w:style w:type="paragraph" w:styleId="BalloonText">
    <w:name w:val="Balloon Text"/>
    <w:basedOn w:val="Normal"/>
    <w:link w:val="BalloonTextChar"/>
    <w:uiPriority w:val="99"/>
    <w:semiHidden/>
    <w:unhideWhenUsed/>
    <w:rsid w:val="00BB74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464"/>
    <w:rPr>
      <w:rFonts w:ascii="Segoe UI" w:hAnsi="Segoe UI" w:cs="Segoe UI"/>
      <w:sz w:val="18"/>
      <w:szCs w:val="18"/>
    </w:rPr>
  </w:style>
  <w:style w:type="paragraph" w:styleId="ListParagraph">
    <w:name w:val="List Paragraph"/>
    <w:basedOn w:val="Normal"/>
    <w:uiPriority w:val="34"/>
    <w:qFormat/>
    <w:rsid w:val="00A37B2A"/>
    <w:pPr>
      <w:ind w:left="720"/>
      <w:contextualSpacing/>
    </w:pPr>
  </w:style>
  <w:style w:type="paragraph" w:styleId="Header">
    <w:name w:val="header"/>
    <w:basedOn w:val="Normal"/>
    <w:link w:val="HeaderChar"/>
    <w:uiPriority w:val="99"/>
    <w:unhideWhenUsed/>
    <w:rsid w:val="00A37B2A"/>
    <w:pPr>
      <w:tabs>
        <w:tab w:val="center" w:pos="4677"/>
        <w:tab w:val="right" w:pos="9355"/>
      </w:tabs>
      <w:spacing w:after="0" w:line="240" w:lineRule="auto"/>
    </w:pPr>
  </w:style>
  <w:style w:type="character" w:customStyle="1" w:styleId="HeaderChar">
    <w:name w:val="Header Char"/>
    <w:basedOn w:val="DefaultParagraphFont"/>
    <w:link w:val="Header"/>
    <w:uiPriority w:val="99"/>
    <w:rsid w:val="00A37B2A"/>
  </w:style>
  <w:style w:type="paragraph" w:styleId="Footer">
    <w:name w:val="footer"/>
    <w:basedOn w:val="Normal"/>
    <w:link w:val="FooterChar"/>
    <w:uiPriority w:val="99"/>
    <w:unhideWhenUsed/>
    <w:rsid w:val="00A37B2A"/>
    <w:pPr>
      <w:tabs>
        <w:tab w:val="center" w:pos="4677"/>
        <w:tab w:val="right" w:pos="9355"/>
      </w:tabs>
      <w:spacing w:after="0" w:line="240" w:lineRule="auto"/>
    </w:pPr>
  </w:style>
  <w:style w:type="character" w:customStyle="1" w:styleId="FooterChar">
    <w:name w:val="Footer Char"/>
    <w:basedOn w:val="DefaultParagraphFont"/>
    <w:link w:val="Footer"/>
    <w:uiPriority w:val="99"/>
    <w:rsid w:val="00A37B2A"/>
  </w:style>
  <w:style w:type="character" w:styleId="Hyperlink">
    <w:name w:val="Hyperlink"/>
    <w:basedOn w:val="DefaultParagraphFont"/>
    <w:uiPriority w:val="99"/>
    <w:unhideWhenUsed/>
    <w:rsid w:val="00EA1BEC"/>
    <w:rPr>
      <w:color w:val="0563C1" w:themeColor="hyperlink"/>
      <w:u w:val="single"/>
    </w:rPr>
  </w:style>
  <w:style w:type="character" w:styleId="FollowedHyperlink">
    <w:name w:val="FollowedHyperlink"/>
    <w:basedOn w:val="DefaultParagraphFont"/>
    <w:uiPriority w:val="99"/>
    <w:semiHidden/>
    <w:unhideWhenUsed/>
    <w:rsid w:val="00791AE1"/>
    <w:rPr>
      <w:color w:val="954F72" w:themeColor="followedHyperlink"/>
      <w:u w:val="single"/>
    </w:rPr>
  </w:style>
  <w:style w:type="character" w:styleId="PlaceholderText">
    <w:name w:val="Placeholder Text"/>
    <w:basedOn w:val="DefaultParagraphFont"/>
    <w:uiPriority w:val="99"/>
    <w:semiHidden/>
    <w:rsid w:val="00525EF0"/>
    <w:rPr>
      <w:color w:val="808080"/>
    </w:rPr>
  </w:style>
  <w:style w:type="paragraph" w:styleId="NormalWeb">
    <w:name w:val="Normal (Web)"/>
    <w:basedOn w:val="Normal"/>
    <w:uiPriority w:val="99"/>
    <w:semiHidden/>
    <w:unhideWhenUsed/>
    <w:rsid w:val="00FA3C05"/>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6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4651" TargetMode="External"/><Relationship Id="rId18" Type="http://schemas.openxmlformats.org/officeDocument/2006/relationships/hyperlink" Target="https://popp.undp.org/node/4651"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opp.undp.org/node/6121"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popp.undp.org/node/4651"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opp.undp.org/node/1586" TargetMode="External"/><Relationship Id="rId20" Type="http://schemas.openxmlformats.org/officeDocument/2006/relationships/hyperlink" Target="https://popp.undp.org/node/5056"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pp.undp.org/node/6136"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opp.undp.org/node/4651" TargetMode="External"/><Relationship Id="rId23" Type="http://schemas.openxmlformats.org/officeDocument/2006/relationships/hyperlink" Target="https://popp.undp.org/node/6131"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popp.undp.org/node/3416"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4651" TargetMode="External"/><Relationship Id="rId22" Type="http://schemas.openxmlformats.org/officeDocument/2006/relationships/hyperlink" Target="https://popp.undp.org/node/4461"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353</Value>
    </TaxCatchAll>
    <UNDP_POPP_PLANNED_REVIEWDATE xmlns="8264c5cc-ec60-4b56-8111-ce635d3d139a">2019-12-30T23:00:00+00:00</UNDP_POPP_PLANNED_REVIEWDATE>
    <UNDP_POPP_DOCUMENT_LANGUAGE xmlns="8264c5cc-ec60-4b56-8111-ce635d3d139a">Spanish</UNDP_POPP_DOCUMENT_LANGUAGE>
    <UNDP_POPP_EFFECTIVEDATE xmlns="8264c5cc-ec60-4b56-8111-ce635d3d139a">2016-07-24T22:00:00+00:00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5120</UNDP_POPP_FILEVERSION>
    <UNDP_POPP_VERSION_COMMENTS xmlns="8264c5cc-ec60-4b56-8111-ce635d3d139a" xsi:nil="true"/>
    <UNDP_POPP_NOTE xmlns="8264c5cc-ec60-4b56-8111-ce635d3d139a" xsi:nil="true"/>
    <UNDP_POPP_BUSINESSUNITID_HIDDEN xmlns="8264c5cc-ec60-4b56-8111-ce635d3d139a" xsi:nil="true"/>
    <UNDP_POPP_TITLE_EN xmlns="8264c5cc-ec60-4b56-8111-ce635d3d139a">Desarrollo de un estudio de viabilidad para una presencia local</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Location xmlns="e560140e-7b2f-4392-90df-e7567e3021a3">Public</Location>
    <_dlc_DocId xmlns="8264c5cc-ec60-4b56-8111-ce635d3d139a">POPP-11-3465</_dlc_DocId>
    <_dlc_DocIdUrl xmlns="8264c5cc-ec60-4b56-8111-ce635d3d139a">
      <Url>https://popp.undp.org/_layouts/15/DocIdRedir.aspx?ID=POPP-11-3465</Url>
      <Description>POPP-11-3465</Description>
    </_dlc_DocIdUrl>
    <UNDP_POPP_REFITEM_VERSION xmlns="8264c5cc-ec60-4b56-8111-ce635d3d139a">2</UNDP_POPP_REFITEM_VERSION>
    <DLCPolicyLabelLock xmlns="e560140e-7b2f-4392-90df-e7567e3021a3" xsi:nil="true"/>
    <DLCPolicyLabelClientValue xmlns="e560140e-7b2f-4392-90df-e7567e3021a3">Effective Date: 25/07/2016                                                Version #: 2.0</DLCPolicyLabelClientValue>
    <UNDP_POPP_LASTMODIFIED xmlns="8264c5cc-ec60-4b56-8111-ce635d3d139a" xsi:nil="true"/>
    <DLCPolicyLabelValue xmlns="e560140e-7b2f-4392-90df-e7567e3021a3">Effective Date: 25/07/2016                                                Version #: 2</DLCPolicyLabelValue>
    <UNDP_POPP_REJECT_COMMENTS xmlns="8264c5cc-ec60-4b56-8111-ce635d3d139a" xsi:nil="true"/>
    <POPPIsArchived xmlns="e560140e-7b2f-4392-90df-e7567e3021a3">false</POPPIsArchive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32E0EA42-511D-492D-854B-502BC75FFDE2}">
  <ds:schemaRefs>
    <ds:schemaRef ds:uri="http://schemas.microsoft.com/sharepoint/v3/contenttype/forms"/>
  </ds:schemaRefs>
</ds:datastoreItem>
</file>

<file path=customXml/itemProps2.xml><?xml version="1.0" encoding="utf-8"?>
<ds:datastoreItem xmlns:ds="http://schemas.openxmlformats.org/officeDocument/2006/customXml" ds:itemID="{D4050CAD-157D-4A9B-AF49-4E78AA4FE39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30C65DA9-B934-40FE-B657-D9C4A2BD3498}">
  <ds:schemaRefs>
    <ds:schemaRef ds:uri="http://schemas.microsoft.com/sharepoint/events"/>
  </ds:schemaRefs>
</ds:datastoreItem>
</file>

<file path=customXml/itemProps4.xml><?xml version="1.0" encoding="utf-8"?>
<ds:datastoreItem xmlns:ds="http://schemas.openxmlformats.org/officeDocument/2006/customXml" ds:itemID="{4B942BAA-2831-4C46-8B9D-635F50E11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729FB2-2DF0-4A59-B496-85B4D00B9A99}">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3176</Words>
  <Characters>18107</Characters>
  <Application>Microsoft Office Word</Application>
  <DocSecurity>0</DocSecurity>
  <Lines>150</Lines>
  <Paragraphs>42</Paragraphs>
  <ScaleCrop>false</ScaleCrop>
  <Company>Krokoz™</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Hideko Hadzialic</dc:creator>
  <cp:lastModifiedBy>Pablo Morete</cp:lastModifiedBy>
  <cp:revision>14</cp:revision>
  <dcterms:created xsi:type="dcterms:W3CDTF">2019-08-26T03:11:00Z</dcterms:created>
  <dcterms:modified xsi:type="dcterms:W3CDTF">2023-11-20T10:08:00Z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UNDP_POPP_BUSINESSUNIT">
    <vt:lpwstr>353;#Administrative Services|a78f4201-2936-4934-95ba-30c4111d72d7</vt:lpwstr>
  </property>
  <property fmtid="{D5CDD505-2E9C-101B-9397-08002B2CF9AE}" pid="4" name="POPPBusinessProcess">
    <vt:lpwstr/>
  </property>
  <property fmtid="{D5CDD505-2E9C-101B-9397-08002B2CF9AE}" pid="5" name="_dlc_DocIdItemGuid">
    <vt:lpwstr>63b3ac27-20e7-464a-8370-3e73cd29e6e6</vt:lpwstr>
  </property>
</Properties>
</file>