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BD70" w14:textId="77777777" w:rsidR="0019079F" w:rsidRDefault="0017445D">
      <w:pPr>
        <w:spacing w:after="0" w:line="239" w:lineRule="auto"/>
        <w:ind w:left="0" w:right="0" w:firstLine="0"/>
        <w:jc w:val="left"/>
      </w:pPr>
      <w:r>
        <w:rPr>
          <w:b/>
          <w:sz w:val="28"/>
        </w:rPr>
        <w:t>Immobilisations incorporelles</w:t>
      </w:r>
      <w:r w:rsidR="00ED044D">
        <w:rPr>
          <w:b/>
          <w:sz w:val="28"/>
        </w:rPr>
        <w:t> :</w:t>
      </w:r>
      <w:r>
        <w:rPr>
          <w:b/>
          <w:sz w:val="28"/>
        </w:rPr>
        <w:t xml:space="preserve"> Amortissements, Rapprochements, rapports et fonctions centralisées</w:t>
      </w:r>
    </w:p>
    <w:p w14:paraId="1FBF1CC6" w14:textId="77777777" w:rsidR="0019079F" w:rsidRDefault="0019079F" w:rsidP="00831252">
      <w:pPr>
        <w:spacing w:after="0" w:line="259" w:lineRule="auto"/>
        <w:ind w:left="0" w:right="0" w:firstLine="0"/>
        <w:jc w:val="left"/>
      </w:pPr>
    </w:p>
    <w:p w14:paraId="01BF9C6B" w14:textId="77777777" w:rsidR="0019079F" w:rsidRDefault="0017445D">
      <w:pPr>
        <w:numPr>
          <w:ilvl w:val="0"/>
          <w:numId w:val="1"/>
        </w:numPr>
        <w:ind w:right="0" w:hanging="360"/>
      </w:pPr>
      <w:r>
        <w:t>L</w:t>
      </w:r>
      <w:r w:rsidR="00ED044D">
        <w:t>’</w:t>
      </w:r>
      <w:r>
        <w:t>amortissement est la répartition systématique du montant amortissable d</w:t>
      </w:r>
      <w:r w:rsidR="00ED044D">
        <w:t>’</w:t>
      </w:r>
      <w:r>
        <w:t>une immobilisation incorporelle sur sa durée de vie utile. L</w:t>
      </w:r>
      <w:r w:rsidR="00ED044D">
        <w:t>’</w:t>
      </w:r>
      <w:r>
        <w:t>amortissement correspond au coût de l</w:t>
      </w:r>
      <w:r w:rsidR="00ED044D">
        <w:t>’</w:t>
      </w:r>
      <w:r>
        <w:t>actif en versements égaux (méthode d</w:t>
      </w:r>
      <w:r w:rsidR="00ED044D">
        <w:t>’</w:t>
      </w:r>
      <w:r>
        <w:t>amortissement linéaire) sur la durée de vie de l</w:t>
      </w:r>
      <w:r w:rsidR="00ED044D">
        <w:t>’</w:t>
      </w:r>
      <w:r>
        <w:t>actif, plutôt qu</w:t>
      </w:r>
      <w:r w:rsidR="00ED044D">
        <w:t>’</w:t>
      </w:r>
      <w:r>
        <w:t>au moment du paiement de l</w:t>
      </w:r>
      <w:r w:rsidR="00ED044D">
        <w:t>’</w:t>
      </w:r>
      <w:r>
        <w:t>actif.</w:t>
      </w:r>
    </w:p>
    <w:p w14:paraId="2EE06919" w14:textId="77777777" w:rsidR="0019079F" w:rsidRDefault="0019079F">
      <w:pPr>
        <w:spacing w:after="21" w:line="259" w:lineRule="auto"/>
        <w:ind w:left="0" w:right="0" w:firstLine="0"/>
        <w:jc w:val="left"/>
      </w:pPr>
    </w:p>
    <w:p w14:paraId="722CAEB6" w14:textId="77777777" w:rsidR="0019079F" w:rsidRDefault="0017445D">
      <w:pPr>
        <w:numPr>
          <w:ilvl w:val="0"/>
          <w:numId w:val="1"/>
        </w:numPr>
        <w:ind w:right="0" w:hanging="360"/>
      </w:pPr>
      <w:r>
        <w:t>L</w:t>
      </w:r>
      <w:r w:rsidR="00ED044D">
        <w:t>’</w:t>
      </w:r>
      <w:r>
        <w:t>amortissement est la répartition systématique du montant amortissable d</w:t>
      </w:r>
      <w:r w:rsidR="00ED044D">
        <w:t>’</w:t>
      </w:r>
      <w:r>
        <w:t>une immobilisation incorporelle sur sa durée de vie utile. L</w:t>
      </w:r>
      <w:r w:rsidR="00ED044D">
        <w:t>’</w:t>
      </w:r>
      <w:r>
        <w:t>amortissement correspond au coût de l</w:t>
      </w:r>
      <w:r w:rsidR="00ED044D">
        <w:t>’</w:t>
      </w:r>
      <w:r>
        <w:t>actif en versements égaux (méthode d</w:t>
      </w:r>
      <w:r w:rsidR="00ED044D">
        <w:t>’</w:t>
      </w:r>
      <w:r>
        <w:t>amortissement linéaire) sur la durée de vie de l</w:t>
      </w:r>
      <w:r w:rsidR="00ED044D">
        <w:t>’</w:t>
      </w:r>
      <w:r>
        <w:t>actif, plutôt qu</w:t>
      </w:r>
      <w:r w:rsidR="00ED044D">
        <w:t>’</w:t>
      </w:r>
      <w:r>
        <w:t>au moment du paiement. Le montant amortissable est le coût d</w:t>
      </w:r>
      <w:r w:rsidR="00ED044D">
        <w:t>’</w:t>
      </w:r>
      <w:r>
        <w:t>un actif, ou tout autre montant substitué au coût, diminué de sa valeur résiduelle, la valeur résiduelle d</w:t>
      </w:r>
      <w:r w:rsidR="00ED044D">
        <w:t>’</w:t>
      </w:r>
      <w:r>
        <w:t>un actif étant le montant estimatif qui sera obtenu à partir de la liquidation de l</w:t>
      </w:r>
      <w:r w:rsidR="00ED044D">
        <w:t>’</w:t>
      </w:r>
      <w:r>
        <w:t>actif, après déduction des coûts estimatifs de liquidation, si l</w:t>
      </w:r>
      <w:r w:rsidR="00ED044D">
        <w:t>’</w:t>
      </w:r>
      <w:r>
        <w:t>actif a atteint l</w:t>
      </w:r>
      <w:r w:rsidR="00ED044D">
        <w:t>’</w:t>
      </w:r>
      <w:r>
        <w:t>âge et l</w:t>
      </w:r>
      <w:r w:rsidR="00ED044D">
        <w:t>’</w:t>
      </w:r>
      <w:r>
        <w:t>état prévu à la fin de sa durée de vie utile.</w:t>
      </w:r>
      <w:r w:rsidR="00ED044D">
        <w:t xml:space="preserve"> </w:t>
      </w:r>
      <w:r>
        <w:t xml:space="preserve">Au </w:t>
      </w:r>
      <w:r w:rsidR="00ED044D">
        <w:t>Programme des Nations Unies pour le développement (PNUD)</w:t>
      </w:r>
      <w:r>
        <w:t>, toutes les immobilisations incorporelles auront une durée de vie résiduelle nulle.</w:t>
      </w:r>
    </w:p>
    <w:p w14:paraId="373769AA" w14:textId="77777777" w:rsidR="0019079F" w:rsidRDefault="0019079F">
      <w:pPr>
        <w:spacing w:after="20" w:line="259" w:lineRule="auto"/>
        <w:ind w:left="46" w:right="0" w:firstLine="0"/>
        <w:jc w:val="left"/>
      </w:pPr>
    </w:p>
    <w:p w14:paraId="63DD67D0" w14:textId="50D3B3DD" w:rsidR="0019079F" w:rsidRDefault="0017445D">
      <w:pPr>
        <w:numPr>
          <w:ilvl w:val="0"/>
          <w:numId w:val="1"/>
        </w:numPr>
        <w:ind w:right="0" w:hanging="360"/>
      </w:pPr>
      <w:r>
        <w:t>Étant donné que la charge d</w:t>
      </w:r>
      <w:r w:rsidR="00ED044D">
        <w:t>’</w:t>
      </w:r>
      <w:r>
        <w:t xml:space="preserve">amortissement sera imputée en fonction </w:t>
      </w:r>
      <w:r w:rsidR="009D1804">
        <w:t xml:space="preserve"> de la ligne budgétaire (COA) </w:t>
      </w:r>
      <w:r>
        <w:t xml:space="preserve"> dans lequel un actif est comptabilisé, il est important que les</w:t>
      </w:r>
      <w:r w:rsidR="00FC762C">
        <w:t xml:space="preserve"> COA</w:t>
      </w:r>
      <w:r>
        <w:t xml:space="preserve"> temporaires ne soient pas utilisés car les coûts d</w:t>
      </w:r>
      <w:r w:rsidR="00ED044D">
        <w:t>’</w:t>
      </w:r>
      <w:r>
        <w:t xml:space="preserve">amortissement seront imputés à ces </w:t>
      </w:r>
      <w:r w:rsidR="00FC762C">
        <w:t>COA</w:t>
      </w:r>
      <w:r>
        <w:t xml:space="preserve"> temporaires, nécessitant une série d</w:t>
      </w:r>
      <w:r w:rsidR="00ED044D">
        <w:t>’</w:t>
      </w:r>
      <w:r>
        <w:t>écritures de journal correctives lorsque l</w:t>
      </w:r>
      <w:r w:rsidR="00ED044D">
        <w:t>’</w:t>
      </w:r>
      <w:r>
        <w:t>actif sera finalement enregistré en fonction d</w:t>
      </w:r>
      <w:r w:rsidR="00E35D56">
        <w:t>u</w:t>
      </w:r>
      <w:r w:rsidR="00670F23">
        <w:t>(</w:t>
      </w:r>
      <w:r w:rsidR="000B16FC">
        <w:t>COA</w:t>
      </w:r>
      <w:r w:rsidR="00670F23">
        <w:t>)</w:t>
      </w:r>
      <w:r w:rsidR="000B16FC">
        <w:t xml:space="preserve"> </w:t>
      </w:r>
      <w:r>
        <w:t xml:space="preserve"> exact et définiti</w:t>
      </w:r>
      <w:r w:rsidR="003F189B">
        <w:t>f</w:t>
      </w:r>
      <w:r>
        <w:t>.</w:t>
      </w:r>
    </w:p>
    <w:p w14:paraId="3FE47439" w14:textId="77777777" w:rsidR="0019079F" w:rsidRDefault="0019079F">
      <w:pPr>
        <w:spacing w:after="21" w:line="259" w:lineRule="auto"/>
        <w:ind w:left="46" w:right="0" w:firstLine="0"/>
        <w:jc w:val="left"/>
      </w:pPr>
    </w:p>
    <w:p w14:paraId="3A4B8A7F" w14:textId="538903D3" w:rsidR="0019079F" w:rsidRDefault="0017445D">
      <w:pPr>
        <w:numPr>
          <w:ilvl w:val="0"/>
          <w:numId w:val="1"/>
        </w:numPr>
        <w:ind w:right="0" w:hanging="360"/>
      </w:pPr>
      <w:r>
        <w:t>Les coûts d</w:t>
      </w:r>
      <w:r w:rsidR="00ED044D">
        <w:t>’</w:t>
      </w:r>
      <w:r>
        <w:t>amortissement n</w:t>
      </w:r>
      <w:r w:rsidR="00ED044D">
        <w:t>’</w:t>
      </w:r>
      <w:r>
        <w:t>ont pas d</w:t>
      </w:r>
      <w:r w:rsidR="00ED044D">
        <w:t>’</w:t>
      </w:r>
      <w:r>
        <w:t>impact sur les ressources car le coût initial de l</w:t>
      </w:r>
      <w:r w:rsidR="00ED044D">
        <w:t>’</w:t>
      </w:r>
      <w:r>
        <w:t>immobilisation incorporelle est intégralement imputé au budget.</w:t>
      </w:r>
      <w:r w:rsidR="00ED044D">
        <w:t xml:space="preserve"> </w:t>
      </w:r>
      <w:r>
        <w:t>Il s</w:t>
      </w:r>
      <w:r w:rsidR="00ED044D">
        <w:t>’</w:t>
      </w:r>
      <w:r>
        <w:t>agit d</w:t>
      </w:r>
      <w:r w:rsidR="00ED044D">
        <w:t>’</w:t>
      </w:r>
      <w:r>
        <w:t>une charge hors trésorerie qui répartit ce coût sur la durée de vie de l</w:t>
      </w:r>
      <w:r w:rsidR="00ED044D">
        <w:t>’</w:t>
      </w:r>
      <w:r>
        <w:t>immobilisation incorporelle.</w:t>
      </w:r>
    </w:p>
    <w:p w14:paraId="7F0CF12A" w14:textId="77777777" w:rsidR="0019079F" w:rsidRDefault="0019079F">
      <w:pPr>
        <w:spacing w:after="20" w:line="259" w:lineRule="auto"/>
        <w:ind w:left="46" w:right="0" w:firstLine="0"/>
        <w:jc w:val="left"/>
      </w:pPr>
    </w:p>
    <w:p w14:paraId="2E8CDFF4" w14:textId="77777777" w:rsidR="0019079F" w:rsidRDefault="0017445D">
      <w:pPr>
        <w:numPr>
          <w:ilvl w:val="0"/>
          <w:numId w:val="1"/>
        </w:numPr>
        <w:ind w:right="0" w:hanging="360"/>
      </w:pPr>
      <w:r>
        <w:t>Les durées de vies utiles estimées des immobilisations incorporelles sont les suivantes</w:t>
      </w:r>
      <w:r w:rsidR="00ED044D">
        <w:t> :</w:t>
      </w:r>
    </w:p>
    <w:p w14:paraId="6D786BAE" w14:textId="77777777" w:rsidR="0019079F" w:rsidRDefault="0019079F">
      <w:pPr>
        <w:spacing w:after="0" w:line="259" w:lineRule="auto"/>
        <w:ind w:left="0" w:right="0" w:firstLine="0"/>
        <w:jc w:val="left"/>
      </w:pPr>
    </w:p>
    <w:tbl>
      <w:tblPr>
        <w:tblStyle w:val="TableGrid"/>
        <w:tblW w:w="9420" w:type="dxa"/>
        <w:tblInd w:w="-29" w:type="dxa"/>
        <w:tblCellMar>
          <w:top w:w="50" w:type="dxa"/>
          <w:left w:w="29" w:type="dxa"/>
          <w:right w:w="115" w:type="dxa"/>
        </w:tblCellMar>
        <w:tblLook w:val="04A0" w:firstRow="1" w:lastRow="0" w:firstColumn="1" w:lastColumn="0" w:noHBand="0" w:noVBand="1"/>
      </w:tblPr>
      <w:tblGrid>
        <w:gridCol w:w="209"/>
        <w:gridCol w:w="4501"/>
        <w:gridCol w:w="4141"/>
        <w:gridCol w:w="569"/>
      </w:tblGrid>
      <w:tr w:rsidR="0019079F" w14:paraId="07E1BE46" w14:textId="77777777">
        <w:trPr>
          <w:trHeight w:val="288"/>
        </w:trPr>
        <w:tc>
          <w:tcPr>
            <w:tcW w:w="209" w:type="dxa"/>
            <w:vMerge w:val="restart"/>
            <w:tcBorders>
              <w:top w:val="nil"/>
              <w:left w:val="nil"/>
              <w:bottom w:val="nil"/>
              <w:right w:val="single" w:sz="8" w:space="0" w:color="000000"/>
            </w:tcBorders>
          </w:tcPr>
          <w:p w14:paraId="3FC7DC76" w14:textId="77777777" w:rsidR="0019079F" w:rsidRDefault="0019079F">
            <w:pPr>
              <w:spacing w:after="160" w:line="259" w:lineRule="auto"/>
              <w:ind w:left="0" w:right="0" w:firstLine="0"/>
              <w:jc w:val="left"/>
            </w:pPr>
          </w:p>
        </w:tc>
        <w:tc>
          <w:tcPr>
            <w:tcW w:w="4501" w:type="dxa"/>
            <w:tcBorders>
              <w:top w:val="single" w:sz="8" w:space="0" w:color="000000"/>
              <w:left w:val="single" w:sz="8" w:space="0" w:color="000000"/>
              <w:bottom w:val="single" w:sz="8" w:space="0" w:color="000000"/>
              <w:right w:val="single" w:sz="8" w:space="0" w:color="000000"/>
            </w:tcBorders>
          </w:tcPr>
          <w:p w14:paraId="71616438" w14:textId="77777777" w:rsidR="0019079F" w:rsidRDefault="0017445D">
            <w:pPr>
              <w:spacing w:after="0" w:line="259" w:lineRule="auto"/>
              <w:ind w:left="79" w:right="0" w:firstLine="0"/>
              <w:jc w:val="left"/>
            </w:pPr>
            <w:r>
              <w:t xml:space="preserve">Catégorie </w:t>
            </w:r>
          </w:p>
        </w:tc>
        <w:tc>
          <w:tcPr>
            <w:tcW w:w="4141" w:type="dxa"/>
            <w:tcBorders>
              <w:top w:val="single" w:sz="8" w:space="0" w:color="000000"/>
              <w:left w:val="single" w:sz="8" w:space="0" w:color="000000"/>
              <w:bottom w:val="single" w:sz="8" w:space="0" w:color="000000"/>
              <w:right w:val="single" w:sz="8" w:space="0" w:color="000000"/>
            </w:tcBorders>
          </w:tcPr>
          <w:p w14:paraId="404EB1E1" w14:textId="77777777" w:rsidR="0019079F" w:rsidRDefault="0017445D">
            <w:pPr>
              <w:spacing w:after="0" w:line="259" w:lineRule="auto"/>
              <w:ind w:left="79" w:right="0" w:firstLine="0"/>
              <w:jc w:val="left"/>
            </w:pPr>
            <w:r>
              <w:t>Durée de vie estimée (années)</w:t>
            </w:r>
          </w:p>
        </w:tc>
        <w:tc>
          <w:tcPr>
            <w:tcW w:w="569" w:type="dxa"/>
            <w:vMerge w:val="restart"/>
            <w:tcBorders>
              <w:top w:val="nil"/>
              <w:left w:val="single" w:sz="8" w:space="0" w:color="000000"/>
              <w:bottom w:val="nil"/>
              <w:right w:val="nil"/>
            </w:tcBorders>
          </w:tcPr>
          <w:p w14:paraId="260AD031" w14:textId="77777777" w:rsidR="0019079F" w:rsidRDefault="0019079F">
            <w:pPr>
              <w:spacing w:after="160" w:line="259" w:lineRule="auto"/>
              <w:ind w:left="0" w:right="0" w:firstLine="0"/>
              <w:jc w:val="left"/>
            </w:pPr>
          </w:p>
        </w:tc>
      </w:tr>
      <w:tr w:rsidR="0019079F" w14:paraId="7B11C6E9" w14:textId="77777777">
        <w:trPr>
          <w:trHeight w:val="290"/>
        </w:trPr>
        <w:tc>
          <w:tcPr>
            <w:tcW w:w="0" w:type="auto"/>
            <w:vMerge/>
            <w:tcBorders>
              <w:top w:val="nil"/>
              <w:left w:val="nil"/>
              <w:bottom w:val="nil"/>
              <w:right w:val="single" w:sz="8" w:space="0" w:color="000000"/>
            </w:tcBorders>
          </w:tcPr>
          <w:p w14:paraId="7A4D2811" w14:textId="77777777" w:rsidR="0019079F" w:rsidRDefault="0019079F">
            <w:pPr>
              <w:spacing w:after="160" w:line="259" w:lineRule="auto"/>
              <w:ind w:left="0" w:right="0" w:firstLine="0"/>
              <w:jc w:val="left"/>
            </w:pPr>
          </w:p>
        </w:tc>
        <w:tc>
          <w:tcPr>
            <w:tcW w:w="4501" w:type="dxa"/>
            <w:tcBorders>
              <w:top w:val="single" w:sz="8" w:space="0" w:color="000000"/>
              <w:left w:val="single" w:sz="8" w:space="0" w:color="000000"/>
              <w:bottom w:val="single" w:sz="8" w:space="0" w:color="000000"/>
              <w:right w:val="single" w:sz="8" w:space="0" w:color="000000"/>
            </w:tcBorders>
          </w:tcPr>
          <w:p w14:paraId="7D070D8E" w14:textId="77777777" w:rsidR="0019079F" w:rsidRDefault="0017445D">
            <w:pPr>
              <w:spacing w:after="0" w:line="259" w:lineRule="auto"/>
              <w:ind w:left="79" w:right="0" w:firstLine="0"/>
              <w:jc w:val="left"/>
            </w:pPr>
            <w:r>
              <w:t>Logiciels acquis</w:t>
            </w:r>
          </w:p>
        </w:tc>
        <w:tc>
          <w:tcPr>
            <w:tcW w:w="4141" w:type="dxa"/>
            <w:tcBorders>
              <w:top w:val="single" w:sz="8" w:space="0" w:color="000000"/>
              <w:left w:val="single" w:sz="8" w:space="0" w:color="000000"/>
              <w:bottom w:val="single" w:sz="8" w:space="0" w:color="000000"/>
              <w:right w:val="single" w:sz="8" w:space="0" w:color="000000"/>
            </w:tcBorders>
          </w:tcPr>
          <w:p w14:paraId="12A00AAF" w14:textId="77777777" w:rsidR="0019079F" w:rsidRDefault="0017445D">
            <w:pPr>
              <w:spacing w:after="0" w:line="259" w:lineRule="auto"/>
              <w:ind w:left="79" w:right="0" w:firstLine="0"/>
              <w:jc w:val="left"/>
            </w:pPr>
            <w:r>
              <w:t>3-6</w:t>
            </w:r>
          </w:p>
        </w:tc>
        <w:tc>
          <w:tcPr>
            <w:tcW w:w="0" w:type="auto"/>
            <w:vMerge/>
            <w:tcBorders>
              <w:top w:val="nil"/>
              <w:left w:val="single" w:sz="8" w:space="0" w:color="000000"/>
              <w:bottom w:val="nil"/>
              <w:right w:val="nil"/>
            </w:tcBorders>
          </w:tcPr>
          <w:p w14:paraId="20C68610" w14:textId="77777777" w:rsidR="0019079F" w:rsidRDefault="0019079F">
            <w:pPr>
              <w:spacing w:after="160" w:line="259" w:lineRule="auto"/>
              <w:ind w:left="0" w:right="0" w:firstLine="0"/>
              <w:jc w:val="left"/>
            </w:pPr>
          </w:p>
        </w:tc>
      </w:tr>
      <w:tr w:rsidR="0019079F" w14:paraId="210B3813" w14:textId="77777777">
        <w:trPr>
          <w:trHeight w:val="288"/>
        </w:trPr>
        <w:tc>
          <w:tcPr>
            <w:tcW w:w="0" w:type="auto"/>
            <w:vMerge/>
            <w:tcBorders>
              <w:top w:val="nil"/>
              <w:left w:val="nil"/>
              <w:bottom w:val="nil"/>
              <w:right w:val="single" w:sz="8" w:space="0" w:color="000000"/>
            </w:tcBorders>
          </w:tcPr>
          <w:p w14:paraId="7408D433" w14:textId="77777777" w:rsidR="0019079F" w:rsidRDefault="0019079F">
            <w:pPr>
              <w:spacing w:after="160" w:line="259" w:lineRule="auto"/>
              <w:ind w:left="0" w:right="0" w:firstLine="0"/>
              <w:jc w:val="left"/>
            </w:pPr>
          </w:p>
        </w:tc>
        <w:tc>
          <w:tcPr>
            <w:tcW w:w="4501" w:type="dxa"/>
            <w:tcBorders>
              <w:top w:val="single" w:sz="8" w:space="0" w:color="000000"/>
              <w:left w:val="single" w:sz="8" w:space="0" w:color="000000"/>
              <w:bottom w:val="single" w:sz="8" w:space="0" w:color="000000"/>
              <w:right w:val="single" w:sz="8" w:space="0" w:color="000000"/>
            </w:tcBorders>
          </w:tcPr>
          <w:p w14:paraId="11C1969A" w14:textId="77777777" w:rsidR="0019079F" w:rsidRDefault="0017445D">
            <w:pPr>
              <w:spacing w:after="0" w:line="259" w:lineRule="auto"/>
              <w:ind w:left="79" w:right="0" w:firstLine="0"/>
              <w:jc w:val="left"/>
            </w:pPr>
            <w:r>
              <w:t>Logiciels développés en interne</w:t>
            </w:r>
          </w:p>
        </w:tc>
        <w:tc>
          <w:tcPr>
            <w:tcW w:w="4141" w:type="dxa"/>
            <w:tcBorders>
              <w:top w:val="single" w:sz="8" w:space="0" w:color="000000"/>
              <w:left w:val="single" w:sz="8" w:space="0" w:color="000000"/>
              <w:bottom w:val="single" w:sz="8" w:space="0" w:color="000000"/>
              <w:right w:val="single" w:sz="8" w:space="0" w:color="000000"/>
            </w:tcBorders>
          </w:tcPr>
          <w:p w14:paraId="4ABB3EFA" w14:textId="77777777" w:rsidR="0019079F" w:rsidRDefault="0017445D">
            <w:pPr>
              <w:spacing w:after="0" w:line="259" w:lineRule="auto"/>
              <w:ind w:left="79" w:right="0" w:firstLine="0"/>
              <w:jc w:val="left"/>
            </w:pPr>
            <w:r>
              <w:t>3-6</w:t>
            </w:r>
          </w:p>
        </w:tc>
        <w:tc>
          <w:tcPr>
            <w:tcW w:w="0" w:type="auto"/>
            <w:vMerge/>
            <w:tcBorders>
              <w:top w:val="nil"/>
              <w:left w:val="single" w:sz="8" w:space="0" w:color="000000"/>
              <w:bottom w:val="nil"/>
              <w:right w:val="nil"/>
            </w:tcBorders>
          </w:tcPr>
          <w:p w14:paraId="0C6BDD08" w14:textId="77777777" w:rsidR="0019079F" w:rsidRDefault="0019079F">
            <w:pPr>
              <w:spacing w:after="160" w:line="259" w:lineRule="auto"/>
              <w:ind w:left="0" w:right="0" w:firstLine="0"/>
              <w:jc w:val="left"/>
            </w:pPr>
          </w:p>
        </w:tc>
      </w:tr>
      <w:tr w:rsidR="0019079F" w14:paraId="10751BE2" w14:textId="77777777">
        <w:trPr>
          <w:trHeight w:val="288"/>
        </w:trPr>
        <w:tc>
          <w:tcPr>
            <w:tcW w:w="0" w:type="auto"/>
            <w:vMerge/>
            <w:tcBorders>
              <w:top w:val="nil"/>
              <w:left w:val="nil"/>
              <w:bottom w:val="nil"/>
              <w:right w:val="single" w:sz="8" w:space="0" w:color="000000"/>
            </w:tcBorders>
          </w:tcPr>
          <w:p w14:paraId="46730546" w14:textId="77777777" w:rsidR="0019079F" w:rsidRDefault="0019079F">
            <w:pPr>
              <w:spacing w:after="160" w:line="259" w:lineRule="auto"/>
              <w:ind w:left="0" w:right="0" w:firstLine="0"/>
              <w:jc w:val="left"/>
            </w:pPr>
          </w:p>
        </w:tc>
        <w:tc>
          <w:tcPr>
            <w:tcW w:w="4501" w:type="dxa"/>
            <w:tcBorders>
              <w:top w:val="single" w:sz="8" w:space="0" w:color="000000"/>
              <w:left w:val="single" w:sz="8" w:space="0" w:color="000000"/>
              <w:bottom w:val="single" w:sz="8" w:space="0" w:color="000000"/>
              <w:right w:val="single" w:sz="8" w:space="0" w:color="000000"/>
            </w:tcBorders>
          </w:tcPr>
          <w:p w14:paraId="459E1623" w14:textId="77777777" w:rsidR="0019079F" w:rsidRDefault="0017445D">
            <w:pPr>
              <w:spacing w:after="0" w:line="259" w:lineRule="auto"/>
              <w:ind w:left="79" w:right="0" w:firstLine="0"/>
              <w:jc w:val="left"/>
            </w:pPr>
            <w:r>
              <w:t>Marques de commerce</w:t>
            </w:r>
          </w:p>
        </w:tc>
        <w:tc>
          <w:tcPr>
            <w:tcW w:w="4141" w:type="dxa"/>
            <w:tcBorders>
              <w:top w:val="single" w:sz="8" w:space="0" w:color="000000"/>
              <w:left w:val="single" w:sz="8" w:space="0" w:color="000000"/>
              <w:bottom w:val="single" w:sz="8" w:space="0" w:color="000000"/>
              <w:right w:val="single" w:sz="8" w:space="0" w:color="000000"/>
            </w:tcBorders>
          </w:tcPr>
          <w:p w14:paraId="5CC41009" w14:textId="77777777" w:rsidR="0019079F" w:rsidRDefault="0017445D">
            <w:pPr>
              <w:spacing w:after="0" w:line="259" w:lineRule="auto"/>
              <w:ind w:left="79" w:right="0" w:firstLine="0"/>
              <w:jc w:val="left"/>
            </w:pPr>
            <w:r>
              <w:t>2-6</w:t>
            </w:r>
          </w:p>
        </w:tc>
        <w:tc>
          <w:tcPr>
            <w:tcW w:w="0" w:type="auto"/>
            <w:vMerge/>
            <w:tcBorders>
              <w:top w:val="nil"/>
              <w:left w:val="single" w:sz="8" w:space="0" w:color="000000"/>
              <w:bottom w:val="nil"/>
              <w:right w:val="nil"/>
            </w:tcBorders>
          </w:tcPr>
          <w:p w14:paraId="68A80282" w14:textId="77777777" w:rsidR="0019079F" w:rsidRDefault="0019079F">
            <w:pPr>
              <w:spacing w:after="160" w:line="259" w:lineRule="auto"/>
              <w:ind w:left="0" w:right="0" w:firstLine="0"/>
              <w:jc w:val="left"/>
            </w:pPr>
          </w:p>
        </w:tc>
      </w:tr>
      <w:tr w:rsidR="0019079F" w14:paraId="7BA814BE" w14:textId="77777777">
        <w:trPr>
          <w:trHeight w:val="288"/>
        </w:trPr>
        <w:tc>
          <w:tcPr>
            <w:tcW w:w="0" w:type="auto"/>
            <w:vMerge/>
            <w:tcBorders>
              <w:top w:val="nil"/>
              <w:left w:val="nil"/>
              <w:bottom w:val="nil"/>
              <w:right w:val="single" w:sz="8" w:space="0" w:color="000000"/>
            </w:tcBorders>
          </w:tcPr>
          <w:p w14:paraId="77BB5ABB" w14:textId="77777777" w:rsidR="0019079F" w:rsidRDefault="0019079F">
            <w:pPr>
              <w:spacing w:after="160" w:line="259" w:lineRule="auto"/>
              <w:ind w:left="0" w:right="0" w:firstLine="0"/>
              <w:jc w:val="left"/>
            </w:pPr>
          </w:p>
        </w:tc>
        <w:tc>
          <w:tcPr>
            <w:tcW w:w="4501" w:type="dxa"/>
            <w:tcBorders>
              <w:top w:val="single" w:sz="8" w:space="0" w:color="000000"/>
              <w:left w:val="single" w:sz="8" w:space="0" w:color="000000"/>
              <w:bottom w:val="single" w:sz="8" w:space="0" w:color="000000"/>
              <w:right w:val="single" w:sz="8" w:space="0" w:color="000000"/>
            </w:tcBorders>
          </w:tcPr>
          <w:p w14:paraId="6994A986" w14:textId="77777777" w:rsidR="0019079F" w:rsidRDefault="0017445D">
            <w:pPr>
              <w:spacing w:after="0" w:line="259" w:lineRule="auto"/>
              <w:ind w:left="79" w:right="0" w:firstLine="0"/>
              <w:jc w:val="left"/>
            </w:pPr>
            <w:r>
              <w:t>Droits d</w:t>
            </w:r>
            <w:r w:rsidR="00ED044D">
              <w:t>’</w:t>
            </w:r>
            <w:r>
              <w:t>auteurs</w:t>
            </w:r>
          </w:p>
        </w:tc>
        <w:tc>
          <w:tcPr>
            <w:tcW w:w="4141" w:type="dxa"/>
            <w:tcBorders>
              <w:top w:val="single" w:sz="8" w:space="0" w:color="000000"/>
              <w:left w:val="single" w:sz="8" w:space="0" w:color="000000"/>
              <w:bottom w:val="single" w:sz="8" w:space="0" w:color="000000"/>
              <w:right w:val="single" w:sz="8" w:space="0" w:color="000000"/>
            </w:tcBorders>
          </w:tcPr>
          <w:p w14:paraId="0738619C" w14:textId="77777777" w:rsidR="0019079F" w:rsidRDefault="0017445D">
            <w:pPr>
              <w:spacing w:after="0" w:line="259" w:lineRule="auto"/>
              <w:ind w:left="79" w:right="0" w:firstLine="0"/>
              <w:jc w:val="left"/>
            </w:pPr>
            <w:r>
              <w:t>3-10</w:t>
            </w:r>
          </w:p>
        </w:tc>
        <w:tc>
          <w:tcPr>
            <w:tcW w:w="0" w:type="auto"/>
            <w:vMerge/>
            <w:tcBorders>
              <w:top w:val="nil"/>
              <w:left w:val="single" w:sz="8" w:space="0" w:color="000000"/>
              <w:bottom w:val="nil"/>
              <w:right w:val="nil"/>
            </w:tcBorders>
          </w:tcPr>
          <w:p w14:paraId="19054EAD" w14:textId="77777777" w:rsidR="0019079F" w:rsidRDefault="0019079F">
            <w:pPr>
              <w:spacing w:after="160" w:line="259" w:lineRule="auto"/>
              <w:ind w:left="0" w:right="0" w:firstLine="0"/>
              <w:jc w:val="left"/>
            </w:pPr>
          </w:p>
        </w:tc>
      </w:tr>
      <w:tr w:rsidR="0019079F" w14:paraId="709E79BF" w14:textId="77777777">
        <w:trPr>
          <w:trHeight w:val="288"/>
        </w:trPr>
        <w:tc>
          <w:tcPr>
            <w:tcW w:w="0" w:type="auto"/>
            <w:vMerge/>
            <w:tcBorders>
              <w:top w:val="nil"/>
              <w:left w:val="nil"/>
              <w:bottom w:val="nil"/>
              <w:right w:val="single" w:sz="8" w:space="0" w:color="000000"/>
            </w:tcBorders>
          </w:tcPr>
          <w:p w14:paraId="7A30AB51" w14:textId="77777777" w:rsidR="0019079F" w:rsidRDefault="0019079F">
            <w:pPr>
              <w:spacing w:after="160" w:line="259" w:lineRule="auto"/>
              <w:ind w:left="0" w:right="0" w:firstLine="0"/>
              <w:jc w:val="left"/>
            </w:pPr>
          </w:p>
        </w:tc>
        <w:tc>
          <w:tcPr>
            <w:tcW w:w="4501" w:type="dxa"/>
            <w:tcBorders>
              <w:top w:val="single" w:sz="8" w:space="0" w:color="000000"/>
              <w:left w:val="single" w:sz="8" w:space="0" w:color="000000"/>
              <w:bottom w:val="single" w:sz="8" w:space="0" w:color="000000"/>
              <w:right w:val="single" w:sz="8" w:space="0" w:color="000000"/>
            </w:tcBorders>
          </w:tcPr>
          <w:p w14:paraId="38292AA7" w14:textId="77777777" w:rsidR="0019079F" w:rsidRDefault="0017445D">
            <w:pPr>
              <w:spacing w:after="0" w:line="259" w:lineRule="auto"/>
              <w:ind w:left="79" w:right="0" w:firstLine="0"/>
              <w:jc w:val="left"/>
            </w:pPr>
            <w:r>
              <w:t>Brevets</w:t>
            </w:r>
          </w:p>
        </w:tc>
        <w:tc>
          <w:tcPr>
            <w:tcW w:w="4141" w:type="dxa"/>
            <w:tcBorders>
              <w:top w:val="single" w:sz="8" w:space="0" w:color="000000"/>
              <w:left w:val="single" w:sz="8" w:space="0" w:color="000000"/>
              <w:bottom w:val="single" w:sz="8" w:space="0" w:color="000000"/>
              <w:right w:val="single" w:sz="8" w:space="0" w:color="000000"/>
            </w:tcBorders>
          </w:tcPr>
          <w:p w14:paraId="1E56159F" w14:textId="77777777" w:rsidR="0019079F" w:rsidRDefault="0017445D">
            <w:pPr>
              <w:spacing w:after="0" w:line="259" w:lineRule="auto"/>
              <w:ind w:left="79" w:right="0" w:firstLine="0"/>
              <w:jc w:val="left"/>
            </w:pPr>
            <w:r>
              <w:t>2-6</w:t>
            </w:r>
          </w:p>
        </w:tc>
        <w:tc>
          <w:tcPr>
            <w:tcW w:w="0" w:type="auto"/>
            <w:vMerge/>
            <w:tcBorders>
              <w:top w:val="nil"/>
              <w:left w:val="single" w:sz="8" w:space="0" w:color="000000"/>
              <w:bottom w:val="nil"/>
              <w:right w:val="nil"/>
            </w:tcBorders>
          </w:tcPr>
          <w:p w14:paraId="67883D24" w14:textId="77777777" w:rsidR="0019079F" w:rsidRDefault="0019079F">
            <w:pPr>
              <w:spacing w:after="160" w:line="259" w:lineRule="auto"/>
              <w:ind w:left="0" w:right="0" w:firstLine="0"/>
              <w:jc w:val="left"/>
            </w:pPr>
          </w:p>
        </w:tc>
      </w:tr>
      <w:tr w:rsidR="0019079F" w14:paraId="101EF14D" w14:textId="77777777">
        <w:trPr>
          <w:trHeight w:val="293"/>
        </w:trPr>
        <w:tc>
          <w:tcPr>
            <w:tcW w:w="0" w:type="auto"/>
            <w:vMerge/>
            <w:tcBorders>
              <w:top w:val="nil"/>
              <w:left w:val="nil"/>
              <w:bottom w:val="nil"/>
              <w:right w:val="single" w:sz="8" w:space="0" w:color="000000"/>
            </w:tcBorders>
          </w:tcPr>
          <w:p w14:paraId="0AB19544" w14:textId="77777777" w:rsidR="0019079F" w:rsidRDefault="0019079F">
            <w:pPr>
              <w:spacing w:after="160" w:line="259" w:lineRule="auto"/>
              <w:ind w:left="0" w:right="0" w:firstLine="0"/>
              <w:jc w:val="left"/>
            </w:pPr>
          </w:p>
        </w:tc>
        <w:tc>
          <w:tcPr>
            <w:tcW w:w="4501" w:type="dxa"/>
            <w:tcBorders>
              <w:top w:val="single" w:sz="8" w:space="0" w:color="000000"/>
              <w:left w:val="single" w:sz="8" w:space="0" w:color="000000"/>
              <w:bottom w:val="single" w:sz="8" w:space="0" w:color="000000"/>
              <w:right w:val="single" w:sz="8" w:space="0" w:color="000000"/>
            </w:tcBorders>
          </w:tcPr>
          <w:p w14:paraId="59B8155D" w14:textId="77777777" w:rsidR="0019079F" w:rsidRDefault="0017445D">
            <w:pPr>
              <w:spacing w:after="0" w:line="259" w:lineRule="auto"/>
              <w:ind w:left="79" w:right="0" w:firstLine="0"/>
              <w:jc w:val="left"/>
            </w:pPr>
            <w:r>
              <w:t>Licences et autres</w:t>
            </w:r>
          </w:p>
        </w:tc>
        <w:tc>
          <w:tcPr>
            <w:tcW w:w="4141" w:type="dxa"/>
            <w:tcBorders>
              <w:top w:val="single" w:sz="8" w:space="0" w:color="000000"/>
              <w:left w:val="single" w:sz="8" w:space="0" w:color="000000"/>
              <w:bottom w:val="single" w:sz="8" w:space="0" w:color="000000"/>
              <w:right w:val="single" w:sz="8" w:space="0" w:color="000000"/>
            </w:tcBorders>
          </w:tcPr>
          <w:p w14:paraId="06186B74" w14:textId="77777777" w:rsidR="0019079F" w:rsidRDefault="0017445D">
            <w:pPr>
              <w:spacing w:after="0" w:line="259" w:lineRule="auto"/>
              <w:ind w:left="79" w:right="0" w:firstLine="0"/>
              <w:jc w:val="left"/>
            </w:pPr>
            <w:r>
              <w:t>2-6</w:t>
            </w:r>
          </w:p>
        </w:tc>
        <w:tc>
          <w:tcPr>
            <w:tcW w:w="0" w:type="auto"/>
            <w:vMerge/>
            <w:tcBorders>
              <w:top w:val="nil"/>
              <w:left w:val="single" w:sz="8" w:space="0" w:color="000000"/>
              <w:bottom w:val="nil"/>
              <w:right w:val="nil"/>
            </w:tcBorders>
          </w:tcPr>
          <w:p w14:paraId="71DEEC5F" w14:textId="77777777" w:rsidR="0019079F" w:rsidRDefault="0019079F">
            <w:pPr>
              <w:spacing w:after="160" w:line="259" w:lineRule="auto"/>
              <w:ind w:left="0" w:right="0" w:firstLine="0"/>
              <w:jc w:val="left"/>
            </w:pPr>
          </w:p>
        </w:tc>
      </w:tr>
      <w:tr w:rsidR="0019079F" w14:paraId="25690B1A" w14:textId="77777777">
        <w:trPr>
          <w:trHeight w:val="276"/>
        </w:trPr>
        <w:tc>
          <w:tcPr>
            <w:tcW w:w="4710" w:type="dxa"/>
            <w:gridSpan w:val="2"/>
            <w:tcBorders>
              <w:top w:val="single" w:sz="8" w:space="0" w:color="000000"/>
              <w:left w:val="nil"/>
              <w:bottom w:val="nil"/>
              <w:right w:val="nil"/>
            </w:tcBorders>
            <w:shd w:val="clear" w:color="auto" w:fill="FFFFFF"/>
          </w:tcPr>
          <w:p w14:paraId="0E1BC2F5" w14:textId="77777777" w:rsidR="0019079F" w:rsidRDefault="0019079F">
            <w:pPr>
              <w:spacing w:after="0" w:line="259" w:lineRule="auto"/>
              <w:ind w:left="0" w:right="0" w:firstLine="0"/>
              <w:jc w:val="left"/>
            </w:pPr>
          </w:p>
        </w:tc>
        <w:tc>
          <w:tcPr>
            <w:tcW w:w="4710" w:type="dxa"/>
            <w:gridSpan w:val="2"/>
            <w:tcBorders>
              <w:top w:val="nil"/>
              <w:left w:val="nil"/>
              <w:bottom w:val="nil"/>
              <w:right w:val="nil"/>
            </w:tcBorders>
            <w:shd w:val="clear" w:color="auto" w:fill="FFFFFF"/>
          </w:tcPr>
          <w:p w14:paraId="5A12FC61" w14:textId="77777777" w:rsidR="0019079F" w:rsidRDefault="0019079F">
            <w:pPr>
              <w:spacing w:after="160" w:line="259" w:lineRule="auto"/>
              <w:ind w:left="0" w:right="0" w:firstLine="0"/>
              <w:jc w:val="left"/>
            </w:pPr>
          </w:p>
        </w:tc>
      </w:tr>
    </w:tbl>
    <w:p w14:paraId="5F2ACDA4" w14:textId="77777777" w:rsidR="00346B7C" w:rsidRDefault="00346B7C">
      <w:pPr>
        <w:pStyle w:val="Heading1"/>
        <w:ind w:left="-5"/>
      </w:pPr>
    </w:p>
    <w:p w14:paraId="49DBB392" w14:textId="366BC329" w:rsidR="0019079F" w:rsidRDefault="0017445D">
      <w:pPr>
        <w:pStyle w:val="Heading1"/>
        <w:ind w:left="-5"/>
      </w:pPr>
      <w:r>
        <w:t>Rapprochement</w:t>
      </w:r>
    </w:p>
    <w:p w14:paraId="0C84BAB0" w14:textId="77777777" w:rsidR="0019079F" w:rsidRDefault="0019079F">
      <w:pPr>
        <w:spacing w:after="21" w:line="259" w:lineRule="auto"/>
        <w:ind w:left="0" w:right="0" w:firstLine="0"/>
        <w:jc w:val="left"/>
      </w:pPr>
    </w:p>
    <w:p w14:paraId="5AFAB2D3" w14:textId="1D8BEB32" w:rsidR="0019079F" w:rsidRDefault="0017445D" w:rsidP="00ED044D">
      <w:pPr>
        <w:pStyle w:val="ListParagraph"/>
        <w:numPr>
          <w:ilvl w:val="0"/>
          <w:numId w:val="1"/>
        </w:numPr>
        <w:spacing w:after="202"/>
        <w:ind w:right="0"/>
      </w:pPr>
      <w:r>
        <w:lastRenderedPageBreak/>
        <w:t>Le rapprochement est le processus comptable utilisé pour comparer au moins deux ensembles de registres afin de s</w:t>
      </w:r>
      <w:r w:rsidR="00ED044D">
        <w:t>’</w:t>
      </w:r>
      <w:r>
        <w:t xml:space="preserve">assurer que les chiffres concordent et sont exacts. Étant donné que les données sur les immobilisations incorporelles seront introduites dans un module et finalement enregistrées dans le module des actifs du système </w:t>
      </w:r>
      <w:r w:rsidR="009F2E57">
        <w:t xml:space="preserve">Quantum </w:t>
      </w:r>
      <w:r>
        <w:t>ainsi que dans le compte du grand livre, il sera nécessaire de rapprocher les données et les informations des trois modules.</w:t>
      </w:r>
      <w:r w:rsidR="00ED044D">
        <w:t xml:space="preserve"> </w:t>
      </w:r>
      <w:r>
        <w:t>Cela sera fait par le service des opérations générales et le bureau des services de gestion. En plus des rapprochements des données comptables, il sera également nécessaire de rapprocher les résultats de l</w:t>
      </w:r>
      <w:r w:rsidR="00ED044D">
        <w:t>’</w:t>
      </w:r>
      <w:r>
        <w:t>exercice d</w:t>
      </w:r>
      <w:r w:rsidR="00ED044D">
        <w:t>’</w:t>
      </w:r>
      <w:r>
        <w:t>inventaire physique avec les dossiers des immobilisations incorporelles pour chaque bureau pays et entité du siège.</w:t>
      </w:r>
      <w:r w:rsidR="00ED044D">
        <w:t xml:space="preserve"> </w:t>
      </w:r>
      <w:r>
        <w:t>Cela sera fait par chaque unité de bureau pays ou entité du siège.</w:t>
      </w:r>
    </w:p>
    <w:p w14:paraId="5EAB2E07" w14:textId="77777777" w:rsidR="00ED044D" w:rsidRDefault="00ED044D" w:rsidP="00ED044D">
      <w:pPr>
        <w:pStyle w:val="Heading1"/>
        <w:ind w:left="-5"/>
      </w:pPr>
      <w:r>
        <w:t>Rapports</w:t>
      </w:r>
    </w:p>
    <w:p w14:paraId="6811B987" w14:textId="77777777" w:rsidR="0019079F" w:rsidRDefault="0019079F">
      <w:pPr>
        <w:spacing w:after="21" w:line="259" w:lineRule="auto"/>
        <w:ind w:left="0" w:right="0" w:firstLine="0"/>
        <w:jc w:val="left"/>
      </w:pPr>
    </w:p>
    <w:p w14:paraId="0B075AF8" w14:textId="77777777" w:rsidR="0019079F" w:rsidRDefault="0017445D" w:rsidP="00ED044D">
      <w:pPr>
        <w:pStyle w:val="ListParagraph"/>
        <w:numPr>
          <w:ilvl w:val="0"/>
          <w:numId w:val="1"/>
        </w:numPr>
        <w:ind w:right="0"/>
      </w:pPr>
      <w:r>
        <w:t>En raison de la nécessité de vérifier l</w:t>
      </w:r>
      <w:r w:rsidR="00ED044D">
        <w:t>’</w:t>
      </w:r>
      <w:r>
        <w:t>exactitude des registres par des rapprochements et de préparer des informations exactes sur les actifs pour les rapports financiers, divers rapports sont conçus pour aider les utilisateurs à effectuer les fonctions de rapprochement et d</w:t>
      </w:r>
      <w:r w:rsidR="00ED044D">
        <w:t>’</w:t>
      </w:r>
      <w:r>
        <w:t>examen des registres d</w:t>
      </w:r>
      <w:r w:rsidR="00ED044D">
        <w:t>’</w:t>
      </w:r>
      <w:r>
        <w:t>actifs. Par exemple, les rapports détaillés des opérations, le rapport de rapprochement AM-grand livre par services et catégories d</w:t>
      </w:r>
      <w:r w:rsidR="00ED044D">
        <w:t>’</w:t>
      </w:r>
      <w:r>
        <w:t>actifs, etc. Pour plus d</w:t>
      </w:r>
      <w:r w:rsidR="00ED044D">
        <w:t>’</w:t>
      </w:r>
      <w:r>
        <w:t>informations, se référer au</w:t>
      </w:r>
      <w:r w:rsidR="00ED044D">
        <w:t>x</w:t>
      </w:r>
      <w:r>
        <w:t xml:space="preserve"> </w:t>
      </w:r>
      <w:r w:rsidR="00ED044D" w:rsidRPr="00ED044D">
        <w:t>politiques et procédures régissant les programmes et opérations</w:t>
      </w:r>
      <w:r w:rsidR="00ED044D">
        <w:t xml:space="preserve"> (</w:t>
      </w:r>
      <w:r>
        <w:t>POPP</w:t>
      </w:r>
      <w:r w:rsidR="00ED044D">
        <w:t>)</w:t>
      </w:r>
      <w:r>
        <w:t xml:space="preserve"> sur le mobilier et le matériel.</w:t>
      </w:r>
    </w:p>
    <w:p w14:paraId="3439974A" w14:textId="77777777" w:rsidR="0019079F" w:rsidRDefault="0019079F">
      <w:pPr>
        <w:spacing w:after="0" w:line="259" w:lineRule="auto"/>
        <w:ind w:left="0" w:right="0" w:firstLine="0"/>
        <w:jc w:val="left"/>
      </w:pPr>
    </w:p>
    <w:p w14:paraId="206DB865" w14:textId="77777777" w:rsidR="0019079F" w:rsidRDefault="0017445D">
      <w:pPr>
        <w:pStyle w:val="Heading1"/>
        <w:ind w:left="-5"/>
      </w:pPr>
      <w:r>
        <w:t>Fonctions centralisées</w:t>
      </w:r>
    </w:p>
    <w:p w14:paraId="2C47AB3F" w14:textId="77777777" w:rsidR="0019079F" w:rsidRDefault="0019079F">
      <w:pPr>
        <w:spacing w:after="20" w:line="259" w:lineRule="auto"/>
        <w:ind w:left="0" w:right="0" w:firstLine="0"/>
        <w:jc w:val="left"/>
      </w:pPr>
    </w:p>
    <w:p w14:paraId="54815E56" w14:textId="77777777" w:rsidR="0019079F" w:rsidRDefault="0017445D" w:rsidP="00ED044D">
      <w:pPr>
        <w:pStyle w:val="ListParagraph"/>
        <w:numPr>
          <w:ilvl w:val="0"/>
          <w:numId w:val="1"/>
        </w:numPr>
        <w:ind w:right="0"/>
      </w:pPr>
      <w:r>
        <w:t xml:space="preserve">Les fonctions centralisées sont celles qui ne seront exécutées que par le Centre mondial de services partagés du PNUD </w:t>
      </w:r>
      <w:r w:rsidR="00ED044D">
        <w:t xml:space="preserve">(GSSC) </w:t>
      </w:r>
      <w:r>
        <w:t>et le siège du PNUD à New York, par l</w:t>
      </w:r>
      <w:r w:rsidR="00ED044D">
        <w:t>’</w:t>
      </w:r>
      <w:r>
        <w:t>intermédiaire de la Division de la comptabilité, du bureau des systèmes informatiques et des technologies de l</w:t>
      </w:r>
      <w:r w:rsidR="00ED044D">
        <w:t>’</w:t>
      </w:r>
      <w:r>
        <w:t>information ou du service des opérations générales et du bureau des services de gestion.</w:t>
      </w:r>
      <w:r w:rsidR="00ED044D">
        <w:t xml:space="preserve"> </w:t>
      </w:r>
      <w:r>
        <w:t>Se référer au</w:t>
      </w:r>
      <w:r w:rsidR="00ED044D">
        <w:t>x</w:t>
      </w:r>
      <w:r>
        <w:t xml:space="preserve"> POPP sur le mobilier et le matériel pour plus de détails.</w:t>
      </w:r>
    </w:p>
    <w:p w14:paraId="020CE9E7" w14:textId="77777777" w:rsidR="0019079F" w:rsidRDefault="0019079F">
      <w:pPr>
        <w:spacing w:after="0" w:line="259" w:lineRule="auto"/>
        <w:ind w:left="0" w:right="0" w:firstLine="0"/>
        <w:jc w:val="left"/>
      </w:pPr>
    </w:p>
    <w:p w14:paraId="44760288" w14:textId="77777777" w:rsidR="0019079F" w:rsidRDefault="0017445D">
      <w:pPr>
        <w:pStyle w:val="Heading1"/>
        <w:ind w:left="-5"/>
      </w:pPr>
      <w:r>
        <w:t>Amortissement des immobilisations incorporelles</w:t>
      </w:r>
    </w:p>
    <w:p w14:paraId="7E4BFD69" w14:textId="77777777" w:rsidR="0019079F" w:rsidRDefault="0019079F">
      <w:pPr>
        <w:spacing w:after="21" w:line="259" w:lineRule="auto"/>
        <w:ind w:left="0" w:right="0" w:firstLine="0"/>
        <w:jc w:val="left"/>
      </w:pPr>
    </w:p>
    <w:p w14:paraId="4445AC77" w14:textId="4FB76E77" w:rsidR="0019079F" w:rsidRDefault="0017445D">
      <w:pPr>
        <w:numPr>
          <w:ilvl w:val="0"/>
          <w:numId w:val="2"/>
        </w:numPr>
        <w:ind w:right="0" w:hanging="360"/>
      </w:pPr>
      <w:r>
        <w:t>L</w:t>
      </w:r>
      <w:r w:rsidR="00ED044D">
        <w:t>’</w:t>
      </w:r>
      <w:r>
        <w:t>amortissement est la provision pour l</w:t>
      </w:r>
      <w:r w:rsidR="00ED044D">
        <w:t>’</w:t>
      </w:r>
      <w:r>
        <w:t>usure d</w:t>
      </w:r>
      <w:r w:rsidR="00ED044D">
        <w:t>’</w:t>
      </w:r>
      <w:r>
        <w:t>un actif qui a été utilisé sur sa durée de vie utile prédéterminée.</w:t>
      </w:r>
      <w:r w:rsidR="00ED044D">
        <w:t xml:space="preserve"> </w:t>
      </w:r>
      <w:r>
        <w:t>Au PNUD, l</w:t>
      </w:r>
      <w:r w:rsidR="00ED044D">
        <w:t>’</w:t>
      </w:r>
      <w:r>
        <w:t>amortissement est appliqué en versements mensuels égaux sur la durée de vie utile de l</w:t>
      </w:r>
      <w:r w:rsidR="00ED044D">
        <w:t>’</w:t>
      </w:r>
      <w:r>
        <w:t>actif, en utilisant la méthode d</w:t>
      </w:r>
      <w:r w:rsidR="00ED044D">
        <w:t>’</w:t>
      </w:r>
      <w:r>
        <w:t>amortissement linéaire (coût historique diminué de la valeur résiduelle, divisé par durée de vie utile).</w:t>
      </w:r>
      <w:r w:rsidR="00ED044D">
        <w:t xml:space="preserve"> </w:t>
      </w:r>
      <w:r>
        <w:t>L</w:t>
      </w:r>
      <w:r w:rsidR="00ED044D">
        <w:t>’</w:t>
      </w:r>
      <w:r>
        <w:t>amortissement est un processus système qui sera exécuté tous les mois par le siège et comptabilisé dans</w:t>
      </w:r>
      <w:r w:rsidR="00E4513B">
        <w:t xml:space="preserve"> la </w:t>
      </w:r>
      <w:r>
        <w:t xml:space="preserve"> </w:t>
      </w:r>
      <w:r w:rsidR="000C2655">
        <w:t xml:space="preserve">ligne budgétaire </w:t>
      </w:r>
      <w:r w:rsidR="00E4513B">
        <w:t xml:space="preserve">(COA) </w:t>
      </w:r>
      <w:r>
        <w:t>approprié</w:t>
      </w:r>
      <w:r w:rsidR="00E4513B">
        <w:t>e</w:t>
      </w:r>
      <w:r>
        <w:t xml:space="preserve"> à partir duquel l</w:t>
      </w:r>
      <w:r w:rsidR="00ED044D">
        <w:t>’</w:t>
      </w:r>
      <w:r>
        <w:t>actif a été acheté ou immobilisé.</w:t>
      </w:r>
      <w:r w:rsidR="00ED044D">
        <w:t xml:space="preserve"> </w:t>
      </w:r>
      <w:r>
        <w:t xml:space="preserve">Pour cette raison, il est important que les </w:t>
      </w:r>
      <w:r w:rsidR="00E4513B">
        <w:t>COA</w:t>
      </w:r>
      <w:r>
        <w:t xml:space="preserve"> temporaires ne soient pas utilisés car les coûts d</w:t>
      </w:r>
      <w:r w:rsidR="00ED044D">
        <w:t>’</w:t>
      </w:r>
      <w:r>
        <w:t xml:space="preserve">amortissement seront imputés à ces </w:t>
      </w:r>
      <w:r w:rsidR="00BE1B1D">
        <w:t>lignes budgétaires (COA)</w:t>
      </w:r>
      <w:r>
        <w:t xml:space="preserve"> temporaires, nécessitant une série d</w:t>
      </w:r>
      <w:r w:rsidR="00ED044D">
        <w:t>’</w:t>
      </w:r>
      <w:r>
        <w:t>écritures de journal correctives lorsque l</w:t>
      </w:r>
      <w:r w:rsidR="00ED044D">
        <w:t>’</w:t>
      </w:r>
      <w:r>
        <w:t xml:space="preserve">actif sera finalement enregistré en fonction du </w:t>
      </w:r>
      <w:r w:rsidR="007D4494">
        <w:t xml:space="preserve">COA </w:t>
      </w:r>
      <w:r>
        <w:t xml:space="preserve"> exact et définitif.</w:t>
      </w:r>
    </w:p>
    <w:p w14:paraId="3FF62CDE" w14:textId="77777777" w:rsidR="0019079F" w:rsidRDefault="0019079F">
      <w:pPr>
        <w:spacing w:after="22" w:line="259" w:lineRule="auto"/>
        <w:ind w:left="46" w:right="0" w:firstLine="0"/>
        <w:jc w:val="left"/>
      </w:pPr>
    </w:p>
    <w:p w14:paraId="6224201B" w14:textId="77777777" w:rsidR="0019079F" w:rsidRDefault="0017445D">
      <w:pPr>
        <w:numPr>
          <w:ilvl w:val="0"/>
          <w:numId w:val="2"/>
        </w:numPr>
        <w:ind w:right="0" w:hanging="360"/>
      </w:pPr>
      <w:r>
        <w:t>L</w:t>
      </w:r>
      <w:r w:rsidR="00ED044D">
        <w:t>’</w:t>
      </w:r>
      <w:r>
        <w:t xml:space="preserve">amortissement est appliqué aux </w:t>
      </w:r>
      <w:r>
        <w:rPr>
          <w:u w:val="single"/>
        </w:rPr>
        <w:t>immobilisations incorporelles</w:t>
      </w:r>
      <w:r>
        <w:t xml:space="preserve">, aux passifs et aux </w:t>
      </w:r>
      <w:r>
        <w:rPr>
          <w:u w:val="single"/>
        </w:rPr>
        <w:t>immobilisations corporelles.</w:t>
      </w:r>
    </w:p>
    <w:p w14:paraId="1EF09563" w14:textId="77777777" w:rsidR="0019079F" w:rsidRDefault="0019079F">
      <w:pPr>
        <w:spacing w:after="0" w:line="259" w:lineRule="auto"/>
        <w:ind w:left="0" w:right="0" w:firstLine="0"/>
        <w:jc w:val="left"/>
      </w:pPr>
    </w:p>
    <w:p w14:paraId="0E9FA7D2" w14:textId="77777777" w:rsidR="0019079F" w:rsidRDefault="0017445D">
      <w:pPr>
        <w:pStyle w:val="Heading1"/>
        <w:ind w:left="-5"/>
      </w:pPr>
      <w:r>
        <w:lastRenderedPageBreak/>
        <w:t>Rapprochement, rapports et fonctions centralisées</w:t>
      </w:r>
    </w:p>
    <w:p w14:paraId="1DF5E740" w14:textId="77777777" w:rsidR="0019079F" w:rsidRDefault="0019079F">
      <w:pPr>
        <w:spacing w:after="22" w:line="259" w:lineRule="auto"/>
        <w:ind w:left="0" w:right="0" w:firstLine="0"/>
        <w:jc w:val="left"/>
      </w:pPr>
    </w:p>
    <w:p w14:paraId="3027E0B6" w14:textId="4979788C" w:rsidR="0019079F" w:rsidRDefault="0017445D" w:rsidP="0057315F">
      <w:pPr>
        <w:pStyle w:val="ListParagraph"/>
        <w:numPr>
          <w:ilvl w:val="0"/>
          <w:numId w:val="2"/>
        </w:numPr>
      </w:pPr>
      <w:r>
        <w:t>Se référer au</w:t>
      </w:r>
      <w:r w:rsidR="00ED044D">
        <w:t>x</w:t>
      </w:r>
      <w:r>
        <w:t xml:space="preserve"> </w:t>
      </w:r>
      <w:hyperlink r:id="rId12" w:history="1">
        <w:r w:rsidRPr="005E5698">
          <w:rPr>
            <w:rStyle w:val="Hyperlink"/>
          </w:rPr>
          <w:t>POPP sur le mobilier et le matériel</w:t>
        </w:r>
      </w:hyperlink>
      <w:r>
        <w:t xml:space="preserve"> pour voir la liste des rapports et des rapprochements qui peuvent être utiles.</w:t>
      </w:r>
      <w:r w:rsidR="00ED044D">
        <w:t xml:space="preserve"> </w:t>
      </w:r>
      <w:r>
        <w:t>Le GSS</w:t>
      </w:r>
      <w:r w:rsidR="009F2E57">
        <w:t>C</w:t>
      </w:r>
      <w:r>
        <w:t xml:space="preserve"> jouera un rôle clé dans l</w:t>
      </w:r>
      <w:r w:rsidR="00ED044D">
        <w:t>’</w:t>
      </w:r>
      <w:r>
        <w:t>enregistrement des dépréciations des immobilisations incorporelles lorsqu</w:t>
      </w:r>
      <w:r w:rsidR="00ED044D">
        <w:t>’</w:t>
      </w:r>
      <w:r>
        <w:t>il est nécessaire de réajuster la durée de vie utile d</w:t>
      </w:r>
      <w:r w:rsidR="00ED044D">
        <w:t>’</w:t>
      </w:r>
      <w:r>
        <w:t>une immobilisation incorporelle.</w:t>
      </w:r>
    </w:p>
    <w:p w14:paraId="7D288C96" w14:textId="77777777" w:rsidR="0057315F" w:rsidRDefault="0057315F" w:rsidP="0057315F">
      <w:pPr>
        <w:pStyle w:val="ListParagraph"/>
        <w:ind w:left="705" w:firstLine="0"/>
      </w:pPr>
    </w:p>
    <w:p w14:paraId="17A65B0B" w14:textId="77777777" w:rsidR="0057315F" w:rsidRDefault="0057315F" w:rsidP="0057315F">
      <w:pPr>
        <w:pStyle w:val="ListParagraph"/>
        <w:ind w:left="705" w:firstLine="0"/>
      </w:pPr>
    </w:p>
    <w:p w14:paraId="5281A344"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7952B533"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5B0AF14A"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5E6F3A58"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5C2E8E13"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76F9E3B1"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17727A73"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5A3322F9"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6042D878"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1F04EB72"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3616F8F2"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3781EC0D"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33A76967"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23CAFB6E"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04E9BA28"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66219D85"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79462E33"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5958E8FA"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5757B213"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63BBE022"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422D9C82"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4A5344BC"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1E43FB7A"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4C206EF2"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11854790"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2B8F3432"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2EAE0B8A"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45B203DC"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2991155C"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4EA63AF3"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0964E598"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2AA8F140"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4B734DDA" w14:textId="77777777" w:rsidR="00FA0D13" w:rsidRDefault="00FA0D13" w:rsidP="00FA0D13">
      <w:pPr>
        <w:pStyle w:val="NormalWeb"/>
        <w:shd w:val="clear" w:color="auto" w:fill="FFFFFF"/>
        <w:spacing w:before="0" w:beforeAutospacing="0" w:after="0" w:afterAutospacing="0"/>
        <w:rPr>
          <w:rFonts w:ascii="Calibri" w:hAnsi="Calibri"/>
          <w:b/>
          <w:bCs/>
          <w:i/>
          <w:iCs/>
          <w:color w:val="212121"/>
          <w:sz w:val="22"/>
          <w:szCs w:val="22"/>
          <w:u w:val="single"/>
          <w:bdr w:val="none" w:sz="0" w:space="0" w:color="auto" w:frame="1"/>
          <w:lang w:val="fr-FR"/>
        </w:rPr>
      </w:pPr>
    </w:p>
    <w:p w14:paraId="6720CBB4" w14:textId="2E3BE956" w:rsidR="00FA0D13" w:rsidRPr="0037562F" w:rsidRDefault="00FA0D13" w:rsidP="00FA0D13">
      <w:pPr>
        <w:pStyle w:val="NormalWeb"/>
        <w:shd w:val="clear" w:color="auto" w:fill="FFFFFF"/>
        <w:spacing w:before="0" w:beforeAutospacing="0" w:after="0" w:afterAutospacing="0"/>
        <w:rPr>
          <w:rFonts w:ascii="Calibri" w:hAnsi="Calibri"/>
          <w:i/>
          <w:iCs/>
          <w:color w:val="000000"/>
          <w:lang w:val="fr-FR"/>
        </w:rPr>
      </w:pPr>
      <w:r w:rsidRPr="0037562F">
        <w:rPr>
          <w:rFonts w:ascii="Calibri" w:hAnsi="Calibri"/>
          <w:b/>
          <w:bCs/>
          <w:i/>
          <w:iCs/>
          <w:color w:val="212121"/>
          <w:sz w:val="22"/>
          <w:szCs w:val="22"/>
          <w:u w:val="single"/>
          <w:bdr w:val="none" w:sz="0" w:space="0" w:color="auto" w:frame="1"/>
          <w:lang w:val="fr-FR"/>
        </w:rPr>
        <w:t>Avertissement:</w:t>
      </w:r>
      <w:r w:rsidRPr="0037562F">
        <w:rPr>
          <w:rFonts w:ascii="Calibri" w:hAnsi="Calibri"/>
          <w:i/>
          <w:iCs/>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703393A7" w14:textId="77777777" w:rsidR="00FA0D13" w:rsidRPr="0037562F" w:rsidRDefault="00FA0D13" w:rsidP="00FA0D13">
      <w:pPr>
        <w:pStyle w:val="NormalWeb"/>
        <w:shd w:val="clear" w:color="auto" w:fill="FFFFFF"/>
        <w:spacing w:before="0" w:beforeAutospacing="0" w:after="0" w:afterAutospacing="0"/>
        <w:rPr>
          <w:rFonts w:ascii="Calibri" w:hAnsi="Calibri"/>
          <w:i/>
          <w:iCs/>
          <w:color w:val="000000"/>
          <w:lang w:val="fr-FR"/>
        </w:rPr>
      </w:pPr>
      <w:r w:rsidRPr="0037562F">
        <w:rPr>
          <w:rFonts w:ascii="Calibri" w:hAnsi="Calibri"/>
          <w:i/>
          <w:iCs/>
          <w:color w:val="212121"/>
          <w:sz w:val="22"/>
          <w:szCs w:val="22"/>
          <w:bdr w:val="none" w:sz="0" w:space="0" w:color="auto" w:frame="1"/>
          <w:lang w:val="fr-FR"/>
        </w:rPr>
        <w:t> </w:t>
      </w:r>
    </w:p>
    <w:p w14:paraId="05B450A7" w14:textId="77777777" w:rsidR="00FA0D13" w:rsidRPr="0037562F" w:rsidRDefault="00FA0D13" w:rsidP="00FA0D13">
      <w:pPr>
        <w:pStyle w:val="NormalWeb"/>
        <w:shd w:val="clear" w:color="auto" w:fill="FFFFFF"/>
        <w:spacing w:before="0" w:beforeAutospacing="0" w:after="0" w:afterAutospacing="0"/>
        <w:jc w:val="both"/>
        <w:rPr>
          <w:rFonts w:ascii="Calibri" w:hAnsi="Calibri"/>
          <w:i/>
          <w:iCs/>
          <w:color w:val="000000"/>
        </w:rPr>
      </w:pPr>
      <w:r w:rsidRPr="0037562F">
        <w:rPr>
          <w:rStyle w:val="markwqu4ow29p"/>
          <w:b/>
          <w:bCs/>
          <w:i/>
          <w:iCs/>
          <w:color w:val="000000"/>
          <w:sz w:val="22"/>
          <w:szCs w:val="22"/>
          <w:bdr w:val="none" w:sz="0" w:space="0" w:color="auto" w:frame="1"/>
          <w:lang w:val="en-GB"/>
        </w:rPr>
        <w:t>Disclaimer</w:t>
      </w:r>
      <w:r w:rsidRPr="0037562F">
        <w:rPr>
          <w:rFonts w:ascii="Calibri" w:hAnsi="Calibri"/>
          <w:b/>
          <w:bCs/>
          <w:i/>
          <w:iCs/>
          <w:color w:val="000000"/>
          <w:sz w:val="22"/>
          <w:szCs w:val="22"/>
          <w:bdr w:val="none" w:sz="0" w:space="0" w:color="auto" w:frame="1"/>
          <w:lang w:val="en-GB"/>
        </w:rPr>
        <w:t>:</w:t>
      </w:r>
      <w:r w:rsidRPr="0037562F">
        <w:rPr>
          <w:rFonts w:ascii="Calibri" w:hAnsi="Calibri"/>
          <w:i/>
          <w:iCs/>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78007209" w14:textId="77777777" w:rsidR="0057315F" w:rsidRPr="00FA0D13" w:rsidRDefault="0057315F" w:rsidP="00831252">
      <w:pPr>
        <w:spacing w:after="3451" w:line="259" w:lineRule="auto"/>
        <w:ind w:left="0" w:right="0" w:firstLine="0"/>
        <w:jc w:val="left"/>
        <w:rPr>
          <w:lang w:val="en-US"/>
        </w:rPr>
      </w:pPr>
    </w:p>
    <w:sectPr w:rsidR="0057315F" w:rsidRPr="00FA0D13" w:rsidSect="001E3D44">
      <w:headerReference w:type="default" r:id="rId13"/>
      <w:footerReference w:type="default" r:id="rId14"/>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90EB" w14:textId="77777777" w:rsidR="000463BB" w:rsidRDefault="000463BB" w:rsidP="00831252">
      <w:pPr>
        <w:spacing w:after="0" w:line="240" w:lineRule="auto"/>
      </w:pPr>
      <w:r>
        <w:separator/>
      </w:r>
    </w:p>
  </w:endnote>
  <w:endnote w:type="continuationSeparator" w:id="0">
    <w:p w14:paraId="50034459" w14:textId="77777777" w:rsidR="000463BB" w:rsidRDefault="000463BB" w:rsidP="0083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EA04" w14:textId="77777777" w:rsidR="0002045B" w:rsidRDefault="0002045B">
    <w:pPr>
      <w:pStyle w:val="Footer"/>
    </w:pPr>
  </w:p>
  <w:p w14:paraId="18966483" w14:textId="1D5B74F7" w:rsidR="00831252" w:rsidRDefault="0002045B">
    <w:pPr>
      <w:pStyle w:val="Footer"/>
    </w:pPr>
    <w:r>
      <w:t xml:space="preserve">Page </w:t>
    </w:r>
    <w:r w:rsidR="001E3D44">
      <w:rPr>
        <w:b/>
      </w:rPr>
      <w:fldChar w:fldCharType="begin"/>
    </w:r>
    <w:r>
      <w:rPr>
        <w:b/>
      </w:rPr>
      <w:instrText xml:space="preserve"> PAGE  \* Arabic  \* MERGEFORMAT </w:instrText>
    </w:r>
    <w:r w:rsidR="001E3D44">
      <w:rPr>
        <w:b/>
      </w:rPr>
      <w:fldChar w:fldCharType="separate"/>
    </w:r>
    <w:r w:rsidR="0057315F">
      <w:rPr>
        <w:b/>
        <w:noProof/>
      </w:rPr>
      <w:t>2</w:t>
    </w:r>
    <w:r w:rsidR="001E3D44">
      <w:rPr>
        <w:b/>
      </w:rPr>
      <w:fldChar w:fldCharType="end"/>
    </w:r>
    <w:r>
      <w:t xml:space="preserve"> de </w:t>
    </w:r>
    <w:fldSimple w:instr=" NUMPAGES  \* Arabic  \* MERGEFORMAT ">
      <w:r w:rsidR="0057315F" w:rsidRPr="0057315F">
        <w:rPr>
          <w:b/>
          <w:noProof/>
        </w:rPr>
        <w:t>3</w:t>
      </w:r>
    </w:fldSimple>
    <w:r>
      <w:ptab w:relativeTo="margin" w:alignment="center" w:leader="none"/>
    </w:r>
    <w:r>
      <w:t>Date d</w:t>
    </w:r>
    <w:r w:rsidR="00ED044D">
      <w:t>’</w:t>
    </w:r>
    <w:r>
      <w:t>entrée en vigueur</w:t>
    </w:r>
    <w:r w:rsidR="00EE69E1">
      <w:t> :</w:t>
    </w:r>
    <w:r w:rsidR="00EE69E1" w:rsidRPr="00EE69E1">
      <w:t xml:space="preserve"> 25/07/2016 </w:t>
    </w:r>
    <w:r>
      <w:ptab w:relativeTo="margin" w:alignment="right" w:leader="none"/>
    </w:r>
    <w:r>
      <w:t>Version n</w:t>
    </w:r>
    <w:r w:rsidR="002C2A7D" w:rsidRPr="002C2A7D">
      <w:rPr>
        <w:vertAlign w:val="superscript"/>
      </w:rPr>
      <w:t>o</w:t>
    </w:r>
    <w:r w:rsidR="00ED044D">
      <w:t> :</w:t>
    </w:r>
    <w:r>
      <w:t xml:space="preserve"> </w:t>
    </w:r>
    <w:sdt>
      <w:sdtPr>
        <w:alias w:val="POPPRefItemVersion"/>
        <w:tag w:val="UNDP_POPP_REFITEM_VERSION"/>
        <w:id w:val="1007938959"/>
        <w:placeholder>
          <w:docPart w:val="C441311E246D419BA6AB6DA5C347836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415B5FE9-6B11-4F26-B6A0-1B4F7CA598CA}"/>
        <w:text/>
      </w:sdtPr>
      <w:sdtContent>
        <w:r w:rsidR="009F2E57">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B06F" w14:textId="77777777" w:rsidR="000463BB" w:rsidRDefault="000463BB" w:rsidP="00831252">
      <w:pPr>
        <w:spacing w:after="0" w:line="240" w:lineRule="auto"/>
      </w:pPr>
      <w:r>
        <w:separator/>
      </w:r>
    </w:p>
  </w:footnote>
  <w:footnote w:type="continuationSeparator" w:id="0">
    <w:p w14:paraId="38E7FDB7" w14:textId="77777777" w:rsidR="000463BB" w:rsidRDefault="000463BB" w:rsidP="0083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FA39" w14:textId="30B05D12" w:rsidR="0002045B" w:rsidRDefault="0002045B" w:rsidP="0002045B">
    <w:pPr>
      <w:pStyle w:val="Header"/>
      <w:jc w:val="right"/>
    </w:pPr>
    <w:r>
      <w:rPr>
        <w:noProof/>
        <w:lang w:val="en-US" w:eastAsia="en-US"/>
      </w:rPr>
      <w:drawing>
        <wp:inline distT="0" distB="0" distL="0" distR="0" wp14:anchorId="2ACAF0A6" wp14:editId="544686DB">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937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01AB5"/>
    <w:multiLevelType w:val="hybridMultilevel"/>
    <w:tmpl w:val="A4C6D94C"/>
    <w:lvl w:ilvl="0" w:tplc="D4A6765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7059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CE2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98ED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254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E9D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EA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A6B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86DB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241629"/>
    <w:multiLevelType w:val="hybridMultilevel"/>
    <w:tmpl w:val="C6A646E4"/>
    <w:lvl w:ilvl="0" w:tplc="2A74070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2869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7E4B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4000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4261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56F3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00F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A1B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2E2F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58755748">
    <w:abstractNumId w:val="0"/>
  </w:num>
  <w:num w:numId="2" w16cid:durableId="26281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9F"/>
    <w:rsid w:val="0002045B"/>
    <w:rsid w:val="000463BB"/>
    <w:rsid w:val="000B16FC"/>
    <w:rsid w:val="000C2655"/>
    <w:rsid w:val="0017445D"/>
    <w:rsid w:val="00187D54"/>
    <w:rsid w:val="0019079F"/>
    <w:rsid w:val="001B49E7"/>
    <w:rsid w:val="001E3D44"/>
    <w:rsid w:val="001F30D1"/>
    <w:rsid w:val="00273153"/>
    <w:rsid w:val="002C2A7D"/>
    <w:rsid w:val="00346B7C"/>
    <w:rsid w:val="003F189B"/>
    <w:rsid w:val="00465511"/>
    <w:rsid w:val="0057315F"/>
    <w:rsid w:val="005E5698"/>
    <w:rsid w:val="00670F23"/>
    <w:rsid w:val="00683A45"/>
    <w:rsid w:val="006935CF"/>
    <w:rsid w:val="006B6152"/>
    <w:rsid w:val="007D4494"/>
    <w:rsid w:val="00831252"/>
    <w:rsid w:val="008F2125"/>
    <w:rsid w:val="009D1804"/>
    <w:rsid w:val="009F2E57"/>
    <w:rsid w:val="009F5B57"/>
    <w:rsid w:val="00A445AD"/>
    <w:rsid w:val="00A57EFA"/>
    <w:rsid w:val="00BE1B1D"/>
    <w:rsid w:val="00C65862"/>
    <w:rsid w:val="00CC2F15"/>
    <w:rsid w:val="00D06D0F"/>
    <w:rsid w:val="00DB77F7"/>
    <w:rsid w:val="00DC3966"/>
    <w:rsid w:val="00DF05C6"/>
    <w:rsid w:val="00E35D56"/>
    <w:rsid w:val="00E4513B"/>
    <w:rsid w:val="00E6758C"/>
    <w:rsid w:val="00E73218"/>
    <w:rsid w:val="00E96C27"/>
    <w:rsid w:val="00ED044D"/>
    <w:rsid w:val="00EE69E1"/>
    <w:rsid w:val="00F577E0"/>
    <w:rsid w:val="00F800BA"/>
    <w:rsid w:val="00FA0D13"/>
    <w:rsid w:val="00FC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49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44"/>
    <w:pPr>
      <w:spacing w:after="5" w:line="249" w:lineRule="auto"/>
      <w:ind w:left="730" w:right="5"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1E3D44"/>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3D44"/>
    <w:rPr>
      <w:rFonts w:ascii="Calibri" w:eastAsia="Calibri" w:hAnsi="Calibri" w:cs="Calibri"/>
      <w:b/>
      <w:color w:val="000000"/>
      <w:sz w:val="22"/>
    </w:rPr>
  </w:style>
  <w:style w:type="table" w:customStyle="1" w:styleId="TableGrid">
    <w:name w:val="TableGrid"/>
    <w:rsid w:val="001E3D44"/>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252"/>
    <w:rPr>
      <w:rFonts w:ascii="Calibri" w:eastAsia="Calibri" w:hAnsi="Calibri" w:cs="Calibri"/>
      <w:color w:val="000000"/>
    </w:rPr>
  </w:style>
  <w:style w:type="paragraph" w:styleId="Footer">
    <w:name w:val="footer"/>
    <w:basedOn w:val="Normal"/>
    <w:link w:val="FooterChar"/>
    <w:uiPriority w:val="99"/>
    <w:unhideWhenUsed/>
    <w:rsid w:val="0083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252"/>
    <w:rPr>
      <w:rFonts w:ascii="Calibri" w:eastAsia="Calibri" w:hAnsi="Calibri" w:cs="Calibri"/>
      <w:color w:val="000000"/>
    </w:rPr>
  </w:style>
  <w:style w:type="paragraph" w:styleId="BalloonText">
    <w:name w:val="Balloon Text"/>
    <w:basedOn w:val="Normal"/>
    <w:link w:val="BalloonTextChar"/>
    <w:uiPriority w:val="99"/>
    <w:semiHidden/>
    <w:unhideWhenUsed/>
    <w:rsid w:val="0002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45B"/>
    <w:rPr>
      <w:rFonts w:ascii="Tahoma" w:eastAsia="Calibri" w:hAnsi="Tahoma" w:cs="Tahoma"/>
      <w:color w:val="000000"/>
      <w:sz w:val="16"/>
      <w:szCs w:val="16"/>
    </w:rPr>
  </w:style>
  <w:style w:type="character" w:styleId="PlaceholderText">
    <w:name w:val="Placeholder Text"/>
    <w:basedOn w:val="DefaultParagraphFont"/>
    <w:uiPriority w:val="99"/>
    <w:semiHidden/>
    <w:rsid w:val="0002045B"/>
    <w:rPr>
      <w:color w:val="808080"/>
    </w:rPr>
  </w:style>
  <w:style w:type="paragraph" w:styleId="ListParagraph">
    <w:name w:val="List Paragraph"/>
    <w:basedOn w:val="Normal"/>
    <w:uiPriority w:val="34"/>
    <w:qFormat/>
    <w:rsid w:val="00ED044D"/>
    <w:pPr>
      <w:ind w:left="720"/>
      <w:contextualSpacing/>
    </w:pPr>
  </w:style>
  <w:style w:type="paragraph" w:styleId="NormalWeb">
    <w:name w:val="Normal (Web)"/>
    <w:basedOn w:val="Normal"/>
    <w:uiPriority w:val="99"/>
    <w:semiHidden/>
    <w:unhideWhenUsed/>
    <w:rsid w:val="0057315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markwqu4ow29p">
    <w:name w:val="markwqu4ow29p"/>
    <w:basedOn w:val="DefaultParagraphFont"/>
    <w:rsid w:val="00FA0D13"/>
  </w:style>
  <w:style w:type="character" w:styleId="Hyperlink">
    <w:name w:val="Hyperlink"/>
    <w:basedOn w:val="DefaultParagraphFont"/>
    <w:uiPriority w:val="99"/>
    <w:unhideWhenUsed/>
    <w:rsid w:val="005E5698"/>
    <w:rPr>
      <w:color w:val="0563C1" w:themeColor="hyperlink"/>
      <w:u w:val="single"/>
    </w:rPr>
  </w:style>
  <w:style w:type="character" w:styleId="UnresolvedMention">
    <w:name w:val="Unresolved Mention"/>
    <w:basedOn w:val="DefaultParagraphFont"/>
    <w:uiPriority w:val="99"/>
    <w:semiHidden/>
    <w:unhideWhenUsed/>
    <w:rsid w:val="005E5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fr/taxonomy/term/2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1311E246D419BA6AB6DA5C3478368"/>
        <w:category>
          <w:name w:val="General"/>
          <w:gallery w:val="placeholder"/>
        </w:category>
        <w:types>
          <w:type w:val="bbPlcHdr"/>
        </w:types>
        <w:behaviors>
          <w:behavior w:val="content"/>
        </w:behaviors>
        <w:guid w:val="{DC6EA2EC-F717-4F59-BB11-4EBE4E9DB6EC}"/>
      </w:docPartPr>
      <w:docPartBody>
        <w:p w:rsidR="00AF1089" w:rsidRDefault="00455B30">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B30"/>
    <w:rsid w:val="00044953"/>
    <w:rsid w:val="003E04E6"/>
    <w:rsid w:val="00455B30"/>
    <w:rsid w:val="00527DC5"/>
    <w:rsid w:val="005B6074"/>
    <w:rsid w:val="00A50C0E"/>
    <w:rsid w:val="00AF1089"/>
    <w:rsid w:val="00DD65FA"/>
    <w:rsid w:val="00DF342E"/>
    <w:rsid w:val="00ED75AA"/>
    <w:rsid w:val="00FA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B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UNITBMS-1904581467-56</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UNDP_POPP_EFFECTIVEDATE xmlns="8264c5cc-ec60-4b56-8111-ce635d3d139a">2016-07-24T22:00:00+00:00</UNDP_POPP_EFFECTIVEDAT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Immobilisations incorporelles : Amortissements, Rapprochements, rapports et fonctions centralisées</UNDP_POPP_TITLE_EN>
    <_dlc_DocIdUrl xmlns="8264c5cc-ec60-4b56-8111-ce635d3d139a">
      <Url>https://intranet.undp.org/unit/bms/dir/internal/init_popp/_layouts/15/DocIdRedir.aspx?ID=UNITBMS-1904581467-56</Url>
      <Description>UNITBMS-1904581467-56</Description>
    </_dlc_DocIdUrl>
    <DLCPolicyLabelLock xmlns="e560140e-7b2f-4392-90df-e7567e3021a3" xsi:nil="true"/>
    <DLCPolicyLabelClientValue xmlns="e560140e-7b2f-4392-90df-e7567e3021a3">Effective Date: 25/07/2016                                                Version #: 3.0</DLCPolicyLabelClientValue>
    <UNDP_POPP_BUSINESSUNITID_HIDDEN xmlns="8264c5cc-ec60-4b56-8111-ce635d3d139a" xsi:nil="true"/>
    <DLCPolicyLabelValue xmlns="e560140e-7b2f-4392-90df-e7567e3021a3">Effective Date: 25/07/2016                                                Version #: 3.0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D5E7BAC-1ABD-481F-A67E-63E0F14E12E7}">
  <ds:schemaRefs>
    <ds:schemaRef ds:uri="http://schemas.microsoft.com/sharepoint/events"/>
  </ds:schemaRefs>
</ds:datastoreItem>
</file>

<file path=customXml/itemProps2.xml><?xml version="1.0" encoding="utf-8"?>
<ds:datastoreItem xmlns:ds="http://schemas.openxmlformats.org/officeDocument/2006/customXml" ds:itemID="{415B5FE9-6B11-4F26-B6A0-1B4F7CA598C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7EF15F8-3540-41CE-855A-8E9ED34B5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BD366-06AE-4081-A028-D2812F495F75}">
  <ds:schemaRefs>
    <ds:schemaRef ds:uri="http://schemas.microsoft.com/sharepoint/v3/contenttype/forms"/>
  </ds:schemaRefs>
</ds:datastoreItem>
</file>

<file path=customXml/itemProps5.xml><?xml version="1.0" encoding="utf-8"?>
<ds:datastoreItem xmlns:ds="http://schemas.openxmlformats.org/officeDocument/2006/customXml" ds:itemID="{416419E8-EA62-4320-B0C2-14D0B366B4F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11</cp:revision>
  <dcterms:created xsi:type="dcterms:W3CDTF">2019-05-29T21:23:00Z</dcterms:created>
  <dcterms:modified xsi:type="dcterms:W3CDTF">2023-12-22T13:25:00Z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fab0c412-3978-4de8-8663-8510771e3b14</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