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DAFE6" w14:textId="77777777" w:rsidR="0019079F" w:rsidRDefault="0017445D">
      <w:pPr>
        <w:spacing w:after="0" w:line="239" w:lineRule="auto"/>
        <w:ind w:left="0" w:right="0" w:firstLine="0"/>
        <w:jc w:val="left"/>
      </w:pPr>
      <w:r>
        <w:rPr>
          <w:b/>
          <w:sz w:val="28"/>
        </w:rPr>
        <w:t xml:space="preserve">Activos Intangibles: Amortizaciones, Conciliaciones, Informes y Funciones Centralizadas  </w:t>
      </w:r>
    </w:p>
    <w:p w14:paraId="166DAFE7" w14:textId="77777777" w:rsidR="0019079F" w:rsidRDefault="0017445D" w:rsidP="00831252">
      <w:pPr>
        <w:spacing w:after="0" w:line="259" w:lineRule="auto"/>
        <w:ind w:left="0" w:right="0" w:firstLine="0"/>
        <w:jc w:val="left"/>
      </w:pPr>
      <w:r>
        <w:rPr>
          <w:b/>
        </w:rPr>
        <w:t xml:space="preserve"> </w:t>
      </w:r>
    </w:p>
    <w:p w14:paraId="166DAFE8" w14:textId="77777777" w:rsidR="0019079F" w:rsidRDefault="0017445D">
      <w:pPr>
        <w:numPr>
          <w:ilvl w:val="0"/>
          <w:numId w:val="1"/>
        </w:numPr>
        <w:ind w:right="0" w:hanging="360"/>
      </w:pPr>
      <w:r>
        <w:t xml:space="preserve">La amortización es la asignación sistemática del monto amortizable de un Activo Intangible a lo largo de su vida útil. La amortización contabiliza el costo del activo en cuotas iguales (método de amortización lineal) durante la vida del activo, y no cuando se paga el activo. </w:t>
      </w:r>
    </w:p>
    <w:p w14:paraId="166DAFE9" w14:textId="77777777" w:rsidR="0019079F" w:rsidRDefault="0017445D">
      <w:pPr>
        <w:spacing w:after="21" w:line="259" w:lineRule="auto"/>
        <w:ind w:left="0" w:right="0" w:firstLine="0"/>
        <w:jc w:val="left"/>
      </w:pPr>
      <w:r>
        <w:t xml:space="preserve"> </w:t>
      </w:r>
    </w:p>
    <w:p w14:paraId="166DAFEA" w14:textId="02E49824" w:rsidR="0019079F" w:rsidRDefault="0017445D">
      <w:pPr>
        <w:numPr>
          <w:ilvl w:val="0"/>
          <w:numId w:val="1"/>
        </w:numPr>
        <w:ind w:right="0" w:hanging="360"/>
      </w:pPr>
      <w:r>
        <w:t xml:space="preserve">La amortización es la asignación sistemática del monto amortizable de un Activo Intangible a lo largo de su vida útil. La amortización contabiliza el costo del activo en cuotas iguales (método de amortización lineal) durante la vida del activo, y no cuando se paga el activo. El monto amortizable es el costo de un activo u otro monto que sustituya al costo, menos su valor residual y el valor residual de un activo es el monto estimado que se obtendría actualmente de la enajenación del activo, después de deducir los costos estimados de enajenación, si el activo tuviese ya la antigüedad y estuviese en las condiciones esperadas al final de su vida útil. En el PNUD (Programa de las Naciones Unidas para el Desarrollo), todos los intangibles tendrán una vida residual de cero. </w:t>
      </w:r>
    </w:p>
    <w:p w14:paraId="166DAFEB" w14:textId="77777777" w:rsidR="0019079F" w:rsidRDefault="0017445D">
      <w:pPr>
        <w:spacing w:after="20" w:line="259" w:lineRule="auto"/>
        <w:ind w:left="46" w:right="0" w:firstLine="0"/>
        <w:jc w:val="left"/>
      </w:pPr>
      <w:r>
        <w:t xml:space="preserve"> </w:t>
      </w:r>
    </w:p>
    <w:p w14:paraId="166DAFEC" w14:textId="77777777" w:rsidR="0019079F" w:rsidRDefault="0017445D">
      <w:pPr>
        <w:numPr>
          <w:ilvl w:val="0"/>
          <w:numId w:val="1"/>
        </w:numPr>
        <w:ind w:right="0" w:hanging="360"/>
      </w:pPr>
      <w:r>
        <w:t xml:space="preserve">Dado que el gasto de amortización se contabilizará en el Plan de Cuentas (COA) dentro del cual se registra un activo, es importante que no se utilicen COA temporales, dado que los cargos por amortización se realizarán contra estos COA temporales, lo que requiere una serie de asientos correctivos en el libro mayor cuando el activo se registre finalmente en el COA correcto y final.   </w:t>
      </w:r>
    </w:p>
    <w:p w14:paraId="166DAFED" w14:textId="77777777" w:rsidR="0019079F" w:rsidRDefault="0017445D">
      <w:pPr>
        <w:spacing w:after="21" w:line="259" w:lineRule="auto"/>
        <w:ind w:left="46" w:right="0" w:firstLine="0"/>
        <w:jc w:val="left"/>
      </w:pPr>
      <w:r>
        <w:t xml:space="preserve"> </w:t>
      </w:r>
    </w:p>
    <w:p w14:paraId="166DAFEE" w14:textId="415EC123" w:rsidR="0019079F" w:rsidRDefault="0017445D">
      <w:pPr>
        <w:numPr>
          <w:ilvl w:val="0"/>
          <w:numId w:val="1"/>
        </w:numPr>
        <w:ind w:right="0" w:hanging="360"/>
      </w:pPr>
      <w:r>
        <w:t xml:space="preserve">El gasto por amortización no afecta los recursos, dado que el costo inicial del Activo Intangible se carga totalmente en el presupuesto. Es un gasto sin salida de efectivo que asigna este costo durante la vida del Activo Intangible. </w:t>
      </w:r>
    </w:p>
    <w:p w14:paraId="166DAFEF" w14:textId="77777777" w:rsidR="0019079F" w:rsidRDefault="0017445D">
      <w:pPr>
        <w:spacing w:after="20" w:line="259" w:lineRule="auto"/>
        <w:ind w:left="46" w:right="0" w:firstLine="0"/>
        <w:jc w:val="left"/>
      </w:pPr>
      <w:r>
        <w:t xml:space="preserve"> </w:t>
      </w:r>
    </w:p>
    <w:p w14:paraId="166DAFF0" w14:textId="77777777" w:rsidR="0019079F" w:rsidRDefault="0017445D">
      <w:pPr>
        <w:numPr>
          <w:ilvl w:val="0"/>
          <w:numId w:val="1"/>
        </w:numPr>
        <w:ind w:right="0" w:hanging="360"/>
      </w:pPr>
      <w:r>
        <w:t xml:space="preserve">Las vidas útiles estimadas para los activos intangibles son las siguientes:  </w:t>
      </w:r>
    </w:p>
    <w:p w14:paraId="166DAFF1" w14:textId="77777777" w:rsidR="0019079F" w:rsidRDefault="0017445D">
      <w:pPr>
        <w:spacing w:after="0" w:line="259" w:lineRule="auto"/>
        <w:ind w:left="0" w:right="0" w:firstLine="0"/>
        <w:jc w:val="left"/>
      </w:pPr>
      <w:r>
        <w:t xml:space="preserve">   </w:t>
      </w:r>
    </w:p>
    <w:tbl>
      <w:tblPr>
        <w:tblStyle w:val="TableGrid"/>
        <w:tblW w:w="9211" w:type="dxa"/>
        <w:tblInd w:w="-39" w:type="dxa"/>
        <w:tblCellMar>
          <w:top w:w="50" w:type="dxa"/>
          <w:left w:w="29" w:type="dxa"/>
          <w:right w:w="115" w:type="dxa"/>
        </w:tblCellMar>
        <w:tblLook w:val="04A0" w:firstRow="1" w:lastRow="0" w:firstColumn="1" w:lastColumn="0" w:noHBand="0" w:noVBand="1"/>
      </w:tblPr>
      <w:tblGrid>
        <w:gridCol w:w="4501"/>
        <w:gridCol w:w="4141"/>
        <w:gridCol w:w="569"/>
      </w:tblGrid>
      <w:tr w:rsidR="005779D4" w14:paraId="166DAFF6" w14:textId="77777777" w:rsidTr="005779D4">
        <w:trPr>
          <w:trHeight w:val="288"/>
        </w:trPr>
        <w:tc>
          <w:tcPr>
            <w:tcW w:w="4501" w:type="dxa"/>
            <w:tcBorders>
              <w:top w:val="single" w:sz="8" w:space="0" w:color="000000"/>
              <w:left w:val="single" w:sz="8" w:space="0" w:color="000000"/>
              <w:bottom w:val="single" w:sz="8" w:space="0" w:color="000000"/>
              <w:right w:val="single" w:sz="8" w:space="0" w:color="000000"/>
            </w:tcBorders>
          </w:tcPr>
          <w:p w14:paraId="166DAFF3" w14:textId="77777777" w:rsidR="005779D4" w:rsidRPr="005779D4" w:rsidRDefault="005779D4">
            <w:pPr>
              <w:spacing w:after="0" w:line="259" w:lineRule="auto"/>
              <w:ind w:left="79" w:right="0" w:firstLine="0"/>
              <w:jc w:val="left"/>
              <w:rPr>
                <w:b/>
                <w:bCs/>
              </w:rPr>
            </w:pPr>
            <w:r w:rsidRPr="005779D4">
              <w:rPr>
                <w:b/>
                <w:bCs/>
              </w:rPr>
              <w:t xml:space="preserve">Clase </w:t>
            </w:r>
          </w:p>
        </w:tc>
        <w:tc>
          <w:tcPr>
            <w:tcW w:w="4141" w:type="dxa"/>
            <w:tcBorders>
              <w:top w:val="single" w:sz="8" w:space="0" w:color="000000"/>
              <w:left w:val="single" w:sz="8" w:space="0" w:color="000000"/>
              <w:bottom w:val="single" w:sz="8" w:space="0" w:color="000000"/>
              <w:right w:val="single" w:sz="8" w:space="0" w:color="000000"/>
            </w:tcBorders>
          </w:tcPr>
          <w:p w14:paraId="166DAFF4" w14:textId="77777777" w:rsidR="005779D4" w:rsidRPr="005779D4" w:rsidRDefault="005779D4">
            <w:pPr>
              <w:spacing w:after="0" w:line="259" w:lineRule="auto"/>
              <w:ind w:left="79" w:right="0" w:firstLine="0"/>
              <w:jc w:val="left"/>
              <w:rPr>
                <w:b/>
                <w:bCs/>
              </w:rPr>
            </w:pPr>
            <w:r w:rsidRPr="005779D4">
              <w:rPr>
                <w:b/>
                <w:bCs/>
              </w:rPr>
              <w:t xml:space="preserve">Vida útil estimada (años) </w:t>
            </w:r>
          </w:p>
        </w:tc>
        <w:tc>
          <w:tcPr>
            <w:tcW w:w="569" w:type="dxa"/>
            <w:vMerge w:val="restart"/>
            <w:tcBorders>
              <w:top w:val="nil"/>
              <w:left w:val="single" w:sz="8" w:space="0" w:color="000000"/>
              <w:bottom w:val="nil"/>
              <w:right w:val="nil"/>
            </w:tcBorders>
          </w:tcPr>
          <w:p w14:paraId="166DAFF5" w14:textId="77777777" w:rsidR="005779D4" w:rsidRDefault="005779D4">
            <w:pPr>
              <w:spacing w:after="160" w:line="259" w:lineRule="auto"/>
              <w:ind w:left="0" w:right="0" w:firstLine="0"/>
              <w:jc w:val="left"/>
            </w:pPr>
          </w:p>
        </w:tc>
      </w:tr>
      <w:tr w:rsidR="005779D4" w14:paraId="166DAFFB" w14:textId="77777777" w:rsidTr="005779D4">
        <w:trPr>
          <w:trHeight w:val="290"/>
        </w:trPr>
        <w:tc>
          <w:tcPr>
            <w:tcW w:w="4501" w:type="dxa"/>
            <w:tcBorders>
              <w:top w:val="single" w:sz="8" w:space="0" w:color="000000"/>
              <w:left w:val="single" w:sz="8" w:space="0" w:color="000000"/>
              <w:bottom w:val="single" w:sz="8" w:space="0" w:color="000000"/>
              <w:right w:val="single" w:sz="8" w:space="0" w:color="000000"/>
            </w:tcBorders>
          </w:tcPr>
          <w:p w14:paraId="166DAFF8" w14:textId="77777777" w:rsidR="005779D4" w:rsidRDefault="005779D4">
            <w:pPr>
              <w:spacing w:after="0" w:line="259" w:lineRule="auto"/>
              <w:ind w:left="79" w:right="0" w:firstLine="0"/>
              <w:jc w:val="left"/>
            </w:pPr>
            <w:r>
              <w:t xml:space="preserve">Software adquirido </w:t>
            </w:r>
          </w:p>
        </w:tc>
        <w:tc>
          <w:tcPr>
            <w:tcW w:w="4141" w:type="dxa"/>
            <w:tcBorders>
              <w:top w:val="single" w:sz="8" w:space="0" w:color="000000"/>
              <w:left w:val="single" w:sz="8" w:space="0" w:color="000000"/>
              <w:bottom w:val="single" w:sz="8" w:space="0" w:color="000000"/>
              <w:right w:val="single" w:sz="8" w:space="0" w:color="000000"/>
            </w:tcBorders>
          </w:tcPr>
          <w:p w14:paraId="166DAFF9" w14:textId="77777777" w:rsidR="005779D4" w:rsidRDefault="005779D4">
            <w:pPr>
              <w:spacing w:after="0" w:line="259" w:lineRule="auto"/>
              <w:ind w:left="79" w:right="0" w:firstLine="0"/>
              <w:jc w:val="left"/>
            </w:pPr>
            <w:r>
              <w:t xml:space="preserve">3-6 </w:t>
            </w:r>
          </w:p>
        </w:tc>
        <w:tc>
          <w:tcPr>
            <w:tcW w:w="0" w:type="auto"/>
            <w:vMerge/>
            <w:tcBorders>
              <w:top w:val="nil"/>
              <w:left w:val="single" w:sz="8" w:space="0" w:color="000000"/>
              <w:bottom w:val="nil"/>
              <w:right w:val="nil"/>
            </w:tcBorders>
          </w:tcPr>
          <w:p w14:paraId="166DAFFA" w14:textId="77777777" w:rsidR="005779D4" w:rsidRDefault="005779D4">
            <w:pPr>
              <w:spacing w:after="160" w:line="259" w:lineRule="auto"/>
              <w:ind w:left="0" w:right="0" w:firstLine="0"/>
              <w:jc w:val="left"/>
            </w:pPr>
          </w:p>
        </w:tc>
      </w:tr>
      <w:tr w:rsidR="005779D4" w14:paraId="166DB000" w14:textId="77777777" w:rsidTr="005779D4">
        <w:trPr>
          <w:trHeight w:val="288"/>
        </w:trPr>
        <w:tc>
          <w:tcPr>
            <w:tcW w:w="4501" w:type="dxa"/>
            <w:tcBorders>
              <w:top w:val="single" w:sz="8" w:space="0" w:color="000000"/>
              <w:left w:val="single" w:sz="8" w:space="0" w:color="000000"/>
              <w:bottom w:val="single" w:sz="8" w:space="0" w:color="000000"/>
              <w:right w:val="single" w:sz="8" w:space="0" w:color="000000"/>
            </w:tcBorders>
          </w:tcPr>
          <w:p w14:paraId="166DAFFD" w14:textId="77777777" w:rsidR="005779D4" w:rsidRDefault="005779D4">
            <w:pPr>
              <w:spacing w:after="0" w:line="259" w:lineRule="auto"/>
              <w:ind w:left="79" w:right="0" w:firstLine="0"/>
              <w:jc w:val="left"/>
            </w:pPr>
            <w:r>
              <w:t xml:space="preserve">Software desarrollado en forma interna </w:t>
            </w:r>
          </w:p>
        </w:tc>
        <w:tc>
          <w:tcPr>
            <w:tcW w:w="4141" w:type="dxa"/>
            <w:tcBorders>
              <w:top w:val="single" w:sz="8" w:space="0" w:color="000000"/>
              <w:left w:val="single" w:sz="8" w:space="0" w:color="000000"/>
              <w:bottom w:val="single" w:sz="8" w:space="0" w:color="000000"/>
              <w:right w:val="single" w:sz="8" w:space="0" w:color="000000"/>
            </w:tcBorders>
          </w:tcPr>
          <w:p w14:paraId="166DAFFE" w14:textId="77777777" w:rsidR="005779D4" w:rsidRDefault="005779D4">
            <w:pPr>
              <w:spacing w:after="0" w:line="259" w:lineRule="auto"/>
              <w:ind w:left="79" w:right="0" w:firstLine="0"/>
              <w:jc w:val="left"/>
            </w:pPr>
            <w:r>
              <w:t xml:space="preserve">3-6 </w:t>
            </w:r>
          </w:p>
        </w:tc>
        <w:tc>
          <w:tcPr>
            <w:tcW w:w="0" w:type="auto"/>
            <w:vMerge/>
            <w:tcBorders>
              <w:top w:val="nil"/>
              <w:left w:val="single" w:sz="8" w:space="0" w:color="000000"/>
              <w:bottom w:val="nil"/>
              <w:right w:val="nil"/>
            </w:tcBorders>
          </w:tcPr>
          <w:p w14:paraId="166DAFFF" w14:textId="77777777" w:rsidR="005779D4" w:rsidRDefault="005779D4">
            <w:pPr>
              <w:spacing w:after="160" w:line="259" w:lineRule="auto"/>
              <w:ind w:left="0" w:right="0" w:firstLine="0"/>
              <w:jc w:val="left"/>
            </w:pPr>
          </w:p>
        </w:tc>
      </w:tr>
      <w:tr w:rsidR="005779D4" w14:paraId="166DB005" w14:textId="77777777" w:rsidTr="005779D4">
        <w:trPr>
          <w:trHeight w:val="288"/>
        </w:trPr>
        <w:tc>
          <w:tcPr>
            <w:tcW w:w="4501" w:type="dxa"/>
            <w:tcBorders>
              <w:top w:val="single" w:sz="8" w:space="0" w:color="000000"/>
              <w:left w:val="single" w:sz="8" w:space="0" w:color="000000"/>
              <w:bottom w:val="single" w:sz="8" w:space="0" w:color="000000"/>
              <w:right w:val="single" w:sz="8" w:space="0" w:color="000000"/>
            </w:tcBorders>
          </w:tcPr>
          <w:p w14:paraId="166DB002" w14:textId="77777777" w:rsidR="005779D4" w:rsidRDefault="005779D4">
            <w:pPr>
              <w:spacing w:after="0" w:line="259" w:lineRule="auto"/>
              <w:ind w:left="79" w:right="0" w:firstLine="0"/>
              <w:jc w:val="left"/>
            </w:pPr>
            <w:r>
              <w:t xml:space="preserve">Marcas comerciales </w:t>
            </w:r>
          </w:p>
        </w:tc>
        <w:tc>
          <w:tcPr>
            <w:tcW w:w="4141" w:type="dxa"/>
            <w:tcBorders>
              <w:top w:val="single" w:sz="8" w:space="0" w:color="000000"/>
              <w:left w:val="single" w:sz="8" w:space="0" w:color="000000"/>
              <w:bottom w:val="single" w:sz="8" w:space="0" w:color="000000"/>
              <w:right w:val="single" w:sz="8" w:space="0" w:color="000000"/>
            </w:tcBorders>
          </w:tcPr>
          <w:p w14:paraId="166DB003" w14:textId="77777777" w:rsidR="005779D4" w:rsidRDefault="005779D4">
            <w:pPr>
              <w:spacing w:after="0" w:line="259" w:lineRule="auto"/>
              <w:ind w:left="79" w:right="0" w:firstLine="0"/>
              <w:jc w:val="left"/>
            </w:pPr>
            <w:r>
              <w:t xml:space="preserve">2-6 </w:t>
            </w:r>
          </w:p>
        </w:tc>
        <w:tc>
          <w:tcPr>
            <w:tcW w:w="0" w:type="auto"/>
            <w:vMerge/>
            <w:tcBorders>
              <w:top w:val="nil"/>
              <w:left w:val="single" w:sz="8" w:space="0" w:color="000000"/>
              <w:bottom w:val="nil"/>
              <w:right w:val="nil"/>
            </w:tcBorders>
          </w:tcPr>
          <w:p w14:paraId="166DB004" w14:textId="77777777" w:rsidR="005779D4" w:rsidRDefault="005779D4">
            <w:pPr>
              <w:spacing w:after="160" w:line="259" w:lineRule="auto"/>
              <w:ind w:left="0" w:right="0" w:firstLine="0"/>
              <w:jc w:val="left"/>
            </w:pPr>
          </w:p>
        </w:tc>
      </w:tr>
      <w:tr w:rsidR="005779D4" w14:paraId="166DB00A" w14:textId="77777777" w:rsidTr="005779D4">
        <w:trPr>
          <w:trHeight w:val="288"/>
        </w:trPr>
        <w:tc>
          <w:tcPr>
            <w:tcW w:w="4501" w:type="dxa"/>
            <w:tcBorders>
              <w:top w:val="single" w:sz="8" w:space="0" w:color="000000"/>
              <w:left w:val="single" w:sz="8" w:space="0" w:color="000000"/>
              <w:bottom w:val="single" w:sz="8" w:space="0" w:color="000000"/>
              <w:right w:val="single" w:sz="8" w:space="0" w:color="000000"/>
            </w:tcBorders>
          </w:tcPr>
          <w:p w14:paraId="166DB007" w14:textId="77777777" w:rsidR="005779D4" w:rsidRDefault="005779D4">
            <w:pPr>
              <w:spacing w:after="0" w:line="259" w:lineRule="auto"/>
              <w:ind w:left="79" w:right="0" w:firstLine="0"/>
              <w:jc w:val="left"/>
            </w:pPr>
            <w:r>
              <w:t xml:space="preserve">Derechos de autor </w:t>
            </w:r>
          </w:p>
        </w:tc>
        <w:tc>
          <w:tcPr>
            <w:tcW w:w="4141" w:type="dxa"/>
            <w:tcBorders>
              <w:top w:val="single" w:sz="8" w:space="0" w:color="000000"/>
              <w:left w:val="single" w:sz="8" w:space="0" w:color="000000"/>
              <w:bottom w:val="single" w:sz="8" w:space="0" w:color="000000"/>
              <w:right w:val="single" w:sz="8" w:space="0" w:color="000000"/>
            </w:tcBorders>
          </w:tcPr>
          <w:p w14:paraId="166DB008" w14:textId="77777777" w:rsidR="005779D4" w:rsidRDefault="005779D4">
            <w:pPr>
              <w:spacing w:after="0" w:line="259" w:lineRule="auto"/>
              <w:ind w:left="79" w:right="0" w:firstLine="0"/>
              <w:jc w:val="left"/>
            </w:pPr>
            <w:r>
              <w:t xml:space="preserve">3-10 </w:t>
            </w:r>
          </w:p>
        </w:tc>
        <w:tc>
          <w:tcPr>
            <w:tcW w:w="0" w:type="auto"/>
            <w:vMerge/>
            <w:tcBorders>
              <w:top w:val="nil"/>
              <w:left w:val="single" w:sz="8" w:space="0" w:color="000000"/>
              <w:bottom w:val="nil"/>
              <w:right w:val="nil"/>
            </w:tcBorders>
          </w:tcPr>
          <w:p w14:paraId="166DB009" w14:textId="77777777" w:rsidR="005779D4" w:rsidRDefault="005779D4">
            <w:pPr>
              <w:spacing w:after="160" w:line="259" w:lineRule="auto"/>
              <w:ind w:left="0" w:right="0" w:firstLine="0"/>
              <w:jc w:val="left"/>
            </w:pPr>
          </w:p>
        </w:tc>
      </w:tr>
      <w:tr w:rsidR="005779D4" w14:paraId="166DB00F" w14:textId="77777777" w:rsidTr="005779D4">
        <w:trPr>
          <w:trHeight w:val="288"/>
        </w:trPr>
        <w:tc>
          <w:tcPr>
            <w:tcW w:w="4501" w:type="dxa"/>
            <w:tcBorders>
              <w:top w:val="single" w:sz="8" w:space="0" w:color="000000"/>
              <w:left w:val="single" w:sz="8" w:space="0" w:color="000000"/>
              <w:bottom w:val="single" w:sz="8" w:space="0" w:color="000000"/>
              <w:right w:val="single" w:sz="8" w:space="0" w:color="000000"/>
            </w:tcBorders>
          </w:tcPr>
          <w:p w14:paraId="166DB00C" w14:textId="77777777" w:rsidR="005779D4" w:rsidRDefault="005779D4">
            <w:pPr>
              <w:spacing w:after="0" w:line="259" w:lineRule="auto"/>
              <w:ind w:left="79" w:right="0" w:firstLine="0"/>
              <w:jc w:val="left"/>
            </w:pPr>
            <w:r>
              <w:t xml:space="preserve">Patentes </w:t>
            </w:r>
          </w:p>
        </w:tc>
        <w:tc>
          <w:tcPr>
            <w:tcW w:w="4141" w:type="dxa"/>
            <w:tcBorders>
              <w:top w:val="single" w:sz="8" w:space="0" w:color="000000"/>
              <w:left w:val="single" w:sz="8" w:space="0" w:color="000000"/>
              <w:bottom w:val="single" w:sz="8" w:space="0" w:color="000000"/>
              <w:right w:val="single" w:sz="8" w:space="0" w:color="000000"/>
            </w:tcBorders>
          </w:tcPr>
          <w:p w14:paraId="166DB00D" w14:textId="77777777" w:rsidR="005779D4" w:rsidRDefault="005779D4">
            <w:pPr>
              <w:spacing w:after="0" w:line="259" w:lineRule="auto"/>
              <w:ind w:left="79" w:right="0" w:firstLine="0"/>
              <w:jc w:val="left"/>
            </w:pPr>
            <w:r>
              <w:t xml:space="preserve">2-6 </w:t>
            </w:r>
          </w:p>
        </w:tc>
        <w:tc>
          <w:tcPr>
            <w:tcW w:w="0" w:type="auto"/>
            <w:vMerge/>
            <w:tcBorders>
              <w:top w:val="nil"/>
              <w:left w:val="single" w:sz="8" w:space="0" w:color="000000"/>
              <w:bottom w:val="nil"/>
              <w:right w:val="nil"/>
            </w:tcBorders>
          </w:tcPr>
          <w:p w14:paraId="166DB00E" w14:textId="77777777" w:rsidR="005779D4" w:rsidRDefault="005779D4">
            <w:pPr>
              <w:spacing w:after="160" w:line="259" w:lineRule="auto"/>
              <w:ind w:left="0" w:right="0" w:firstLine="0"/>
              <w:jc w:val="left"/>
            </w:pPr>
          </w:p>
        </w:tc>
      </w:tr>
      <w:tr w:rsidR="005779D4" w14:paraId="166DB014" w14:textId="77777777" w:rsidTr="005779D4">
        <w:trPr>
          <w:trHeight w:val="293"/>
        </w:trPr>
        <w:tc>
          <w:tcPr>
            <w:tcW w:w="4501" w:type="dxa"/>
            <w:tcBorders>
              <w:top w:val="single" w:sz="8" w:space="0" w:color="000000"/>
              <w:left w:val="single" w:sz="8" w:space="0" w:color="000000"/>
              <w:bottom w:val="single" w:sz="8" w:space="0" w:color="000000"/>
              <w:right w:val="single" w:sz="8" w:space="0" w:color="000000"/>
            </w:tcBorders>
          </w:tcPr>
          <w:p w14:paraId="166DB011" w14:textId="77777777" w:rsidR="005779D4" w:rsidRDefault="005779D4">
            <w:pPr>
              <w:spacing w:after="0" w:line="259" w:lineRule="auto"/>
              <w:ind w:left="79" w:right="0" w:firstLine="0"/>
              <w:jc w:val="left"/>
            </w:pPr>
            <w:r>
              <w:t xml:space="preserve">Licencias y otros </w:t>
            </w:r>
          </w:p>
        </w:tc>
        <w:tc>
          <w:tcPr>
            <w:tcW w:w="4141" w:type="dxa"/>
            <w:tcBorders>
              <w:top w:val="single" w:sz="8" w:space="0" w:color="000000"/>
              <w:left w:val="single" w:sz="8" w:space="0" w:color="000000"/>
              <w:bottom w:val="single" w:sz="8" w:space="0" w:color="000000"/>
              <w:right w:val="single" w:sz="8" w:space="0" w:color="000000"/>
            </w:tcBorders>
          </w:tcPr>
          <w:p w14:paraId="166DB012" w14:textId="77777777" w:rsidR="005779D4" w:rsidRDefault="005779D4">
            <w:pPr>
              <w:spacing w:after="0" w:line="259" w:lineRule="auto"/>
              <w:ind w:left="79" w:right="0" w:firstLine="0"/>
              <w:jc w:val="left"/>
            </w:pPr>
            <w:r>
              <w:t xml:space="preserve">2-6 </w:t>
            </w:r>
          </w:p>
        </w:tc>
        <w:tc>
          <w:tcPr>
            <w:tcW w:w="0" w:type="auto"/>
            <w:vMerge/>
            <w:tcBorders>
              <w:top w:val="nil"/>
              <w:left w:val="single" w:sz="8" w:space="0" w:color="000000"/>
              <w:bottom w:val="nil"/>
              <w:right w:val="nil"/>
            </w:tcBorders>
          </w:tcPr>
          <w:p w14:paraId="166DB013" w14:textId="77777777" w:rsidR="005779D4" w:rsidRDefault="005779D4">
            <w:pPr>
              <w:spacing w:after="160" w:line="259" w:lineRule="auto"/>
              <w:ind w:left="0" w:right="0" w:firstLine="0"/>
              <w:jc w:val="left"/>
            </w:pPr>
          </w:p>
        </w:tc>
      </w:tr>
    </w:tbl>
    <w:p w14:paraId="55AEA5FC" w14:textId="77777777" w:rsidR="00DE6EAF" w:rsidRDefault="00DE6EAF">
      <w:pPr>
        <w:pStyle w:val="Heading1"/>
        <w:ind w:left="-5"/>
      </w:pPr>
    </w:p>
    <w:p w14:paraId="166DB018" w14:textId="1F172337" w:rsidR="0019079F" w:rsidRDefault="0017445D">
      <w:pPr>
        <w:pStyle w:val="Heading1"/>
        <w:ind w:left="-5"/>
      </w:pPr>
      <w:r>
        <w:t xml:space="preserve">Conciliación  </w:t>
      </w:r>
    </w:p>
    <w:p w14:paraId="166DB019" w14:textId="77777777" w:rsidR="0019079F" w:rsidRDefault="0017445D">
      <w:pPr>
        <w:spacing w:after="21" w:line="259" w:lineRule="auto"/>
        <w:ind w:left="0" w:right="0" w:firstLine="0"/>
        <w:jc w:val="left"/>
      </w:pPr>
      <w:r>
        <w:rPr>
          <w:b/>
        </w:rPr>
        <w:t xml:space="preserve"> </w:t>
      </w:r>
    </w:p>
    <w:p w14:paraId="166DB01A" w14:textId="40B00553" w:rsidR="0019079F" w:rsidRDefault="0017445D">
      <w:pPr>
        <w:spacing w:after="202"/>
        <w:ind w:left="715" w:right="0"/>
      </w:pPr>
      <w:r>
        <w:t>6.</w:t>
      </w:r>
      <w:r w:rsidRPr="15CE2CA9">
        <w:rPr>
          <w:rFonts w:ascii="Arial" w:hAnsi="Arial"/>
        </w:rPr>
        <w:t xml:space="preserve">   </w:t>
      </w:r>
      <w:r>
        <w:t xml:space="preserve">La conciliación es el proceso contable utilizado para comparar como mínimo dos conjuntos de registros para asegurar que las cifras concuerden y sean precisas. Dado que los datos de los Activos Intangibles se iniciarán en un módulo y se registrarán finalmente en el Módulo Activos de </w:t>
      </w:r>
      <w:r w:rsidR="00D2781C">
        <w:t>Quantum</w:t>
      </w:r>
      <w:r>
        <w:t xml:space="preserve"> además de en la Cuenta de Libro Mayor, será necesario conciliar los datos y la información en los tres módulos. Esto será realizado por la dependencia de Operaciones </w:t>
      </w:r>
      <w:r>
        <w:lastRenderedPageBreak/>
        <w:t xml:space="preserve">Generales de la BMS (Dirección de Servicios de Gestión). Además de las conciliaciones de datos contables, también se deberán conciliar los resultados del ejercicio de verificación física con los registros de Activos Intangibles para cada CO o Dependencia de la Sede. Esto será realizado por cada CO o Dependencia de la Sede. </w:t>
      </w:r>
    </w:p>
    <w:p w14:paraId="166DB01B" w14:textId="77777777" w:rsidR="0019079F" w:rsidRPr="0002045B" w:rsidRDefault="0017445D" w:rsidP="00831252">
      <w:pPr>
        <w:spacing w:after="0" w:line="259" w:lineRule="auto"/>
        <w:ind w:left="0" w:right="0" w:firstLine="0"/>
        <w:jc w:val="left"/>
        <w:rPr>
          <w:b/>
        </w:rPr>
      </w:pPr>
      <w:r>
        <w:rPr>
          <w:b/>
        </w:rPr>
        <w:t xml:space="preserve">Informes  </w:t>
      </w:r>
    </w:p>
    <w:p w14:paraId="166DB01C" w14:textId="77777777" w:rsidR="0019079F" w:rsidRDefault="0017445D">
      <w:pPr>
        <w:spacing w:after="21" w:line="259" w:lineRule="auto"/>
        <w:ind w:left="0" w:right="0" w:firstLine="0"/>
        <w:jc w:val="left"/>
      </w:pPr>
      <w:r>
        <w:rPr>
          <w:b/>
        </w:rPr>
        <w:t xml:space="preserve"> </w:t>
      </w:r>
    </w:p>
    <w:p w14:paraId="166DB01D" w14:textId="74813FA7" w:rsidR="0019079F" w:rsidRDefault="0017445D">
      <w:pPr>
        <w:ind w:left="715" w:right="0"/>
      </w:pPr>
      <w:r>
        <w:t>7.</w:t>
      </w:r>
      <w:r>
        <w:rPr>
          <w:rFonts w:ascii="Arial" w:hAnsi="Arial"/>
        </w:rPr>
        <w:t xml:space="preserve">   </w:t>
      </w:r>
      <w:r>
        <w:t xml:space="preserve">Debido a la necesidad de verificar la precisión de los registros mediante conciliaciones y con el fin de preparar información precisa de los activos para la presentación de informes financieros, habrá varios informes designados para asistir en el desempeño de las funciones de conciliación y revisión de registros de activos. Por ejemplo, los informes de detalles de transacciones, el informe de conciliación del Módulo Activos (AM)-Libro mayor (GL) por departamento y clase de activo, etc. Para obtener más información, consulte la POPP (Políticas y Procedimientos de Operaciones y Programas) sobre Mobiliario y Equipo. </w:t>
      </w:r>
    </w:p>
    <w:p w14:paraId="166DB01E" w14:textId="77777777" w:rsidR="0019079F" w:rsidRDefault="0017445D">
      <w:pPr>
        <w:spacing w:after="0" w:line="259" w:lineRule="auto"/>
        <w:ind w:left="0" w:right="0" w:firstLine="0"/>
        <w:jc w:val="left"/>
      </w:pPr>
      <w:r>
        <w:t xml:space="preserve">  </w:t>
      </w:r>
    </w:p>
    <w:p w14:paraId="166DB01F" w14:textId="77777777" w:rsidR="0019079F" w:rsidRDefault="0017445D">
      <w:pPr>
        <w:pStyle w:val="Heading1"/>
        <w:ind w:left="-5"/>
      </w:pPr>
      <w:r>
        <w:t xml:space="preserve">Funciones Centralizadas </w:t>
      </w:r>
      <w:r>
        <w:rPr>
          <w:b w:val="0"/>
        </w:rPr>
        <w:t xml:space="preserve">  </w:t>
      </w:r>
    </w:p>
    <w:p w14:paraId="166DB020" w14:textId="77777777" w:rsidR="0019079F" w:rsidRDefault="0017445D">
      <w:pPr>
        <w:spacing w:after="20" w:line="259" w:lineRule="auto"/>
        <w:ind w:left="0" w:right="0" w:firstLine="0"/>
        <w:jc w:val="left"/>
      </w:pPr>
      <w:r>
        <w:rPr>
          <w:b/>
        </w:rPr>
        <w:t xml:space="preserve"> </w:t>
      </w:r>
    </w:p>
    <w:p w14:paraId="166DB022" w14:textId="42D9EDC5" w:rsidR="0019079F" w:rsidRDefault="0017445D" w:rsidP="0002045B">
      <w:pPr>
        <w:ind w:left="715" w:right="0"/>
      </w:pPr>
      <w:r>
        <w:t>8.</w:t>
      </w:r>
      <w:r w:rsidRPr="15CE2CA9">
        <w:rPr>
          <w:rFonts w:ascii="Arial" w:hAnsi="Arial"/>
        </w:rPr>
        <w:t xml:space="preserve">   </w:t>
      </w:r>
      <w:r>
        <w:t>Las funciones centralizadas son las funciones desempeñadas solamente por el Centro Mundial de Servicios Compartidos</w:t>
      </w:r>
      <w:r w:rsidR="00D2781C">
        <w:t xml:space="preserve"> (CGSC </w:t>
      </w:r>
      <w:r>
        <w:t xml:space="preserve">y la Sede de Nueva York (NYHQ) del PNUD a través de la División de Cuentas, la OIST (Oficina de Sistemas y Tecnología de la Información) o la dependencia de Operaciones Generales de la BMS. Consulte la POPP sobre Mobiliario y Equipo para conocer más detalles. </w:t>
      </w:r>
    </w:p>
    <w:p w14:paraId="166DB023" w14:textId="77777777" w:rsidR="0019079F" w:rsidRDefault="0017445D">
      <w:pPr>
        <w:spacing w:after="0" w:line="259" w:lineRule="auto"/>
        <w:ind w:left="0" w:right="0" w:firstLine="0"/>
        <w:jc w:val="left"/>
      </w:pPr>
      <w:r>
        <w:t xml:space="preserve">  </w:t>
      </w:r>
    </w:p>
    <w:p w14:paraId="166DB024" w14:textId="77777777" w:rsidR="0019079F" w:rsidRDefault="0017445D">
      <w:pPr>
        <w:pStyle w:val="Heading1"/>
        <w:ind w:left="-5"/>
      </w:pPr>
      <w:r>
        <w:t xml:space="preserve"> Amortización de Activos Intangibles </w:t>
      </w:r>
      <w:r>
        <w:rPr>
          <w:b w:val="0"/>
        </w:rPr>
        <w:t xml:space="preserve"> </w:t>
      </w:r>
    </w:p>
    <w:p w14:paraId="166DB025" w14:textId="77777777" w:rsidR="0019079F" w:rsidRDefault="0017445D">
      <w:pPr>
        <w:spacing w:after="21" w:line="259" w:lineRule="auto"/>
        <w:ind w:left="0" w:right="0" w:firstLine="0"/>
        <w:jc w:val="left"/>
      </w:pPr>
      <w:r>
        <w:t xml:space="preserve"> </w:t>
      </w:r>
    </w:p>
    <w:p w14:paraId="166DB026" w14:textId="3C35FFBB" w:rsidR="0019079F" w:rsidRDefault="0017445D">
      <w:pPr>
        <w:numPr>
          <w:ilvl w:val="0"/>
          <w:numId w:val="2"/>
        </w:numPr>
        <w:ind w:right="0" w:hanging="360"/>
      </w:pPr>
      <w:r>
        <w:t xml:space="preserve">La amortización es la provisión para el agotamiento de un activo gastable a lo largo de su vida útil predeterminada.  En el PNUD, la amortización se aplica en cuotas mensuales iguales durante la vida útil del activo, mediante el método de amortización lineal (costo histórico menos valor residual, dividido por la vida útil). La amortización es un proceso del sistema que ejecuta mensualmente la Sede y se contabiliza en el Plan de Cuentas (COA) correspondiente desde el cual se adquirió o de otro modo se capitalizó el activo. Por este motivo, es importante que los COA temporales no se utilicen para el registro de activos intangibles dado que los cargos por amortización se realizarán contra estos COA temporales lo que requiere una serie de asientos correctivos en el libro mayor cuando el activo se registre finalmente en el COA correcto y final.   </w:t>
      </w:r>
    </w:p>
    <w:p w14:paraId="166DB027" w14:textId="77777777" w:rsidR="0019079F" w:rsidRDefault="0017445D">
      <w:pPr>
        <w:spacing w:after="22" w:line="259" w:lineRule="auto"/>
        <w:ind w:left="46" w:right="0" w:firstLine="0"/>
        <w:jc w:val="left"/>
      </w:pPr>
      <w:r>
        <w:t xml:space="preserve"> </w:t>
      </w:r>
    </w:p>
    <w:p w14:paraId="166DB028" w14:textId="77777777" w:rsidR="0019079F" w:rsidRDefault="0017445D">
      <w:pPr>
        <w:numPr>
          <w:ilvl w:val="0"/>
          <w:numId w:val="2"/>
        </w:numPr>
        <w:ind w:right="0" w:hanging="360"/>
      </w:pPr>
      <w:r>
        <w:t xml:space="preserve">La amortización se aplica a los </w:t>
      </w:r>
      <w:r>
        <w:rPr>
          <w:u w:val="single" w:color="000000"/>
        </w:rPr>
        <w:t>Activos Intangibles</w:t>
      </w:r>
      <w:r>
        <w:t xml:space="preserve"> u obligaciones, mientras que la Depreciación se aplica a los </w:t>
      </w:r>
      <w:r>
        <w:rPr>
          <w:u w:val="single" w:color="000000"/>
        </w:rPr>
        <w:t>Activos Tangibles</w:t>
      </w:r>
      <w:r>
        <w:t xml:space="preserve">.    </w:t>
      </w:r>
    </w:p>
    <w:p w14:paraId="166DB029" w14:textId="77777777" w:rsidR="0019079F" w:rsidRDefault="0017445D">
      <w:pPr>
        <w:spacing w:after="0" w:line="259" w:lineRule="auto"/>
        <w:ind w:left="0" w:right="0" w:firstLine="0"/>
        <w:jc w:val="left"/>
      </w:pPr>
      <w:r>
        <w:rPr>
          <w:b/>
        </w:rPr>
        <w:t xml:space="preserve"> </w:t>
      </w:r>
      <w:r>
        <w:t xml:space="preserve"> </w:t>
      </w:r>
    </w:p>
    <w:p w14:paraId="166DB02A" w14:textId="77777777" w:rsidR="0019079F" w:rsidRDefault="0017445D">
      <w:pPr>
        <w:pStyle w:val="Heading1"/>
        <w:ind w:left="-5"/>
      </w:pPr>
      <w:r>
        <w:t xml:space="preserve">Conciliación, Informes y Funciones Centralizadas </w:t>
      </w:r>
    </w:p>
    <w:p w14:paraId="166DB02B" w14:textId="77777777" w:rsidR="0019079F" w:rsidRDefault="0017445D">
      <w:pPr>
        <w:spacing w:after="22" w:line="259" w:lineRule="auto"/>
        <w:ind w:left="0" w:right="0" w:firstLine="0"/>
        <w:jc w:val="left"/>
      </w:pPr>
      <w:r>
        <w:t xml:space="preserve"> </w:t>
      </w:r>
    </w:p>
    <w:p w14:paraId="166DB02D" w14:textId="3B291EC3" w:rsidR="0019079F" w:rsidRDefault="0017445D" w:rsidP="00DE6EAF">
      <w:pPr>
        <w:pStyle w:val="ListParagraph"/>
        <w:numPr>
          <w:ilvl w:val="0"/>
          <w:numId w:val="2"/>
        </w:numPr>
        <w:ind w:right="0"/>
      </w:pPr>
      <w:r>
        <w:t>Consulte las POPP sobre</w:t>
      </w:r>
      <w:hyperlink r:id="rId12" w:history="1">
        <w:r w:rsidRPr="00520F0F">
          <w:rPr>
            <w:rStyle w:val="Hyperlink"/>
          </w:rPr>
          <w:t xml:space="preserve"> Mobiliario y Equipo</w:t>
        </w:r>
      </w:hyperlink>
      <w:r>
        <w:t xml:space="preserve"> para ver la lista de informes y conciliaciones que pueden ser útiles. El C</w:t>
      </w:r>
      <w:r w:rsidR="1D5E9EA7">
        <w:t>G</w:t>
      </w:r>
      <w:r>
        <w:t xml:space="preserve">SC tendrá un rol fundamental en el registro de deterioros de Activos Intangibles cuando sea necesario reajustar la vida útil de un Activo Intangible.   </w:t>
      </w:r>
    </w:p>
    <w:p w14:paraId="0FEFD5D2" w14:textId="77777777" w:rsidR="00D41685" w:rsidRPr="008C305D" w:rsidRDefault="00D41685" w:rsidP="00D41685">
      <w:pPr>
        <w:spacing w:after="0" w:line="240" w:lineRule="auto"/>
        <w:ind w:left="0" w:right="0" w:firstLine="0"/>
        <w:jc w:val="center"/>
        <w:rPr>
          <w:i/>
          <w:iCs/>
        </w:rPr>
      </w:pPr>
    </w:p>
    <w:p w14:paraId="0ABEA603" w14:textId="77777777" w:rsidR="00BB4524" w:rsidRPr="008703A7" w:rsidRDefault="00BB4524" w:rsidP="00BB4524">
      <w:pPr>
        <w:spacing w:line="259" w:lineRule="auto"/>
        <w:rPr>
          <w:rFonts w:eastAsia="Times New Roman" w:cs="Times New Roman"/>
          <w:i/>
          <w:iCs/>
          <w:lang w:val="en-US"/>
        </w:rPr>
      </w:pPr>
      <w:r w:rsidRPr="008703A7">
        <w:rPr>
          <w:rFonts w:eastAsia="Times New Roman" w:cs="Times New Roman"/>
          <w:b/>
          <w:bCs/>
          <w:i/>
          <w:iCs/>
          <w:lang w:val="en-US"/>
        </w:rPr>
        <w:lastRenderedPageBreak/>
        <w:t>Disclaimer:</w:t>
      </w:r>
      <w:r w:rsidRPr="008703A7">
        <w:rPr>
          <w:rFonts w:eastAsia="Times New Roman" w:cs="Times New Roman"/>
          <w:i/>
          <w:iCs/>
          <w:lang w:val="en-US"/>
        </w:rPr>
        <w:t xml:space="preserve"> This document was translated from English into Spanish. In the event of any discrepancy between this translation and the original English document, the original English document shall prevail.</w:t>
      </w:r>
    </w:p>
    <w:p w14:paraId="4EF379A9" w14:textId="77777777" w:rsidR="00BB4524" w:rsidRPr="008703A7" w:rsidRDefault="00BB4524" w:rsidP="00BB4524">
      <w:pPr>
        <w:shd w:val="clear" w:color="auto" w:fill="FFFFFF"/>
        <w:rPr>
          <w:rFonts w:eastAsia="Times New Roman" w:cs="Times New Roman"/>
          <w:i/>
          <w:iCs/>
          <w:lang w:val="en-US"/>
        </w:rPr>
      </w:pPr>
      <w:r w:rsidRPr="008703A7">
        <w:rPr>
          <w:rFonts w:eastAsia="Times New Roman" w:cs="Times New Roman"/>
          <w:i/>
          <w:iCs/>
          <w:lang w:val="en-US"/>
        </w:rPr>
        <w:t> </w:t>
      </w:r>
    </w:p>
    <w:p w14:paraId="6D8F278D" w14:textId="77777777" w:rsidR="00BB4524" w:rsidRPr="008703A7" w:rsidRDefault="00BB4524" w:rsidP="00BB4524">
      <w:pPr>
        <w:shd w:val="clear" w:color="auto" w:fill="FFFFFF"/>
        <w:rPr>
          <w:i/>
          <w:iCs/>
          <w:lang w:val="es-ES_tradnl"/>
        </w:rPr>
      </w:pPr>
      <w:r w:rsidRPr="008703A7">
        <w:rPr>
          <w:rFonts w:eastAsia="Times New Roman" w:cs="Times New Roman"/>
          <w:b/>
          <w:bCs/>
          <w:i/>
          <w:iCs/>
          <w:shd w:val="clear" w:color="auto" w:fill="FFFFFF"/>
          <w:lang w:val="es-ES_tradnl"/>
        </w:rPr>
        <w:t>Descargo de responsabilidad:</w:t>
      </w:r>
      <w:r w:rsidRPr="008703A7">
        <w:rPr>
          <w:rFonts w:eastAsia="Times New Roman" w:cs="Times New Roman"/>
          <w:i/>
          <w:iCs/>
          <w:shd w:val="clear" w:color="auto" w:fill="FFFFFF"/>
          <w:lang w:val="es-ES_tradnl"/>
        </w:rPr>
        <w:t xml:space="preserve"> esta es una traducción de un documento original en inglés. </w:t>
      </w:r>
      <w:r w:rsidRPr="008703A7">
        <w:rPr>
          <w:rFonts w:eastAsia="Times New Roman" w:cs="Times New Roman"/>
          <w:i/>
          <w:iCs/>
          <w:shd w:val="clear" w:color="auto" w:fill="FFFFFF"/>
          <w:lang w:val="es-UY"/>
        </w:rPr>
        <w:t>En caso de discrepancias entre esta traducción y el documento original en inglés, prevalecerá el documento original en inglés.</w:t>
      </w:r>
    </w:p>
    <w:p w14:paraId="516D278C" w14:textId="720A2873" w:rsidR="00D41685" w:rsidRPr="00BB4524" w:rsidRDefault="00D41685" w:rsidP="00BB4524">
      <w:pPr>
        <w:spacing w:after="3451" w:line="259" w:lineRule="auto"/>
        <w:ind w:left="0" w:right="0" w:firstLine="0"/>
        <w:jc w:val="center"/>
        <w:rPr>
          <w:i/>
          <w:iCs/>
          <w:lang w:val="es-ES_tradnl"/>
        </w:rPr>
      </w:pPr>
    </w:p>
    <w:sectPr w:rsidR="00D41685" w:rsidRPr="00BB4524">
      <w:headerReference w:type="even" r:id="rId13"/>
      <w:headerReference w:type="default" r:id="rId14"/>
      <w:footerReference w:type="even" r:id="rId15"/>
      <w:footerReference w:type="default" r:id="rId16"/>
      <w:headerReference w:type="first" r:id="rId17"/>
      <w:footerReference w:type="first" r:id="rId18"/>
      <w:pgSz w:w="12240" w:h="15840"/>
      <w:pgMar w:top="1483" w:right="1435" w:bottom="72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B9747" w14:textId="77777777" w:rsidR="00445436" w:rsidRDefault="00445436" w:rsidP="00831252">
      <w:pPr>
        <w:spacing w:after="0" w:line="240" w:lineRule="auto"/>
      </w:pPr>
      <w:r>
        <w:separator/>
      </w:r>
    </w:p>
  </w:endnote>
  <w:endnote w:type="continuationSeparator" w:id="0">
    <w:p w14:paraId="49E76CA9" w14:textId="77777777" w:rsidR="00445436" w:rsidRDefault="00445436" w:rsidP="00831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D9AE" w14:textId="77777777" w:rsidR="008D6A00" w:rsidRDefault="008D6A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5A755" w14:textId="77777777" w:rsidR="0002045B" w:rsidRDefault="0002045B">
    <w:pPr>
      <w:pStyle w:val="Footer"/>
    </w:pPr>
  </w:p>
  <w:p w14:paraId="166DB034" w14:textId="45F72A10" w:rsidR="00831252" w:rsidRDefault="0002045B">
    <w:pPr>
      <w:pStyle w:val="Footer"/>
    </w:pPr>
    <w:r>
      <w:t xml:space="preserve">Página </w:t>
    </w:r>
    <w:r>
      <w:rPr>
        <w:b/>
      </w:rPr>
      <w:fldChar w:fldCharType="begin"/>
    </w:r>
    <w:r>
      <w:rPr>
        <w:b/>
      </w:rPr>
      <w:instrText xml:space="preserve"> PAGE  \* Arabic  \* MERGEFORMAT </w:instrText>
    </w:r>
    <w:r>
      <w:rPr>
        <w:b/>
      </w:rPr>
      <w:fldChar w:fldCharType="separate"/>
    </w:r>
    <w:r w:rsidR="009E78BF">
      <w:rPr>
        <w:b/>
        <w:noProof/>
      </w:rPr>
      <w:t>1</w:t>
    </w:r>
    <w:r>
      <w:rPr>
        <w:b/>
      </w:rPr>
      <w:fldChar w:fldCharType="end"/>
    </w:r>
    <w:r>
      <w:t xml:space="preserve"> de </w:t>
    </w:r>
    <w:r>
      <w:rPr>
        <w:b/>
      </w:rPr>
      <w:fldChar w:fldCharType="begin"/>
    </w:r>
    <w:r>
      <w:rPr>
        <w:b/>
      </w:rPr>
      <w:instrText xml:space="preserve"> NUMPAGES  \* Arabic  \* MERGEFORMAT </w:instrText>
    </w:r>
    <w:r>
      <w:rPr>
        <w:b/>
      </w:rPr>
      <w:fldChar w:fldCharType="separate"/>
    </w:r>
    <w:r w:rsidR="009E78BF">
      <w:rPr>
        <w:b/>
        <w:noProof/>
      </w:rPr>
      <w:t>2</w:t>
    </w:r>
    <w:r>
      <w:rPr>
        <w:b/>
      </w:rPr>
      <w:fldChar w:fldCharType="end"/>
    </w:r>
    <w:r>
      <w:ptab w:relativeTo="margin" w:alignment="center" w:leader="none"/>
    </w:r>
    <w:r>
      <w:t xml:space="preserve">Fecha de entrada en vigor: </w:t>
    </w:r>
    <w:r w:rsidR="008C305D" w:rsidRPr="008C305D">
      <w:t xml:space="preserve">25/07/2016 </w:t>
    </w:r>
    <w:r>
      <w:ptab w:relativeTo="margin" w:alignment="right" w:leader="none"/>
    </w:r>
    <w:r>
      <w:t xml:space="preserve">Versión </w:t>
    </w:r>
    <w:proofErr w:type="spellStart"/>
    <w:r>
      <w:t>n.°</w:t>
    </w:r>
    <w:proofErr w:type="spellEnd"/>
    <w:r>
      <w:t xml:space="preserve">: </w:t>
    </w:r>
    <w:sdt>
      <w:sdtPr>
        <w:alias w:val="POPPRefItemVersion"/>
        <w:tag w:val="UNDP_POPP_REFITEM_VERSION"/>
        <w:id w:val="1007938959"/>
        <w:placeholder>
          <w:docPart w:val="C441311E246D419BA6AB6DA5C3478368"/>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415B5FE9-6B11-4F26-B6A0-1B4F7CA598CA}"/>
        <w:text/>
      </w:sdtPr>
      <w:sdtContent>
        <w:r w:rsidR="00660932">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DB0FC" w14:textId="77777777" w:rsidR="008D6A00" w:rsidRDefault="008D6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BC70A" w14:textId="77777777" w:rsidR="00445436" w:rsidRDefault="00445436" w:rsidP="00831252">
      <w:pPr>
        <w:spacing w:after="0" w:line="240" w:lineRule="auto"/>
      </w:pPr>
      <w:r>
        <w:separator/>
      </w:r>
    </w:p>
  </w:footnote>
  <w:footnote w:type="continuationSeparator" w:id="0">
    <w:p w14:paraId="73A9A092" w14:textId="77777777" w:rsidR="00445436" w:rsidRDefault="00445436" w:rsidP="00831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1C66C" w14:textId="77777777" w:rsidR="008D6A00" w:rsidRDefault="008D6A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92DA" w14:textId="2795F373" w:rsidR="0002045B" w:rsidRDefault="008D6A00" w:rsidP="0002045B">
    <w:pPr>
      <w:pStyle w:val="Header"/>
      <w:jc w:val="right"/>
    </w:pPr>
    <w:r>
      <w:rPr>
        <w:noProof/>
      </w:rPr>
      <w:drawing>
        <wp:inline distT="0" distB="0" distL="0" distR="0" wp14:anchorId="7D20C1F2" wp14:editId="6CBD5C8B">
          <wp:extent cx="304800" cy="593090"/>
          <wp:effectExtent l="0" t="0" r="0" b="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18" b="15579"/>
                  <a:stretch/>
                </pic:blipFill>
                <pic:spPr bwMode="auto">
                  <a:xfrm>
                    <a:off x="0" y="0"/>
                    <a:ext cx="304800" cy="593090"/>
                  </a:xfrm>
                  <a:prstGeom prst="rect">
                    <a:avLst/>
                  </a:prstGeom>
                  <a:ln>
                    <a:noFill/>
                  </a:ln>
                  <a:extLst>
                    <a:ext uri="{53640926-AAD7-44D8-BBD7-CCE9431645EC}">
                      <a14:shadowObscured xmlns:a14="http://schemas.microsoft.com/office/drawing/2010/main"/>
                    </a:ext>
                  </a:extLst>
                </pic:spPr>
              </pic:pic>
            </a:graphicData>
          </a:graphic>
        </wp:inline>
      </w:drawing>
    </w:r>
  </w:p>
  <w:p w14:paraId="276ECDFF" w14:textId="77777777" w:rsidR="0002045B" w:rsidRDefault="0002045B" w:rsidP="0002045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B9A1" w14:textId="77777777" w:rsidR="008D6A00" w:rsidRDefault="008D6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01AB5"/>
    <w:multiLevelType w:val="hybridMultilevel"/>
    <w:tmpl w:val="A4C6D94C"/>
    <w:lvl w:ilvl="0" w:tplc="D4A67652">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7059A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6CE2C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98EDC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C2540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8E9D3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EEA0A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0A6B9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86DB1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7241629"/>
    <w:multiLevelType w:val="hybridMultilevel"/>
    <w:tmpl w:val="C6A646E4"/>
    <w:lvl w:ilvl="0" w:tplc="2A740708">
      <w:start w:val="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628695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7E4B3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4000C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42613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56F3A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00F73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DA1BB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2E2F6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359360460">
    <w:abstractNumId w:val="0"/>
  </w:num>
  <w:num w:numId="2" w16cid:durableId="1196624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79F"/>
    <w:rsid w:val="0002045B"/>
    <w:rsid w:val="000647A0"/>
    <w:rsid w:val="000A66A7"/>
    <w:rsid w:val="0017445D"/>
    <w:rsid w:val="0019079F"/>
    <w:rsid w:val="00445436"/>
    <w:rsid w:val="00455B30"/>
    <w:rsid w:val="00520F0F"/>
    <w:rsid w:val="005779D4"/>
    <w:rsid w:val="00660932"/>
    <w:rsid w:val="007C333B"/>
    <w:rsid w:val="00831252"/>
    <w:rsid w:val="008C305D"/>
    <w:rsid w:val="008D6A00"/>
    <w:rsid w:val="009E78BF"/>
    <w:rsid w:val="00B206EC"/>
    <w:rsid w:val="00BB4524"/>
    <w:rsid w:val="00C743DE"/>
    <w:rsid w:val="00D2781C"/>
    <w:rsid w:val="00D41685"/>
    <w:rsid w:val="00DE6EAF"/>
    <w:rsid w:val="00E73218"/>
    <w:rsid w:val="00E96C27"/>
    <w:rsid w:val="060E4E13"/>
    <w:rsid w:val="15CE2CA9"/>
    <w:rsid w:val="1D5E9EA7"/>
    <w:rsid w:val="361636E8"/>
    <w:rsid w:val="39E5A660"/>
    <w:rsid w:val="65F6553C"/>
    <w:rsid w:val="6A77C1B1"/>
    <w:rsid w:val="7EE71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DAFE6"/>
  <w15:docId w15:val="{1E7B1187-0165-4615-9A72-73FB43444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right="5"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312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252"/>
    <w:rPr>
      <w:rFonts w:ascii="Calibri" w:eastAsia="Calibri" w:hAnsi="Calibri" w:cs="Calibri"/>
      <w:color w:val="000000"/>
    </w:rPr>
  </w:style>
  <w:style w:type="paragraph" w:styleId="Footer">
    <w:name w:val="footer"/>
    <w:basedOn w:val="Normal"/>
    <w:link w:val="FooterChar"/>
    <w:uiPriority w:val="99"/>
    <w:unhideWhenUsed/>
    <w:rsid w:val="008312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252"/>
    <w:rPr>
      <w:rFonts w:ascii="Calibri" w:eastAsia="Calibri" w:hAnsi="Calibri" w:cs="Calibri"/>
      <w:color w:val="000000"/>
    </w:rPr>
  </w:style>
  <w:style w:type="paragraph" w:styleId="BalloonText">
    <w:name w:val="Balloon Text"/>
    <w:basedOn w:val="Normal"/>
    <w:link w:val="BalloonTextChar"/>
    <w:uiPriority w:val="99"/>
    <w:semiHidden/>
    <w:unhideWhenUsed/>
    <w:rsid w:val="00020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45B"/>
    <w:rPr>
      <w:rFonts w:ascii="Tahoma" w:eastAsia="Calibri" w:hAnsi="Tahoma" w:cs="Tahoma"/>
      <w:color w:val="000000"/>
      <w:sz w:val="16"/>
      <w:szCs w:val="16"/>
    </w:rPr>
  </w:style>
  <w:style w:type="character" w:styleId="PlaceholderText">
    <w:name w:val="Placeholder Text"/>
    <w:basedOn w:val="DefaultParagraphFont"/>
    <w:uiPriority w:val="99"/>
    <w:semiHidden/>
    <w:rsid w:val="0002045B"/>
    <w:rPr>
      <w:color w:val="808080"/>
    </w:rPr>
  </w:style>
  <w:style w:type="paragraph" w:styleId="NormalWeb">
    <w:name w:val="Normal (Web)"/>
    <w:basedOn w:val="Normal"/>
    <w:uiPriority w:val="99"/>
    <w:semiHidden/>
    <w:unhideWhenUsed/>
    <w:rsid w:val="00D41685"/>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bidi="ar-SA"/>
    </w:rPr>
  </w:style>
  <w:style w:type="paragraph" w:styleId="ListParagraph">
    <w:name w:val="List Paragraph"/>
    <w:basedOn w:val="Normal"/>
    <w:uiPriority w:val="34"/>
    <w:qFormat/>
    <w:rsid w:val="00D41685"/>
    <w:pPr>
      <w:ind w:left="720"/>
      <w:contextualSpacing/>
    </w:pPr>
  </w:style>
  <w:style w:type="character" w:styleId="Hyperlink">
    <w:name w:val="Hyperlink"/>
    <w:basedOn w:val="DefaultParagraphFont"/>
    <w:uiPriority w:val="99"/>
    <w:unhideWhenUsed/>
    <w:rsid w:val="00520F0F"/>
    <w:rPr>
      <w:color w:val="0563C1" w:themeColor="hyperlink"/>
      <w:u w:val="single"/>
    </w:rPr>
  </w:style>
  <w:style w:type="character" w:styleId="UnresolvedMention">
    <w:name w:val="Unresolved Mention"/>
    <w:basedOn w:val="DefaultParagraphFont"/>
    <w:uiPriority w:val="99"/>
    <w:semiHidden/>
    <w:unhideWhenUsed/>
    <w:rsid w:val="00520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887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popp.undp.org/es/taxonomy/term/446/"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41311E246D419BA6AB6DA5C3478368"/>
        <w:category>
          <w:name w:val="General"/>
          <w:gallery w:val="placeholder"/>
        </w:category>
        <w:types>
          <w:type w:val="bbPlcHdr"/>
        </w:types>
        <w:behaviors>
          <w:behavior w:val="content"/>
        </w:behaviors>
        <w:guid w:val="{DC6EA2EC-F717-4F59-BB11-4EBE4E9DB6EC}"/>
      </w:docPartPr>
      <w:docPartBody>
        <w:p w:rsidR="00B202A6" w:rsidRDefault="00455B30">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5B30"/>
    <w:rsid w:val="00455B30"/>
    <w:rsid w:val="00711A80"/>
    <w:rsid w:val="008901AB"/>
    <w:rsid w:val="00B202A6"/>
    <w:rsid w:val="00B46C61"/>
    <w:rsid w:val="00B82955"/>
    <w:rsid w:val="00E61A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5B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UNITBMS-1904581467-114</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353</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2016-07-24T22:00:00+00:00</UNDP_POPP_EFFECTIVEDATE>
    <UNDP_POPP_REFITEM_VERSION xmlns="8264c5cc-ec60-4b56-8111-ce635d3d139a">3</UNDP_POPP_REFITEM_VERSION>
    <UNDP_POPP_FILEVERSION xmlns="8264c5cc-ec60-4b56-8111-ce635d3d139a" xsi:nil="true"/>
    <UNDP_POPP_ISACTIVE xmlns="8264c5cc-ec60-4b56-8111-ce635d3d139a">true</UNDP_POPP_ISACTIVE>
    <UNDP_POPP_TITLE_EN xmlns="8264c5cc-ec60-4b56-8111-ce635d3d139a">Activos Intangibles: Amortizaciones, Conciliaciones, Informes y Funciones Centralizadas</UNDP_POPP_TITLE_EN>
    <_dlc_DocIdUrl xmlns="8264c5cc-ec60-4b56-8111-ce635d3d139a">
      <Url>https://intranet.undp.org/unit/bms/dir/internal/init_popp/_layouts/15/DocIdRedir.aspx?ID=UNITBMS-1904581467-114</Url>
      <Description>UNITBMS-1904581467-114</Description>
    </_dlc_DocIdUrl>
    <DLCPolicyLabelLock xmlns="e560140e-7b2f-4392-90df-e7567e3021a3" xsi:nil="true"/>
    <DLCPolicyLabelClientValue xmlns="e560140e-7b2f-4392-90df-e7567e3021a3">Effective Date: 25/07/2016                                                Version #: 3.0</DLCPolicyLabelClientValue>
    <UNDP_POPP_BUSINESSUNITID_HIDDEN xmlns="8264c5cc-ec60-4b56-8111-ce635d3d139a" xsi:nil="true"/>
    <DLCPolicyLabelValue xmlns="e560140e-7b2f-4392-90df-e7567e3021a3">Effective Date: 25/07/2016                                                Version #: 3</DLCPolicyLabelValue>
  </documentManagement>
</p:properties>
</file>

<file path=customXml/itemProps1.xml><?xml version="1.0" encoding="utf-8"?>
<ds:datastoreItem xmlns:ds="http://schemas.openxmlformats.org/officeDocument/2006/customXml" ds:itemID="{2D5E7BAC-1ABD-481F-A67E-63E0F14E12E7}">
  <ds:schemaRefs>
    <ds:schemaRef ds:uri="http://schemas.microsoft.com/sharepoint/events"/>
  </ds:schemaRefs>
</ds:datastoreItem>
</file>

<file path=customXml/itemProps2.xml><?xml version="1.0" encoding="utf-8"?>
<ds:datastoreItem xmlns:ds="http://schemas.openxmlformats.org/officeDocument/2006/customXml" ds:itemID="{264BD366-06AE-4081-A028-D2812F495F75}">
  <ds:schemaRefs>
    <ds:schemaRef ds:uri="http://schemas.microsoft.com/sharepoint/v3/contenttype/forms"/>
  </ds:schemaRefs>
</ds:datastoreItem>
</file>

<file path=customXml/itemProps3.xml><?xml version="1.0" encoding="utf-8"?>
<ds:datastoreItem xmlns:ds="http://schemas.openxmlformats.org/officeDocument/2006/customXml" ds:itemID="{9D13BD26-1126-4710-A584-5CDFB83140EF}">
  <ds:schemaRefs>
    <ds:schemaRef ds:uri="office.server.policy"/>
  </ds:schemaRefs>
</ds:datastoreItem>
</file>

<file path=customXml/itemProps4.xml><?xml version="1.0" encoding="utf-8"?>
<ds:datastoreItem xmlns:ds="http://schemas.openxmlformats.org/officeDocument/2006/customXml" ds:itemID="{053DF5B2-C77E-43DE-BB65-EF0DDDB90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5B5FE9-6B11-4F26-B6A0-1B4F7CA598CA}">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862</Words>
  <Characters>4917</Characters>
  <Application>Microsoft Office Word</Application>
  <DocSecurity>0</DocSecurity>
  <Lines>40</Lines>
  <Paragraphs>11</Paragraphs>
  <ScaleCrop>false</ScaleCrop>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Rybarova</dc:creator>
  <cp:keywords/>
  <cp:lastModifiedBy>Pablo Morete</cp:lastModifiedBy>
  <cp:revision>13</cp:revision>
  <dcterms:created xsi:type="dcterms:W3CDTF">2019-12-05T15:55:00Z</dcterms:created>
  <dcterms:modified xsi:type="dcterms:W3CDTF">2023-12-22T13:52:00Z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6954ae6b-5f2c-46a1-8839-525ca75c32bd</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Administrative Services|a78f4201-2936-4934-95ba-30c4111d72d7</vt:lpwstr>
  </property>
  <property fmtid="{D5CDD505-2E9C-101B-9397-08002B2CF9AE}" pid="15" name="Location">
    <vt:lpwstr>Public</vt:lpwstr>
  </property>
  <property fmtid="{D5CDD505-2E9C-101B-9397-08002B2CF9AE}" pid="16" name="UndpDocStatus">
    <vt:lpwstr>Draft</vt:lpwstr>
  </property>
  <property fmtid="{D5CDD505-2E9C-101B-9397-08002B2CF9AE}" pid="17" name="UndpClassificationLevel">
    <vt:lpwstr>Internal Use Only</vt:lpwstr>
  </property>
  <property fmtid="{D5CDD505-2E9C-101B-9397-08002B2CF9AE}" pid="18" name="UndpIsTemplate">
    <vt:lpwstr>No</vt:lpwstr>
  </property>
</Properties>
</file>