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60D6F" w14:textId="77777777" w:rsidR="00710CFF" w:rsidRDefault="00710CFF" w:rsidP="00710CFF">
      <w:pPr>
        <w:spacing w:after="0" w:line="239" w:lineRule="auto"/>
        <w:ind w:left="0" w:right="0" w:firstLine="0"/>
        <w:jc w:val="left"/>
      </w:pPr>
      <w:r>
        <w:rPr>
          <w:b/>
          <w:sz w:val="28"/>
        </w:rPr>
        <w:t xml:space="preserve">Intangible Assets: Amortizations, Reconciliations, Reports and Centralized Functions  </w:t>
      </w:r>
    </w:p>
    <w:p w14:paraId="6FEE5F92" w14:textId="77777777" w:rsidR="00710CFF" w:rsidRDefault="00710CFF" w:rsidP="00710CFF">
      <w:pPr>
        <w:spacing w:after="0" w:line="259" w:lineRule="auto"/>
        <w:ind w:left="0" w:right="0" w:firstLine="0"/>
        <w:jc w:val="left"/>
      </w:pPr>
      <w:r>
        <w:rPr>
          <w:b/>
        </w:rPr>
        <w:t xml:space="preserve"> </w:t>
      </w:r>
    </w:p>
    <w:p w14:paraId="26D554CF" w14:textId="77777777" w:rsidR="00710CFF" w:rsidRDefault="00710CFF" w:rsidP="00710CFF">
      <w:pPr>
        <w:numPr>
          <w:ilvl w:val="0"/>
          <w:numId w:val="1"/>
        </w:numPr>
        <w:ind w:right="0" w:hanging="360"/>
      </w:pPr>
      <w:r>
        <w:t xml:space="preserve">Amortization is the systematic allocation of the amortizable amount of an Intangible Asset over its useful life. Amortization expenses the cost of the asset in equal installments (Straight line method of amortization) over the life of the asset, rather than when the asset is paid. </w:t>
      </w:r>
    </w:p>
    <w:p w14:paraId="61234AE9" w14:textId="77777777" w:rsidR="00710CFF" w:rsidRDefault="00710CFF" w:rsidP="00710CFF">
      <w:pPr>
        <w:spacing w:after="21" w:line="259" w:lineRule="auto"/>
        <w:ind w:left="0" w:right="0" w:firstLine="0"/>
        <w:jc w:val="left"/>
      </w:pPr>
      <w:r>
        <w:t xml:space="preserve"> </w:t>
      </w:r>
    </w:p>
    <w:p w14:paraId="21FDB1F3" w14:textId="5A900ACE" w:rsidR="00710CFF" w:rsidRDefault="00710CFF" w:rsidP="00710CFF">
      <w:pPr>
        <w:numPr>
          <w:ilvl w:val="0"/>
          <w:numId w:val="1"/>
        </w:numPr>
        <w:ind w:right="0" w:hanging="360"/>
      </w:pPr>
      <w:r>
        <w:t>Amortization is the systematic allocation of the amortizable amount of an Intangible Asset over its useful life. Amortization expenses the cost of the asset in equal installments (Straight line method of amortization) over the life of the asset, rather than when the asset is paid for</w:t>
      </w:r>
      <w:r w:rsidR="00D63E47">
        <w:t>.</w:t>
      </w:r>
      <w:r>
        <w:t xml:space="preserve"> Amortizable amount is the cost of an asset, or other amount substituted for cost, less its residual value and Residual value of an asset is the estimated amount that would currently be obtained from disposal of the asset, after deducting the estimated costs of disposal, if the asset were already of the age and in the condition expected at the end of its useful life.  In UNDP all intangibles will have a zero residual life. </w:t>
      </w:r>
    </w:p>
    <w:p w14:paraId="1CA080EF" w14:textId="77777777" w:rsidR="00710CFF" w:rsidRDefault="00710CFF" w:rsidP="00710CFF">
      <w:pPr>
        <w:spacing w:after="20" w:line="259" w:lineRule="auto"/>
        <w:ind w:left="46" w:right="0" w:firstLine="0"/>
        <w:jc w:val="left"/>
      </w:pPr>
      <w:r>
        <w:t xml:space="preserve"> </w:t>
      </w:r>
    </w:p>
    <w:p w14:paraId="547F1981" w14:textId="77777777" w:rsidR="00710CFF" w:rsidRDefault="00710CFF" w:rsidP="00710CFF">
      <w:pPr>
        <w:numPr>
          <w:ilvl w:val="0"/>
          <w:numId w:val="1"/>
        </w:numPr>
        <w:ind w:right="0" w:hanging="360"/>
      </w:pPr>
      <w:r>
        <w:t xml:space="preserve">Since the Amortization expense will be posted against the Chart of Accounts within which an asset is recorded, it is important that temporary COAs are not used as amortization charges will be against these temporary COAs necessitating a series of corrective journal entries when the asset is finally recorded against the correct and final COA.   </w:t>
      </w:r>
    </w:p>
    <w:p w14:paraId="2B024B0C" w14:textId="77777777" w:rsidR="00710CFF" w:rsidRDefault="00710CFF" w:rsidP="00710CFF">
      <w:pPr>
        <w:spacing w:after="21" w:line="259" w:lineRule="auto"/>
        <w:ind w:left="46" w:right="0" w:firstLine="0"/>
        <w:jc w:val="left"/>
      </w:pPr>
      <w:r>
        <w:t xml:space="preserve"> </w:t>
      </w:r>
    </w:p>
    <w:p w14:paraId="1205D564" w14:textId="4F49CD91" w:rsidR="00710CFF" w:rsidRDefault="00710CFF" w:rsidP="00710CFF">
      <w:pPr>
        <w:numPr>
          <w:ilvl w:val="0"/>
          <w:numId w:val="1"/>
        </w:numPr>
        <w:ind w:right="0" w:hanging="360"/>
      </w:pPr>
      <w:r>
        <w:t xml:space="preserve">The Amortization expense does not impact resources (budget) as the initial cost of the Intangible Asset is fully charged to budget.  It is a non-cash expense that allocates this cost over the life of the Intangible Asset. </w:t>
      </w:r>
    </w:p>
    <w:p w14:paraId="04D8227E" w14:textId="77777777" w:rsidR="00710CFF" w:rsidRDefault="00710CFF" w:rsidP="00710CFF">
      <w:pPr>
        <w:spacing w:after="20" w:line="259" w:lineRule="auto"/>
        <w:ind w:left="46" w:right="0" w:firstLine="0"/>
        <w:jc w:val="left"/>
      </w:pPr>
      <w:r>
        <w:t xml:space="preserve"> </w:t>
      </w:r>
    </w:p>
    <w:p w14:paraId="72AFE1FC" w14:textId="77777777" w:rsidR="00710CFF" w:rsidRDefault="00710CFF" w:rsidP="00710CFF">
      <w:pPr>
        <w:numPr>
          <w:ilvl w:val="0"/>
          <w:numId w:val="1"/>
        </w:numPr>
        <w:ind w:right="0" w:hanging="360"/>
      </w:pPr>
      <w:r>
        <w:t xml:space="preserve">The estimated useful lives for intangible assets are as follows:  </w:t>
      </w:r>
    </w:p>
    <w:p w14:paraId="607D72D0" w14:textId="77777777" w:rsidR="00710CFF" w:rsidRDefault="00710CFF" w:rsidP="00710CFF">
      <w:pPr>
        <w:spacing w:after="0" w:line="259" w:lineRule="auto"/>
        <w:ind w:left="0" w:right="0" w:firstLine="0"/>
        <w:jc w:val="left"/>
      </w:pPr>
      <w:r>
        <w:t xml:space="preserve">   </w:t>
      </w:r>
    </w:p>
    <w:tbl>
      <w:tblPr>
        <w:tblStyle w:val="TableGrid"/>
        <w:tblW w:w="9211" w:type="dxa"/>
        <w:tblInd w:w="-39" w:type="dxa"/>
        <w:tblCellMar>
          <w:top w:w="50" w:type="dxa"/>
          <w:left w:w="29" w:type="dxa"/>
          <w:right w:w="115" w:type="dxa"/>
        </w:tblCellMar>
        <w:tblLook w:val="04A0" w:firstRow="1" w:lastRow="0" w:firstColumn="1" w:lastColumn="0" w:noHBand="0" w:noVBand="1"/>
      </w:tblPr>
      <w:tblGrid>
        <w:gridCol w:w="4501"/>
        <w:gridCol w:w="4141"/>
        <w:gridCol w:w="569"/>
      </w:tblGrid>
      <w:tr w:rsidR="007904CC" w14:paraId="0AF0417A" w14:textId="77777777" w:rsidTr="007904CC">
        <w:trPr>
          <w:trHeight w:val="288"/>
        </w:trPr>
        <w:tc>
          <w:tcPr>
            <w:tcW w:w="4501" w:type="dxa"/>
            <w:tcBorders>
              <w:top w:val="single" w:sz="8" w:space="0" w:color="000000"/>
              <w:left w:val="single" w:sz="8" w:space="0" w:color="000000"/>
              <w:bottom w:val="single" w:sz="8" w:space="0" w:color="000000"/>
              <w:right w:val="single" w:sz="8" w:space="0" w:color="000000"/>
            </w:tcBorders>
          </w:tcPr>
          <w:p w14:paraId="708653D4" w14:textId="77777777" w:rsidR="007904CC" w:rsidRPr="007904CC" w:rsidRDefault="007904CC" w:rsidP="00FF0E67">
            <w:pPr>
              <w:spacing w:after="0" w:line="259" w:lineRule="auto"/>
              <w:ind w:left="79" w:right="0" w:firstLine="0"/>
              <w:jc w:val="left"/>
              <w:rPr>
                <w:b/>
                <w:bCs/>
              </w:rPr>
            </w:pPr>
            <w:r w:rsidRPr="007904CC">
              <w:rPr>
                <w:b/>
                <w:bCs/>
              </w:rPr>
              <w:t xml:space="preserve">Class </w:t>
            </w:r>
          </w:p>
        </w:tc>
        <w:tc>
          <w:tcPr>
            <w:tcW w:w="4141" w:type="dxa"/>
            <w:tcBorders>
              <w:top w:val="single" w:sz="8" w:space="0" w:color="000000"/>
              <w:left w:val="single" w:sz="8" w:space="0" w:color="000000"/>
              <w:bottom w:val="single" w:sz="8" w:space="0" w:color="000000"/>
              <w:right w:val="single" w:sz="8" w:space="0" w:color="000000"/>
            </w:tcBorders>
          </w:tcPr>
          <w:p w14:paraId="6C4AE386" w14:textId="77777777" w:rsidR="007904CC" w:rsidRPr="007904CC" w:rsidRDefault="007904CC" w:rsidP="00FF0E67">
            <w:pPr>
              <w:spacing w:after="0" w:line="259" w:lineRule="auto"/>
              <w:ind w:left="79" w:right="0" w:firstLine="0"/>
              <w:jc w:val="left"/>
              <w:rPr>
                <w:b/>
                <w:bCs/>
              </w:rPr>
            </w:pPr>
            <w:r w:rsidRPr="007904CC">
              <w:rPr>
                <w:b/>
                <w:bCs/>
              </w:rPr>
              <w:t xml:space="preserve">Estimated useful life (years) </w:t>
            </w:r>
          </w:p>
        </w:tc>
        <w:tc>
          <w:tcPr>
            <w:tcW w:w="569" w:type="dxa"/>
            <w:vMerge w:val="restart"/>
            <w:tcBorders>
              <w:top w:val="nil"/>
              <w:left w:val="single" w:sz="8" w:space="0" w:color="000000"/>
              <w:bottom w:val="nil"/>
              <w:right w:val="nil"/>
            </w:tcBorders>
          </w:tcPr>
          <w:p w14:paraId="10078118" w14:textId="77777777" w:rsidR="007904CC" w:rsidRDefault="007904CC" w:rsidP="00FF0E67">
            <w:pPr>
              <w:spacing w:after="160" w:line="259" w:lineRule="auto"/>
              <w:ind w:left="0" w:right="0" w:firstLine="0"/>
              <w:jc w:val="left"/>
            </w:pPr>
          </w:p>
        </w:tc>
      </w:tr>
      <w:tr w:rsidR="007904CC" w14:paraId="2F5B94FC" w14:textId="77777777" w:rsidTr="007904CC">
        <w:trPr>
          <w:trHeight w:val="290"/>
        </w:trPr>
        <w:tc>
          <w:tcPr>
            <w:tcW w:w="4501" w:type="dxa"/>
            <w:tcBorders>
              <w:top w:val="single" w:sz="8" w:space="0" w:color="000000"/>
              <w:left w:val="single" w:sz="8" w:space="0" w:color="000000"/>
              <w:bottom w:val="single" w:sz="8" w:space="0" w:color="000000"/>
              <w:right w:val="single" w:sz="8" w:space="0" w:color="000000"/>
            </w:tcBorders>
          </w:tcPr>
          <w:p w14:paraId="023AD3B6" w14:textId="77777777" w:rsidR="007904CC" w:rsidRDefault="007904CC" w:rsidP="00FF0E67">
            <w:pPr>
              <w:spacing w:after="0" w:line="259" w:lineRule="auto"/>
              <w:ind w:left="79" w:right="0" w:firstLine="0"/>
              <w:jc w:val="left"/>
            </w:pPr>
            <w:r>
              <w:t xml:space="preserve">Software acquired </w:t>
            </w:r>
          </w:p>
        </w:tc>
        <w:tc>
          <w:tcPr>
            <w:tcW w:w="4141" w:type="dxa"/>
            <w:tcBorders>
              <w:top w:val="single" w:sz="8" w:space="0" w:color="000000"/>
              <w:left w:val="single" w:sz="8" w:space="0" w:color="000000"/>
              <w:bottom w:val="single" w:sz="8" w:space="0" w:color="000000"/>
              <w:right w:val="single" w:sz="8" w:space="0" w:color="000000"/>
            </w:tcBorders>
          </w:tcPr>
          <w:p w14:paraId="25D89B46" w14:textId="77777777" w:rsidR="007904CC" w:rsidRDefault="007904CC" w:rsidP="00FF0E67">
            <w:pPr>
              <w:spacing w:after="0" w:line="259" w:lineRule="auto"/>
              <w:ind w:left="79" w:right="0" w:firstLine="0"/>
              <w:jc w:val="left"/>
            </w:pPr>
            <w:r>
              <w:t xml:space="preserve">3-6 </w:t>
            </w:r>
          </w:p>
        </w:tc>
        <w:tc>
          <w:tcPr>
            <w:tcW w:w="0" w:type="auto"/>
            <w:vMerge/>
            <w:tcBorders>
              <w:top w:val="nil"/>
              <w:left w:val="single" w:sz="8" w:space="0" w:color="000000"/>
              <w:bottom w:val="nil"/>
              <w:right w:val="nil"/>
            </w:tcBorders>
          </w:tcPr>
          <w:p w14:paraId="01C9A214" w14:textId="77777777" w:rsidR="007904CC" w:rsidRDefault="007904CC" w:rsidP="00FF0E67">
            <w:pPr>
              <w:spacing w:after="160" w:line="259" w:lineRule="auto"/>
              <w:ind w:left="0" w:right="0" w:firstLine="0"/>
              <w:jc w:val="left"/>
            </w:pPr>
          </w:p>
        </w:tc>
      </w:tr>
      <w:tr w:rsidR="007904CC" w14:paraId="6811B6DC" w14:textId="77777777" w:rsidTr="007904CC">
        <w:trPr>
          <w:trHeight w:val="288"/>
        </w:trPr>
        <w:tc>
          <w:tcPr>
            <w:tcW w:w="4501" w:type="dxa"/>
            <w:tcBorders>
              <w:top w:val="single" w:sz="8" w:space="0" w:color="000000"/>
              <w:left w:val="single" w:sz="8" w:space="0" w:color="000000"/>
              <w:bottom w:val="single" w:sz="8" w:space="0" w:color="000000"/>
              <w:right w:val="single" w:sz="8" w:space="0" w:color="000000"/>
            </w:tcBorders>
          </w:tcPr>
          <w:p w14:paraId="35A1EB08" w14:textId="77777777" w:rsidR="007904CC" w:rsidRDefault="007904CC" w:rsidP="00FF0E67">
            <w:pPr>
              <w:spacing w:after="0" w:line="259" w:lineRule="auto"/>
              <w:ind w:left="79" w:right="0" w:firstLine="0"/>
              <w:jc w:val="left"/>
            </w:pPr>
            <w:r>
              <w:t xml:space="preserve">Internally developed software </w:t>
            </w:r>
          </w:p>
        </w:tc>
        <w:tc>
          <w:tcPr>
            <w:tcW w:w="4141" w:type="dxa"/>
            <w:tcBorders>
              <w:top w:val="single" w:sz="8" w:space="0" w:color="000000"/>
              <w:left w:val="single" w:sz="8" w:space="0" w:color="000000"/>
              <w:bottom w:val="single" w:sz="8" w:space="0" w:color="000000"/>
              <w:right w:val="single" w:sz="8" w:space="0" w:color="000000"/>
            </w:tcBorders>
          </w:tcPr>
          <w:p w14:paraId="1FC259EA" w14:textId="77777777" w:rsidR="007904CC" w:rsidRDefault="007904CC" w:rsidP="00FF0E67">
            <w:pPr>
              <w:spacing w:after="0" w:line="259" w:lineRule="auto"/>
              <w:ind w:left="79" w:right="0" w:firstLine="0"/>
              <w:jc w:val="left"/>
            </w:pPr>
            <w:r>
              <w:t xml:space="preserve">3-6 </w:t>
            </w:r>
          </w:p>
        </w:tc>
        <w:tc>
          <w:tcPr>
            <w:tcW w:w="0" w:type="auto"/>
            <w:vMerge/>
            <w:tcBorders>
              <w:top w:val="nil"/>
              <w:left w:val="single" w:sz="8" w:space="0" w:color="000000"/>
              <w:bottom w:val="nil"/>
              <w:right w:val="nil"/>
            </w:tcBorders>
          </w:tcPr>
          <w:p w14:paraId="7E002ED6" w14:textId="77777777" w:rsidR="007904CC" w:rsidRDefault="007904CC" w:rsidP="00FF0E67">
            <w:pPr>
              <w:spacing w:after="160" w:line="259" w:lineRule="auto"/>
              <w:ind w:left="0" w:right="0" w:firstLine="0"/>
              <w:jc w:val="left"/>
            </w:pPr>
          </w:p>
        </w:tc>
      </w:tr>
      <w:tr w:rsidR="007904CC" w14:paraId="28B108BF" w14:textId="77777777" w:rsidTr="007904CC">
        <w:trPr>
          <w:trHeight w:val="288"/>
        </w:trPr>
        <w:tc>
          <w:tcPr>
            <w:tcW w:w="4501" w:type="dxa"/>
            <w:tcBorders>
              <w:top w:val="single" w:sz="8" w:space="0" w:color="000000"/>
              <w:left w:val="single" w:sz="8" w:space="0" w:color="000000"/>
              <w:bottom w:val="single" w:sz="8" w:space="0" w:color="000000"/>
              <w:right w:val="single" w:sz="8" w:space="0" w:color="000000"/>
            </w:tcBorders>
          </w:tcPr>
          <w:p w14:paraId="5D42C4AE" w14:textId="77777777" w:rsidR="007904CC" w:rsidRDefault="007904CC" w:rsidP="00FF0E67">
            <w:pPr>
              <w:spacing w:after="0" w:line="259" w:lineRule="auto"/>
              <w:ind w:left="79" w:right="0" w:firstLine="0"/>
              <w:jc w:val="left"/>
            </w:pPr>
            <w:r>
              <w:t xml:space="preserve">Trademarks </w:t>
            </w:r>
          </w:p>
        </w:tc>
        <w:tc>
          <w:tcPr>
            <w:tcW w:w="4141" w:type="dxa"/>
            <w:tcBorders>
              <w:top w:val="single" w:sz="8" w:space="0" w:color="000000"/>
              <w:left w:val="single" w:sz="8" w:space="0" w:color="000000"/>
              <w:bottom w:val="single" w:sz="8" w:space="0" w:color="000000"/>
              <w:right w:val="single" w:sz="8" w:space="0" w:color="000000"/>
            </w:tcBorders>
          </w:tcPr>
          <w:p w14:paraId="65802EFC" w14:textId="77777777" w:rsidR="007904CC" w:rsidRDefault="007904CC" w:rsidP="00FF0E67">
            <w:pPr>
              <w:spacing w:after="0" w:line="259" w:lineRule="auto"/>
              <w:ind w:left="79" w:right="0" w:firstLine="0"/>
              <w:jc w:val="left"/>
            </w:pPr>
            <w:r>
              <w:t xml:space="preserve">2-6 </w:t>
            </w:r>
          </w:p>
        </w:tc>
        <w:tc>
          <w:tcPr>
            <w:tcW w:w="0" w:type="auto"/>
            <w:vMerge/>
            <w:tcBorders>
              <w:top w:val="nil"/>
              <w:left w:val="single" w:sz="8" w:space="0" w:color="000000"/>
              <w:bottom w:val="nil"/>
              <w:right w:val="nil"/>
            </w:tcBorders>
          </w:tcPr>
          <w:p w14:paraId="01976958" w14:textId="77777777" w:rsidR="007904CC" w:rsidRDefault="007904CC" w:rsidP="00FF0E67">
            <w:pPr>
              <w:spacing w:after="160" w:line="259" w:lineRule="auto"/>
              <w:ind w:left="0" w:right="0" w:firstLine="0"/>
              <w:jc w:val="left"/>
            </w:pPr>
          </w:p>
        </w:tc>
      </w:tr>
      <w:tr w:rsidR="007904CC" w14:paraId="16CA315D" w14:textId="77777777" w:rsidTr="007904CC">
        <w:trPr>
          <w:trHeight w:val="288"/>
        </w:trPr>
        <w:tc>
          <w:tcPr>
            <w:tcW w:w="4501" w:type="dxa"/>
            <w:tcBorders>
              <w:top w:val="single" w:sz="8" w:space="0" w:color="000000"/>
              <w:left w:val="single" w:sz="8" w:space="0" w:color="000000"/>
              <w:bottom w:val="single" w:sz="8" w:space="0" w:color="000000"/>
              <w:right w:val="single" w:sz="8" w:space="0" w:color="000000"/>
            </w:tcBorders>
          </w:tcPr>
          <w:p w14:paraId="3C380B72" w14:textId="77777777" w:rsidR="007904CC" w:rsidRDefault="007904CC" w:rsidP="00FF0E67">
            <w:pPr>
              <w:spacing w:after="0" w:line="259" w:lineRule="auto"/>
              <w:ind w:left="79" w:right="0" w:firstLine="0"/>
              <w:jc w:val="left"/>
            </w:pPr>
            <w:r>
              <w:t xml:space="preserve">Copyrights </w:t>
            </w:r>
          </w:p>
        </w:tc>
        <w:tc>
          <w:tcPr>
            <w:tcW w:w="4141" w:type="dxa"/>
            <w:tcBorders>
              <w:top w:val="single" w:sz="8" w:space="0" w:color="000000"/>
              <w:left w:val="single" w:sz="8" w:space="0" w:color="000000"/>
              <w:bottom w:val="single" w:sz="8" w:space="0" w:color="000000"/>
              <w:right w:val="single" w:sz="8" w:space="0" w:color="000000"/>
            </w:tcBorders>
          </w:tcPr>
          <w:p w14:paraId="4D1BF2C9" w14:textId="77777777" w:rsidR="007904CC" w:rsidRDefault="007904CC" w:rsidP="00FF0E67">
            <w:pPr>
              <w:spacing w:after="0" w:line="259" w:lineRule="auto"/>
              <w:ind w:left="79" w:right="0" w:firstLine="0"/>
              <w:jc w:val="left"/>
            </w:pPr>
            <w:r>
              <w:t xml:space="preserve">3-10 </w:t>
            </w:r>
          </w:p>
        </w:tc>
        <w:tc>
          <w:tcPr>
            <w:tcW w:w="0" w:type="auto"/>
            <w:vMerge/>
            <w:tcBorders>
              <w:top w:val="nil"/>
              <w:left w:val="single" w:sz="8" w:space="0" w:color="000000"/>
              <w:bottom w:val="nil"/>
              <w:right w:val="nil"/>
            </w:tcBorders>
          </w:tcPr>
          <w:p w14:paraId="443DED6C" w14:textId="77777777" w:rsidR="007904CC" w:rsidRDefault="007904CC" w:rsidP="00FF0E67">
            <w:pPr>
              <w:spacing w:after="160" w:line="259" w:lineRule="auto"/>
              <w:ind w:left="0" w:right="0" w:firstLine="0"/>
              <w:jc w:val="left"/>
            </w:pPr>
          </w:p>
        </w:tc>
      </w:tr>
      <w:tr w:rsidR="007904CC" w14:paraId="14EAC583" w14:textId="77777777" w:rsidTr="007904CC">
        <w:trPr>
          <w:trHeight w:val="288"/>
        </w:trPr>
        <w:tc>
          <w:tcPr>
            <w:tcW w:w="4501" w:type="dxa"/>
            <w:tcBorders>
              <w:top w:val="single" w:sz="8" w:space="0" w:color="000000"/>
              <w:left w:val="single" w:sz="8" w:space="0" w:color="000000"/>
              <w:bottom w:val="single" w:sz="8" w:space="0" w:color="000000"/>
              <w:right w:val="single" w:sz="8" w:space="0" w:color="000000"/>
            </w:tcBorders>
          </w:tcPr>
          <w:p w14:paraId="20FAB67D" w14:textId="77777777" w:rsidR="007904CC" w:rsidRDefault="007904CC" w:rsidP="00FF0E67">
            <w:pPr>
              <w:spacing w:after="0" w:line="259" w:lineRule="auto"/>
              <w:ind w:left="79" w:right="0" w:firstLine="0"/>
              <w:jc w:val="left"/>
            </w:pPr>
            <w:r>
              <w:t xml:space="preserve">Patents </w:t>
            </w:r>
          </w:p>
        </w:tc>
        <w:tc>
          <w:tcPr>
            <w:tcW w:w="4141" w:type="dxa"/>
            <w:tcBorders>
              <w:top w:val="single" w:sz="8" w:space="0" w:color="000000"/>
              <w:left w:val="single" w:sz="8" w:space="0" w:color="000000"/>
              <w:bottom w:val="single" w:sz="8" w:space="0" w:color="000000"/>
              <w:right w:val="single" w:sz="8" w:space="0" w:color="000000"/>
            </w:tcBorders>
          </w:tcPr>
          <w:p w14:paraId="4D37A756" w14:textId="77777777" w:rsidR="007904CC" w:rsidRDefault="007904CC" w:rsidP="00FF0E67">
            <w:pPr>
              <w:spacing w:after="0" w:line="259" w:lineRule="auto"/>
              <w:ind w:left="79" w:right="0" w:firstLine="0"/>
              <w:jc w:val="left"/>
            </w:pPr>
            <w:r>
              <w:t xml:space="preserve">2-6 </w:t>
            </w:r>
          </w:p>
        </w:tc>
        <w:tc>
          <w:tcPr>
            <w:tcW w:w="0" w:type="auto"/>
            <w:vMerge/>
            <w:tcBorders>
              <w:top w:val="nil"/>
              <w:left w:val="single" w:sz="8" w:space="0" w:color="000000"/>
              <w:bottom w:val="nil"/>
              <w:right w:val="nil"/>
            </w:tcBorders>
          </w:tcPr>
          <w:p w14:paraId="6B1B647B" w14:textId="77777777" w:rsidR="007904CC" w:rsidRDefault="007904CC" w:rsidP="00FF0E67">
            <w:pPr>
              <w:spacing w:after="160" w:line="259" w:lineRule="auto"/>
              <w:ind w:left="0" w:right="0" w:firstLine="0"/>
              <w:jc w:val="left"/>
            </w:pPr>
          </w:p>
        </w:tc>
      </w:tr>
      <w:tr w:rsidR="007904CC" w14:paraId="2E5AC97E" w14:textId="77777777" w:rsidTr="007904CC">
        <w:trPr>
          <w:trHeight w:val="293"/>
        </w:trPr>
        <w:tc>
          <w:tcPr>
            <w:tcW w:w="4501" w:type="dxa"/>
            <w:tcBorders>
              <w:top w:val="single" w:sz="8" w:space="0" w:color="000000"/>
              <w:left w:val="single" w:sz="8" w:space="0" w:color="000000"/>
              <w:bottom w:val="single" w:sz="8" w:space="0" w:color="000000"/>
              <w:right w:val="single" w:sz="8" w:space="0" w:color="000000"/>
            </w:tcBorders>
          </w:tcPr>
          <w:p w14:paraId="7E0C6204" w14:textId="77777777" w:rsidR="007904CC" w:rsidRDefault="007904CC" w:rsidP="00FF0E67">
            <w:pPr>
              <w:spacing w:after="0" w:line="259" w:lineRule="auto"/>
              <w:ind w:left="79" w:right="0" w:firstLine="0"/>
              <w:jc w:val="left"/>
            </w:pPr>
            <w:r>
              <w:t xml:space="preserve">Licenses and other </w:t>
            </w:r>
          </w:p>
        </w:tc>
        <w:tc>
          <w:tcPr>
            <w:tcW w:w="4141" w:type="dxa"/>
            <w:tcBorders>
              <w:top w:val="single" w:sz="8" w:space="0" w:color="000000"/>
              <w:left w:val="single" w:sz="8" w:space="0" w:color="000000"/>
              <w:bottom w:val="single" w:sz="8" w:space="0" w:color="000000"/>
              <w:right w:val="single" w:sz="8" w:space="0" w:color="000000"/>
            </w:tcBorders>
          </w:tcPr>
          <w:p w14:paraId="3C192CEA" w14:textId="77777777" w:rsidR="007904CC" w:rsidRDefault="007904CC" w:rsidP="00FF0E67">
            <w:pPr>
              <w:spacing w:after="0" w:line="259" w:lineRule="auto"/>
              <w:ind w:left="79" w:right="0" w:firstLine="0"/>
              <w:jc w:val="left"/>
            </w:pPr>
            <w:r>
              <w:t xml:space="preserve">2-6 </w:t>
            </w:r>
          </w:p>
        </w:tc>
        <w:tc>
          <w:tcPr>
            <w:tcW w:w="0" w:type="auto"/>
            <w:vMerge/>
            <w:tcBorders>
              <w:top w:val="nil"/>
              <w:left w:val="single" w:sz="8" w:space="0" w:color="000000"/>
              <w:bottom w:val="nil"/>
              <w:right w:val="nil"/>
            </w:tcBorders>
          </w:tcPr>
          <w:p w14:paraId="2CDCD16B" w14:textId="77777777" w:rsidR="007904CC" w:rsidRDefault="007904CC" w:rsidP="00FF0E67">
            <w:pPr>
              <w:spacing w:after="160" w:line="259" w:lineRule="auto"/>
              <w:ind w:left="0" w:right="0" w:firstLine="0"/>
              <w:jc w:val="left"/>
            </w:pPr>
          </w:p>
        </w:tc>
      </w:tr>
    </w:tbl>
    <w:p w14:paraId="59E642B7" w14:textId="77777777" w:rsidR="0097591D" w:rsidRDefault="0097591D" w:rsidP="00710CFF">
      <w:pPr>
        <w:pStyle w:val="Heading1"/>
        <w:ind w:left="-5"/>
      </w:pPr>
    </w:p>
    <w:p w14:paraId="3DAA0866" w14:textId="4C6BAD5A" w:rsidR="00710CFF" w:rsidRDefault="00710CFF" w:rsidP="00710CFF">
      <w:pPr>
        <w:pStyle w:val="Heading1"/>
        <w:ind w:left="-5"/>
      </w:pPr>
      <w:r>
        <w:t xml:space="preserve">Reconciliation  </w:t>
      </w:r>
    </w:p>
    <w:p w14:paraId="3F110B0B" w14:textId="77777777" w:rsidR="00710CFF" w:rsidRDefault="00710CFF" w:rsidP="00710CFF">
      <w:pPr>
        <w:spacing w:after="21" w:line="259" w:lineRule="auto"/>
        <w:ind w:left="0" w:right="0" w:firstLine="0"/>
        <w:jc w:val="left"/>
      </w:pPr>
      <w:r>
        <w:rPr>
          <w:b/>
        </w:rPr>
        <w:t xml:space="preserve"> </w:t>
      </w:r>
    </w:p>
    <w:p w14:paraId="0BE1849C" w14:textId="5D601B9A" w:rsidR="00710CFF" w:rsidRDefault="00710CFF" w:rsidP="00710CFF">
      <w:pPr>
        <w:spacing w:after="202"/>
        <w:ind w:left="715" w:right="0"/>
      </w:pPr>
      <w:r>
        <w:t>6.</w:t>
      </w:r>
      <w:r>
        <w:rPr>
          <w:rFonts w:ascii="Arial" w:eastAsia="Arial" w:hAnsi="Arial" w:cs="Arial"/>
        </w:rPr>
        <w:t xml:space="preserve">   </w:t>
      </w:r>
      <w:r>
        <w:t xml:space="preserve">Reconciliation is the accounting process used to compare at least two sets of records to ensure the figures are in agreement and are accurate.   Given that the Intangible Assets data will be initiated in one module and ultimately recorded in the </w:t>
      </w:r>
      <w:r w:rsidR="003C3167">
        <w:t xml:space="preserve">Quantum </w:t>
      </w:r>
      <w:r>
        <w:t xml:space="preserve">Asset Module as well as the </w:t>
      </w:r>
      <w:r>
        <w:lastRenderedPageBreak/>
        <w:t xml:space="preserve">General Ledger Account, there will be a need to reconcile the data and information in the three modules.  This will be done by General Operations/BMS. In addition to reconciliations of accounting data, there will also be a requirement to reconcile the physical verification exercise results with Intangible Assets records for each CO or HQ Unit.  This will be done by each CO or HQ Unit. </w:t>
      </w:r>
    </w:p>
    <w:p w14:paraId="65A8FF74" w14:textId="77777777" w:rsidR="00710CFF" w:rsidRPr="0002045B" w:rsidRDefault="00710CFF" w:rsidP="00710CFF">
      <w:pPr>
        <w:spacing w:after="0" w:line="259" w:lineRule="auto"/>
        <w:ind w:left="0" w:right="0" w:firstLine="0"/>
        <w:jc w:val="left"/>
        <w:rPr>
          <w:b/>
        </w:rPr>
      </w:pPr>
      <w:r w:rsidRPr="0002045B">
        <w:rPr>
          <w:b/>
        </w:rPr>
        <w:t xml:space="preserve">Reports  </w:t>
      </w:r>
    </w:p>
    <w:p w14:paraId="1F5CFA7B" w14:textId="77777777" w:rsidR="00710CFF" w:rsidRDefault="00710CFF" w:rsidP="00710CFF">
      <w:pPr>
        <w:spacing w:after="21" w:line="259" w:lineRule="auto"/>
        <w:ind w:left="0" w:right="0" w:firstLine="0"/>
        <w:jc w:val="left"/>
      </w:pPr>
      <w:r>
        <w:rPr>
          <w:b/>
        </w:rPr>
        <w:t xml:space="preserve"> </w:t>
      </w:r>
    </w:p>
    <w:p w14:paraId="4D020564" w14:textId="77777777" w:rsidR="00710CFF" w:rsidRDefault="00710CFF" w:rsidP="00710CFF">
      <w:pPr>
        <w:ind w:left="715" w:right="0"/>
      </w:pPr>
      <w:r>
        <w:t>7.</w:t>
      </w:r>
      <w:r>
        <w:rPr>
          <w:rFonts w:ascii="Arial" w:eastAsia="Arial" w:hAnsi="Arial" w:cs="Arial"/>
        </w:rPr>
        <w:t xml:space="preserve">   </w:t>
      </w:r>
      <w:r>
        <w:t xml:space="preserve">Due to the need to verify the accuracy of records through reconciliations and for purposes of preparing accurate assets information for the financial reporting, there will be various reports designed to assist in performing the functions of reconciliation and review of asset records. For example, the transaction detail reports, AM-GL Reconciliation report by department and asset class etc. For more information, pleases refer to the POPP on Furniture and Equipment. </w:t>
      </w:r>
    </w:p>
    <w:p w14:paraId="6195BCD2" w14:textId="77777777" w:rsidR="00710CFF" w:rsidRDefault="00710CFF" w:rsidP="00710CFF">
      <w:pPr>
        <w:spacing w:after="0" w:line="259" w:lineRule="auto"/>
        <w:ind w:left="0" w:right="0" w:firstLine="0"/>
        <w:jc w:val="left"/>
      </w:pPr>
      <w:r>
        <w:t xml:space="preserve">  </w:t>
      </w:r>
    </w:p>
    <w:p w14:paraId="4879A8EB" w14:textId="77777777" w:rsidR="00710CFF" w:rsidRDefault="00710CFF" w:rsidP="00710CFF">
      <w:pPr>
        <w:pStyle w:val="Heading1"/>
        <w:ind w:left="-5"/>
      </w:pPr>
      <w:r>
        <w:t xml:space="preserve">Centralized Functions </w:t>
      </w:r>
      <w:r>
        <w:rPr>
          <w:b w:val="0"/>
        </w:rPr>
        <w:t xml:space="preserve">  </w:t>
      </w:r>
    </w:p>
    <w:p w14:paraId="7E521709" w14:textId="77777777" w:rsidR="00710CFF" w:rsidRDefault="00710CFF" w:rsidP="00710CFF">
      <w:pPr>
        <w:spacing w:after="20" w:line="259" w:lineRule="auto"/>
        <w:ind w:left="0" w:right="0" w:firstLine="0"/>
        <w:jc w:val="left"/>
      </w:pPr>
      <w:r>
        <w:rPr>
          <w:b/>
        </w:rPr>
        <w:t xml:space="preserve"> </w:t>
      </w:r>
    </w:p>
    <w:p w14:paraId="2E4AA20A" w14:textId="4B0FBA50" w:rsidR="00710CFF" w:rsidRDefault="00710CFF" w:rsidP="00710CFF">
      <w:pPr>
        <w:ind w:left="715" w:right="0"/>
      </w:pPr>
      <w:r>
        <w:t>8.</w:t>
      </w:r>
      <w:r>
        <w:rPr>
          <w:rFonts w:ascii="Arial" w:eastAsia="Arial" w:hAnsi="Arial" w:cs="Arial"/>
        </w:rPr>
        <w:t xml:space="preserve">   </w:t>
      </w:r>
      <w:r>
        <w:t>Centralized functions are those functions that will be performed only by the Global Shared Services Unit (</w:t>
      </w:r>
      <w:r w:rsidR="00440CD8">
        <w:t>GSSC</w:t>
      </w:r>
      <w:r>
        <w:t xml:space="preserve">) and UNDP NYHQ through Accounts Division, OIMT or General Operations/ BMS.  Refer to POPP on Furniture and Equipment for more details. </w:t>
      </w:r>
    </w:p>
    <w:p w14:paraId="00373786" w14:textId="77777777" w:rsidR="00710CFF" w:rsidRDefault="00710CFF" w:rsidP="00710CFF">
      <w:pPr>
        <w:spacing w:after="0" w:line="259" w:lineRule="auto"/>
        <w:ind w:left="0" w:right="0" w:firstLine="0"/>
        <w:jc w:val="left"/>
      </w:pPr>
      <w:r>
        <w:t xml:space="preserve">  </w:t>
      </w:r>
    </w:p>
    <w:p w14:paraId="6159B3A5" w14:textId="77777777" w:rsidR="00710CFF" w:rsidRDefault="00710CFF" w:rsidP="00710CFF">
      <w:pPr>
        <w:pStyle w:val="Heading1"/>
        <w:ind w:left="-5"/>
      </w:pPr>
      <w:r>
        <w:t xml:space="preserve"> Amortization of Intangible Assets </w:t>
      </w:r>
      <w:r>
        <w:rPr>
          <w:b w:val="0"/>
        </w:rPr>
        <w:t xml:space="preserve"> </w:t>
      </w:r>
    </w:p>
    <w:p w14:paraId="494DA1FA" w14:textId="77777777" w:rsidR="00710CFF" w:rsidRDefault="00710CFF" w:rsidP="00710CFF">
      <w:pPr>
        <w:spacing w:after="21" w:line="259" w:lineRule="auto"/>
        <w:ind w:left="0" w:right="0" w:firstLine="0"/>
        <w:jc w:val="left"/>
      </w:pPr>
      <w:r>
        <w:t xml:space="preserve"> </w:t>
      </w:r>
    </w:p>
    <w:p w14:paraId="424BBE4D" w14:textId="77777777" w:rsidR="00710CFF" w:rsidRDefault="00710CFF" w:rsidP="00710CFF">
      <w:pPr>
        <w:numPr>
          <w:ilvl w:val="0"/>
          <w:numId w:val="2"/>
        </w:numPr>
        <w:ind w:right="0" w:hanging="360"/>
      </w:pPr>
      <w:r>
        <w:t xml:space="preserve">Amortization is the provision for the using up of a wasting asset over its predetermined useful life.  In UNDP, amortization is applied in equal monthly installments over the useful life of the asset, using the straight-line amortization method (historical cost less residual value, divided by useful life).  Amortization is a system process that will be run every month by HQ and posted to the relevant Chart of Account (COA) from which the asset was purchased or otherwise capitalized.  For this reason, it is important that temporary COAs are not used for the recording of intangible asset as amortization charges will be against these temporary COAs necessitating a series of corrective journal entries when the asset is finally recorded against the correct and final COA   </w:t>
      </w:r>
    </w:p>
    <w:p w14:paraId="6ED05893" w14:textId="77777777" w:rsidR="00710CFF" w:rsidRDefault="00710CFF" w:rsidP="00710CFF">
      <w:pPr>
        <w:spacing w:after="22" w:line="259" w:lineRule="auto"/>
        <w:ind w:left="46" w:right="0" w:firstLine="0"/>
        <w:jc w:val="left"/>
      </w:pPr>
      <w:r>
        <w:t xml:space="preserve"> </w:t>
      </w:r>
    </w:p>
    <w:p w14:paraId="49E2FFFB" w14:textId="77777777" w:rsidR="00710CFF" w:rsidRDefault="00710CFF" w:rsidP="00710CFF">
      <w:pPr>
        <w:numPr>
          <w:ilvl w:val="0"/>
          <w:numId w:val="2"/>
        </w:numPr>
        <w:ind w:right="0" w:hanging="360"/>
      </w:pPr>
      <w:r>
        <w:t xml:space="preserve">Amortization is applied to </w:t>
      </w:r>
      <w:r>
        <w:rPr>
          <w:u w:val="single" w:color="000000"/>
        </w:rPr>
        <w:t>Intangible Assets</w:t>
      </w:r>
      <w:r>
        <w:t xml:space="preserve"> or liabilities whereas Depreciation is applied to </w:t>
      </w:r>
      <w:r>
        <w:rPr>
          <w:u w:val="single" w:color="000000"/>
        </w:rPr>
        <w:t>Tangible Assets</w:t>
      </w:r>
      <w:r>
        <w:t xml:space="preserve">.    </w:t>
      </w:r>
    </w:p>
    <w:p w14:paraId="24830E56" w14:textId="77777777" w:rsidR="00710CFF" w:rsidRDefault="00710CFF" w:rsidP="00710CFF">
      <w:pPr>
        <w:spacing w:after="0" w:line="259" w:lineRule="auto"/>
        <w:ind w:left="0" w:right="0" w:firstLine="0"/>
        <w:jc w:val="left"/>
      </w:pPr>
      <w:r>
        <w:rPr>
          <w:b/>
        </w:rPr>
        <w:t xml:space="preserve"> </w:t>
      </w:r>
      <w:r>
        <w:t xml:space="preserve"> </w:t>
      </w:r>
    </w:p>
    <w:p w14:paraId="52C9BE07" w14:textId="77777777" w:rsidR="00710CFF" w:rsidRDefault="00710CFF" w:rsidP="00710CFF">
      <w:pPr>
        <w:pStyle w:val="Heading1"/>
        <w:ind w:left="-5"/>
      </w:pPr>
      <w:r>
        <w:t xml:space="preserve">Reconciliation, Reports and Centralized Functions </w:t>
      </w:r>
    </w:p>
    <w:p w14:paraId="208BE2A5" w14:textId="77777777" w:rsidR="00710CFF" w:rsidRDefault="00710CFF" w:rsidP="00710CFF">
      <w:pPr>
        <w:spacing w:after="22" w:line="259" w:lineRule="auto"/>
        <w:ind w:left="0" w:right="0" w:firstLine="0"/>
        <w:jc w:val="left"/>
      </w:pPr>
      <w:r>
        <w:t xml:space="preserve"> </w:t>
      </w:r>
    </w:p>
    <w:p w14:paraId="31828E16" w14:textId="7B5B5776" w:rsidR="00710CFF" w:rsidRDefault="00710CFF" w:rsidP="00710CFF">
      <w:pPr>
        <w:ind w:left="715" w:right="0"/>
      </w:pPr>
      <w:r>
        <w:t>11.</w:t>
      </w:r>
      <w:r>
        <w:rPr>
          <w:rFonts w:ascii="Arial" w:eastAsia="Arial" w:hAnsi="Arial" w:cs="Arial"/>
        </w:rPr>
        <w:t xml:space="preserve">  </w:t>
      </w:r>
      <w:r>
        <w:t xml:space="preserve">Refer to the POPP on </w:t>
      </w:r>
      <w:hyperlink r:id="rId12" w:history="1">
        <w:r w:rsidRPr="004058E2">
          <w:rPr>
            <w:rStyle w:val="Hyperlink"/>
          </w:rPr>
          <w:t>Furniture and Equipment</w:t>
        </w:r>
      </w:hyperlink>
      <w:r>
        <w:t xml:space="preserve"> to see the list of reports and reconciliations that may be of use.  The </w:t>
      </w:r>
      <w:r w:rsidR="00440CD8">
        <w:t xml:space="preserve">GSSC </w:t>
      </w:r>
      <w:r>
        <w:t xml:space="preserve">will play a key role in the recording of impairments of Intangible Assets where there is a need to readjust the useful life of an Intangible Asset. </w:t>
      </w:r>
    </w:p>
    <w:p w14:paraId="7891BA08" w14:textId="77777777" w:rsidR="00710CFF" w:rsidRDefault="00710CFF" w:rsidP="00710CFF">
      <w:pPr>
        <w:spacing w:after="0" w:line="259" w:lineRule="auto"/>
        <w:ind w:left="0" w:right="0" w:firstLine="0"/>
        <w:jc w:val="left"/>
      </w:pPr>
      <w:r>
        <w:t xml:space="preserve">  </w:t>
      </w:r>
    </w:p>
    <w:p w14:paraId="166DB02E" w14:textId="0E3E5AE4" w:rsidR="0019079F" w:rsidRPr="00710CFF" w:rsidRDefault="00710CFF" w:rsidP="00710CFF">
      <w:pPr>
        <w:spacing w:after="3451" w:line="259" w:lineRule="auto"/>
        <w:ind w:left="0" w:right="0" w:firstLine="0"/>
        <w:jc w:val="left"/>
      </w:pPr>
      <w:r>
        <w:t xml:space="preserve"> </w:t>
      </w:r>
    </w:p>
    <w:sectPr w:rsidR="0019079F" w:rsidRPr="00710CFF">
      <w:headerReference w:type="even" r:id="rId13"/>
      <w:headerReference w:type="default" r:id="rId14"/>
      <w:footerReference w:type="even" r:id="rId15"/>
      <w:footerReference w:type="default" r:id="rId16"/>
      <w:headerReference w:type="first" r:id="rId17"/>
      <w:footerReference w:type="first" r:id="rId18"/>
      <w:pgSz w:w="12240" w:h="15840"/>
      <w:pgMar w:top="1483" w:right="1435" w:bottom="721"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3D35D" w14:textId="77777777" w:rsidR="001C005E" w:rsidRDefault="001C005E" w:rsidP="00831252">
      <w:pPr>
        <w:spacing w:after="0" w:line="240" w:lineRule="auto"/>
      </w:pPr>
      <w:r>
        <w:separator/>
      </w:r>
    </w:p>
  </w:endnote>
  <w:endnote w:type="continuationSeparator" w:id="0">
    <w:p w14:paraId="5170A222" w14:textId="77777777" w:rsidR="001C005E" w:rsidRDefault="001C005E" w:rsidP="00831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8B13D" w14:textId="77777777" w:rsidR="00947C18" w:rsidRDefault="00947C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5A755" w14:textId="77777777" w:rsidR="0002045B" w:rsidRDefault="0002045B">
    <w:pPr>
      <w:pStyle w:val="Footer"/>
    </w:pPr>
  </w:p>
  <w:p w14:paraId="166DB034" w14:textId="47E769C9" w:rsidR="00831252" w:rsidRDefault="0002045B">
    <w:pPr>
      <w:pStyle w:val="Footer"/>
    </w:pPr>
    <w:r>
      <w:t xml:space="preserve">Page </w:t>
    </w:r>
    <w:r>
      <w:rPr>
        <w:b/>
      </w:rPr>
      <w:fldChar w:fldCharType="begin"/>
    </w:r>
    <w:r>
      <w:rPr>
        <w:b/>
      </w:rPr>
      <w:instrText xml:space="preserve"> PAGE  \* Arabic  \* MERGEFORMAT </w:instrText>
    </w:r>
    <w:r>
      <w:rPr>
        <w:b/>
      </w:rPr>
      <w:fldChar w:fldCharType="separate"/>
    </w:r>
    <w:r w:rsidR="00710CFF">
      <w:rPr>
        <w:b/>
        <w:noProof/>
      </w:rPr>
      <w:t>2</w:t>
    </w:r>
    <w:r>
      <w:rPr>
        <w:b/>
      </w:rPr>
      <w:fldChar w:fldCharType="end"/>
    </w:r>
    <w:r>
      <w:t xml:space="preserve"> of </w:t>
    </w:r>
    <w:r>
      <w:rPr>
        <w:b/>
      </w:rPr>
      <w:fldChar w:fldCharType="begin"/>
    </w:r>
    <w:r>
      <w:rPr>
        <w:b/>
      </w:rPr>
      <w:instrText xml:space="preserve"> NUMPAGES  \* Arabic  \* MERGEFORMAT </w:instrText>
    </w:r>
    <w:r>
      <w:rPr>
        <w:b/>
      </w:rPr>
      <w:fldChar w:fldCharType="separate"/>
    </w:r>
    <w:r w:rsidR="00710CFF">
      <w:rPr>
        <w:b/>
        <w:noProof/>
      </w:rPr>
      <w:t>2</w:t>
    </w:r>
    <w:r>
      <w:rPr>
        <w:b/>
      </w:rPr>
      <w:fldChar w:fldCharType="end"/>
    </w:r>
    <w:r>
      <w:ptab w:relativeTo="margin" w:alignment="center" w:leader="none"/>
    </w:r>
    <w:r w:rsidRPr="0002045B">
      <w:t>Effective Date:</w:t>
    </w:r>
    <w:r>
      <w:t xml:space="preserve"> </w:t>
    </w:r>
    <w:r w:rsidR="008E3450" w:rsidRPr="008E3450">
      <w:t xml:space="preserve">25/07/2016 </w:t>
    </w:r>
    <w:r>
      <w:ptab w:relativeTo="margin" w:alignment="right" w:leader="none"/>
    </w:r>
    <w:r w:rsidRPr="0002045B">
      <w:t>Version #:</w:t>
    </w:r>
    <w:r>
      <w:t xml:space="preserve"> </w:t>
    </w:r>
    <w:sdt>
      <w:sdtPr>
        <w:alias w:val="POPPRefItemVersion"/>
        <w:tag w:val="UNDP_POPP_REFITEM_VERSION"/>
        <w:id w:val="1007938959"/>
        <w:placeholder>
          <w:docPart w:val="C441311E246D419BA6AB6DA5C3478368"/>
        </w:placeholder>
        <w:dataBinding w:prefixMappings="xmlns:ns0='http://schemas.microsoft.com/office/2006/metadata/properties' xmlns:ns1='http://www.w3.org/2001/XMLSchema-instance' xmlns:ns2='http://schemas.microsoft.com/office/infopath/2007/PartnerControls' xmlns:ns3='e560140e-7b2f-4392-90df-e7567e3021a3' xmlns:ns4='8264c5cc-ec60-4b56-8111-ce635d3d139a' " w:xpath="/ns0:properties[1]/documentManagement[1]/ns4:UNDP_POPP_REFITEM_VERSION[1]" w:storeItemID="{415B5FE9-6B11-4F26-B6A0-1B4F7CA598CA}"/>
        <w:text/>
      </w:sdtPr>
      <w:sdtContent>
        <w:r w:rsidR="00A61210">
          <w:t>3</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CD30C" w14:textId="77777777" w:rsidR="00947C18" w:rsidRDefault="00947C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05CDF" w14:textId="77777777" w:rsidR="001C005E" w:rsidRDefault="001C005E" w:rsidP="00831252">
      <w:pPr>
        <w:spacing w:after="0" w:line="240" w:lineRule="auto"/>
      </w:pPr>
      <w:r>
        <w:separator/>
      </w:r>
    </w:p>
  </w:footnote>
  <w:footnote w:type="continuationSeparator" w:id="0">
    <w:p w14:paraId="5BBE2009" w14:textId="77777777" w:rsidR="001C005E" w:rsidRDefault="001C005E" w:rsidP="008312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BFC71" w14:textId="77777777" w:rsidR="00947C18" w:rsidRDefault="00947C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692DA" w14:textId="08129B09" w:rsidR="0002045B" w:rsidRDefault="00947C18" w:rsidP="0002045B">
    <w:pPr>
      <w:pStyle w:val="Header"/>
      <w:jc w:val="right"/>
    </w:pPr>
    <w:r>
      <w:rPr>
        <w:noProof/>
      </w:rPr>
      <w:drawing>
        <wp:inline distT="0" distB="0" distL="0" distR="0" wp14:anchorId="4CD2621D" wp14:editId="3E0AD511">
          <wp:extent cx="527056" cy="802800"/>
          <wp:effectExtent l="0" t="0" r="0" b="0"/>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27056" cy="802800"/>
                  </a:xfrm>
                  <a:prstGeom prst="rect">
                    <a:avLst/>
                  </a:prstGeom>
                </pic:spPr>
              </pic:pic>
            </a:graphicData>
          </a:graphic>
        </wp:inline>
      </w:drawing>
    </w:r>
  </w:p>
  <w:p w14:paraId="276ECDFF" w14:textId="77777777" w:rsidR="0002045B" w:rsidRDefault="0002045B" w:rsidP="0002045B">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9FBFA" w14:textId="77777777" w:rsidR="00947C18" w:rsidRDefault="00947C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501AB5"/>
    <w:multiLevelType w:val="hybridMultilevel"/>
    <w:tmpl w:val="A4C6D94C"/>
    <w:lvl w:ilvl="0" w:tplc="D4A67652">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E7059A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36CE2C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398EDC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4C2540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A8E9D3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2EEA0A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50A6B9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B86DB1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7241629"/>
    <w:multiLevelType w:val="hybridMultilevel"/>
    <w:tmpl w:val="C6A646E4"/>
    <w:lvl w:ilvl="0" w:tplc="2A740708">
      <w:start w:val="9"/>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628695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57E4B3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14000C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C42613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356F3A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A00F73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9DA1BB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B2E2F6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2042437352">
    <w:abstractNumId w:val="0"/>
  </w:num>
  <w:num w:numId="2" w16cid:durableId="16103575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79F"/>
    <w:rsid w:val="000044D7"/>
    <w:rsid w:val="0002045B"/>
    <w:rsid w:val="0017445D"/>
    <w:rsid w:val="0019079F"/>
    <w:rsid w:val="001C005E"/>
    <w:rsid w:val="00390322"/>
    <w:rsid w:val="003C3167"/>
    <w:rsid w:val="004058E2"/>
    <w:rsid w:val="00440CD8"/>
    <w:rsid w:val="0049012C"/>
    <w:rsid w:val="004A3F10"/>
    <w:rsid w:val="005A2ACB"/>
    <w:rsid w:val="00657FBF"/>
    <w:rsid w:val="006A76B6"/>
    <w:rsid w:val="006C40B0"/>
    <w:rsid w:val="006F7CF1"/>
    <w:rsid w:val="00710CFF"/>
    <w:rsid w:val="007904CC"/>
    <w:rsid w:val="00831252"/>
    <w:rsid w:val="008E3450"/>
    <w:rsid w:val="00944CFC"/>
    <w:rsid w:val="00947C18"/>
    <w:rsid w:val="0097591D"/>
    <w:rsid w:val="00A61210"/>
    <w:rsid w:val="00AB11CE"/>
    <w:rsid w:val="00C34D03"/>
    <w:rsid w:val="00C64943"/>
    <w:rsid w:val="00D63E47"/>
    <w:rsid w:val="00E73218"/>
    <w:rsid w:val="00E93A72"/>
    <w:rsid w:val="00E96C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6DAFE6"/>
  <w15:docId w15:val="{0D6A7645-BE51-496F-960C-CF7AEA93B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730" w:right="5" w:hanging="37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8312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1252"/>
    <w:rPr>
      <w:rFonts w:ascii="Calibri" w:eastAsia="Calibri" w:hAnsi="Calibri" w:cs="Calibri"/>
      <w:color w:val="000000"/>
    </w:rPr>
  </w:style>
  <w:style w:type="paragraph" w:styleId="Footer">
    <w:name w:val="footer"/>
    <w:basedOn w:val="Normal"/>
    <w:link w:val="FooterChar"/>
    <w:uiPriority w:val="99"/>
    <w:unhideWhenUsed/>
    <w:rsid w:val="008312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1252"/>
    <w:rPr>
      <w:rFonts w:ascii="Calibri" w:eastAsia="Calibri" w:hAnsi="Calibri" w:cs="Calibri"/>
      <w:color w:val="000000"/>
    </w:rPr>
  </w:style>
  <w:style w:type="paragraph" w:styleId="BalloonText">
    <w:name w:val="Balloon Text"/>
    <w:basedOn w:val="Normal"/>
    <w:link w:val="BalloonTextChar"/>
    <w:uiPriority w:val="99"/>
    <w:semiHidden/>
    <w:unhideWhenUsed/>
    <w:rsid w:val="000204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045B"/>
    <w:rPr>
      <w:rFonts w:ascii="Tahoma" w:eastAsia="Calibri" w:hAnsi="Tahoma" w:cs="Tahoma"/>
      <w:color w:val="000000"/>
      <w:sz w:val="16"/>
      <w:szCs w:val="16"/>
    </w:rPr>
  </w:style>
  <w:style w:type="character" w:styleId="PlaceholderText">
    <w:name w:val="Placeholder Text"/>
    <w:basedOn w:val="DefaultParagraphFont"/>
    <w:uiPriority w:val="99"/>
    <w:semiHidden/>
    <w:rsid w:val="0002045B"/>
    <w:rPr>
      <w:color w:val="808080"/>
    </w:rPr>
  </w:style>
  <w:style w:type="paragraph" w:styleId="Revision">
    <w:name w:val="Revision"/>
    <w:hidden/>
    <w:uiPriority w:val="99"/>
    <w:semiHidden/>
    <w:rsid w:val="00390322"/>
    <w:pPr>
      <w:spacing w:after="0" w:line="240" w:lineRule="auto"/>
    </w:pPr>
    <w:rPr>
      <w:rFonts w:ascii="Calibri" w:eastAsia="Calibri" w:hAnsi="Calibri" w:cs="Calibri"/>
      <w:color w:val="000000"/>
    </w:rPr>
  </w:style>
  <w:style w:type="character" w:styleId="Hyperlink">
    <w:name w:val="Hyperlink"/>
    <w:basedOn w:val="DefaultParagraphFont"/>
    <w:uiPriority w:val="99"/>
    <w:unhideWhenUsed/>
    <w:rsid w:val="004058E2"/>
    <w:rPr>
      <w:color w:val="0563C1" w:themeColor="hyperlink"/>
      <w:u w:val="single"/>
    </w:rPr>
  </w:style>
  <w:style w:type="character" w:styleId="UnresolvedMention">
    <w:name w:val="Unresolved Mention"/>
    <w:basedOn w:val="DefaultParagraphFont"/>
    <w:uiPriority w:val="99"/>
    <w:semiHidden/>
    <w:unhideWhenUsed/>
    <w:rsid w:val="004058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popp.undp.org/taxonomy/term/446/"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41311E246D419BA6AB6DA5C3478368"/>
        <w:category>
          <w:name w:val="General"/>
          <w:gallery w:val="placeholder"/>
        </w:category>
        <w:types>
          <w:type w:val="bbPlcHdr"/>
        </w:types>
        <w:behaviors>
          <w:behavior w:val="content"/>
        </w:behaviors>
        <w:guid w:val="{DC6EA2EC-F717-4F59-BB11-4EBE4E9DB6EC}"/>
      </w:docPartPr>
      <w:docPartBody>
        <w:p w:rsidR="009E5B0A" w:rsidRDefault="00455B30">
          <w:r w:rsidRPr="005A59E2">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5B30"/>
    <w:rsid w:val="00002B87"/>
    <w:rsid w:val="00153176"/>
    <w:rsid w:val="00455B30"/>
    <w:rsid w:val="00526072"/>
    <w:rsid w:val="00741FCE"/>
    <w:rsid w:val="009E5B0A"/>
    <w:rsid w:val="00DE47DB"/>
    <w:rsid w:val="00EF49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5B3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UNDP_POPP_DOCUMENT_TYPE xmlns="8264c5cc-ec60-4b56-8111-ce635d3d139a">Policy</UNDP_POPP_DOCUMENT_TYPE>
    <Location xmlns="e560140e-7b2f-4392-90df-e7567e3021a3">Public</Location>
    <UNDP_POPP_REFITEM_VERSION xmlns="8264c5cc-ec60-4b56-8111-ce635d3d139a">3</UNDP_POPP_REFITEM_VERSION>
    <UNDP_POPP_FILEVERSION xmlns="8264c5cc-ec60-4b56-8111-ce635d3d139a">512</UNDP_POPP_FILEVERSION>
    <UNDP_POPP_TITLE_EN xmlns="8264c5cc-ec60-4b56-8111-ce635d3d139a">Intangible Assets : Amortizations, Reconciliations, Reports and Centralized Functions</UNDP_POPP_TITLE_EN>
    <UNDP_POPP_DOCUMENT_TEMPLATE xmlns="8264c5cc-ec60-4b56-8111-ce635d3d139a" xsi:nil="true"/>
    <UNDP_POPP_ISACTIVE xmlns="8264c5cc-ec60-4b56-8111-ce635d3d139a">true</UNDP_POPP_ISACTIVE>
    <TaxCatchAll xmlns="8264c5cc-ec60-4b56-8111-ce635d3d139a">
      <Value>353</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Administrative Services</TermName>
          <TermId xmlns="http://schemas.microsoft.com/office/infopath/2007/PartnerControls">a78f4201-2936-4934-95ba-30c4111d72d7</TermId>
        </TermInfo>
      </Terms>
    </l0e6ef0c43e74560bd7f3acd1f5e8571>
    <UNDP_POPP_PLANNED_REVIEWDATE xmlns="8264c5cc-ec60-4b56-8111-ce635d3d139a">2026-01-08T23:00:00+00:00</UNDP_POPP_PLANNED_REVIEWDATE>
    <UNDP_POPP_LASTMODIFIED xmlns="8264c5cc-ec60-4b56-8111-ce635d3d139a" xsi:nil="true"/>
    <UNDP_POPP_REJECT_COMMENTS xmlns="8264c5cc-ec60-4b56-8111-ce635d3d139a" xsi:nil="true"/>
    <UNDP_POPP_EFFECTIVEDATE xmlns="8264c5cc-ec60-4b56-8111-ce635d3d139a">2016-07-24T22:00:00+00:00</UNDP_POPP_EFFECTIVEDATE>
    <DLCPolicyLabelLock xmlns="e560140e-7b2f-4392-90df-e7567e3021a3" xsi:nil="true"/>
    <DLCPolicyLabelClientValue xmlns="e560140e-7b2f-4392-90df-e7567e3021a3">Effective Date: 25/07/2016                                                Version #: 3.0</DLCPolicyLabelClientValue>
    <UNDP_POPP_BUSINESSUNITID_HIDDEN xmlns="8264c5cc-ec60-4b56-8111-ce635d3d139a" xsi:nil="true"/>
    <_dlc_DocId xmlns="8264c5cc-ec60-4b56-8111-ce635d3d139a">POPP-11-3140</_dlc_DocId>
    <_dlc_DocIdUrl xmlns="8264c5cc-ec60-4b56-8111-ce635d3d139a">
      <Url>https://popp.undp.org/_layouts/15/DocIdRedir.aspx?ID=POPP-11-3140</Url>
      <Description>POPP-11-3140</Description>
    </_dlc_DocIdUrl>
    <DLCPolicyLabelValue xmlns="e560140e-7b2f-4392-90df-e7567e3021a3">Effective Date: 25/07/2016                                                Version #: 3.0</DLCPolicyLabelValue>
  </documentManagement>
</p:properties>
</file>

<file path=customXml/item2.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15B5FE9-6B11-4F26-B6A0-1B4F7CA598CA}">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2.xml><?xml version="1.0" encoding="utf-8"?>
<ds:datastoreItem xmlns:ds="http://schemas.openxmlformats.org/officeDocument/2006/customXml" ds:itemID="{A19383E4-055C-42F5-922B-3E2CCA581E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85DE47-AC7B-435A-9ADA-8C17B875450B}">
  <ds:schemaRefs>
    <ds:schemaRef ds:uri="office.server.policy"/>
  </ds:schemaRefs>
</ds:datastoreItem>
</file>

<file path=customXml/itemProps4.xml><?xml version="1.0" encoding="utf-8"?>
<ds:datastoreItem xmlns:ds="http://schemas.openxmlformats.org/officeDocument/2006/customXml" ds:itemID="{264BD366-06AE-4081-A028-D2812F495F75}">
  <ds:schemaRefs>
    <ds:schemaRef ds:uri="http://schemas.microsoft.com/sharepoint/v3/contenttype/forms"/>
  </ds:schemaRefs>
</ds:datastoreItem>
</file>

<file path=customXml/itemProps5.xml><?xml version="1.0" encoding="utf-8"?>
<ds:datastoreItem xmlns:ds="http://schemas.openxmlformats.org/officeDocument/2006/customXml" ds:itemID="{15CD19E8-CAB5-45BB-99B0-3BB81916C78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704</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Rybarova</dc:creator>
  <cp:keywords/>
  <cp:lastModifiedBy>Pablo Morete</cp:lastModifiedBy>
  <cp:revision>6</cp:revision>
  <dcterms:created xsi:type="dcterms:W3CDTF">2023-01-20T08:02:00Z</dcterms:created>
  <dcterms:modified xsi:type="dcterms:W3CDTF">2023-12-22T13:26:00Z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59ae8115-9316-4db1-b572-03fdd2fe358b</vt:lpwstr>
  </property>
  <property fmtid="{D5CDD505-2E9C-101B-9397-08002B2CF9AE}" pid="4" name="UNDP_POPP_BUSINESSUNIT">
    <vt:lpwstr>353;#Administrative Services|a78f4201-2936-4934-95ba-30c4111d72d7</vt:lpwstr>
  </property>
  <property fmtid="{D5CDD505-2E9C-101B-9397-08002B2CF9AE}" pid="5" name="POPPBusinessProcess">
    <vt:lpwstr/>
  </property>
  <property fmtid="{D5CDD505-2E9C-101B-9397-08002B2CF9AE}" pid="6" name="UNDP_POPP_BUSINESSPROCESS_HIDDEN">
    <vt:lpwstr/>
  </property>
  <property fmtid="{D5CDD505-2E9C-101B-9397-08002B2CF9AE}" pid="7" name="l0e6ef0c43e74560bd7f3acd1f5e8571">
    <vt:lpwstr>Administrative Services|a78f4201-2936-4934-95ba-30c4111d72d7</vt:lpwstr>
  </property>
  <property fmtid="{D5CDD505-2E9C-101B-9397-08002B2CF9AE}" pid="8" name="TaxCatchAll">
    <vt:lpwstr>353;#Administrative Services|a78f4201-2936-4934-95ba-30c4111d72d7</vt:lpwstr>
  </property>
  <property fmtid="{D5CDD505-2E9C-101B-9397-08002B2CF9AE}" pid="9" name="Location">
    <vt:lpwstr>Public</vt:lpwstr>
  </property>
  <property fmtid="{D5CDD505-2E9C-101B-9397-08002B2CF9AE}" pid="10" name="UNDP_POPP_DOCUMENT_TYPE">
    <vt:lpwstr>Policy</vt:lpwstr>
  </property>
  <property fmtid="{D5CDD505-2E9C-101B-9397-08002B2CF9AE}" pid="11" name="UNDP_POPP_FILEVERSION">
    <vt:r8>512</vt:r8>
  </property>
  <property fmtid="{D5CDD505-2E9C-101B-9397-08002B2CF9AE}" pid="12" name="UNDP_POPP_VERSION_COMMENTS">
    <vt:lpwstr/>
  </property>
  <property fmtid="{D5CDD505-2E9C-101B-9397-08002B2CF9AE}" pid="13" name="UNDP_POPP_DOCUMENT_LANGUAGE">
    <vt:lpwstr>English</vt:lpwstr>
  </property>
  <property fmtid="{D5CDD505-2E9C-101B-9397-08002B2CF9AE}" pid="14" name="UNDP_POPP_REFITEM_VERSION">
    <vt:r8>2</vt:r8>
  </property>
  <property fmtid="{D5CDD505-2E9C-101B-9397-08002B2CF9AE}" pid="15" name="MediaServiceImageTags">
    <vt:lpwstr/>
  </property>
</Properties>
</file>