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DA7DB" w14:textId="77777777" w:rsidR="00B32A02" w:rsidRDefault="00434847">
      <w:pPr>
        <w:spacing w:after="0" w:line="259" w:lineRule="auto"/>
        <w:ind w:left="14" w:right="0" w:firstLine="0"/>
        <w:jc w:val="left"/>
      </w:pPr>
      <w:r>
        <w:rPr>
          <w:b/>
          <w:color w:val="000000"/>
          <w:sz w:val="28"/>
        </w:rPr>
        <w:t xml:space="preserve">Gestión posterior de viajes  </w:t>
      </w:r>
      <w:r>
        <w:t xml:space="preserve"> </w:t>
      </w:r>
    </w:p>
    <w:p w14:paraId="251DA7DC" w14:textId="77777777" w:rsidR="00B32A02" w:rsidRDefault="00434847">
      <w:pPr>
        <w:spacing w:after="21" w:line="259" w:lineRule="auto"/>
        <w:ind w:left="14" w:right="0" w:firstLine="0"/>
        <w:jc w:val="left"/>
      </w:pPr>
      <w:r>
        <w:t xml:space="preserve">   </w:t>
      </w:r>
    </w:p>
    <w:p w14:paraId="251DA7DD" w14:textId="77777777" w:rsidR="00B32A02" w:rsidRDefault="00434847">
      <w:pPr>
        <w:numPr>
          <w:ilvl w:val="0"/>
          <w:numId w:val="1"/>
        </w:numPr>
        <w:ind w:right="0" w:hanging="360"/>
      </w:pPr>
      <w:r>
        <w:t xml:space="preserve">La solicitud de reembolso de gastos de viaje es un informe posterior al viaje que el viajero debe presentar a la unidad de autorización </w:t>
      </w:r>
      <w:r>
        <w:rPr>
          <w:b/>
        </w:rPr>
        <w:t>dentro de las dos semanas</w:t>
      </w:r>
      <w:r>
        <w:t xml:space="preserve"> posteriores a la finalización del viaje, cuando el PNUD organiza y paga el viaje.  </w:t>
      </w:r>
    </w:p>
    <w:p w14:paraId="251DA7DE" w14:textId="77777777" w:rsidR="00B32A02" w:rsidRDefault="00434847">
      <w:pPr>
        <w:spacing w:after="21" w:line="259" w:lineRule="auto"/>
        <w:ind w:left="14" w:right="0" w:firstLine="0"/>
        <w:jc w:val="left"/>
      </w:pPr>
      <w:r>
        <w:t xml:space="preserve">  </w:t>
      </w:r>
    </w:p>
    <w:p w14:paraId="251DA7DF" w14:textId="11D6C613" w:rsidR="00B32A02" w:rsidRDefault="00434847">
      <w:pPr>
        <w:numPr>
          <w:ilvl w:val="0"/>
          <w:numId w:val="1"/>
        </w:numPr>
        <w:ind w:right="0" w:hanging="360"/>
      </w:pPr>
      <w:r>
        <w:t xml:space="preserve">La solicitud de reembolso de gastos de viaje debe proporcionar los comprobantes del viaje; permite al viajero solicitar el reembolso de gastos de viaje adicionales; y si el adelanto de gastos de viaje ha excedido el monto de los gastos reembolsables, permite al viajero reembolsar el monto del sobrepago. </w:t>
      </w:r>
    </w:p>
    <w:p w14:paraId="251DA7E0" w14:textId="77777777" w:rsidR="00B32A02" w:rsidRDefault="00434847">
      <w:pPr>
        <w:spacing w:after="23" w:line="259" w:lineRule="auto"/>
        <w:ind w:left="14" w:right="0" w:firstLine="0"/>
        <w:jc w:val="left"/>
      </w:pPr>
      <w:r>
        <w:t xml:space="preserve">  </w:t>
      </w:r>
    </w:p>
    <w:p w14:paraId="251DA7E1" w14:textId="77777777" w:rsidR="00B32A02" w:rsidRDefault="00434847" w:rsidP="009F7A35">
      <w:pPr>
        <w:numPr>
          <w:ilvl w:val="0"/>
          <w:numId w:val="1"/>
        </w:numPr>
        <w:spacing w:after="120"/>
        <w:ind w:right="0" w:hanging="360"/>
      </w:pPr>
      <w:r>
        <w:t xml:space="preserve">Los gastos adicionales reembolsables normalmente se limitan a lo siguiente:  </w:t>
      </w:r>
    </w:p>
    <w:p w14:paraId="251DA7E3" w14:textId="6005DA34" w:rsidR="00B32A02" w:rsidRDefault="004B37F8" w:rsidP="009F7A35">
      <w:pPr>
        <w:numPr>
          <w:ilvl w:val="1"/>
          <w:numId w:val="1"/>
        </w:numPr>
        <w:spacing w:after="120"/>
        <w:ind w:right="0" w:hanging="360"/>
      </w:pPr>
      <w:r>
        <w:t>T</w:t>
      </w:r>
      <w:r w:rsidR="00434847">
        <w:t xml:space="preserve">ransporte local que no esté cubierto por pequeños gastos de salida y llegada o prestación de subsistencia diaria (DSA, </w:t>
      </w:r>
      <w:r w:rsidR="00434847" w:rsidRPr="004B37F8">
        <w:rPr>
          <w:i/>
        </w:rPr>
        <w:t>Daily Subsistence Allowance</w:t>
      </w:r>
      <w:r w:rsidR="00434847">
        <w:t xml:space="preserve">, por sus siglas en inglés)   </w:t>
      </w:r>
    </w:p>
    <w:p w14:paraId="251DA7E5" w14:textId="7BB4AC2F" w:rsidR="00B32A02" w:rsidRDefault="004B37F8" w:rsidP="009F7A35">
      <w:pPr>
        <w:numPr>
          <w:ilvl w:val="1"/>
          <w:numId w:val="1"/>
        </w:numPr>
        <w:spacing w:after="120"/>
        <w:ind w:right="0" w:hanging="360"/>
      </w:pPr>
      <w:r>
        <w:t>G</w:t>
      </w:r>
      <w:r w:rsidR="00434847">
        <w:t xml:space="preserve">astos telefónicos y otros gastos de comunicación por asuntos oficiales   </w:t>
      </w:r>
    </w:p>
    <w:p w14:paraId="251DA7E7" w14:textId="552F9949" w:rsidR="00B32A02" w:rsidRDefault="004B37F8" w:rsidP="009F7A35">
      <w:pPr>
        <w:numPr>
          <w:ilvl w:val="1"/>
          <w:numId w:val="1"/>
        </w:numPr>
        <w:spacing w:after="120"/>
        <w:ind w:right="0" w:hanging="360"/>
      </w:pPr>
      <w:r>
        <w:t>T</w:t>
      </w:r>
      <w:r w:rsidR="00434847">
        <w:t xml:space="preserve">ransporte de equipaje autorizado   </w:t>
      </w:r>
    </w:p>
    <w:p w14:paraId="251DA7E9" w14:textId="24A9169F" w:rsidR="00B32A02" w:rsidRDefault="004B37F8" w:rsidP="009F7A35">
      <w:pPr>
        <w:numPr>
          <w:ilvl w:val="1"/>
          <w:numId w:val="1"/>
        </w:numPr>
        <w:spacing w:after="120"/>
        <w:ind w:right="0" w:hanging="360"/>
      </w:pPr>
      <w:r>
        <w:t>A</w:t>
      </w:r>
      <w:r w:rsidR="00434847">
        <w:t xml:space="preserve">lquiler de habitaciones para uso oficial*  </w:t>
      </w:r>
    </w:p>
    <w:p w14:paraId="251DA7EB" w14:textId="7F33F0C4" w:rsidR="00B32A02" w:rsidRDefault="004B37F8" w:rsidP="009F7A35">
      <w:pPr>
        <w:numPr>
          <w:ilvl w:val="1"/>
          <w:numId w:val="1"/>
        </w:numPr>
        <w:spacing w:after="120"/>
        <w:ind w:right="0" w:hanging="360"/>
      </w:pPr>
      <w:r>
        <w:t>S</w:t>
      </w:r>
      <w:r w:rsidR="00434847">
        <w:t xml:space="preserve">ervicios y alquiler de equipos necesarios para la preparación de informes oficiales o correspondencia  </w:t>
      </w:r>
    </w:p>
    <w:p w14:paraId="251DA7ED" w14:textId="725870D1" w:rsidR="00B32A02" w:rsidRDefault="004B37F8" w:rsidP="009F7A35">
      <w:pPr>
        <w:numPr>
          <w:ilvl w:val="1"/>
          <w:numId w:val="1"/>
        </w:numPr>
        <w:spacing w:after="120"/>
        <w:ind w:right="0" w:hanging="360"/>
      </w:pPr>
      <w:r>
        <w:t>V</w:t>
      </w:r>
      <w:r w:rsidR="00434847">
        <w:t xml:space="preserve">acunas  </w:t>
      </w:r>
    </w:p>
    <w:p w14:paraId="251DA7EF" w14:textId="07F8AE5D" w:rsidR="00B32A02" w:rsidRDefault="00434847">
      <w:pPr>
        <w:ind w:left="1094" w:right="0" w:firstLine="0"/>
      </w:pPr>
      <w:r>
        <w:rPr>
          <w:b/>
        </w:rPr>
        <w:t xml:space="preserve">* </w:t>
      </w:r>
      <w:r>
        <w:t>Los gastos requieren la aprobación previa del mismo ap</w:t>
      </w:r>
      <w:r w:rsidR="004B37F8">
        <w:t>robador autorizado para aprobar</w:t>
      </w:r>
      <w:r w:rsidR="004B37F8">
        <w:br/>
      </w:r>
      <w:r>
        <w:t xml:space="preserve">el viaje.  </w:t>
      </w:r>
    </w:p>
    <w:p w14:paraId="251DA7F0" w14:textId="77777777" w:rsidR="00B32A02" w:rsidRDefault="00434847">
      <w:pPr>
        <w:spacing w:after="0" w:line="259" w:lineRule="auto"/>
        <w:ind w:left="14" w:right="0" w:firstLine="0"/>
        <w:jc w:val="left"/>
      </w:pPr>
      <w:r>
        <w:t xml:space="preserve">  </w:t>
      </w:r>
    </w:p>
    <w:p w14:paraId="251DA7F1" w14:textId="77777777" w:rsidR="00B32A02" w:rsidRDefault="00434847">
      <w:pPr>
        <w:spacing w:after="0" w:line="259" w:lineRule="auto"/>
        <w:ind w:left="-5" w:right="0" w:hanging="10"/>
        <w:jc w:val="left"/>
      </w:pPr>
      <w:r>
        <w:rPr>
          <w:b/>
        </w:rPr>
        <w:t>Solicitud de reembolso de gastos de viaje</w:t>
      </w:r>
      <w:r>
        <w:t xml:space="preserve">   </w:t>
      </w:r>
    </w:p>
    <w:p w14:paraId="251DA7F2" w14:textId="77777777" w:rsidR="00B32A02" w:rsidRDefault="00434847">
      <w:pPr>
        <w:spacing w:after="21" w:line="259" w:lineRule="auto"/>
        <w:ind w:left="14" w:right="0" w:firstLine="0"/>
        <w:jc w:val="left"/>
      </w:pPr>
      <w:r>
        <w:t xml:space="preserve">  </w:t>
      </w:r>
    </w:p>
    <w:p w14:paraId="27077ACC" w14:textId="676031B0" w:rsidR="00931E83" w:rsidRDefault="00A07F2F" w:rsidP="00931E83">
      <w:pPr>
        <w:numPr>
          <w:ilvl w:val="0"/>
          <w:numId w:val="1"/>
        </w:numPr>
        <w:ind w:right="0"/>
      </w:pPr>
      <w:r w:rsidRPr="00A07F2F">
        <w:t>Todos los funcionarios, así como los no funcionarios, cuando su viaje sea organizado y pagado por el PNUD, deberán presentar una solicitud de reembolso de gastos de viaje. La solicitud de reembolso de gastos de viaje debe ir acompañada de los justificantes del viaje, incluidas las tarjetas de embarque (en papel o copias de las tarjetas de embarque electrónicas recibidas por correo electrónico), el itinerario oficial y los recibos de gastos varios, si procede. La solicitud de reembolso de gastos de viaje debe ir firmada por un funcionario que verifique que la misión se ha llevado a cabo y que los gastos se ajustan a la política y están aprobados. Los miembros del personal y los administradores de viajes (que organizan viajes en nombre de personas que no forman parte del personal) que utilicen el proveedor de servicios de gestión de viajes de la sede deben conservar la documentación original del viaje hasta que se haya tramitado la solicitud de reembolso de gastos de viaje.</w:t>
      </w:r>
      <w:r w:rsidR="00434847">
        <w:t>.</w:t>
      </w:r>
    </w:p>
    <w:p w14:paraId="251DA7F4" w14:textId="0F7D9DCC" w:rsidR="00B32A02" w:rsidRDefault="00B32A02" w:rsidP="00C83342">
      <w:pPr>
        <w:ind w:left="705" w:right="0" w:firstLine="0"/>
      </w:pPr>
    </w:p>
    <w:p w14:paraId="251DA7F5" w14:textId="77777777" w:rsidR="00B32A02" w:rsidRDefault="00434847">
      <w:pPr>
        <w:numPr>
          <w:ilvl w:val="0"/>
          <w:numId w:val="1"/>
        </w:numPr>
        <w:ind w:right="0" w:hanging="360"/>
      </w:pPr>
      <w:r>
        <w:t xml:space="preserve">Si durante la revisión de la solicitud de reembolso de gastos de viaje se determina que se ha adelantado al viajero un monto mayor que el monto autorizado de gastos reembolsables, el PNUD recuperará la diferencia.   </w:t>
      </w:r>
    </w:p>
    <w:p w14:paraId="251DA7F6" w14:textId="77777777" w:rsidR="00B32A02" w:rsidRDefault="00434847">
      <w:pPr>
        <w:spacing w:after="23" w:line="259" w:lineRule="auto"/>
        <w:ind w:left="14" w:right="0" w:firstLine="0"/>
        <w:jc w:val="left"/>
      </w:pPr>
      <w:r>
        <w:lastRenderedPageBreak/>
        <w:t xml:space="preserve">  </w:t>
      </w:r>
    </w:p>
    <w:p w14:paraId="251DA7F7" w14:textId="77777777" w:rsidR="00B32A02" w:rsidRDefault="00434847">
      <w:pPr>
        <w:numPr>
          <w:ilvl w:val="0"/>
          <w:numId w:val="1"/>
        </w:numPr>
        <w:ind w:right="0" w:hanging="360"/>
      </w:pPr>
      <w:r>
        <w:t xml:space="preserve">Las solicitudes de reembolso de gastos de viaje diversos se certifican a través de la autorización de la solicitud de reembolso de gastos de viaje por parte del oficial aprobador. En la ausencia de un comprobante de un gasto diverso, se reembolsará un máximo de USD 20.  </w:t>
      </w:r>
    </w:p>
    <w:p w14:paraId="251DA7F8" w14:textId="77777777" w:rsidR="00B32A02" w:rsidRDefault="00434847">
      <w:pPr>
        <w:spacing w:after="2" w:line="259" w:lineRule="auto"/>
        <w:ind w:left="14" w:right="0" w:firstLine="0"/>
        <w:jc w:val="left"/>
      </w:pPr>
      <w:r>
        <w:t xml:space="preserve">  </w:t>
      </w:r>
    </w:p>
    <w:p w14:paraId="5120E3E2" w14:textId="09E0B83B" w:rsidR="00A07F2F" w:rsidRDefault="00434847" w:rsidP="002C1002">
      <w:pPr>
        <w:numPr>
          <w:ilvl w:val="0"/>
          <w:numId w:val="1"/>
        </w:numPr>
        <w:ind w:right="0" w:hanging="360"/>
      </w:pPr>
      <w:r>
        <w:t xml:space="preserve">Los gastos de viaje reembolsables se calcularán en dólares estadounidenses. Los montos reclamados en monedas que no sean el dólar estadounidense se convertirán a dólares estadounidenses mediante el </w:t>
      </w:r>
      <w:hyperlink r:id="rId12" w:history="1">
        <w:r>
          <w:rPr>
            <w:rStyle w:val="Hyperlink"/>
            <w:color w:val="0070C0"/>
          </w:rPr>
          <w:t xml:space="preserve">tipo de cambio de las Naciones Unidas (UNORE, </w:t>
        </w:r>
        <w:proofErr w:type="spellStart"/>
        <w:r w:rsidRPr="004B37F8">
          <w:rPr>
            <w:rStyle w:val="Hyperlink"/>
            <w:i/>
            <w:color w:val="0070C0"/>
          </w:rPr>
          <w:t>United</w:t>
        </w:r>
        <w:proofErr w:type="spellEnd"/>
        <w:r w:rsidRPr="004B37F8">
          <w:rPr>
            <w:rStyle w:val="Hyperlink"/>
            <w:i/>
            <w:color w:val="0070C0"/>
          </w:rPr>
          <w:t xml:space="preserve"> </w:t>
        </w:r>
        <w:proofErr w:type="spellStart"/>
        <w:r w:rsidRPr="004B37F8">
          <w:rPr>
            <w:rStyle w:val="Hyperlink"/>
            <w:i/>
            <w:color w:val="0070C0"/>
          </w:rPr>
          <w:t>Nations</w:t>
        </w:r>
        <w:proofErr w:type="spellEnd"/>
        <w:r w:rsidRPr="004B37F8">
          <w:rPr>
            <w:rStyle w:val="Hyperlink"/>
            <w:i/>
            <w:color w:val="0070C0"/>
          </w:rPr>
          <w:t xml:space="preserve"> </w:t>
        </w:r>
        <w:proofErr w:type="spellStart"/>
        <w:r w:rsidRPr="004B37F8">
          <w:rPr>
            <w:rStyle w:val="Hyperlink"/>
            <w:i/>
            <w:color w:val="0070C0"/>
          </w:rPr>
          <w:t>Operational</w:t>
        </w:r>
        <w:proofErr w:type="spellEnd"/>
        <w:r w:rsidRPr="004B37F8">
          <w:rPr>
            <w:rStyle w:val="Hyperlink"/>
            <w:i/>
            <w:color w:val="0070C0"/>
          </w:rPr>
          <w:t xml:space="preserve"> </w:t>
        </w:r>
        <w:proofErr w:type="spellStart"/>
        <w:r w:rsidRPr="004B37F8">
          <w:rPr>
            <w:rStyle w:val="Hyperlink"/>
            <w:i/>
            <w:color w:val="0070C0"/>
          </w:rPr>
          <w:t>Rate</w:t>
        </w:r>
        <w:proofErr w:type="spellEnd"/>
        <w:r w:rsidRPr="004B37F8">
          <w:rPr>
            <w:rStyle w:val="Hyperlink"/>
            <w:i/>
            <w:color w:val="0070C0"/>
          </w:rPr>
          <w:t xml:space="preserve"> </w:t>
        </w:r>
        <w:proofErr w:type="spellStart"/>
        <w:r w:rsidRPr="004B37F8">
          <w:rPr>
            <w:rStyle w:val="Hyperlink"/>
            <w:i/>
            <w:color w:val="0070C0"/>
          </w:rPr>
          <w:t>of</w:t>
        </w:r>
        <w:proofErr w:type="spellEnd"/>
        <w:r w:rsidRPr="004B37F8">
          <w:rPr>
            <w:rStyle w:val="Hyperlink"/>
            <w:i/>
            <w:color w:val="0070C0"/>
          </w:rPr>
          <w:t xml:space="preserve"> Exchange, por sus siglas en inglés)</w:t>
        </w:r>
      </w:hyperlink>
      <w:r w:rsidR="00A07F2F" w:rsidRPr="00A07F2F">
        <w:t xml:space="preserve"> </w:t>
      </w:r>
      <w:r w:rsidR="00A07F2F">
        <w:t>, para el mes en que se incurrió el gasto, siempre que la liquidación total de la reclamación deba pagarse en dólares estadounidenses</w:t>
      </w:r>
    </w:p>
    <w:p w14:paraId="251DA7FA" w14:textId="0D085F2B" w:rsidR="00B32A02" w:rsidRDefault="00434847" w:rsidP="00A07F2F">
      <w:pPr>
        <w:ind w:left="360" w:right="0" w:firstLine="0"/>
      </w:pPr>
      <w:r>
        <w:t xml:space="preserve">.     </w:t>
      </w:r>
    </w:p>
    <w:p w14:paraId="251DA7FB" w14:textId="77777777" w:rsidR="00B32A02" w:rsidRDefault="00434847">
      <w:pPr>
        <w:numPr>
          <w:ilvl w:val="0"/>
          <w:numId w:val="1"/>
        </w:numPr>
        <w:ind w:right="0" w:hanging="360"/>
      </w:pPr>
      <w:r>
        <w:t xml:space="preserve">El pago de una solicitud de reembolso de gastos de viaje en relación con un viaje local se pagará en la moneda local siempre que sea posible.  </w:t>
      </w:r>
    </w:p>
    <w:p w14:paraId="251DA7FC" w14:textId="77777777" w:rsidR="00B32A02" w:rsidRDefault="00434847">
      <w:pPr>
        <w:spacing w:after="45" w:line="259" w:lineRule="auto"/>
        <w:ind w:left="734" w:right="0" w:firstLine="0"/>
        <w:jc w:val="left"/>
      </w:pPr>
      <w:r>
        <w:t xml:space="preserve">  </w:t>
      </w:r>
    </w:p>
    <w:p w14:paraId="251DA7FD" w14:textId="77777777" w:rsidR="00B32A02" w:rsidRDefault="00434847">
      <w:pPr>
        <w:numPr>
          <w:ilvl w:val="0"/>
          <w:numId w:val="1"/>
        </w:numPr>
        <w:ind w:right="0" w:hanging="360"/>
      </w:pPr>
      <w:r>
        <w:t xml:space="preserve">Ningún reembolso de solicitud de reembolso de gastos de viaje se pagará a terceros. Los viajeros no son elegibles para recibir un reembolso por los gastos incurridos en transporte o en la compra de otros artículos diversos para terceros.   </w:t>
      </w:r>
    </w:p>
    <w:p w14:paraId="251DA7FE" w14:textId="77777777" w:rsidR="00B32A02" w:rsidRDefault="00434847">
      <w:pPr>
        <w:spacing w:after="24" w:line="259" w:lineRule="auto"/>
        <w:ind w:left="14" w:right="0" w:firstLine="0"/>
        <w:jc w:val="left"/>
      </w:pPr>
      <w:r>
        <w:t xml:space="preserve">  </w:t>
      </w:r>
    </w:p>
    <w:p w14:paraId="251DA7FF" w14:textId="77777777" w:rsidR="00B32A02" w:rsidRDefault="00434847">
      <w:pPr>
        <w:numPr>
          <w:ilvl w:val="0"/>
          <w:numId w:val="1"/>
        </w:numPr>
        <w:ind w:right="0" w:hanging="360"/>
      </w:pPr>
      <w:r>
        <w:t xml:space="preserve">Si el viajero </w:t>
      </w:r>
      <w:r>
        <w:rPr>
          <w:b/>
          <w:u w:val="single" w:color="333333"/>
        </w:rPr>
        <w:t>no presenta solicitudes de reembolso de gastos de viaje para dos misiones consecutivas dentro de los 60 días</w:t>
      </w:r>
      <w:r>
        <w:t xml:space="preserve"> posteriores a la finalización de su misión, no se realizarán más adelantos hasta que se paguen todas las solicitudes pendientes.  </w:t>
      </w:r>
    </w:p>
    <w:p w14:paraId="251DA800" w14:textId="77777777" w:rsidR="00B32A02" w:rsidRDefault="00434847">
      <w:pPr>
        <w:spacing w:after="23" w:line="259" w:lineRule="auto"/>
        <w:ind w:left="14" w:right="0" w:firstLine="0"/>
        <w:jc w:val="left"/>
      </w:pPr>
      <w:r>
        <w:t xml:space="preserve">  </w:t>
      </w:r>
    </w:p>
    <w:p w14:paraId="251DA801" w14:textId="77777777" w:rsidR="00B32A02" w:rsidRDefault="00434847">
      <w:pPr>
        <w:numPr>
          <w:ilvl w:val="0"/>
          <w:numId w:val="1"/>
        </w:numPr>
        <w:ind w:right="0" w:hanging="360"/>
      </w:pPr>
      <w:r>
        <w:t xml:space="preserve">Las solicitudes de reembolso de gastos de viaje se considerarán como inválidas si la unidad de autorización las recibe más de un año después de finalizado el viaje. En tales casos, no se realizará ningún pago al viajero.  </w:t>
      </w:r>
    </w:p>
    <w:p w14:paraId="251DA802" w14:textId="77777777" w:rsidR="00B32A02" w:rsidRDefault="00434847">
      <w:pPr>
        <w:spacing w:after="23" w:line="259" w:lineRule="auto"/>
        <w:ind w:left="14" w:right="0" w:firstLine="0"/>
        <w:jc w:val="left"/>
      </w:pPr>
      <w:r>
        <w:t xml:space="preserve">  </w:t>
      </w:r>
    </w:p>
    <w:p w14:paraId="251DA803" w14:textId="77777777" w:rsidR="00B32A02" w:rsidRDefault="00434847">
      <w:pPr>
        <w:numPr>
          <w:ilvl w:val="0"/>
          <w:numId w:val="1"/>
        </w:numPr>
        <w:ind w:right="0" w:hanging="360"/>
      </w:pPr>
      <w:r>
        <w:t xml:space="preserve">Las siguientes categorías de tipos de gastos pueden seleccionarse al crear una solicitud de reembolso de gastos de viaje: tarifa de viaje (costos del pasaje aéreo, incluida su emisión), DSA (derecho), DSA suplementaria, DSA ad hoc, partida de la terminal y llegada a la terminal.  </w:t>
      </w:r>
    </w:p>
    <w:p w14:paraId="251DA804" w14:textId="77777777" w:rsidR="00B32A02" w:rsidRDefault="00434847">
      <w:pPr>
        <w:spacing w:after="19" w:line="259" w:lineRule="auto"/>
        <w:ind w:left="14" w:right="0" w:firstLine="0"/>
        <w:jc w:val="left"/>
      </w:pPr>
      <w:r>
        <w:t xml:space="preserve">  </w:t>
      </w:r>
    </w:p>
    <w:p w14:paraId="251DA805" w14:textId="4AF7B9BC" w:rsidR="00B32A02" w:rsidRDefault="00434847">
      <w:pPr>
        <w:numPr>
          <w:ilvl w:val="0"/>
          <w:numId w:val="1"/>
        </w:numPr>
        <w:ind w:right="0" w:hanging="360"/>
      </w:pPr>
      <w:r>
        <w:t xml:space="preserve">Si se deben reclamar o devolver montos al PNUD, la transacción apropiada se procesa en </w:t>
      </w:r>
      <w:proofErr w:type="spellStart"/>
      <w:r w:rsidR="00A07F2F">
        <w:t>UNAll</w:t>
      </w:r>
      <w:proofErr w:type="spellEnd"/>
      <w:r w:rsidR="00A07F2F">
        <w:t>/Quantum</w:t>
      </w:r>
      <w:r>
        <w:t xml:space="preserve"> (por ejemplo, un informe de gastos). El pago al viajero o el reembolso al PNUD se realizarán en un único pago.   </w:t>
      </w:r>
    </w:p>
    <w:p w14:paraId="251DA806" w14:textId="77777777" w:rsidR="00B32A02" w:rsidRDefault="00434847">
      <w:pPr>
        <w:spacing w:after="21" w:line="259" w:lineRule="auto"/>
        <w:ind w:left="14" w:right="0" w:firstLine="0"/>
        <w:jc w:val="left"/>
      </w:pPr>
      <w:r>
        <w:t xml:space="preserve">  </w:t>
      </w:r>
    </w:p>
    <w:p w14:paraId="251DA807" w14:textId="669D9150" w:rsidR="00B32A02" w:rsidRDefault="00434847">
      <w:pPr>
        <w:numPr>
          <w:ilvl w:val="0"/>
          <w:numId w:val="1"/>
        </w:numPr>
        <w:ind w:right="0" w:hanging="360"/>
      </w:pPr>
      <w:r>
        <w:t xml:space="preserve">El personal externo, cuando el PNUD pague y organice los viajes, recibe un adelanto del 80 % de la DSA estimada y de los pequeños gastos de salida y llegada antes del viaje. El saldo restante adeudado al viajero se procesa a través de la solicitud de reembolso de gastos de viaje una vez finalizado el viaje. Esto incluye completar un informe de solicitud de reembolso de gastos de viaje en el módulo de Viajes y gastos (T&amp;E, </w:t>
      </w:r>
      <w:r w:rsidRPr="004B37F8">
        <w:rPr>
          <w:i/>
        </w:rPr>
        <w:t>Travel and Expenses</w:t>
      </w:r>
      <w:r>
        <w:t xml:space="preserve">, por sus siglas en inglés) de </w:t>
      </w:r>
      <w:proofErr w:type="spellStart"/>
      <w:r w:rsidR="00A07F2F">
        <w:t>UNAll</w:t>
      </w:r>
      <w:proofErr w:type="spellEnd"/>
      <w:r w:rsidR="00A07F2F">
        <w:t>/Quantum</w:t>
      </w:r>
      <w:r>
        <w:t xml:space="preserve">.  </w:t>
      </w:r>
    </w:p>
    <w:p w14:paraId="251DA808" w14:textId="77777777" w:rsidR="00B32A02" w:rsidRDefault="00434847">
      <w:pPr>
        <w:spacing w:after="0" w:line="259" w:lineRule="auto"/>
        <w:ind w:left="14" w:right="0" w:firstLine="0"/>
        <w:jc w:val="left"/>
      </w:pPr>
      <w:r>
        <w:t xml:space="preserve">  </w:t>
      </w:r>
    </w:p>
    <w:p w14:paraId="02504886" w14:textId="77777777" w:rsidR="00A96B3A" w:rsidRDefault="00A96B3A">
      <w:pPr>
        <w:spacing w:after="0" w:line="259" w:lineRule="auto"/>
        <w:ind w:left="14" w:right="0" w:firstLine="0"/>
        <w:jc w:val="left"/>
      </w:pPr>
    </w:p>
    <w:p w14:paraId="251DA80D" w14:textId="77777777" w:rsidR="00B32A02" w:rsidRDefault="002C1002">
      <w:pPr>
        <w:spacing w:after="0" w:line="259" w:lineRule="auto"/>
        <w:ind w:left="-5" w:right="0" w:hanging="10"/>
        <w:jc w:val="left"/>
      </w:pPr>
      <w:r>
        <w:rPr>
          <w:b/>
        </w:rPr>
        <w:lastRenderedPageBreak/>
        <w:t xml:space="preserve">Funciones y responsabilidades  </w:t>
      </w:r>
      <w:r>
        <w:t xml:space="preserve"> </w:t>
      </w:r>
    </w:p>
    <w:p w14:paraId="251DA80E" w14:textId="28CD35BB" w:rsidR="00B32A02" w:rsidRDefault="00B32A02">
      <w:pPr>
        <w:spacing w:after="0" w:line="259" w:lineRule="auto"/>
        <w:ind w:left="14" w:right="0" w:firstLine="0"/>
        <w:jc w:val="left"/>
      </w:pPr>
    </w:p>
    <w:tbl>
      <w:tblPr>
        <w:tblStyle w:val="TableGrid"/>
        <w:tblW w:w="9378" w:type="dxa"/>
        <w:tblInd w:w="17" w:type="dxa"/>
        <w:tblCellMar>
          <w:top w:w="96" w:type="dxa"/>
          <w:left w:w="108" w:type="dxa"/>
          <w:right w:w="59" w:type="dxa"/>
        </w:tblCellMar>
        <w:tblLook w:val="04A0" w:firstRow="1" w:lastRow="0" w:firstColumn="1" w:lastColumn="0" w:noHBand="0" w:noVBand="1"/>
      </w:tblPr>
      <w:tblGrid>
        <w:gridCol w:w="2347"/>
        <w:gridCol w:w="7031"/>
      </w:tblGrid>
      <w:tr w:rsidR="00B32A02" w14:paraId="251DA811" w14:textId="77777777" w:rsidTr="00C83342">
        <w:trPr>
          <w:trHeight w:val="351"/>
          <w:tblHeader/>
        </w:trPr>
        <w:tc>
          <w:tcPr>
            <w:tcW w:w="2347" w:type="dxa"/>
            <w:tcBorders>
              <w:top w:val="single" w:sz="8" w:space="0" w:color="000000" w:themeColor="text1"/>
              <w:left w:val="single" w:sz="8" w:space="0" w:color="000000" w:themeColor="text1"/>
              <w:bottom w:val="single" w:sz="6" w:space="0" w:color="000000" w:themeColor="text1"/>
              <w:right w:val="single" w:sz="6" w:space="0" w:color="000000" w:themeColor="text1"/>
            </w:tcBorders>
            <w:shd w:val="clear" w:color="auto" w:fill="D9D9D9" w:themeFill="background1" w:themeFillShade="D9"/>
          </w:tcPr>
          <w:p w14:paraId="251DA80F" w14:textId="77777777" w:rsidR="00B32A02" w:rsidRPr="009F7A35" w:rsidRDefault="00434847">
            <w:pPr>
              <w:spacing w:after="0" w:line="259" w:lineRule="auto"/>
              <w:ind w:left="7" w:right="0" w:firstLine="0"/>
              <w:jc w:val="left"/>
              <w:rPr>
                <w:b/>
              </w:rPr>
            </w:pPr>
            <w:r>
              <w:rPr>
                <w:b/>
              </w:rPr>
              <w:t xml:space="preserve">Funciones  </w:t>
            </w:r>
          </w:p>
        </w:tc>
        <w:tc>
          <w:tcPr>
            <w:tcW w:w="7031" w:type="dxa"/>
            <w:tcBorders>
              <w:top w:val="single" w:sz="8" w:space="0" w:color="000000" w:themeColor="text1"/>
              <w:left w:val="single" w:sz="6" w:space="0" w:color="000000" w:themeColor="text1"/>
              <w:bottom w:val="single" w:sz="6" w:space="0" w:color="000000" w:themeColor="text1"/>
              <w:right w:val="single" w:sz="8" w:space="0" w:color="000000" w:themeColor="text1"/>
            </w:tcBorders>
            <w:shd w:val="clear" w:color="auto" w:fill="D9D9D9" w:themeFill="background1" w:themeFillShade="D9"/>
          </w:tcPr>
          <w:p w14:paraId="251DA810" w14:textId="77777777" w:rsidR="00B32A02" w:rsidRPr="009F7A35" w:rsidRDefault="00434847">
            <w:pPr>
              <w:spacing w:after="0" w:line="259" w:lineRule="auto"/>
              <w:ind w:left="0" w:right="0" w:firstLine="0"/>
              <w:jc w:val="left"/>
              <w:rPr>
                <w:b/>
              </w:rPr>
            </w:pPr>
            <w:r>
              <w:rPr>
                <w:b/>
              </w:rPr>
              <w:t xml:space="preserve">Responsabilidades  </w:t>
            </w:r>
          </w:p>
        </w:tc>
      </w:tr>
      <w:tr w:rsidR="00B32A02" w14:paraId="251DA814" w14:textId="77777777" w:rsidTr="7D286DD3">
        <w:trPr>
          <w:trHeight w:val="1514"/>
        </w:trPr>
        <w:tc>
          <w:tcPr>
            <w:tcW w:w="2347" w:type="dxa"/>
            <w:tcBorders>
              <w:top w:val="single" w:sz="6" w:space="0" w:color="000000" w:themeColor="text1"/>
              <w:left w:val="single" w:sz="8" w:space="0" w:color="000000" w:themeColor="text1"/>
              <w:bottom w:val="single" w:sz="6" w:space="0" w:color="000000" w:themeColor="text1"/>
              <w:right w:val="single" w:sz="6" w:space="0" w:color="000000" w:themeColor="text1"/>
            </w:tcBorders>
            <w:vAlign w:val="center"/>
          </w:tcPr>
          <w:p w14:paraId="251DA812" w14:textId="77777777" w:rsidR="00B32A02" w:rsidRDefault="00434847">
            <w:pPr>
              <w:spacing w:after="0" w:line="259" w:lineRule="auto"/>
              <w:ind w:left="7" w:right="0" w:firstLine="0"/>
              <w:jc w:val="left"/>
            </w:pPr>
            <w:r>
              <w:rPr>
                <w:b/>
              </w:rPr>
              <w:t>Viajero</w:t>
            </w:r>
            <w:r>
              <w:t xml:space="preserve">  </w:t>
            </w:r>
          </w:p>
        </w:tc>
        <w:tc>
          <w:tcPr>
            <w:tcW w:w="7031"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251DA813" w14:textId="56ECC961" w:rsidR="00B32A02" w:rsidRDefault="00434847" w:rsidP="002C1002">
            <w:pPr>
              <w:spacing w:after="0" w:line="259" w:lineRule="auto"/>
              <w:ind w:left="0" w:right="0" w:firstLine="0"/>
              <w:jc w:val="left"/>
            </w:pPr>
            <w:r>
              <w:t xml:space="preserve">Presenta la solicitud de reembolso de gastos de viaje al oficial aprobador con la documentación de respaldo, incluida la prueba de viaje, dentro de las dos semanas posteriores a la finalización de la misión.   </w:t>
            </w:r>
          </w:p>
        </w:tc>
      </w:tr>
      <w:tr w:rsidR="00B32A02" w14:paraId="251DA819" w14:textId="77777777" w:rsidTr="7D286DD3">
        <w:trPr>
          <w:trHeight w:val="1360"/>
        </w:trPr>
        <w:tc>
          <w:tcPr>
            <w:tcW w:w="2347" w:type="dxa"/>
            <w:tcBorders>
              <w:top w:val="single" w:sz="6" w:space="0" w:color="000000" w:themeColor="text1"/>
              <w:left w:val="single" w:sz="8" w:space="0" w:color="000000" w:themeColor="text1"/>
              <w:bottom w:val="single" w:sz="6" w:space="0" w:color="000000" w:themeColor="text1"/>
              <w:right w:val="single" w:sz="6" w:space="0" w:color="000000" w:themeColor="text1"/>
            </w:tcBorders>
            <w:vAlign w:val="center"/>
          </w:tcPr>
          <w:p w14:paraId="251DA815" w14:textId="370D26A1" w:rsidR="00B32A02" w:rsidRDefault="00900042">
            <w:pPr>
              <w:spacing w:after="0" w:line="259" w:lineRule="auto"/>
              <w:ind w:left="7" w:right="0" w:firstLine="0"/>
              <w:jc w:val="left"/>
            </w:pPr>
            <w:r>
              <w:rPr>
                <w:b/>
              </w:rPr>
              <w:t>Procesador de viaje</w:t>
            </w:r>
          </w:p>
        </w:tc>
        <w:tc>
          <w:tcPr>
            <w:tcW w:w="7031"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14:paraId="251DA816" w14:textId="77777777" w:rsidR="00B32A02" w:rsidRDefault="00434847" w:rsidP="002C1002">
            <w:pPr>
              <w:spacing w:after="0" w:line="235" w:lineRule="auto"/>
              <w:ind w:left="0" w:right="0" w:firstLine="0"/>
              <w:jc w:val="left"/>
            </w:pPr>
            <w:r>
              <w:t xml:space="preserve">Verifica la autenticidad y la conformidad del viaje. Aprueba la solicitud de reembolso de gastos de viaje, verificando que el viaje se realizó y que los gastos adicionales, en caso de que los haya, son reembolsables.   </w:t>
            </w:r>
          </w:p>
          <w:p w14:paraId="251DA817" w14:textId="77777777" w:rsidR="00B32A02" w:rsidRDefault="00434847" w:rsidP="002C1002">
            <w:pPr>
              <w:spacing w:after="0" w:line="259" w:lineRule="auto"/>
              <w:ind w:left="0" w:right="0" w:firstLine="0"/>
              <w:jc w:val="left"/>
            </w:pPr>
            <w:r>
              <w:t xml:space="preserve">Verifica lo siguiente:  </w:t>
            </w:r>
          </w:p>
          <w:p w14:paraId="251DA818" w14:textId="77777777" w:rsidR="00B32A02" w:rsidRDefault="00434847" w:rsidP="002C1002">
            <w:pPr>
              <w:spacing w:after="0" w:line="259" w:lineRule="auto"/>
              <w:ind w:left="0" w:right="0" w:firstLine="0"/>
              <w:jc w:val="left"/>
            </w:pPr>
            <w:r>
              <w:t xml:space="preserve">La precisión de las DSA, los cheques por pago excesivo o insuficiente y la conformidad de los gastos reclamados con la política aplicada.   </w:t>
            </w:r>
          </w:p>
        </w:tc>
      </w:tr>
      <w:tr w:rsidR="00B32A02" w14:paraId="251DA820" w14:textId="77777777" w:rsidTr="7D286DD3">
        <w:trPr>
          <w:trHeight w:val="1771"/>
        </w:trPr>
        <w:tc>
          <w:tcPr>
            <w:tcW w:w="2347" w:type="dxa"/>
            <w:tcBorders>
              <w:top w:val="single" w:sz="6" w:space="0" w:color="000000" w:themeColor="text1"/>
              <w:left w:val="single" w:sz="8" w:space="0" w:color="000000" w:themeColor="text1"/>
              <w:bottom w:val="single" w:sz="6" w:space="0" w:color="000000" w:themeColor="text1"/>
              <w:right w:val="single" w:sz="6" w:space="0" w:color="000000" w:themeColor="text1"/>
            </w:tcBorders>
            <w:vAlign w:val="center"/>
          </w:tcPr>
          <w:p w14:paraId="251DA81A" w14:textId="31399A5A" w:rsidR="00B32A02" w:rsidRDefault="00434847">
            <w:pPr>
              <w:spacing w:after="0" w:line="259" w:lineRule="auto"/>
              <w:ind w:left="7" w:right="0" w:firstLine="0"/>
              <w:jc w:val="left"/>
            </w:pPr>
            <w:r>
              <w:rPr>
                <w:b/>
              </w:rPr>
              <w:t>Iniciador de la Solicitud de reembolso de gastos de viaje</w:t>
            </w:r>
            <w:r>
              <w:t xml:space="preserve"> </w:t>
            </w:r>
          </w:p>
        </w:tc>
        <w:tc>
          <w:tcPr>
            <w:tcW w:w="7031"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251DA81B" w14:textId="52B27A44" w:rsidR="00B32A02" w:rsidRDefault="00434847">
            <w:pPr>
              <w:spacing w:after="8" w:line="246" w:lineRule="auto"/>
              <w:ind w:left="0" w:right="0" w:firstLine="0"/>
              <w:jc w:val="left"/>
            </w:pPr>
            <w:r>
              <w:t xml:space="preserve">Indica en el módulo T&amp;E de </w:t>
            </w:r>
            <w:proofErr w:type="spellStart"/>
            <w:r w:rsidR="00A07F2F">
              <w:t>Unall</w:t>
            </w:r>
            <w:proofErr w:type="spellEnd"/>
            <w:r w:rsidR="00A07F2F">
              <w:t>/Quantum</w:t>
            </w:r>
            <w:r>
              <w:t xml:space="preserve"> si se reclaman gastos adicionales o no. Indica cualquier cambio, incluido lo siguiente:  </w:t>
            </w:r>
          </w:p>
          <w:p w14:paraId="251DA81C" w14:textId="77777777" w:rsidR="00B32A02" w:rsidRDefault="00434847">
            <w:pPr>
              <w:numPr>
                <w:ilvl w:val="0"/>
                <w:numId w:val="2"/>
              </w:numPr>
              <w:spacing w:after="0" w:line="259" w:lineRule="auto"/>
              <w:ind w:right="0" w:hanging="394"/>
              <w:jc w:val="left"/>
            </w:pPr>
            <w:r>
              <w:t xml:space="preserve">fechas del itinerario o ciudades  </w:t>
            </w:r>
          </w:p>
          <w:p w14:paraId="251DA81D" w14:textId="77777777" w:rsidR="00B32A02" w:rsidRDefault="00434847">
            <w:pPr>
              <w:numPr>
                <w:ilvl w:val="0"/>
                <w:numId w:val="2"/>
              </w:numPr>
              <w:spacing w:after="0" w:line="259" w:lineRule="auto"/>
              <w:ind w:right="0" w:hanging="394"/>
              <w:jc w:val="left"/>
            </w:pPr>
            <w:r>
              <w:t xml:space="preserve">fechas o lugares de DSA  </w:t>
            </w:r>
          </w:p>
          <w:p w14:paraId="251DA81E" w14:textId="77777777" w:rsidR="00B32A02" w:rsidRDefault="00434847">
            <w:pPr>
              <w:numPr>
                <w:ilvl w:val="0"/>
                <w:numId w:val="2"/>
              </w:numPr>
              <w:spacing w:after="0" w:line="259" w:lineRule="auto"/>
              <w:ind w:right="0" w:hanging="394"/>
              <w:jc w:val="left"/>
            </w:pPr>
            <w:r>
              <w:t xml:space="preserve">gastos no obligados  </w:t>
            </w:r>
          </w:p>
          <w:p w14:paraId="251DA81F" w14:textId="77777777" w:rsidR="00B32A02" w:rsidRDefault="00434847">
            <w:pPr>
              <w:numPr>
                <w:ilvl w:val="0"/>
                <w:numId w:val="2"/>
              </w:numPr>
              <w:spacing w:after="0" w:line="259" w:lineRule="auto"/>
              <w:ind w:right="0" w:hanging="394"/>
              <w:jc w:val="left"/>
            </w:pPr>
            <w:r>
              <w:t xml:space="preserve">cualquier adelanto de gastos de viaje asociado con estado «desembolsado» que requiera acción  </w:t>
            </w:r>
          </w:p>
        </w:tc>
      </w:tr>
      <w:tr w:rsidR="00B32A02" w14:paraId="251DA823" w14:textId="77777777" w:rsidTr="7D286DD3">
        <w:trPr>
          <w:trHeight w:val="1222"/>
        </w:trPr>
        <w:tc>
          <w:tcPr>
            <w:tcW w:w="2347"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251DA821" w14:textId="6E208FEC" w:rsidR="00B32A02" w:rsidRDefault="00434847">
            <w:pPr>
              <w:spacing w:after="0" w:line="259" w:lineRule="auto"/>
              <w:ind w:left="7" w:right="0" w:firstLine="0"/>
              <w:jc w:val="left"/>
            </w:pPr>
            <w:r>
              <w:rPr>
                <w:b/>
              </w:rPr>
              <w:t>Iniciador del Informe de gastos</w:t>
            </w:r>
          </w:p>
        </w:tc>
        <w:tc>
          <w:tcPr>
            <w:tcW w:w="7031"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14:paraId="251DA822" w14:textId="48449C18" w:rsidR="00B32A02" w:rsidRDefault="00434847">
            <w:pPr>
              <w:spacing w:after="0" w:line="259" w:lineRule="auto"/>
              <w:ind w:left="0" w:right="0" w:firstLine="0"/>
              <w:jc w:val="left"/>
            </w:pPr>
            <w:r>
              <w:t xml:space="preserve">Si reclaman fondos adicionales o se devuelven fondos a la organización, envía un informe de gastos en el módulo T&amp;E de </w:t>
            </w:r>
            <w:proofErr w:type="spellStart"/>
            <w:r w:rsidR="00A07F2F">
              <w:t>Unall</w:t>
            </w:r>
            <w:proofErr w:type="spellEnd"/>
            <w:r w:rsidR="00A07F2F">
              <w:t>/Quantum</w:t>
            </w:r>
            <w:r>
              <w:t xml:space="preserve">.  </w:t>
            </w:r>
          </w:p>
        </w:tc>
      </w:tr>
      <w:tr w:rsidR="00B32A02" w14:paraId="251DA829" w14:textId="77777777" w:rsidTr="7D286DD3">
        <w:trPr>
          <w:trHeight w:val="1153"/>
        </w:trPr>
        <w:tc>
          <w:tcPr>
            <w:tcW w:w="2347" w:type="dxa"/>
            <w:tcBorders>
              <w:top w:val="single" w:sz="6" w:space="0" w:color="000000" w:themeColor="text1"/>
              <w:left w:val="single" w:sz="8" w:space="0" w:color="000000" w:themeColor="text1"/>
              <w:bottom w:val="single" w:sz="6" w:space="0" w:color="000000" w:themeColor="text1"/>
              <w:right w:val="single" w:sz="6" w:space="0" w:color="000000" w:themeColor="text1"/>
            </w:tcBorders>
            <w:vAlign w:val="center"/>
          </w:tcPr>
          <w:p w14:paraId="251DA827" w14:textId="77777777" w:rsidR="00B32A02" w:rsidRDefault="00434847">
            <w:pPr>
              <w:spacing w:after="0" w:line="259" w:lineRule="auto"/>
              <w:ind w:left="7" w:right="0" w:firstLine="0"/>
              <w:jc w:val="left"/>
            </w:pPr>
            <w:r>
              <w:rPr>
                <w:b/>
              </w:rPr>
              <w:t>Viajero</w:t>
            </w:r>
            <w:r>
              <w:t xml:space="preserve">  </w:t>
            </w:r>
          </w:p>
        </w:tc>
        <w:tc>
          <w:tcPr>
            <w:tcW w:w="7031"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14:paraId="251DA828" w14:textId="56A8BCFF" w:rsidR="00B32A02" w:rsidRDefault="005425BF">
            <w:pPr>
              <w:spacing w:after="0" w:line="259" w:lineRule="auto"/>
              <w:ind w:left="0" w:right="0" w:firstLine="0"/>
              <w:jc w:val="left"/>
            </w:pPr>
            <w:r w:rsidRPr="005425BF">
              <w:t>Si devuelve los fondos a la organización, selecciona una de las 2 opciones siguientes: 1) Solicita el procesamiento de una deducción de nómina en la solicitud/REG aprobada (aplicable si la nómina del viajero se procesa a través de RRHH); 2) Envía el pago mediante transferencia bancaria.</w:t>
            </w:r>
          </w:p>
        </w:tc>
      </w:tr>
      <w:tr w:rsidR="00B32A02" w14:paraId="251DA831" w14:textId="77777777" w:rsidTr="7D286DD3">
        <w:trPr>
          <w:trHeight w:val="439"/>
        </w:trPr>
        <w:tc>
          <w:tcPr>
            <w:tcW w:w="2347"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670BFE97" w14:textId="77777777" w:rsidR="00B32A02" w:rsidRDefault="00434847">
            <w:pPr>
              <w:spacing w:after="0" w:line="259" w:lineRule="auto"/>
              <w:ind w:left="7" w:right="0" w:firstLine="0"/>
              <w:jc w:val="left"/>
            </w:pPr>
            <w:r>
              <w:rPr>
                <w:b/>
              </w:rPr>
              <w:t>Tesorería</w:t>
            </w:r>
            <w:r>
              <w:t xml:space="preserve">  </w:t>
            </w:r>
          </w:p>
          <w:p w14:paraId="251DA82F" w14:textId="5232E02A" w:rsidR="003515C9" w:rsidRDefault="003515C9">
            <w:pPr>
              <w:spacing w:after="0" w:line="259" w:lineRule="auto"/>
              <w:ind w:left="7" w:right="0" w:firstLine="0"/>
              <w:jc w:val="left"/>
            </w:pPr>
            <w:r w:rsidRPr="00235540">
              <w:rPr>
                <w:b/>
                <w:bCs/>
              </w:rPr>
              <w:t>(HQ) / Punto focal de finanzas (fuera de la sede)</w:t>
            </w:r>
          </w:p>
        </w:tc>
        <w:tc>
          <w:tcPr>
            <w:tcW w:w="7031"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251DA830" w14:textId="77777777" w:rsidR="00B32A02" w:rsidRDefault="00434847">
            <w:pPr>
              <w:spacing w:after="0" w:line="259" w:lineRule="auto"/>
              <w:ind w:left="0" w:right="0" w:firstLine="0"/>
              <w:jc w:val="left"/>
            </w:pPr>
            <w:r>
              <w:t xml:space="preserve">Deposita el cheque y recibe los pagos realizados mediante transferencia bancaria.  </w:t>
            </w:r>
          </w:p>
        </w:tc>
      </w:tr>
      <w:tr w:rsidR="00B32A02" w14:paraId="251DA834" w14:textId="77777777" w:rsidTr="7D286DD3">
        <w:trPr>
          <w:trHeight w:val="977"/>
        </w:trPr>
        <w:tc>
          <w:tcPr>
            <w:tcW w:w="2347" w:type="dxa"/>
            <w:tcBorders>
              <w:top w:val="single" w:sz="6" w:space="0" w:color="000000" w:themeColor="text1"/>
              <w:left w:val="single" w:sz="8" w:space="0" w:color="000000" w:themeColor="text1"/>
              <w:bottom w:val="single" w:sz="6" w:space="0" w:color="000000" w:themeColor="text1"/>
              <w:right w:val="single" w:sz="6" w:space="0" w:color="000000" w:themeColor="text1"/>
            </w:tcBorders>
            <w:vAlign w:val="center"/>
          </w:tcPr>
          <w:p w14:paraId="251DA832" w14:textId="77777777" w:rsidR="00B32A02" w:rsidRDefault="00434847">
            <w:pPr>
              <w:spacing w:after="0" w:line="259" w:lineRule="auto"/>
              <w:ind w:left="10" w:right="0" w:firstLine="0"/>
              <w:jc w:val="left"/>
            </w:pPr>
            <w:r>
              <w:rPr>
                <w:b/>
              </w:rPr>
              <w:t xml:space="preserve">Nómina Global </w:t>
            </w:r>
            <w:r>
              <w:t xml:space="preserve">  </w:t>
            </w:r>
          </w:p>
        </w:tc>
        <w:tc>
          <w:tcPr>
            <w:tcW w:w="7031"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14:paraId="251DA833" w14:textId="5B506D62" w:rsidR="00B32A02" w:rsidRDefault="00A96B3A">
            <w:pPr>
              <w:spacing w:after="0" w:line="259" w:lineRule="auto"/>
              <w:ind w:left="0" w:right="0" w:firstLine="0"/>
              <w:jc w:val="left"/>
            </w:pPr>
            <w:r>
              <w:t>D</w:t>
            </w:r>
            <w:r w:rsidR="00434847">
              <w:t>educe</w:t>
            </w:r>
            <w:r w:rsidR="001D035F" w:rsidRPr="001D035F">
              <w:t xml:space="preserve"> la cantidad recuperada del salario del viajero cuando se selecciona la opción de nómina en la reclamación de viaje.  </w:t>
            </w:r>
          </w:p>
        </w:tc>
      </w:tr>
      <w:tr w:rsidR="00B32A02" w14:paraId="251DA839" w14:textId="77777777" w:rsidTr="7D286DD3">
        <w:trPr>
          <w:trHeight w:val="1007"/>
        </w:trPr>
        <w:tc>
          <w:tcPr>
            <w:tcW w:w="2347" w:type="dxa"/>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251DA837" w14:textId="61967268" w:rsidR="00B32A02" w:rsidRDefault="00E558B5">
            <w:pPr>
              <w:spacing w:after="0" w:line="259" w:lineRule="auto"/>
              <w:ind w:left="10" w:right="0" w:firstLine="0"/>
              <w:jc w:val="left"/>
            </w:pPr>
            <w:r>
              <w:rPr>
                <w:b/>
              </w:rPr>
              <w:lastRenderedPageBreak/>
              <w:t>GSSC</w:t>
            </w:r>
            <w:r w:rsidR="00205B52" w:rsidRPr="00235540">
              <w:rPr>
                <w:b/>
                <w:bCs/>
              </w:rPr>
              <w:t xml:space="preserve"> / Punto </w:t>
            </w:r>
            <w:r>
              <w:rPr>
                <w:b/>
                <w:bCs/>
              </w:rPr>
              <w:t>F</w:t>
            </w:r>
            <w:r w:rsidR="00205B52" w:rsidRPr="00235540">
              <w:rPr>
                <w:b/>
                <w:bCs/>
              </w:rPr>
              <w:t xml:space="preserve">ocal de </w:t>
            </w:r>
            <w:r>
              <w:rPr>
                <w:b/>
                <w:bCs/>
              </w:rPr>
              <w:t>F</w:t>
            </w:r>
            <w:r w:rsidR="00205B52" w:rsidRPr="00235540">
              <w:rPr>
                <w:b/>
                <w:bCs/>
              </w:rPr>
              <w:t>inanzas</w:t>
            </w:r>
            <w:r w:rsidR="00434847">
              <w:t xml:space="preserve"> </w:t>
            </w:r>
          </w:p>
        </w:tc>
        <w:tc>
          <w:tcPr>
            <w:tcW w:w="7031"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251DA838" w14:textId="48BB926B" w:rsidR="00B32A02" w:rsidRDefault="00434847">
            <w:pPr>
              <w:spacing w:after="0" w:line="259" w:lineRule="auto"/>
              <w:ind w:left="0" w:right="0" w:firstLine="0"/>
              <w:jc w:val="left"/>
            </w:pPr>
            <w:r>
              <w:t>Verifica que los depósitos A/R para cheques</w:t>
            </w:r>
            <w:r w:rsidR="00205B52">
              <w:t xml:space="preserve"> y</w:t>
            </w:r>
            <w:r>
              <w:t xml:space="preserve"> transferencias bancarias se realicen y concilien con los montos de recuperación detallados en el informe de gastos.  </w:t>
            </w:r>
            <w:r w:rsidR="7A04B6D7">
              <w:t xml:space="preserve"> </w:t>
            </w:r>
          </w:p>
        </w:tc>
      </w:tr>
    </w:tbl>
    <w:p w14:paraId="5774FF82" w14:textId="77FF1A77" w:rsidR="00C83342" w:rsidRDefault="00434847" w:rsidP="0093248E">
      <w:pPr>
        <w:spacing w:after="2" w:line="259" w:lineRule="auto"/>
        <w:ind w:left="24" w:right="0" w:firstLine="0"/>
        <w:jc w:val="left"/>
      </w:pPr>
      <w:r>
        <w:t xml:space="preserve">  </w:t>
      </w:r>
    </w:p>
    <w:p w14:paraId="01785E2F" w14:textId="77777777" w:rsidR="00C83342" w:rsidRDefault="00C83342" w:rsidP="00C83342">
      <w:pPr>
        <w:pStyle w:val="NormalWeb"/>
        <w:shd w:val="clear" w:color="auto" w:fill="FFFFFF"/>
        <w:spacing w:before="0" w:beforeAutospacing="0" w:after="0" w:afterAutospacing="0"/>
        <w:jc w:val="center"/>
        <w:rPr>
          <w:rFonts w:ascii="Calibri" w:hAnsi="Calibri" w:cs="Calibri"/>
          <w:color w:val="201F1E"/>
          <w:sz w:val="23"/>
          <w:szCs w:val="23"/>
        </w:rPr>
      </w:pPr>
      <w:r>
        <w:rPr>
          <w:rFonts w:ascii="Calibri" w:hAnsi="Calibri" w:cs="Calibri"/>
          <w:i/>
          <w:iCs/>
          <w:color w:val="000000"/>
          <w:sz w:val="22"/>
          <w:szCs w:val="22"/>
          <w:bdr w:val="none" w:sz="0" w:space="0" w:color="auto" w:frame="1"/>
        </w:rPr>
        <w:t>Disclaimer: This document was translated from English into Spanish. In the event of any discrepancy between this translation and the original English document, the original English document shall prevail.</w:t>
      </w:r>
    </w:p>
    <w:p w14:paraId="01C1E48E" w14:textId="77777777" w:rsidR="00C83342" w:rsidRDefault="00C83342" w:rsidP="00C83342">
      <w:pPr>
        <w:pStyle w:val="NormalWeb"/>
        <w:shd w:val="clear" w:color="auto" w:fill="FFFFFF"/>
        <w:spacing w:before="0" w:beforeAutospacing="0" w:after="0" w:afterAutospacing="0"/>
        <w:jc w:val="center"/>
        <w:rPr>
          <w:rFonts w:ascii="Calibri" w:hAnsi="Calibri" w:cs="Calibri"/>
          <w:color w:val="201F1E"/>
          <w:sz w:val="23"/>
          <w:szCs w:val="23"/>
        </w:rPr>
      </w:pPr>
      <w:r>
        <w:rPr>
          <w:rFonts w:ascii="Calibri" w:hAnsi="Calibri" w:cs="Calibri"/>
          <w:i/>
          <w:iCs/>
          <w:color w:val="000000"/>
          <w:sz w:val="22"/>
          <w:szCs w:val="22"/>
          <w:bdr w:val="none" w:sz="0" w:space="0" w:color="auto" w:frame="1"/>
        </w:rPr>
        <w:t> </w:t>
      </w:r>
    </w:p>
    <w:p w14:paraId="0669C6E6" w14:textId="77777777" w:rsidR="00C83342" w:rsidRPr="00C83342" w:rsidRDefault="00C83342" w:rsidP="00C83342">
      <w:pPr>
        <w:pStyle w:val="NormalWeb"/>
        <w:shd w:val="clear" w:color="auto" w:fill="FFFFFF"/>
        <w:spacing w:before="0" w:beforeAutospacing="0" w:after="0" w:afterAutospacing="0"/>
        <w:jc w:val="center"/>
        <w:rPr>
          <w:rFonts w:ascii="Calibri" w:hAnsi="Calibri" w:cs="Calibri"/>
          <w:color w:val="201F1E"/>
          <w:sz w:val="23"/>
          <w:szCs w:val="23"/>
          <w:lang w:val="es-ES"/>
        </w:rPr>
      </w:pPr>
      <w:r>
        <w:rPr>
          <w:rFonts w:ascii="Calibri" w:hAnsi="Calibri" w:cs="Calibri"/>
          <w:i/>
          <w:iCs/>
          <w:color w:val="000000"/>
          <w:sz w:val="22"/>
          <w:szCs w:val="22"/>
          <w:bdr w:val="none" w:sz="0" w:space="0" w:color="auto" w:frame="1"/>
          <w:shd w:val="clear" w:color="auto" w:fill="FFFFFF"/>
          <w:lang w:val="es-ES_tradnl"/>
        </w:rPr>
        <w:t>Descargo de responsabilidad: esta es una traducción de un documento original en inglés. </w:t>
      </w:r>
      <w:r>
        <w:rPr>
          <w:rFonts w:ascii="Calibri" w:hAnsi="Calibri" w:cs="Calibri"/>
          <w:i/>
          <w:iCs/>
          <w:color w:val="000000"/>
          <w:sz w:val="22"/>
          <w:szCs w:val="22"/>
          <w:bdr w:val="none" w:sz="0" w:space="0" w:color="auto" w:frame="1"/>
          <w:shd w:val="clear" w:color="auto" w:fill="FFFFFF"/>
          <w:lang w:val="es-UY"/>
        </w:rPr>
        <w:t>En caso de discrepancias entre esta traducción y el documento original en inglés, prevalecerá el documento original en inglés.</w:t>
      </w:r>
    </w:p>
    <w:p w14:paraId="3B161082" w14:textId="77777777" w:rsidR="00C83342" w:rsidRDefault="00C83342">
      <w:pPr>
        <w:spacing w:after="0" w:line="259" w:lineRule="auto"/>
        <w:ind w:left="0" w:right="8958" w:firstLine="0"/>
        <w:jc w:val="right"/>
      </w:pPr>
    </w:p>
    <w:sectPr w:rsidR="00C83342">
      <w:headerReference w:type="even" r:id="rId13"/>
      <w:headerReference w:type="default" r:id="rId14"/>
      <w:footerReference w:type="even" r:id="rId15"/>
      <w:footerReference w:type="default" r:id="rId16"/>
      <w:headerReference w:type="first" r:id="rId17"/>
      <w:footerReference w:type="first" r:id="rId18"/>
      <w:pgSz w:w="12240" w:h="15840"/>
      <w:pgMar w:top="1490" w:right="1431" w:bottom="1496" w:left="1426" w:header="72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813CB" w14:textId="77777777" w:rsidR="00FF1F8F" w:rsidRDefault="00FF1F8F">
      <w:pPr>
        <w:spacing w:after="0" w:line="240" w:lineRule="auto"/>
      </w:pPr>
      <w:r>
        <w:separator/>
      </w:r>
    </w:p>
  </w:endnote>
  <w:endnote w:type="continuationSeparator" w:id="0">
    <w:p w14:paraId="018F9B2A" w14:textId="77777777" w:rsidR="00FF1F8F" w:rsidRDefault="00FF1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DA840" w14:textId="77777777" w:rsidR="00B32A02" w:rsidRDefault="00434847">
    <w:pPr>
      <w:spacing w:after="0" w:line="259" w:lineRule="auto"/>
      <w:ind w:left="9" w:right="0" w:firstLine="0"/>
      <w:jc w:val="center"/>
    </w:pPr>
    <w:r>
      <w:fldChar w:fldCharType="begin"/>
    </w:r>
    <w:r>
      <w:instrText xml:space="preserve"> PAGE   \* MERGEFORMAT </w:instrText>
    </w:r>
    <w:r>
      <w:fldChar w:fldCharType="separate"/>
    </w:r>
    <w:r>
      <w:rPr>
        <w:noProof/>
        <w:color w:val="000000"/>
      </w:rPr>
      <w:t>1</w:t>
    </w:r>
    <w:r>
      <w:rPr>
        <w:color w:val="000000"/>
      </w:rPr>
      <w:fldChar w:fldCharType="end"/>
    </w:r>
    <w:r>
      <w:rPr>
        <w:color w:val="000000"/>
      </w:rPr>
      <w:t xml:space="preserve"> </w:t>
    </w:r>
    <w:r>
      <w:t xml:space="preserve"> </w:t>
    </w:r>
  </w:p>
  <w:p w14:paraId="251DA841" w14:textId="77777777" w:rsidR="00B32A02" w:rsidRDefault="00434847">
    <w:pPr>
      <w:spacing w:after="0" w:line="259" w:lineRule="auto"/>
      <w:ind w:left="14" w:right="0" w:firstLine="0"/>
      <w:jc w:val="left"/>
    </w:pPr>
    <w:r>
      <w:rPr>
        <w:color w:val="000000"/>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DA843" w14:textId="5A4FAC9C" w:rsidR="00B32A02" w:rsidRDefault="009F7A35" w:rsidP="004B37F8">
    <w:pPr>
      <w:tabs>
        <w:tab w:val="left" w:pos="3544"/>
      </w:tabs>
      <w:spacing w:after="0" w:line="259" w:lineRule="auto"/>
      <w:ind w:left="14" w:right="0" w:firstLine="0"/>
      <w:jc w:val="left"/>
    </w:pPr>
    <w:r>
      <w:t xml:space="preserve">Página </w:t>
    </w:r>
    <w:r>
      <w:rPr>
        <w:b/>
      </w:rPr>
      <w:fldChar w:fldCharType="begin"/>
    </w:r>
    <w:r>
      <w:rPr>
        <w:b/>
      </w:rPr>
      <w:instrText xml:space="preserve"> PAGE  \* Arabic  \* MERGEFORMAT </w:instrText>
    </w:r>
    <w:r>
      <w:rPr>
        <w:b/>
      </w:rPr>
      <w:fldChar w:fldCharType="separate"/>
    </w:r>
    <w:r w:rsidR="004B37F8">
      <w:rPr>
        <w:b/>
        <w:noProof/>
      </w:rPr>
      <w:t>1</w:t>
    </w:r>
    <w:r>
      <w:rPr>
        <w:b/>
      </w:rPr>
      <w:fldChar w:fldCharType="end"/>
    </w:r>
    <w:r>
      <w:t xml:space="preserve"> de </w:t>
    </w:r>
    <w:r>
      <w:rPr>
        <w:b/>
      </w:rPr>
      <w:fldChar w:fldCharType="begin"/>
    </w:r>
    <w:r>
      <w:rPr>
        <w:b/>
      </w:rPr>
      <w:instrText xml:space="preserve"> NUMPAGES  \* Arabic  \* MERGEFORMAT </w:instrText>
    </w:r>
    <w:r>
      <w:rPr>
        <w:b/>
      </w:rPr>
      <w:fldChar w:fldCharType="separate"/>
    </w:r>
    <w:r w:rsidR="004B37F8">
      <w:rPr>
        <w:b/>
        <w:noProof/>
      </w:rPr>
      <w:t>4</w:t>
    </w:r>
    <w:r>
      <w:rPr>
        <w:b/>
      </w:rPr>
      <w:fldChar w:fldCharType="end"/>
    </w:r>
    <w:r>
      <w:ptab w:relativeTo="margin" w:alignment="center" w:leader="none"/>
    </w:r>
    <w:r>
      <w:t xml:space="preserve">Fecha de entrada en vigor: </w:t>
    </w:r>
    <w:r w:rsidR="00940571">
      <w:t>09/01/2023</w:t>
    </w:r>
    <w:r>
      <w:ptab w:relativeTo="margin" w:alignment="right" w:leader="none"/>
    </w:r>
    <w:r>
      <w:t xml:space="preserve">Versión #: </w:t>
    </w:r>
    <w:r w:rsidR="00A70D88">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DA844" w14:textId="77777777" w:rsidR="00B32A02" w:rsidRDefault="00434847">
    <w:pPr>
      <w:spacing w:after="0" w:line="259" w:lineRule="auto"/>
      <w:ind w:left="9" w:right="0" w:firstLine="0"/>
      <w:jc w:val="center"/>
    </w:pPr>
    <w:r>
      <w:fldChar w:fldCharType="begin"/>
    </w:r>
    <w:r>
      <w:instrText xml:space="preserve"> PAGE   \* MERGEFORMAT </w:instrText>
    </w:r>
    <w:r>
      <w:fldChar w:fldCharType="separate"/>
    </w:r>
    <w:r>
      <w:rPr>
        <w:noProof/>
        <w:color w:val="000000"/>
      </w:rPr>
      <w:t>1</w:t>
    </w:r>
    <w:r>
      <w:rPr>
        <w:color w:val="000000"/>
      </w:rPr>
      <w:fldChar w:fldCharType="end"/>
    </w:r>
    <w:r>
      <w:rPr>
        <w:color w:val="000000"/>
      </w:rPr>
      <w:t xml:space="preserve"> </w:t>
    </w:r>
    <w:r>
      <w:t xml:space="preserve"> </w:t>
    </w:r>
  </w:p>
  <w:p w14:paraId="251DA845" w14:textId="77777777" w:rsidR="00B32A02" w:rsidRDefault="00434847">
    <w:pPr>
      <w:spacing w:after="0" w:line="259" w:lineRule="auto"/>
      <w:ind w:left="14" w:right="0" w:firstLine="0"/>
      <w:jc w:val="left"/>
    </w:pPr>
    <w:r>
      <w:rPr>
        <w:color w:val="000000"/>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B459D" w14:textId="77777777" w:rsidR="00FF1F8F" w:rsidRDefault="00FF1F8F">
      <w:pPr>
        <w:spacing w:after="0" w:line="240" w:lineRule="auto"/>
      </w:pPr>
      <w:r>
        <w:separator/>
      </w:r>
    </w:p>
  </w:footnote>
  <w:footnote w:type="continuationSeparator" w:id="0">
    <w:p w14:paraId="06645C65" w14:textId="77777777" w:rsidR="00FF1F8F" w:rsidRDefault="00FF1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43322" w14:textId="77777777" w:rsidR="00A70D88" w:rsidRDefault="00A70D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0C139" w14:textId="7A286232" w:rsidR="009F7A35" w:rsidRDefault="7D286DD3" w:rsidP="009F7A35">
    <w:pPr>
      <w:pStyle w:val="Header"/>
      <w:jc w:val="right"/>
    </w:pPr>
    <w:r>
      <w:rPr>
        <w:noProof/>
      </w:rPr>
      <w:drawing>
        <wp:inline distT="0" distB="0" distL="0" distR="0" wp14:anchorId="7A4C1298" wp14:editId="3DDD35EE">
          <wp:extent cx="304800" cy="585963"/>
          <wp:effectExtent l="0" t="0" r="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rotWithShape="1">
                  <a:blip r:embed="rId1">
                    <a:extLst>
                      <a:ext uri="{28A0092B-C50C-407E-A947-70E740481C1C}">
                        <a14:useLocalDpi xmlns:a14="http://schemas.microsoft.com/office/drawing/2010/main" val="0"/>
                      </a:ext>
                    </a:extLst>
                  </a:blip>
                  <a:srcRect r="-18" b="16642"/>
                  <a:stretch/>
                </pic:blipFill>
                <pic:spPr bwMode="auto">
                  <a:xfrm>
                    <a:off x="0" y="0"/>
                    <a:ext cx="304855" cy="586069"/>
                  </a:xfrm>
                  <a:prstGeom prst="rect">
                    <a:avLst/>
                  </a:prstGeom>
                  <a:ln>
                    <a:noFill/>
                  </a:ln>
                  <a:extLst>
                    <a:ext uri="{53640926-AAD7-44D8-BBD7-CCE9431645EC}">
                      <a14:shadowObscured xmlns:a14="http://schemas.microsoft.com/office/drawing/2010/main"/>
                    </a:ext>
                  </a:extLst>
                </pic:spPr>
              </pic:pic>
            </a:graphicData>
          </a:graphic>
        </wp:inline>
      </w:drawing>
    </w:r>
  </w:p>
  <w:p w14:paraId="62853B2C" w14:textId="77777777" w:rsidR="009F7A35" w:rsidRDefault="009F7A35" w:rsidP="009F7A3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E354" w14:textId="77777777" w:rsidR="00A70D88" w:rsidRDefault="00A70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B5CB6"/>
    <w:multiLevelType w:val="hybridMultilevel"/>
    <w:tmpl w:val="FB2441DE"/>
    <w:lvl w:ilvl="0" w:tplc="338E33CC">
      <w:start w:val="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87A67EBA">
      <w:start w:val="1"/>
      <w:numFmt w:val="lowerLetter"/>
      <w:lvlText w:val="%2)"/>
      <w:lvlJc w:val="left"/>
      <w:pPr>
        <w:ind w:left="145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0F547DE2">
      <w:start w:val="1"/>
      <w:numFmt w:val="lowerRoman"/>
      <w:lvlText w:val="%3"/>
      <w:lvlJc w:val="left"/>
      <w:pPr>
        <w:ind w:left="217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EAFC4EEC">
      <w:start w:val="1"/>
      <w:numFmt w:val="decimal"/>
      <w:lvlText w:val="%4"/>
      <w:lvlJc w:val="left"/>
      <w:pPr>
        <w:ind w:left="289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4DD2E8F0">
      <w:start w:val="1"/>
      <w:numFmt w:val="lowerLetter"/>
      <w:lvlText w:val="%5"/>
      <w:lvlJc w:val="left"/>
      <w:pPr>
        <w:ind w:left="361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033A469A">
      <w:start w:val="1"/>
      <w:numFmt w:val="lowerRoman"/>
      <w:lvlText w:val="%6"/>
      <w:lvlJc w:val="left"/>
      <w:pPr>
        <w:ind w:left="433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F95029F8">
      <w:start w:val="1"/>
      <w:numFmt w:val="decimal"/>
      <w:lvlText w:val="%7"/>
      <w:lvlJc w:val="left"/>
      <w:pPr>
        <w:ind w:left="505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76E4A9FE">
      <w:start w:val="1"/>
      <w:numFmt w:val="lowerLetter"/>
      <w:lvlText w:val="%8"/>
      <w:lvlJc w:val="left"/>
      <w:pPr>
        <w:ind w:left="577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03760C94">
      <w:start w:val="1"/>
      <w:numFmt w:val="lowerRoman"/>
      <w:lvlText w:val="%9"/>
      <w:lvlJc w:val="left"/>
      <w:pPr>
        <w:ind w:left="649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 w15:restartNumberingAfterBreak="0">
    <w:nsid w:val="6EF75B91"/>
    <w:multiLevelType w:val="hybridMultilevel"/>
    <w:tmpl w:val="33EEA88E"/>
    <w:lvl w:ilvl="0" w:tplc="EA3A4302">
      <w:start w:val="1"/>
      <w:numFmt w:val="bullet"/>
      <w:lvlText w:val=""/>
      <w:lvlJc w:val="left"/>
      <w:pPr>
        <w:ind w:left="466"/>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1" w:tplc="3A5ADF68">
      <w:start w:val="1"/>
      <w:numFmt w:val="bullet"/>
      <w:lvlText w:val="o"/>
      <w:lvlJc w:val="left"/>
      <w:pPr>
        <w:ind w:left="1258"/>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2" w:tplc="35D6E380">
      <w:start w:val="1"/>
      <w:numFmt w:val="bullet"/>
      <w:lvlText w:val="▪"/>
      <w:lvlJc w:val="left"/>
      <w:pPr>
        <w:ind w:left="1978"/>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3" w:tplc="3466830A">
      <w:start w:val="1"/>
      <w:numFmt w:val="bullet"/>
      <w:lvlText w:val="•"/>
      <w:lvlJc w:val="left"/>
      <w:pPr>
        <w:ind w:left="2698"/>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4" w:tplc="A1B88C12">
      <w:start w:val="1"/>
      <w:numFmt w:val="bullet"/>
      <w:lvlText w:val="o"/>
      <w:lvlJc w:val="left"/>
      <w:pPr>
        <w:ind w:left="3418"/>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5" w:tplc="2716DC36">
      <w:start w:val="1"/>
      <w:numFmt w:val="bullet"/>
      <w:lvlText w:val="▪"/>
      <w:lvlJc w:val="left"/>
      <w:pPr>
        <w:ind w:left="4138"/>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6" w:tplc="B922BE6E">
      <w:start w:val="1"/>
      <w:numFmt w:val="bullet"/>
      <w:lvlText w:val="•"/>
      <w:lvlJc w:val="left"/>
      <w:pPr>
        <w:ind w:left="4858"/>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7" w:tplc="109A2060">
      <w:start w:val="1"/>
      <w:numFmt w:val="bullet"/>
      <w:lvlText w:val="o"/>
      <w:lvlJc w:val="left"/>
      <w:pPr>
        <w:ind w:left="5578"/>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8" w:tplc="56F09BD2">
      <w:start w:val="1"/>
      <w:numFmt w:val="bullet"/>
      <w:lvlText w:val="▪"/>
      <w:lvlJc w:val="left"/>
      <w:pPr>
        <w:ind w:left="6298"/>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abstractNum>
  <w:num w:numId="1" w16cid:durableId="1359309722">
    <w:abstractNumId w:val="0"/>
  </w:num>
  <w:num w:numId="2" w16cid:durableId="603460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A02"/>
    <w:rsid w:val="00044B3C"/>
    <w:rsid w:val="001D035F"/>
    <w:rsid w:val="00205B52"/>
    <w:rsid w:val="00235642"/>
    <w:rsid w:val="00273EFE"/>
    <w:rsid w:val="002909F0"/>
    <w:rsid w:val="002A5001"/>
    <w:rsid w:val="002C1002"/>
    <w:rsid w:val="00312EB9"/>
    <w:rsid w:val="00322D91"/>
    <w:rsid w:val="003424A5"/>
    <w:rsid w:val="003515C9"/>
    <w:rsid w:val="003903D5"/>
    <w:rsid w:val="003B6B7F"/>
    <w:rsid w:val="00434847"/>
    <w:rsid w:val="004B37F8"/>
    <w:rsid w:val="004C6A3B"/>
    <w:rsid w:val="005425BF"/>
    <w:rsid w:val="00835BC8"/>
    <w:rsid w:val="0085295E"/>
    <w:rsid w:val="008864FE"/>
    <w:rsid w:val="008C239E"/>
    <w:rsid w:val="00900042"/>
    <w:rsid w:val="00931E83"/>
    <w:rsid w:val="0093248E"/>
    <w:rsid w:val="00940571"/>
    <w:rsid w:val="00942319"/>
    <w:rsid w:val="00943CDC"/>
    <w:rsid w:val="009F7A35"/>
    <w:rsid w:val="00A07F2F"/>
    <w:rsid w:val="00A136CE"/>
    <w:rsid w:val="00A70D88"/>
    <w:rsid w:val="00A74F6E"/>
    <w:rsid w:val="00A96B3A"/>
    <w:rsid w:val="00B03443"/>
    <w:rsid w:val="00B32A02"/>
    <w:rsid w:val="00BA11D1"/>
    <w:rsid w:val="00C83342"/>
    <w:rsid w:val="00C97D0D"/>
    <w:rsid w:val="00CA03C6"/>
    <w:rsid w:val="00CB50CB"/>
    <w:rsid w:val="00CF0BC6"/>
    <w:rsid w:val="00CF1D2B"/>
    <w:rsid w:val="00DC529F"/>
    <w:rsid w:val="00E558B5"/>
    <w:rsid w:val="00F50FA2"/>
    <w:rsid w:val="00F62D9E"/>
    <w:rsid w:val="00FE4B02"/>
    <w:rsid w:val="00FF1F8F"/>
    <w:rsid w:val="1A5EB196"/>
    <w:rsid w:val="7A04B6D7"/>
    <w:rsid w:val="7D286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1DA7DB"/>
  <w15:docId w15:val="{DC91C146-8BED-1540-9915-78EC3581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4" w:lineRule="auto"/>
      <w:ind w:left="730" w:right="3" w:hanging="370"/>
      <w:jc w:val="both"/>
    </w:pPr>
    <w:rPr>
      <w:rFonts w:ascii="Calibri" w:eastAsia="Calibri" w:hAnsi="Calibri" w:cs="Calibri"/>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C1002"/>
    <w:rPr>
      <w:color w:val="0000FF" w:themeColor="hyperlink"/>
      <w:u w:val="single"/>
    </w:rPr>
  </w:style>
  <w:style w:type="paragraph" w:styleId="Header">
    <w:name w:val="header"/>
    <w:basedOn w:val="Normal"/>
    <w:link w:val="HeaderChar"/>
    <w:uiPriority w:val="99"/>
    <w:unhideWhenUsed/>
    <w:rsid w:val="009F7A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A35"/>
    <w:rPr>
      <w:rFonts w:ascii="Calibri" w:eastAsia="Calibri" w:hAnsi="Calibri" w:cs="Calibri"/>
      <w:color w:val="333333"/>
    </w:rPr>
  </w:style>
  <w:style w:type="paragraph" w:styleId="BalloonText">
    <w:name w:val="Balloon Text"/>
    <w:basedOn w:val="Normal"/>
    <w:link w:val="BalloonTextChar"/>
    <w:uiPriority w:val="99"/>
    <w:semiHidden/>
    <w:unhideWhenUsed/>
    <w:rsid w:val="009F7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A35"/>
    <w:rPr>
      <w:rFonts w:ascii="Tahoma" w:eastAsia="Calibri" w:hAnsi="Tahoma" w:cs="Tahoma"/>
      <w:color w:val="333333"/>
      <w:sz w:val="16"/>
      <w:szCs w:val="16"/>
    </w:rPr>
  </w:style>
  <w:style w:type="character" w:styleId="PlaceholderText">
    <w:name w:val="Placeholder Text"/>
    <w:basedOn w:val="DefaultParagraphFont"/>
    <w:uiPriority w:val="99"/>
    <w:semiHidden/>
    <w:rsid w:val="009F7A35"/>
    <w:rPr>
      <w:color w:val="808080"/>
    </w:rPr>
  </w:style>
  <w:style w:type="paragraph" w:styleId="NormalWeb">
    <w:name w:val="Normal (Web)"/>
    <w:basedOn w:val="Normal"/>
    <w:uiPriority w:val="99"/>
    <w:semiHidden/>
    <w:unhideWhenUsed/>
    <w:rsid w:val="00C83342"/>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rPr>
  </w:style>
  <w:style w:type="paragraph" w:styleId="ListParagraph">
    <w:name w:val="List Paragraph"/>
    <w:basedOn w:val="Normal"/>
    <w:uiPriority w:val="34"/>
    <w:qFormat/>
    <w:rsid w:val="00A07F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503644">
      <w:bodyDiv w:val="1"/>
      <w:marLeft w:val="0"/>
      <w:marRight w:val="0"/>
      <w:marTop w:val="0"/>
      <w:marBottom w:val="0"/>
      <w:divBdr>
        <w:top w:val="none" w:sz="0" w:space="0" w:color="auto"/>
        <w:left w:val="none" w:sz="0" w:space="0" w:color="auto"/>
        <w:bottom w:val="none" w:sz="0" w:space="0" w:color="auto"/>
        <w:right w:val="none" w:sz="0" w:space="0" w:color="auto"/>
      </w:divBdr>
    </w:div>
    <w:div w:id="1997151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treasury.un.org/operationalrates/OperationalRates.ph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ocation xmlns="e560140e-7b2f-4392-90df-e7567e3021a3">Public</Location>
    <UNDP_POPP_NOTE xmlns="8264c5cc-ec60-4b56-8111-ce635d3d139a" xsi:nil="true"/>
    <TaxCatchAll xmlns="8264c5cc-ec60-4b56-8111-ce635d3d139a">
      <Value>353</Value>
    </TaxCatchAll>
    <UNDP_POPP_PLANNED_REVIEWDATE xmlns="8264c5cc-ec60-4b56-8111-ce635d3d139a">2022-01-05T23:00:00+00:00</UNDP_POPP_PLANNED_REVIEWDATE>
    <UNDP_POPP_DOCUMENT_LANGUAGE xmlns="8264c5cc-ec60-4b56-8111-ce635d3d139a">Spanish</UNDP_POPP_DOCUMENT_LANGUAGE>
    <UNDP_POPP_BUSINESSUNITID_HIDDEN xmlns="8264c5cc-ec60-4b56-8111-ce635d3d139a" xsi:nil="true"/>
    <UNDP_POPP_EFFECTIVEDATE xmlns="8264c5cc-ec60-4b56-8111-ce635d3d139a">2023-01-08T23:00:00Z</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Gestión posterior de viajes</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4608</UNDP_POPP_FILEVERSION>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_dlc_DocId xmlns="8264c5cc-ec60-4b56-8111-ce635d3d139a">POPP-11-3459</_dlc_DocId>
    <_dlc_DocIdUrl xmlns="8264c5cc-ec60-4b56-8111-ce635d3d139a">
      <Url>https://popp.undp.org/_layouts/15/DocIdRedir.aspx?ID=POPP-11-3459</Url>
      <Description>POPP-11-3459</Description>
    </_dlc_DocIdUrl>
    <UNDP_POPP_REFITEM_VERSION xmlns="8264c5cc-ec60-4b56-8111-ce635d3d139a">9</UNDP_POPP_REFITEM_VERSION>
    <DLCPolicyLabelLock xmlns="e560140e-7b2f-4392-90df-e7567e3021a3" xsi:nil="true"/>
    <DLCPolicyLabelClientValue xmlns="e560140e-7b2f-4392-90df-e7567e3021a3">Effective Date: 09/01/2023                                                Version #: 9.0</DLCPolicyLabelClientValue>
    <UNDP_POPP_LASTMODIFIED xmlns="8264c5cc-ec60-4b56-8111-ce635d3d139a" xsi:nil="true"/>
    <DLCPolicyLabelValue xmlns="e560140e-7b2f-4392-90df-e7567e3021a3">Effective Date: 09/01/2023                                                Version #: 9.0</DLCPolicyLabelValue>
    <UNDP_POPP_REJECT_COMMENTS xmlns="8264c5cc-ec60-4b56-8111-ce635d3d139a" xsi:nil="true"/>
    <POPPIsArchived xmlns="e560140e-7b2f-4392-90df-e7567e3021a3">false</POPPIsArchiv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DE6605A-1813-4830-A3AC-2D28F7CDFD31}">
  <ds:schemaRefs>
    <ds:schemaRef ds:uri="http://schemas.microsoft.com/office/2006/metadata/properties"/>
    <ds:schemaRef ds:uri="http://schemas.microsoft.com/office/infopath/2007/PartnerControls"/>
    <ds:schemaRef ds:uri="e560140e-7b2f-4392-90df-e7567e3021a3"/>
    <ds:schemaRef ds:uri="8264c5cc-ec60-4b56-8111-ce635d3d139a"/>
  </ds:schemaRefs>
</ds:datastoreItem>
</file>

<file path=customXml/itemProps2.xml><?xml version="1.0" encoding="utf-8"?>
<ds:datastoreItem xmlns:ds="http://schemas.openxmlformats.org/officeDocument/2006/customXml" ds:itemID="{A2DFE462-0152-4620-A7B1-D76DCB4FB20F}">
  <ds:schemaRefs>
    <ds:schemaRef ds:uri="http://schemas.microsoft.com/sharepoint/v3/contenttype/forms"/>
  </ds:schemaRefs>
</ds:datastoreItem>
</file>

<file path=customXml/itemProps3.xml><?xml version="1.0" encoding="utf-8"?>
<ds:datastoreItem xmlns:ds="http://schemas.openxmlformats.org/officeDocument/2006/customXml" ds:itemID="{8C446B41-7C2F-4FBE-B923-553A310D5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6A4A17-5EB3-400E-8587-77262B1E6E8E}">
  <ds:schemaRefs>
    <ds:schemaRef ds:uri="office.server.policy"/>
  </ds:schemaRefs>
</ds:datastoreItem>
</file>

<file path=customXml/itemProps5.xml><?xml version="1.0" encoding="utf-8"?>
<ds:datastoreItem xmlns:ds="http://schemas.openxmlformats.org/officeDocument/2006/customXml" ds:itemID="{3C1541C9-2594-4AC0-89CD-8838484635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1135</Words>
  <Characters>6475</Characters>
  <Application>Microsoft Office Word</Application>
  <DocSecurity>0</DocSecurity>
  <Lines>53</Lines>
  <Paragraphs>15</Paragraphs>
  <ScaleCrop>false</ScaleCrop>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Rieglerova</dc:creator>
  <cp:lastModifiedBy>Pablo Morete</cp:lastModifiedBy>
  <cp:revision>24</cp:revision>
  <cp:lastPrinted>2016-06-26T17:02:00Z</cp:lastPrinted>
  <dcterms:created xsi:type="dcterms:W3CDTF">2020-11-13T17:15:00Z</dcterms:created>
  <dcterms:modified xsi:type="dcterms:W3CDTF">2024-04-05T12:32:00Z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9edea558-74cf-4a71-aec3-7e0f574aa35d</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ies>
</file>