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E745" w14:textId="59A3F008" w:rsidR="00EA3FB1" w:rsidRPr="00901311" w:rsidRDefault="001A2865" w:rsidP="005B7B4F">
      <w:pPr>
        <w:spacing w:after="0" w:line="259" w:lineRule="auto"/>
        <w:ind w:left="144" w:right="-144" w:firstLine="0"/>
        <w:jc w:val="left"/>
      </w:pPr>
      <w:r>
        <w:rPr>
          <w:b/>
          <w:sz w:val="28"/>
        </w:rPr>
        <w:t xml:space="preserve">El Marco Armonizado de Financiación Conceptual y </w:t>
      </w:r>
      <w:r w:rsidR="00F26D96" w:rsidRPr="00F26D96">
        <w:rPr>
          <w:b/>
          <w:sz w:val="28"/>
        </w:rPr>
        <w:t>Metodología de Recuperación de Costos</w:t>
      </w:r>
    </w:p>
    <w:p w14:paraId="7531FC95" w14:textId="77777777" w:rsidR="00EA3FB1" w:rsidRPr="00901311" w:rsidRDefault="001A2865">
      <w:pPr>
        <w:spacing w:after="20" w:line="259" w:lineRule="auto"/>
        <w:ind w:left="0" w:right="0" w:firstLine="0"/>
        <w:jc w:val="left"/>
      </w:pPr>
      <w:r>
        <w:t xml:space="preserve">  </w:t>
      </w:r>
    </w:p>
    <w:p w14:paraId="19B3DB04" w14:textId="2F78CF4F" w:rsidR="00EA3FB1" w:rsidRPr="00901311" w:rsidRDefault="001A2865">
      <w:pPr>
        <w:numPr>
          <w:ilvl w:val="0"/>
          <w:numId w:val="1"/>
        </w:numPr>
        <w:ind w:right="0" w:hanging="360"/>
      </w:pPr>
      <w:r>
        <w:t xml:space="preserve">Mediante decisión </w:t>
      </w:r>
      <w:r w:rsidR="00924999">
        <w:t>conjunta</w:t>
      </w:r>
      <w:r w:rsidR="00C22803">
        <w:t xml:space="preserve"> </w:t>
      </w:r>
      <w:r>
        <w:t xml:space="preserve">de las Juntas Ejecutivas del PNUD/UNFPA, UNICEF y ONU-MUJERES se aprobó un nuevo marco conceptual armonizado para definir y atribuir todos los costos, tanto los costos de programa como los de organización </w:t>
      </w:r>
      <w:hyperlink r:id="rId12" w:history="1">
        <w:r w:rsidRPr="00487C4E">
          <w:rPr>
            <w:rStyle w:val="Hyperlink"/>
            <w:b/>
          </w:rPr>
          <w:t>(DP-FPA/2012/1),</w:t>
        </w:r>
      </w:hyperlink>
      <w:r>
        <w:t xml:space="preserve"> y una nueva metodología armonizada para calcular las tasas de recuperación de costos en otros recursos (complementarios) </w:t>
      </w:r>
      <w:r w:rsidRPr="001776B9">
        <w:rPr>
          <w:b/>
        </w:rPr>
        <w:t>(</w:t>
      </w:r>
      <w:hyperlink r:id="rId13" w:history="1">
        <w:r w:rsidRPr="001776B9">
          <w:rPr>
            <w:rStyle w:val="Hyperlink"/>
            <w:b/>
          </w:rPr>
          <w:t>DP-FPA/2013/1</w:t>
        </w:r>
      </w:hyperlink>
      <w:r w:rsidRPr="001776B9">
        <w:rPr>
          <w:b/>
        </w:rPr>
        <w:t>;</w:t>
      </w:r>
      <w:r w:rsidR="001776B9">
        <w:rPr>
          <w:b/>
        </w:rPr>
        <w:t xml:space="preserve"> </w:t>
      </w:r>
      <w:hyperlink r:id="rId14" w:history="1">
        <w:r w:rsidRPr="001776B9">
          <w:rPr>
            <w:rStyle w:val="Hyperlink"/>
            <w:b/>
          </w:rPr>
          <w:t>DP/2013/9</w:t>
        </w:r>
      </w:hyperlink>
      <w:r w:rsidRPr="001776B9">
        <w:rPr>
          <w:b/>
        </w:rPr>
        <w:t>)</w:t>
      </w:r>
      <w:r w:rsidRPr="001776B9">
        <w:t xml:space="preserve">. </w:t>
      </w:r>
      <w:r>
        <w:rPr>
          <w:color w:val="0070C0"/>
        </w:rPr>
        <w:t xml:space="preserve"> </w:t>
      </w:r>
    </w:p>
    <w:p w14:paraId="23E5D7BC" w14:textId="77777777" w:rsidR="00EA3FB1" w:rsidRPr="00901311" w:rsidRDefault="001A2865">
      <w:pPr>
        <w:spacing w:after="22" w:line="259" w:lineRule="auto"/>
        <w:ind w:left="0" w:right="0" w:firstLine="0"/>
        <w:jc w:val="left"/>
      </w:pPr>
      <w:r>
        <w:t xml:space="preserve">  </w:t>
      </w:r>
    </w:p>
    <w:p w14:paraId="43921260" w14:textId="2CB463AE" w:rsidR="00EA3FB1" w:rsidRPr="00901311" w:rsidRDefault="001A2865" w:rsidP="00A6413E">
      <w:pPr>
        <w:numPr>
          <w:ilvl w:val="0"/>
          <w:numId w:val="1"/>
        </w:numPr>
        <w:ind w:right="0" w:hanging="360"/>
      </w:pPr>
      <w:r>
        <w:t xml:space="preserve">Dentro del contexto del Presupuesto Integrado </w:t>
      </w:r>
      <w:r w:rsidRPr="00AF0164">
        <w:rPr>
          <w:b/>
        </w:rPr>
        <w:t>(</w:t>
      </w:r>
      <w:hyperlink r:id="rId15" w:history="1">
        <w:r w:rsidRPr="00AF0164">
          <w:rPr>
            <w:rStyle w:val="Hyperlink"/>
            <w:b/>
          </w:rPr>
          <w:t>DP/2013/41</w:t>
        </w:r>
      </w:hyperlink>
      <w:r w:rsidRPr="00AF0164">
        <w:rPr>
          <w:b/>
        </w:rPr>
        <w:t xml:space="preserve"> y </w:t>
      </w:r>
      <w:r w:rsidRPr="00AF0164">
        <w:t xml:space="preserve"> de la  </w:t>
      </w:r>
      <w:hyperlink r:id="rId16" w:history="1">
        <w:r w:rsidRPr="00AF0164">
          <w:rPr>
            <w:rStyle w:val="Hyperlink"/>
          </w:rPr>
          <w:t>2013/28</w:t>
        </w:r>
      </w:hyperlink>
      <w:r w:rsidRPr="00AF0164">
        <w:rPr>
          <w:b/>
        </w:rPr>
        <w:t>)</w:t>
      </w:r>
      <w:r w:rsidRPr="00AF0164">
        <w:t>,</w:t>
      </w:r>
      <w:r>
        <w:t xml:space="preserve"> que integra en un solo marco los </w:t>
      </w:r>
      <w:hyperlink r:id="rId17" w:history="1">
        <w:r w:rsidRPr="00487C4E">
          <w:rPr>
            <w:rStyle w:val="Hyperlink"/>
          </w:rPr>
          <w:t>DP/2012/25: Arreglos de Programación</w:t>
        </w:r>
      </w:hyperlink>
      <w:r>
        <w:t xml:space="preserve"> y el presupuesto institucional, los nuevos marcos de financiación y recuperación de costos tienen un impacto significativo en la manera en que se financian las actividades de las </w:t>
      </w:r>
      <w:r w:rsidR="00924999">
        <w:t>Oficinas de país</w:t>
      </w:r>
      <w:r>
        <w:t xml:space="preserve">, los Centros Regionales y la Sede para lograr con éxito los resultados definidos en el </w:t>
      </w:r>
      <w:hyperlink r:id="rId18" w:history="1">
        <w:r w:rsidRPr="00487C4E">
          <w:rPr>
            <w:rStyle w:val="Hyperlink"/>
          </w:rPr>
          <w:t>DP/2013/40: Plan Estratégico</w:t>
        </w:r>
      </w:hyperlink>
      <w:r>
        <w:t xml:space="preserve"> del PNUD.   </w:t>
      </w:r>
    </w:p>
    <w:p w14:paraId="55D7C6DD" w14:textId="77777777" w:rsidR="00EA3FB1" w:rsidRPr="00901311" w:rsidRDefault="001A2865">
      <w:pPr>
        <w:spacing w:after="20" w:line="259" w:lineRule="auto"/>
        <w:ind w:left="0" w:right="0" w:firstLine="0"/>
        <w:jc w:val="left"/>
      </w:pPr>
      <w:r>
        <w:t xml:space="preserve">  </w:t>
      </w:r>
    </w:p>
    <w:p w14:paraId="51F4EBE5" w14:textId="4D23A888" w:rsidR="00EA3FB1" w:rsidRPr="00901311" w:rsidRDefault="001A2865">
      <w:pPr>
        <w:numPr>
          <w:ilvl w:val="0"/>
          <w:numId w:val="1"/>
        </w:numPr>
        <w:ind w:right="0" w:hanging="360"/>
      </w:pPr>
      <w:r>
        <w:t xml:space="preserve">El Presupuesto Integrado refleja la evolución del Modelo </w:t>
      </w:r>
      <w:r w:rsidR="00924999">
        <w:t xml:space="preserve">de negocio </w:t>
      </w:r>
      <w:r>
        <w:t xml:space="preserve">del PNUD, al reafirmar el reajuste de los recursos y reconocer las sinergias y los vínculos entre los resultados institucionales y de desarrollo a los niveles de país, regional y mundial, y los requisitos de recursos y atribuciones de costos asociados. Reconoce que las actividades institucionales representan habilitadores estratégicos esenciales para el logro de los resultados de desarrollo y facilita el proceso de reajuste continuo de las capacidades institucionales requeridas para ayudar a los países en que se ejecutan los programas a alcanzar los resultados de desarrollo. </w:t>
      </w:r>
    </w:p>
    <w:p w14:paraId="3C0A8157" w14:textId="77777777" w:rsidR="00EA3FB1" w:rsidRPr="00901311" w:rsidRDefault="001A2865">
      <w:pPr>
        <w:spacing w:after="21" w:line="259" w:lineRule="auto"/>
        <w:ind w:left="0" w:right="0" w:firstLine="0"/>
        <w:jc w:val="left"/>
      </w:pPr>
      <w:r>
        <w:t xml:space="preserve">  </w:t>
      </w:r>
    </w:p>
    <w:p w14:paraId="7A10B594" w14:textId="77777777" w:rsidR="00EA3FB1" w:rsidRPr="00901311" w:rsidRDefault="001A2865">
      <w:pPr>
        <w:numPr>
          <w:ilvl w:val="0"/>
          <w:numId w:val="1"/>
        </w:numPr>
        <w:ind w:right="0" w:hanging="360"/>
      </w:pPr>
      <w:r>
        <w:t xml:space="preserve">El nuevo enfoque del Presupuesto Integrado da lugar a dos elementos críticos:  </w:t>
      </w:r>
    </w:p>
    <w:p w14:paraId="6E12D9D6" w14:textId="77777777" w:rsidR="00EA3FB1" w:rsidRPr="00901311" w:rsidRDefault="001A2865">
      <w:pPr>
        <w:spacing w:after="21" w:line="259" w:lineRule="auto"/>
        <w:ind w:left="0" w:right="0" w:firstLine="0"/>
        <w:jc w:val="left"/>
      </w:pPr>
      <w:r>
        <w:t xml:space="preserve">  </w:t>
      </w:r>
    </w:p>
    <w:p w14:paraId="643BD64F" w14:textId="4C870784" w:rsidR="00EA3FB1" w:rsidRPr="00901311" w:rsidRDefault="001A2865">
      <w:pPr>
        <w:numPr>
          <w:ilvl w:val="1"/>
          <w:numId w:val="1"/>
        </w:numPr>
        <w:ind w:right="0" w:hanging="360"/>
      </w:pPr>
      <w:r>
        <w:t xml:space="preserve">Un aumento en la porción de recursos </w:t>
      </w:r>
      <w:r w:rsidR="00A4798C">
        <w:t>básico</w:t>
      </w:r>
      <w:r w:rsidR="00924999">
        <w:t xml:space="preserve"> básicos </w:t>
      </w:r>
      <w:r>
        <w:t xml:space="preserve">disponibles para financiar los componentes programáticos </w:t>
      </w:r>
    </w:p>
    <w:p w14:paraId="6699805F" w14:textId="77777777" w:rsidR="00EA3FB1" w:rsidRPr="00901311" w:rsidRDefault="001A2865">
      <w:pPr>
        <w:ind w:left="1133" w:right="0" w:firstLine="0"/>
      </w:pPr>
      <w:r>
        <w:t xml:space="preserve">(de desarrollo) del presupuesto integrado; y </w:t>
      </w:r>
    </w:p>
    <w:p w14:paraId="29DE9707" w14:textId="77777777" w:rsidR="00EA3FB1" w:rsidRPr="00901311" w:rsidRDefault="001A2865">
      <w:pPr>
        <w:numPr>
          <w:ilvl w:val="1"/>
          <w:numId w:val="1"/>
        </w:numPr>
        <w:ind w:right="0" w:hanging="360"/>
      </w:pPr>
      <w:r>
        <w:t xml:space="preserve">Un intento de garantizar que todas las actividades de la organización estén adecuadamente presupuestadas y atribuidas de manera correcta a la amplia gama de fuentes de financiación que financian nuestro trabajo de desarrollo.   </w:t>
      </w:r>
    </w:p>
    <w:p w14:paraId="5B54AB34" w14:textId="77777777" w:rsidR="00EA3FB1" w:rsidRPr="00901311" w:rsidRDefault="001A2865">
      <w:pPr>
        <w:spacing w:after="21" w:line="259" w:lineRule="auto"/>
        <w:ind w:left="0" w:right="0" w:firstLine="0"/>
        <w:jc w:val="left"/>
      </w:pPr>
      <w:r>
        <w:t xml:space="preserve">  </w:t>
      </w:r>
    </w:p>
    <w:p w14:paraId="5A38C48D" w14:textId="73382C91" w:rsidR="00EA3FB1" w:rsidRPr="00901311" w:rsidRDefault="001A2865">
      <w:pPr>
        <w:numPr>
          <w:ilvl w:val="0"/>
          <w:numId w:val="1"/>
        </w:numPr>
        <w:ind w:right="0" w:hanging="360"/>
      </w:pPr>
      <w:r>
        <w:t xml:space="preserve">La financiación para las actividades organizativas de las </w:t>
      </w:r>
      <w:r w:rsidR="00924999">
        <w:t>Oficinas de país</w:t>
      </w:r>
      <w:r>
        <w:t xml:space="preserve">, los Centros Regionales y la Sede está disponible a través de lo siguiente: </w:t>
      </w:r>
    </w:p>
    <w:p w14:paraId="4ED94D2F" w14:textId="77777777" w:rsidR="00EA3FB1" w:rsidRPr="00901311" w:rsidRDefault="001A2865">
      <w:pPr>
        <w:spacing w:after="20" w:line="259" w:lineRule="auto"/>
        <w:ind w:left="0" w:right="0" w:firstLine="0"/>
        <w:jc w:val="left"/>
      </w:pPr>
      <w:r>
        <w:t xml:space="preserve">  </w:t>
      </w:r>
    </w:p>
    <w:p w14:paraId="0172D680" w14:textId="3B6A9A06" w:rsidR="00EA3FB1" w:rsidRPr="00901311" w:rsidRDefault="001A2865">
      <w:pPr>
        <w:numPr>
          <w:ilvl w:val="1"/>
          <w:numId w:val="1"/>
        </w:numPr>
        <w:ind w:right="0" w:hanging="360"/>
      </w:pPr>
      <w:r>
        <w:t>Presupuesto Integrado (recursos</w:t>
      </w:r>
      <w:r w:rsidR="00C22803">
        <w:t xml:space="preserve"> </w:t>
      </w:r>
      <w:r w:rsidR="00924999">
        <w:t>básicos</w:t>
      </w:r>
      <w:r>
        <w:t xml:space="preserve">), </w:t>
      </w:r>
    </w:p>
    <w:p w14:paraId="2D9B987C" w14:textId="3FA4F594" w:rsidR="00EA3FB1" w:rsidRPr="00901311" w:rsidRDefault="001A2865" w:rsidP="00427506">
      <w:pPr>
        <w:numPr>
          <w:ilvl w:val="1"/>
          <w:numId w:val="1"/>
        </w:numPr>
        <w:ind w:right="0" w:firstLine="0"/>
        <w:rPr>
          <w:color w:val="0070C0"/>
        </w:rPr>
      </w:pPr>
      <w:r>
        <w:t xml:space="preserve">Aplicación de la </w:t>
      </w:r>
      <w:r>
        <w:rPr>
          <w:b/>
        </w:rPr>
        <w:t xml:space="preserve">metodología de recuperación de costos </w:t>
      </w:r>
      <w:r>
        <w:t xml:space="preserve">(ingresos por recuperación de costos ganados a través del cobro de la tarifa de GMS [apoyo general a la gestión] en otros recursos o recursos extrapresupuestarios: </w:t>
      </w:r>
      <w:hyperlink r:id="rId19" w:history="1">
        <w:r w:rsidRPr="00487C4E">
          <w:rPr>
            <w:rStyle w:val="Hyperlink"/>
          </w:rPr>
          <w:t>Políticas y Procedimientos de Operaciones y Programas [POPP] sobre Recuperación de Costos de Otros Recursos: Apoyo General a la Gestión [GMS]),</w:t>
        </w:r>
      </w:hyperlink>
      <w:r>
        <w:rPr>
          <w:color w:val="0070C0"/>
        </w:rPr>
        <w:t xml:space="preserve"> </w:t>
      </w:r>
    </w:p>
    <w:p w14:paraId="4535986D" w14:textId="560947A9" w:rsidR="00EA3FB1" w:rsidRPr="00901311" w:rsidRDefault="001A2865" w:rsidP="00427506">
      <w:pPr>
        <w:numPr>
          <w:ilvl w:val="1"/>
          <w:numId w:val="1"/>
        </w:numPr>
        <w:ind w:right="0" w:hanging="360"/>
      </w:pPr>
      <w:r>
        <w:t>Ingresos generados por la provisión de servicios de apoyo a Organismos de la ONU (</w:t>
      </w:r>
      <w:hyperlink r:id="rId20" w:history="1">
        <w:r w:rsidRPr="00487C4E">
          <w:rPr>
            <w:rStyle w:val="Hyperlink"/>
          </w:rPr>
          <w:t>Provisión de Servicios a Entidades de la ONU</w:t>
        </w:r>
      </w:hyperlink>
      <w:r>
        <w:t xml:space="preserve">) y </w:t>
      </w:r>
    </w:p>
    <w:p w14:paraId="34256899" w14:textId="20753AF7" w:rsidR="00427506" w:rsidRPr="00901311" w:rsidRDefault="001A2865" w:rsidP="00427506">
      <w:pPr>
        <w:numPr>
          <w:ilvl w:val="1"/>
          <w:numId w:val="1"/>
        </w:numPr>
        <w:ind w:right="0" w:hanging="360"/>
      </w:pPr>
      <w:r>
        <w:lastRenderedPageBreak/>
        <w:t xml:space="preserve">Costos directos de los proyectos que contribuyen de manera directa al logro de los resultados de desarrollo de los proyectos y los programas y son financiados a través de recursos </w:t>
      </w:r>
      <w:r w:rsidR="00A4798C">
        <w:t>básico</w:t>
      </w:r>
      <w:r>
        <w:t xml:space="preserve">(básicos) y otros (complementarios). La aplicación de Costos Directos del Proyecto institucionaliza una financiación más equitativa de los costos organizacionales entre los recursos </w:t>
      </w:r>
      <w:r w:rsidR="00A4798C">
        <w:t>básicos</w:t>
      </w:r>
      <w:r>
        <w:t xml:space="preserve"> </w:t>
      </w:r>
      <w:r w:rsidR="00105AA8">
        <w:t xml:space="preserve">y </w:t>
      </w:r>
      <w:r>
        <w:t>otros recursos. (</w:t>
      </w:r>
      <w:hyperlink r:id="rId21" w:history="1">
        <w:r w:rsidR="00C362DD" w:rsidRPr="00C362DD">
          <w:rPr>
            <w:rStyle w:val="Hyperlink"/>
          </w:rPr>
          <w:t xml:space="preserve">Planificación y pago de la prestación de servicios de apoyo a los proyectos </w:t>
        </w:r>
        <w:r w:rsidRPr="00487C4E">
          <w:rPr>
            <w:rStyle w:val="Hyperlink"/>
          </w:rPr>
          <w:t>[</w:t>
        </w:r>
        <w:r w:rsidR="00C362DD">
          <w:rPr>
            <w:rStyle w:val="Hyperlink"/>
          </w:rPr>
          <w:t>Solo disponible en inglés</w:t>
        </w:r>
        <w:r w:rsidRPr="00487C4E">
          <w:rPr>
            <w:rStyle w:val="Hyperlink"/>
          </w:rPr>
          <w:t>])</w:t>
        </w:r>
      </w:hyperlink>
    </w:p>
    <w:p w14:paraId="1A2A9365" w14:textId="77777777" w:rsidR="00427506" w:rsidRPr="00901311" w:rsidRDefault="00427506" w:rsidP="00427506">
      <w:pPr>
        <w:ind w:left="1133" w:right="0" w:firstLine="0"/>
      </w:pPr>
    </w:p>
    <w:p w14:paraId="6E654D0D" w14:textId="77777777" w:rsidR="00EA3FB1" w:rsidRPr="00901311" w:rsidRDefault="001A2865">
      <w:pPr>
        <w:numPr>
          <w:ilvl w:val="0"/>
          <w:numId w:val="1"/>
        </w:numPr>
        <w:ind w:right="0" w:hanging="360"/>
      </w:pPr>
      <w:r>
        <w:t xml:space="preserve">Los componentes organizacionales y de programa del PNUD se atribuyen y definen de acuerdo con las siguientes cinco categorías y doce subcategorías de clasificación de costos: </w:t>
      </w:r>
    </w:p>
    <w:p w14:paraId="3F49D0E0" w14:textId="77777777" w:rsidR="00EA3FB1" w:rsidRPr="00901311" w:rsidRDefault="001A2865">
      <w:pPr>
        <w:spacing w:after="0" w:line="259" w:lineRule="auto"/>
        <w:ind w:left="0" w:right="0" w:firstLine="0"/>
        <w:jc w:val="left"/>
      </w:pPr>
      <w:r>
        <w:t xml:space="preserve">  </w:t>
      </w:r>
    </w:p>
    <w:tbl>
      <w:tblPr>
        <w:tblStyle w:val="TableGrid"/>
        <w:tblW w:w="8508" w:type="dxa"/>
        <w:tblInd w:w="708" w:type="dxa"/>
        <w:tblCellMar>
          <w:top w:w="50" w:type="dxa"/>
          <w:left w:w="19" w:type="dxa"/>
          <w:right w:w="60" w:type="dxa"/>
        </w:tblCellMar>
        <w:tblLook w:val="04A0" w:firstRow="1" w:lastRow="0" w:firstColumn="1" w:lastColumn="0" w:noHBand="0" w:noVBand="1"/>
      </w:tblPr>
      <w:tblGrid>
        <w:gridCol w:w="2191"/>
        <w:gridCol w:w="6317"/>
      </w:tblGrid>
      <w:tr w:rsidR="00EA3FB1" w:rsidRPr="00901311" w14:paraId="2DEF1231" w14:textId="77777777" w:rsidTr="005A64A8">
        <w:trPr>
          <w:trHeight w:val="1092"/>
        </w:trPr>
        <w:tc>
          <w:tcPr>
            <w:tcW w:w="2191" w:type="dxa"/>
            <w:tcBorders>
              <w:top w:val="single" w:sz="8" w:space="0" w:color="000000"/>
              <w:left w:val="single" w:sz="8" w:space="0" w:color="000000"/>
              <w:bottom w:val="single" w:sz="8" w:space="0" w:color="000000"/>
              <w:right w:val="single" w:sz="8" w:space="0" w:color="000000"/>
            </w:tcBorders>
          </w:tcPr>
          <w:p w14:paraId="0DDF0376" w14:textId="77777777" w:rsidR="00EA3FB1" w:rsidRPr="00901311" w:rsidRDefault="001A2865">
            <w:pPr>
              <w:spacing w:after="0" w:line="259" w:lineRule="auto"/>
              <w:ind w:left="0" w:right="0" w:firstLine="0"/>
              <w:jc w:val="left"/>
            </w:pPr>
            <w:r>
              <w:rPr>
                <w:b/>
              </w:rPr>
              <w:t>Actividades de programas</w:t>
            </w:r>
            <w:r>
              <w:t xml:space="preserve"> </w:t>
            </w:r>
          </w:p>
        </w:tc>
        <w:tc>
          <w:tcPr>
            <w:tcW w:w="6317" w:type="dxa"/>
            <w:tcBorders>
              <w:top w:val="single" w:sz="8" w:space="0" w:color="000000"/>
              <w:left w:val="single" w:sz="8" w:space="0" w:color="000000"/>
              <w:bottom w:val="single" w:sz="8" w:space="0" w:color="000000"/>
              <w:right w:val="single" w:sz="8" w:space="0" w:color="000000"/>
            </w:tcBorders>
          </w:tcPr>
          <w:p w14:paraId="3F94706D" w14:textId="77777777" w:rsidR="00EA3FB1" w:rsidRPr="00901311" w:rsidRDefault="001A2865">
            <w:pPr>
              <w:spacing w:after="0" w:line="239" w:lineRule="auto"/>
              <w:ind w:left="89" w:right="0" w:firstLine="0"/>
            </w:pPr>
            <w:r>
              <w:t xml:space="preserve">1a: Apoyo específico incorporado en programas y proyectos de desarrollo </w:t>
            </w:r>
          </w:p>
          <w:p w14:paraId="3CA9E608" w14:textId="77777777" w:rsidR="00EA3FB1" w:rsidRPr="00901311" w:rsidRDefault="001A2865">
            <w:pPr>
              <w:spacing w:after="0" w:line="259" w:lineRule="auto"/>
              <w:ind w:left="89" w:right="0" w:firstLine="0"/>
              <w:jc w:val="left"/>
            </w:pPr>
            <w:r>
              <w:t xml:space="preserve">  </w:t>
            </w:r>
          </w:p>
          <w:p w14:paraId="5CEA91FA" w14:textId="77777777" w:rsidR="00EA3FB1" w:rsidRPr="00901311" w:rsidRDefault="001A2865">
            <w:pPr>
              <w:spacing w:after="0" w:line="259" w:lineRule="auto"/>
              <w:ind w:left="89" w:right="0" w:firstLine="0"/>
              <w:jc w:val="left"/>
            </w:pPr>
            <w:r>
              <w:t xml:space="preserve">1b: Actividades de ejecución y de apoyo a la ejecución  </w:t>
            </w:r>
          </w:p>
        </w:tc>
      </w:tr>
      <w:tr w:rsidR="00EA3FB1" w:rsidRPr="00901311" w14:paraId="34DA2885"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4799AAA2" w14:textId="77777777" w:rsidR="00EA3FB1" w:rsidRPr="00901311" w:rsidRDefault="001A2865">
            <w:pPr>
              <w:spacing w:after="0" w:line="259" w:lineRule="auto"/>
              <w:ind w:left="0" w:right="0" w:firstLine="0"/>
              <w:jc w:val="left"/>
            </w:pPr>
            <w:r>
              <w:rPr>
                <w:b/>
              </w:rPr>
              <w:t>Actividades de eficacia del desarrollo</w:t>
            </w:r>
            <w:r>
              <w:t xml:space="preserve"> </w:t>
            </w:r>
          </w:p>
        </w:tc>
        <w:tc>
          <w:tcPr>
            <w:tcW w:w="6317" w:type="dxa"/>
            <w:tcBorders>
              <w:top w:val="single" w:sz="8" w:space="0" w:color="000000"/>
              <w:left w:val="single" w:sz="8" w:space="0" w:color="000000"/>
              <w:bottom w:val="single" w:sz="8" w:space="0" w:color="000000"/>
              <w:right w:val="single" w:sz="8" w:space="0" w:color="000000"/>
            </w:tcBorders>
          </w:tcPr>
          <w:p w14:paraId="6D33D19B" w14:textId="77777777" w:rsidR="00EA3FB1" w:rsidRPr="00901311" w:rsidRDefault="001A2865">
            <w:pPr>
              <w:spacing w:after="0" w:line="259" w:lineRule="auto"/>
              <w:ind w:left="89" w:right="0" w:firstLine="0"/>
              <w:jc w:val="left"/>
            </w:pPr>
            <w:r>
              <w:t xml:space="preserve">2a: Planificación Estratégica de Programas de Países y </w:t>
            </w:r>
          </w:p>
          <w:p w14:paraId="77FD0F75" w14:textId="77777777" w:rsidR="00EA3FB1" w:rsidRPr="00901311" w:rsidRDefault="001A2865">
            <w:pPr>
              <w:spacing w:after="0" w:line="259" w:lineRule="auto"/>
              <w:ind w:left="89" w:right="0" w:firstLine="0"/>
              <w:jc w:val="left"/>
            </w:pPr>
            <w:r>
              <w:t xml:space="preserve">Control de Calidad </w:t>
            </w:r>
          </w:p>
          <w:p w14:paraId="4246E7C7" w14:textId="77777777" w:rsidR="005A64A8" w:rsidRPr="00901311" w:rsidRDefault="005A64A8">
            <w:pPr>
              <w:spacing w:after="0" w:line="259" w:lineRule="auto"/>
              <w:ind w:left="89" w:right="0" w:firstLine="0"/>
              <w:jc w:val="left"/>
            </w:pPr>
          </w:p>
          <w:p w14:paraId="353682E7" w14:textId="77777777" w:rsidR="005A64A8" w:rsidRPr="00901311" w:rsidRDefault="005A64A8">
            <w:pPr>
              <w:spacing w:after="0" w:line="259" w:lineRule="auto"/>
              <w:ind w:left="89" w:right="0" w:firstLine="0"/>
              <w:jc w:val="left"/>
            </w:pPr>
            <w:r>
              <w:t>2b: Desarrollo y Gestión de Tramitación de Programas</w:t>
            </w:r>
          </w:p>
          <w:p w14:paraId="0748A7F2" w14:textId="77777777" w:rsidR="005A64A8" w:rsidRPr="00901311" w:rsidRDefault="005A64A8">
            <w:pPr>
              <w:spacing w:after="0" w:line="259" w:lineRule="auto"/>
              <w:ind w:left="89" w:right="0" w:firstLine="0"/>
              <w:jc w:val="left"/>
            </w:pPr>
          </w:p>
          <w:p w14:paraId="095FA218" w14:textId="77777777" w:rsidR="005A64A8" w:rsidRPr="00901311" w:rsidRDefault="005A64A8">
            <w:pPr>
              <w:spacing w:after="0" w:line="259" w:lineRule="auto"/>
              <w:ind w:left="89" w:right="0" w:firstLine="0"/>
              <w:jc w:val="left"/>
            </w:pPr>
            <w:r>
              <w:t>2c: Servicios de Asesoramiento sobre Políticas de Programas</w:t>
            </w:r>
          </w:p>
        </w:tc>
      </w:tr>
      <w:tr w:rsidR="005A64A8" w:rsidRPr="00901311" w14:paraId="6BBC2364"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305139D4" w14:textId="77777777" w:rsidR="005A64A8" w:rsidRPr="00901311" w:rsidRDefault="005A64A8">
            <w:pPr>
              <w:spacing w:after="0" w:line="259" w:lineRule="auto"/>
              <w:ind w:left="0" w:right="0" w:firstLine="0"/>
              <w:jc w:val="left"/>
              <w:rPr>
                <w:b/>
              </w:rPr>
            </w:pPr>
            <w:r>
              <w:rPr>
                <w:b/>
              </w:rPr>
              <w:t>Actividades de Coordinación del Desarrollo de las Naciones Unidas</w:t>
            </w:r>
          </w:p>
        </w:tc>
        <w:tc>
          <w:tcPr>
            <w:tcW w:w="6317" w:type="dxa"/>
            <w:tcBorders>
              <w:top w:val="single" w:sz="8" w:space="0" w:color="000000"/>
              <w:left w:val="single" w:sz="8" w:space="0" w:color="000000"/>
              <w:bottom w:val="single" w:sz="8" w:space="0" w:color="000000"/>
              <w:right w:val="single" w:sz="8" w:space="0" w:color="000000"/>
            </w:tcBorders>
          </w:tcPr>
          <w:p w14:paraId="372446BE" w14:textId="77777777" w:rsidR="005A64A8" w:rsidRPr="00901311" w:rsidRDefault="005A64A8">
            <w:pPr>
              <w:spacing w:after="0" w:line="259" w:lineRule="auto"/>
              <w:ind w:left="89" w:right="0" w:firstLine="0"/>
              <w:jc w:val="left"/>
            </w:pPr>
            <w:r>
              <w:t>3a: Coordinación y Representación del Sistema de la ONU</w:t>
            </w:r>
          </w:p>
          <w:p w14:paraId="05BAC0DE" w14:textId="77777777" w:rsidR="005A64A8" w:rsidRPr="00901311" w:rsidRDefault="005A64A8">
            <w:pPr>
              <w:spacing w:after="0" w:line="259" w:lineRule="auto"/>
              <w:ind w:left="89" w:right="0" w:firstLine="0"/>
              <w:jc w:val="left"/>
            </w:pPr>
          </w:p>
          <w:p w14:paraId="6885AFF4" w14:textId="77777777" w:rsidR="005A64A8" w:rsidRPr="00901311" w:rsidRDefault="005A64A8">
            <w:pPr>
              <w:spacing w:after="0" w:line="259" w:lineRule="auto"/>
              <w:ind w:left="89" w:right="0" w:firstLine="0"/>
              <w:jc w:val="left"/>
            </w:pPr>
            <w:r>
              <w:t>3b: Apoyo a las Operaciones y los Servicios para el Sistema de la ONU</w:t>
            </w:r>
          </w:p>
        </w:tc>
      </w:tr>
      <w:tr w:rsidR="005A64A8" w:rsidRPr="00901311" w14:paraId="0110B897"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2BA6A7EB" w14:textId="77777777" w:rsidR="005A64A8" w:rsidRPr="00901311" w:rsidRDefault="005A64A8">
            <w:pPr>
              <w:spacing w:after="0" w:line="259" w:lineRule="auto"/>
              <w:ind w:left="0" w:right="0" w:firstLine="0"/>
              <w:jc w:val="left"/>
              <w:rPr>
                <w:b/>
              </w:rPr>
            </w:pPr>
            <w:r>
              <w:rPr>
                <w:b/>
              </w:rPr>
              <w:t>Actividades de gestión</w:t>
            </w:r>
          </w:p>
        </w:tc>
        <w:tc>
          <w:tcPr>
            <w:tcW w:w="6317" w:type="dxa"/>
            <w:tcBorders>
              <w:top w:val="single" w:sz="8" w:space="0" w:color="000000"/>
              <w:left w:val="single" w:sz="8" w:space="0" w:color="000000"/>
              <w:bottom w:val="single" w:sz="8" w:space="0" w:color="000000"/>
              <w:right w:val="single" w:sz="8" w:space="0" w:color="000000"/>
            </w:tcBorders>
          </w:tcPr>
          <w:p w14:paraId="3384AE20" w14:textId="77777777" w:rsidR="005A64A8" w:rsidRPr="00901311" w:rsidRDefault="005A64A8" w:rsidP="005A64A8">
            <w:pPr>
              <w:spacing w:after="0" w:line="259" w:lineRule="auto"/>
              <w:ind w:left="89" w:right="0" w:firstLine="0"/>
              <w:jc w:val="left"/>
            </w:pPr>
            <w:r>
              <w:t>4a: Liderazgo y Representación en el País</w:t>
            </w:r>
          </w:p>
          <w:p w14:paraId="0418CD9B" w14:textId="77777777" w:rsidR="005A64A8" w:rsidRPr="00901311" w:rsidRDefault="005A64A8" w:rsidP="005A64A8">
            <w:pPr>
              <w:spacing w:after="0" w:line="259" w:lineRule="auto"/>
              <w:ind w:left="89" w:right="0" w:firstLine="0"/>
              <w:jc w:val="left"/>
            </w:pPr>
          </w:p>
          <w:p w14:paraId="46946DD4" w14:textId="77777777" w:rsidR="005A64A8" w:rsidRPr="00901311" w:rsidRDefault="005A64A8" w:rsidP="005A64A8">
            <w:pPr>
              <w:spacing w:after="0" w:line="259" w:lineRule="auto"/>
              <w:ind w:left="89" w:right="0" w:firstLine="0"/>
              <w:jc w:val="left"/>
            </w:pPr>
            <w:r>
              <w:t>4b: Dirección y Rendición de Cuentas de Programas</w:t>
            </w:r>
          </w:p>
          <w:p w14:paraId="47463289" w14:textId="77777777" w:rsidR="005A64A8" w:rsidRPr="00901311" w:rsidRDefault="005A64A8" w:rsidP="005A64A8">
            <w:pPr>
              <w:spacing w:after="0" w:line="259" w:lineRule="auto"/>
              <w:ind w:left="89" w:right="0" w:firstLine="0"/>
              <w:jc w:val="left"/>
            </w:pPr>
          </w:p>
          <w:p w14:paraId="6B0D8769" w14:textId="77777777" w:rsidR="005A64A8" w:rsidRPr="00901311" w:rsidRDefault="005A64A8" w:rsidP="005A64A8">
            <w:pPr>
              <w:spacing w:after="0" w:line="259" w:lineRule="auto"/>
              <w:ind w:left="89" w:right="0" w:firstLine="0"/>
              <w:jc w:val="left"/>
            </w:pPr>
            <w:r>
              <w:t>4c: Gestión y Administración de Operaciones</w:t>
            </w:r>
          </w:p>
        </w:tc>
      </w:tr>
      <w:tr w:rsidR="005A64A8" w:rsidRPr="00901311" w14:paraId="637214FE" w14:textId="77777777" w:rsidTr="005A64A8">
        <w:trPr>
          <w:trHeight w:val="557"/>
        </w:trPr>
        <w:tc>
          <w:tcPr>
            <w:tcW w:w="2191" w:type="dxa"/>
            <w:tcBorders>
              <w:top w:val="single" w:sz="8" w:space="0" w:color="000000"/>
              <w:left w:val="single" w:sz="8" w:space="0" w:color="000000"/>
              <w:bottom w:val="single" w:sz="8" w:space="0" w:color="000000"/>
              <w:right w:val="single" w:sz="8" w:space="0" w:color="000000"/>
            </w:tcBorders>
          </w:tcPr>
          <w:p w14:paraId="79862C7A" w14:textId="77777777" w:rsidR="005A64A8" w:rsidRPr="00901311" w:rsidRDefault="005A64A8">
            <w:pPr>
              <w:spacing w:after="0" w:line="259" w:lineRule="auto"/>
              <w:ind w:left="0" w:right="0" w:firstLine="0"/>
              <w:jc w:val="left"/>
              <w:rPr>
                <w:b/>
              </w:rPr>
            </w:pPr>
            <w:r>
              <w:rPr>
                <w:b/>
              </w:rPr>
              <w:t>Actividades con Fines Especiales</w:t>
            </w:r>
          </w:p>
        </w:tc>
        <w:tc>
          <w:tcPr>
            <w:tcW w:w="6317" w:type="dxa"/>
            <w:tcBorders>
              <w:top w:val="single" w:sz="8" w:space="0" w:color="000000"/>
              <w:left w:val="single" w:sz="8" w:space="0" w:color="000000"/>
              <w:bottom w:val="single" w:sz="8" w:space="0" w:color="000000"/>
              <w:right w:val="single" w:sz="8" w:space="0" w:color="000000"/>
            </w:tcBorders>
          </w:tcPr>
          <w:p w14:paraId="2B654A4B" w14:textId="77777777" w:rsidR="005A64A8" w:rsidRPr="00901311" w:rsidRDefault="005A64A8">
            <w:pPr>
              <w:spacing w:after="0" w:line="259" w:lineRule="auto"/>
              <w:ind w:left="89" w:right="0" w:firstLine="0"/>
              <w:jc w:val="left"/>
            </w:pPr>
            <w:r>
              <w:t>5a: Inversiones de Capital</w:t>
            </w:r>
          </w:p>
          <w:p w14:paraId="67DFFBEE" w14:textId="77777777" w:rsidR="005A64A8" w:rsidRPr="00901311" w:rsidRDefault="005A64A8">
            <w:pPr>
              <w:spacing w:after="0" w:line="259" w:lineRule="auto"/>
              <w:ind w:left="89" w:right="0" w:firstLine="0"/>
              <w:jc w:val="left"/>
            </w:pPr>
          </w:p>
          <w:p w14:paraId="16D0CDC1" w14:textId="77777777" w:rsidR="005A64A8" w:rsidRPr="00901311" w:rsidRDefault="005A64A8">
            <w:pPr>
              <w:spacing w:after="0" w:line="259" w:lineRule="auto"/>
              <w:ind w:left="89" w:right="0" w:firstLine="0"/>
              <w:jc w:val="left"/>
            </w:pPr>
            <w:r>
              <w:t>5b: Operaciones no correspondientes al PNUD administradas por el PNUD (VNU, FNUDC)</w:t>
            </w:r>
          </w:p>
        </w:tc>
      </w:tr>
    </w:tbl>
    <w:p w14:paraId="2A9C30BD" w14:textId="77777777" w:rsidR="00EA3FB1" w:rsidRPr="00901311" w:rsidRDefault="00EA3FB1">
      <w:pPr>
        <w:spacing w:after="204" w:line="259" w:lineRule="auto"/>
        <w:ind w:left="-29" w:right="-27" w:firstLine="0"/>
        <w:jc w:val="left"/>
      </w:pPr>
    </w:p>
    <w:p w14:paraId="45067BAE" w14:textId="23BE26BA" w:rsidR="00EA3FB1" w:rsidRPr="00901311" w:rsidRDefault="001A2865">
      <w:pPr>
        <w:numPr>
          <w:ilvl w:val="0"/>
          <w:numId w:val="1"/>
        </w:numPr>
        <w:ind w:right="0" w:hanging="360"/>
      </w:pPr>
      <w:r>
        <w:t xml:space="preserve">Estas categorías de clasificación de costos proporcionan una base firme para aumentar la transparencia, la coherencia y la alineación de las categorías de presupuesto a nivel mundial con el Modelo </w:t>
      </w:r>
      <w:r w:rsidR="00A4798C">
        <w:t xml:space="preserve">de negocio </w:t>
      </w:r>
      <w:r>
        <w:t xml:space="preserve">del PNUD. Más aún, mejoran la alineación de los recursos con los resultados y la presupuestación de los proyectos de manera tal que harán que el costo real de los proyectos sea más transparente y garantizarán la obtención de las capacidades sustantivas, de políticas y de ejecución requeridas. </w:t>
      </w:r>
    </w:p>
    <w:p w14:paraId="24C3A4D2" w14:textId="77777777" w:rsidR="00EA3FB1" w:rsidRPr="00901311" w:rsidRDefault="001A2865">
      <w:pPr>
        <w:spacing w:after="22" w:line="259" w:lineRule="auto"/>
        <w:ind w:left="720" w:right="0" w:firstLine="0"/>
        <w:jc w:val="left"/>
      </w:pPr>
      <w:r>
        <w:t xml:space="preserve"> </w:t>
      </w:r>
    </w:p>
    <w:p w14:paraId="0096C144" w14:textId="77777777" w:rsidR="00EA3FB1" w:rsidRPr="00901311" w:rsidRDefault="001A2865">
      <w:pPr>
        <w:numPr>
          <w:ilvl w:val="0"/>
          <w:numId w:val="1"/>
        </w:numPr>
        <w:spacing w:after="158" w:line="240" w:lineRule="auto"/>
        <w:ind w:right="0" w:hanging="360"/>
      </w:pPr>
      <w:r>
        <w:t xml:space="preserve">La </w:t>
      </w:r>
      <w:r>
        <w:rPr>
          <w:b/>
        </w:rPr>
        <w:t>Tabla A</w:t>
      </w:r>
      <w:r>
        <w:t xml:space="preserve"> </w:t>
      </w:r>
      <w:proofErr w:type="spellStart"/>
      <w:r>
        <w:t>a</w:t>
      </w:r>
      <w:proofErr w:type="spellEnd"/>
      <w:r>
        <w:t xml:space="preserve"> continuación ilustra el marco </w:t>
      </w:r>
      <w:r>
        <w:rPr>
          <w:i/>
        </w:rPr>
        <w:t xml:space="preserve">armonizado </w:t>
      </w:r>
      <w:r>
        <w:t xml:space="preserve">de financiación conceptual y la metodología de recuperación de costos </w:t>
      </w:r>
      <w:r>
        <w:rPr>
          <w:i/>
        </w:rPr>
        <w:t xml:space="preserve">(nota: la categoría Coordinación del Desarrollo de las Naciones Unidas </w:t>
      </w:r>
      <w:r>
        <w:rPr>
          <w:i/>
        </w:rPr>
        <w:lastRenderedPageBreak/>
        <w:t xml:space="preserve">no se refleja en esta ilustración dado que no está armonizada con el UNICEF, el UNFPA y ONU-MUJERES, sino que es específica para los organismos). </w:t>
      </w:r>
      <w:r>
        <w:t xml:space="preserve"> </w:t>
      </w:r>
    </w:p>
    <w:p w14:paraId="3281114A" w14:textId="77777777" w:rsidR="00EA3FB1" w:rsidRPr="00901311" w:rsidRDefault="001A2865">
      <w:pPr>
        <w:pStyle w:val="Heading1"/>
        <w:ind w:left="-5"/>
      </w:pPr>
      <w:r>
        <w:rPr>
          <w:b w:val="0"/>
        </w:rPr>
        <w:t xml:space="preserve"> </w:t>
      </w:r>
      <w:r>
        <w:t>Tabla A: Marco armonizado de financiación conceptual y metodología de recuperación de costos</w:t>
      </w:r>
      <w:r>
        <w:rPr>
          <w:b w:val="0"/>
        </w:rPr>
        <w:t xml:space="preserve"> </w:t>
      </w:r>
    </w:p>
    <w:p w14:paraId="1C811795" w14:textId="77777777" w:rsidR="00EA3FB1" w:rsidRPr="00901311" w:rsidRDefault="001A2865">
      <w:pPr>
        <w:spacing w:after="179" w:line="259" w:lineRule="auto"/>
        <w:ind w:left="0" w:right="939" w:firstLine="0"/>
        <w:jc w:val="right"/>
      </w:pPr>
      <w:r>
        <w:rPr>
          <w:noProof/>
          <w:lang w:val="en-US" w:eastAsia="en-US" w:bidi="ar-SA"/>
        </w:rPr>
        <w:drawing>
          <wp:inline distT="0" distB="0" distL="0" distR="0" wp14:anchorId="2455E634" wp14:editId="4B0FB237">
            <wp:extent cx="4685786" cy="3476244"/>
            <wp:effectExtent l="0" t="0" r="635" b="0"/>
            <wp:docPr id="14351" name="Picture 14351"/>
            <wp:cNvGraphicFramePr/>
            <a:graphic xmlns:a="http://schemas.openxmlformats.org/drawingml/2006/main">
              <a:graphicData uri="http://schemas.openxmlformats.org/drawingml/2006/picture">
                <pic:pic xmlns:pic="http://schemas.openxmlformats.org/drawingml/2006/picture">
                  <pic:nvPicPr>
                    <pic:cNvPr id="14351" name="Picture 14351"/>
                    <pic:cNvPicPr/>
                  </pic:nvPicPr>
                  <pic:blipFill>
                    <a:blip r:embed="rId22">
                      <a:extLst>
                        <a:ext uri="{28A0092B-C50C-407E-A947-70E740481C1C}">
                          <a14:useLocalDpi xmlns:a14="http://schemas.microsoft.com/office/drawing/2010/main" val="0"/>
                        </a:ext>
                      </a:extLst>
                    </a:blip>
                    <a:stretch>
                      <a:fillRect/>
                    </a:stretch>
                  </pic:blipFill>
                  <pic:spPr>
                    <a:xfrm>
                      <a:off x="0" y="0"/>
                      <a:ext cx="4685786" cy="3476244"/>
                    </a:xfrm>
                    <a:prstGeom prst="rect">
                      <a:avLst/>
                    </a:prstGeom>
                  </pic:spPr>
                </pic:pic>
              </a:graphicData>
            </a:graphic>
          </wp:inline>
        </w:drawing>
      </w:r>
      <w:r>
        <w:t xml:space="preserve"> </w:t>
      </w:r>
    </w:p>
    <w:p w14:paraId="1F7269FD" w14:textId="50E06D55" w:rsidR="00EA3FB1" w:rsidRPr="00F32309" w:rsidRDefault="001A2865">
      <w:pPr>
        <w:spacing w:after="136" w:line="259" w:lineRule="auto"/>
        <w:ind w:left="-5" w:right="0" w:hanging="10"/>
        <w:jc w:val="left"/>
      </w:pPr>
      <w:r>
        <w:t xml:space="preserve">Nota: Básico se refiere a los Recursos </w:t>
      </w:r>
      <w:r w:rsidR="00A4798C">
        <w:t>Básico</w:t>
      </w:r>
      <w:r>
        <w:t xml:space="preserve">s y Complementario se refiere a Otros Recursos en el cuadro anterior. </w:t>
      </w:r>
    </w:p>
    <w:p w14:paraId="0358C93F" w14:textId="4CCF45D2" w:rsidR="00EA3FB1" w:rsidRPr="00901311" w:rsidRDefault="001A2865">
      <w:pPr>
        <w:numPr>
          <w:ilvl w:val="0"/>
          <w:numId w:val="2"/>
        </w:numPr>
        <w:ind w:right="0"/>
      </w:pPr>
      <w:r>
        <w:t xml:space="preserve">La Tabla A muestra que el costo total de las actividades del PNUD se financia a través de recursos </w:t>
      </w:r>
      <w:r w:rsidR="00A4798C">
        <w:t>básico</w:t>
      </w:r>
      <w:r>
        <w:t xml:space="preserve">s y otros recursos.    </w:t>
      </w:r>
    </w:p>
    <w:p w14:paraId="002D25CF" w14:textId="77777777" w:rsidR="00EA3FB1" w:rsidRPr="00901311" w:rsidRDefault="001A2865">
      <w:pPr>
        <w:spacing w:after="61" w:line="259" w:lineRule="auto"/>
        <w:ind w:left="720" w:right="0" w:firstLine="0"/>
        <w:jc w:val="left"/>
      </w:pPr>
      <w:r>
        <w:t xml:space="preserve"> </w:t>
      </w:r>
    </w:p>
    <w:p w14:paraId="5F101C99" w14:textId="6027E216" w:rsidR="00EA3FB1" w:rsidRPr="00901311" w:rsidRDefault="001A2865">
      <w:pPr>
        <w:numPr>
          <w:ilvl w:val="0"/>
          <w:numId w:val="2"/>
        </w:numPr>
        <w:ind w:right="0"/>
      </w:pPr>
      <w:r>
        <w:t xml:space="preserve">Los recursos </w:t>
      </w:r>
      <w:r w:rsidR="00A4798C">
        <w:t>básico</w:t>
      </w:r>
      <w:r>
        <w:t xml:space="preserve">s financian actividades de la organización que entran en todas las categorías armonizadas de clasificación de costos (Programa, Eficacia del desarrollo, Gestión, y Fines Especiales). Estas actividades y sus asignaciones de recursos </w:t>
      </w:r>
      <w:r w:rsidR="00A4798C">
        <w:t>básico</w:t>
      </w:r>
      <w:r>
        <w:t xml:space="preserve">s son aprobadas por la Junta Ejecutiva (EB) cada cuatro años en forma de un Presupuesto Integrado y tienen lugar en los tres niveles de la organización, a nivel del país en que se ejecuta un programa, en los Centros Regionales y en la Sede.  </w:t>
      </w:r>
    </w:p>
    <w:p w14:paraId="08260A18" w14:textId="77777777" w:rsidR="00EA3FB1" w:rsidRPr="00901311" w:rsidRDefault="001A2865">
      <w:pPr>
        <w:spacing w:after="61" w:line="259" w:lineRule="auto"/>
        <w:ind w:left="0" w:right="0" w:firstLine="0"/>
        <w:jc w:val="left"/>
      </w:pPr>
      <w:r>
        <w:t xml:space="preserve"> </w:t>
      </w:r>
    </w:p>
    <w:p w14:paraId="365DDF23" w14:textId="77777777" w:rsidR="00EA3FB1" w:rsidRPr="00901311" w:rsidRDefault="001A2865">
      <w:pPr>
        <w:numPr>
          <w:ilvl w:val="0"/>
          <w:numId w:val="2"/>
        </w:numPr>
        <w:ind w:right="0"/>
      </w:pPr>
      <w:r>
        <w:t xml:space="preserve">Los otros recursos financian actividades de la organización que entran en las categorías de programas, eficacia del desarrollo y actividades de gestión.   </w:t>
      </w:r>
    </w:p>
    <w:p w14:paraId="4A45FFD5" w14:textId="77777777" w:rsidR="00EA3FB1" w:rsidRPr="00901311" w:rsidRDefault="001A2865">
      <w:pPr>
        <w:spacing w:after="60" w:line="259" w:lineRule="auto"/>
        <w:ind w:left="0" w:right="0" w:firstLine="0"/>
        <w:jc w:val="left"/>
      </w:pPr>
      <w:r>
        <w:t xml:space="preserve">  </w:t>
      </w:r>
    </w:p>
    <w:p w14:paraId="7A74581B" w14:textId="77777777" w:rsidR="00EA3FB1" w:rsidRPr="00901311" w:rsidRDefault="001A2865">
      <w:pPr>
        <w:numPr>
          <w:ilvl w:val="0"/>
          <w:numId w:val="2"/>
        </w:numPr>
        <w:ind w:right="0"/>
      </w:pPr>
      <w:r>
        <w:t xml:space="preserve">Para los programas y las actividades de eficacia del desarrollo, estos costos se atribuyen en forma directa y se cargan a los programas y los proyectos. Estas actividades y sus asignaciones de otros recursos se aprueban en forma de acuerdos para la participación en los gastos y de fondos fiduciarios entre los Gobiernos, el PNUD y otros donantes, tanto terceros como los países en que se ejecuta un programa.  Tienen lugar principalmente al nivel del país en que se ejecuta un programa, pero también en los Centros Regionales y las Sedes.  </w:t>
      </w:r>
    </w:p>
    <w:p w14:paraId="5C64F9D2" w14:textId="77777777" w:rsidR="00EA3FB1" w:rsidRPr="00901311" w:rsidRDefault="001A2865">
      <w:pPr>
        <w:spacing w:after="61" w:line="259" w:lineRule="auto"/>
        <w:ind w:left="0" w:right="0" w:firstLine="0"/>
        <w:jc w:val="left"/>
      </w:pPr>
      <w:r>
        <w:lastRenderedPageBreak/>
        <w:t xml:space="preserve">  </w:t>
      </w:r>
    </w:p>
    <w:p w14:paraId="28D0CA6D" w14:textId="62112332" w:rsidR="00EA3FB1" w:rsidRPr="00901311" w:rsidRDefault="001A2865">
      <w:pPr>
        <w:numPr>
          <w:ilvl w:val="0"/>
          <w:numId w:val="2"/>
        </w:numPr>
        <w:ind w:right="0"/>
      </w:pPr>
      <w:r>
        <w:t>En el caso de las actividades de gestión, estas actividades y sus asignaciones de otros recursos son aprobadas en principio por la EB en forma de la política de recuperación de costos a través de la metodología armonizada para calcular las tasas de recuperación de costos en otros recursos (complementarios) (</w:t>
      </w:r>
      <w:hyperlink r:id="rId23" w:history="1">
        <w:r w:rsidRPr="00EF1E79">
          <w:rPr>
            <w:rStyle w:val="Hyperlink"/>
            <w:b/>
          </w:rPr>
          <w:t>DP-FPA/2013/1</w:t>
        </w:r>
      </w:hyperlink>
      <w:r>
        <w:rPr>
          <w:b/>
        </w:rPr>
        <w:t xml:space="preserve"> </w:t>
      </w:r>
      <w:r>
        <w:t>y</w:t>
      </w:r>
      <w:r>
        <w:rPr>
          <w:b/>
        </w:rPr>
        <w:t xml:space="preserve"> </w:t>
      </w:r>
      <w:hyperlink r:id="rId24" w:history="1">
        <w:r w:rsidRPr="00EF1E79">
          <w:rPr>
            <w:rStyle w:val="Hyperlink"/>
            <w:b/>
          </w:rPr>
          <w:t>Decisión de la EB 2013/9</w:t>
        </w:r>
      </w:hyperlink>
      <w:r>
        <w:t>)</w:t>
      </w:r>
      <w:r>
        <w:rPr>
          <w:b/>
        </w:rPr>
        <w:t xml:space="preserve"> </w:t>
      </w:r>
      <w:r>
        <w:t xml:space="preserve">y su aplicación a los acuerdos para la participación en los gastos y de fondo fiduciario entre los Gobiernos, el PNUD y otros donantes.  Esta política de recuperación de costos autoriza el cobro de una tarifa de servicios de gestión general (GMS) en todas las actividades de participación en los gastos y fondo fiduciario que generan ingresos por recuperación de costos, y su uso para financiar actividades de gestión. </w:t>
      </w:r>
    </w:p>
    <w:p w14:paraId="6CF288F8" w14:textId="77777777" w:rsidR="00EA3FB1" w:rsidRPr="00901311" w:rsidRDefault="001A2865">
      <w:pPr>
        <w:spacing w:after="16" w:line="259" w:lineRule="auto"/>
        <w:ind w:left="0" w:right="0" w:firstLine="0"/>
        <w:jc w:val="left"/>
      </w:pPr>
      <w:r>
        <w:t xml:space="preserve">  </w:t>
      </w:r>
    </w:p>
    <w:p w14:paraId="2F7D75F9" w14:textId="77777777" w:rsidR="00EA3FB1" w:rsidRPr="00901311" w:rsidRDefault="001A2865">
      <w:pPr>
        <w:pStyle w:val="Heading1"/>
        <w:spacing w:after="221"/>
        <w:ind w:left="-5"/>
      </w:pPr>
      <w:r>
        <w:t>La Metodología de Recuperación de Costos Armonizados</w:t>
      </w:r>
      <w:r>
        <w:rPr>
          <w:b w:val="0"/>
        </w:rPr>
        <w:t xml:space="preserve"> </w:t>
      </w:r>
    </w:p>
    <w:p w14:paraId="7B23B03D" w14:textId="351D5BE6" w:rsidR="00EA3FB1" w:rsidRPr="00901311" w:rsidRDefault="001A2865">
      <w:pPr>
        <w:numPr>
          <w:ilvl w:val="0"/>
          <w:numId w:val="3"/>
        </w:numPr>
        <w:ind w:right="0"/>
      </w:pPr>
      <w:r>
        <w:t xml:space="preserve">Recuperación de costos se refiere al requisito de que la organización recupere los costos de otros recursos que no están directamente vinculados con la provisión de las estructuras organizativas requeridas para los proyectos y los programas. El propósito fundamental de la recuperación de costos es lograr una financiación proporcional de costos organizacionales entre los recursos </w:t>
      </w:r>
      <w:r w:rsidR="00A4798C">
        <w:t>básico</w:t>
      </w:r>
      <w:r>
        <w:t xml:space="preserve">s y otros recursos. Esto exige que el PNUD evite el uso de recursos </w:t>
      </w:r>
      <w:r w:rsidR="00A4798C">
        <w:t>básico</w:t>
      </w:r>
      <w:r>
        <w:t xml:space="preserve">s para subsidiar actividades financiadas por otros recursos, incluido el uso de recursos </w:t>
      </w:r>
      <w:r w:rsidR="00A4798C">
        <w:t>básico</w:t>
      </w:r>
      <w:r>
        <w:t xml:space="preserve">s para cubrir los costos relacionados con la gestión y el apoyo de actividades de programas financiadas por otros recursos. </w:t>
      </w:r>
    </w:p>
    <w:p w14:paraId="232D0BBF" w14:textId="77777777" w:rsidR="00EA3FB1" w:rsidRPr="00901311" w:rsidRDefault="001A2865">
      <w:pPr>
        <w:spacing w:after="63" w:line="259" w:lineRule="auto"/>
        <w:ind w:left="720" w:right="0" w:firstLine="0"/>
        <w:jc w:val="left"/>
      </w:pPr>
      <w:r>
        <w:t xml:space="preserve"> </w:t>
      </w:r>
    </w:p>
    <w:p w14:paraId="12287455" w14:textId="775FE4A4" w:rsidR="00EA3FB1" w:rsidRPr="00901311" w:rsidRDefault="001A2865">
      <w:pPr>
        <w:numPr>
          <w:ilvl w:val="0"/>
          <w:numId w:val="3"/>
        </w:numPr>
        <w:spacing w:after="49"/>
        <w:ind w:right="0"/>
      </w:pPr>
      <w:r>
        <w:t xml:space="preserve">Dentro del contexto de la metodología armonizada para calcular tasas de recuperación de costos en otros recursos </w:t>
      </w:r>
      <w:r>
        <w:rPr>
          <w:b/>
        </w:rPr>
        <w:t>(</w:t>
      </w:r>
      <w:r w:rsidRPr="00136CBC">
        <w:rPr>
          <w:bCs/>
        </w:rPr>
        <w:t>documento de la EB DP-FPA/2013/1 y Decisión de la EB 2013/9</w:t>
      </w:r>
      <w:r>
        <w:t xml:space="preserve">), los costos organizacionales entre los recursos </w:t>
      </w:r>
      <w:r w:rsidR="00A4798C">
        <w:t>básico</w:t>
      </w:r>
      <w:r>
        <w:t xml:space="preserve">s y otros recursos se financiarán de manera más equitativa a través de dos estrategias principales:  </w:t>
      </w:r>
    </w:p>
    <w:p w14:paraId="3503A178" w14:textId="4645F799" w:rsidR="00EA3FB1" w:rsidRPr="00901311" w:rsidRDefault="001A2865">
      <w:pPr>
        <w:numPr>
          <w:ilvl w:val="1"/>
          <w:numId w:val="3"/>
        </w:numPr>
        <w:spacing w:after="48"/>
        <w:ind w:right="0"/>
      </w:pPr>
      <w:r>
        <w:t xml:space="preserve">Aumentar la tasa de recuperación de costos del 7 % mínimo al 8 % (vigente desde el 1 de enero de 2014), lo que permite, de este modo, que más costos organizacionales se financien a través del ingreso por recuperación de costos ganado en la gestión de otros recursos (y menos a través de los recursos </w:t>
      </w:r>
      <w:r w:rsidR="00A4798C">
        <w:t>básico</w:t>
      </w:r>
      <w:r>
        <w:t xml:space="preserve">s);  </w:t>
      </w:r>
    </w:p>
    <w:p w14:paraId="67564219" w14:textId="6E80DCB2" w:rsidR="00EA3FB1" w:rsidRPr="00901311" w:rsidRDefault="00A4798C">
      <w:pPr>
        <w:numPr>
          <w:ilvl w:val="1"/>
          <w:numId w:val="3"/>
        </w:numPr>
        <w:ind w:right="0"/>
      </w:pPr>
      <w:r>
        <w:t>Los cargos directos a</w:t>
      </w:r>
      <w:r w:rsidR="001A2865">
        <w:t xml:space="preserve"> proyecto de gastos organizacionales </w:t>
      </w:r>
      <w:r>
        <w:t>elegibles</w:t>
      </w:r>
      <w:r w:rsidR="001A2865">
        <w:t xml:space="preserve"> a proyectos y programas financiados por recursos </w:t>
      </w:r>
      <w:r>
        <w:t>básico</w:t>
      </w:r>
      <w:r w:rsidR="001A2865">
        <w:t>s y otros recursos, en particular la categoría de eficacia del desarrollo. Los costos directos del proyecto son parte del presupuesto del proyecto y están directamente vinculados con el logro de los resultados de desarrollo</w:t>
      </w:r>
      <w:r w:rsidR="00303AC2">
        <w:t xml:space="preserve"> (</w:t>
      </w:r>
      <w:hyperlink r:id="rId25" w:tgtFrame="_blank" w:history="1">
        <w:r w:rsidR="00303AC2">
          <w:rPr>
            <w:rStyle w:val="ms-rtethemeforecolor-5-0"/>
            <w:rFonts w:ascii="Segoe UI" w:hAnsi="Segoe UI" w:cs="Segoe UI"/>
            <w:color w:val="0072C6"/>
            <w:sz w:val="20"/>
            <w:szCs w:val="20"/>
            <w:u w:val="single"/>
          </w:rPr>
          <w:t>Preparación de presupuestos totalmente calculados para proyectos</w:t>
        </w:r>
      </w:hyperlink>
      <w:r w:rsidR="00303AC2">
        <w:t xml:space="preserve"> y </w:t>
      </w:r>
      <w:hyperlink r:id="rId26" w:history="1">
        <w:r w:rsidR="00303AC2" w:rsidRPr="00303AC2">
          <w:rPr>
            <w:rStyle w:val="Hyperlink"/>
          </w:rPr>
          <w:t>Anexo 1</w:t>
        </w:r>
      </w:hyperlink>
      <w:r w:rsidR="00303AC2">
        <w:rPr>
          <w:rFonts w:ascii="Segoe UI" w:hAnsi="Segoe UI" w:cs="Segoe UI"/>
          <w:color w:val="444444"/>
          <w:sz w:val="20"/>
          <w:szCs w:val="20"/>
        </w:rPr>
        <w:t>)</w:t>
      </w:r>
      <w:r w:rsidR="001A2865">
        <w:t xml:space="preserve">.  </w:t>
      </w:r>
    </w:p>
    <w:p w14:paraId="73329A30" w14:textId="77777777" w:rsidR="001B6D0D" w:rsidRPr="00901311" w:rsidRDefault="001B6D0D" w:rsidP="001B6D0D">
      <w:pPr>
        <w:ind w:left="1133" w:right="0" w:firstLine="0"/>
      </w:pPr>
    </w:p>
    <w:p w14:paraId="77520CDC" w14:textId="77777777" w:rsidR="00EA3FB1" w:rsidRPr="00901311" w:rsidRDefault="001A2865">
      <w:pPr>
        <w:numPr>
          <w:ilvl w:val="0"/>
          <w:numId w:val="3"/>
        </w:numPr>
        <w:spacing w:after="47"/>
        <w:ind w:right="0"/>
      </w:pPr>
      <w:r>
        <w:t xml:space="preserve">Los anteriores son también dos tipos de costos que el PNUD distingue en la ejecución de sus actividades:  </w:t>
      </w:r>
    </w:p>
    <w:p w14:paraId="21C443A4" w14:textId="3F60591B" w:rsidR="00EA3FB1" w:rsidRPr="00901311" w:rsidRDefault="001A2865" w:rsidP="001B6D0D">
      <w:pPr>
        <w:numPr>
          <w:ilvl w:val="1"/>
          <w:numId w:val="3"/>
        </w:numPr>
        <w:spacing w:after="48"/>
        <w:ind w:right="0"/>
      </w:pPr>
      <w:r>
        <w:t xml:space="preserve">Costos organizacionales que están directamente vinculados con los presupuestos del proyecto y el logro de los resultados de desarrollo, y surgen de la ejecución de proyectos y programas financiados con recursos </w:t>
      </w:r>
      <w:r w:rsidR="00A4798C">
        <w:t>básico</w:t>
      </w:r>
      <w:r>
        <w:t xml:space="preserve">s y otros recursos. Estos son los Costos Directos del Proyecto. </w:t>
      </w:r>
      <w:r w:rsidR="000B653B">
        <w:t>(</w:t>
      </w:r>
      <w:hyperlink r:id="rId27" w:history="1">
        <w:r w:rsidR="000B653B" w:rsidRPr="00C362DD">
          <w:rPr>
            <w:rStyle w:val="Hyperlink"/>
          </w:rPr>
          <w:t xml:space="preserve">Planificación y pago de la prestación de servicios de apoyo a los proyectos </w:t>
        </w:r>
        <w:r w:rsidR="000B653B" w:rsidRPr="00487C4E">
          <w:rPr>
            <w:rStyle w:val="Hyperlink"/>
          </w:rPr>
          <w:t>[</w:t>
        </w:r>
        <w:r w:rsidR="000B653B">
          <w:rPr>
            <w:rStyle w:val="Hyperlink"/>
          </w:rPr>
          <w:t>Solo disponible en inglés</w:t>
        </w:r>
        <w:r w:rsidR="000B653B" w:rsidRPr="00487C4E">
          <w:rPr>
            <w:rStyle w:val="Hyperlink"/>
          </w:rPr>
          <w:t>])</w:t>
        </w:r>
      </w:hyperlink>
    </w:p>
    <w:p w14:paraId="0163BDD4" w14:textId="6C74A3FC" w:rsidR="00EA3FB1" w:rsidRPr="00901311" w:rsidRDefault="001A2865" w:rsidP="001B6D0D">
      <w:pPr>
        <w:numPr>
          <w:ilvl w:val="1"/>
          <w:numId w:val="3"/>
        </w:numPr>
        <w:ind w:right="0"/>
      </w:pPr>
      <w:r>
        <w:t xml:space="preserve">Costos que son adicionales a los costos directos del proyecto, y son incurridos por las organizaciones como una función y en apoyo de sus actividades, proyectos y programas </w:t>
      </w:r>
      <w:r>
        <w:lastRenderedPageBreak/>
        <w:t xml:space="preserve">financiados por otros recursos, y no pueden relacionarse inequívocamente a actividades, proyectos o programas específicos. Estos son los costos de Apoyo General a la Gestión (GMS). (Consulte el </w:t>
      </w:r>
      <w:hyperlink r:id="rId28" w:history="1">
        <w:r w:rsidRPr="007D0F76">
          <w:rPr>
            <w:rStyle w:val="Hyperlink"/>
          </w:rPr>
          <w:t>capítulo de POPP sobre Recuperación de Costos de Otros Recursos: Apoyo General a la Gestión (GMS).</w:t>
        </w:r>
      </w:hyperlink>
    </w:p>
    <w:p w14:paraId="6A7619EC" w14:textId="77777777" w:rsidR="00EA3FB1" w:rsidRPr="00901311" w:rsidRDefault="001A2865">
      <w:pPr>
        <w:spacing w:after="60" w:line="259" w:lineRule="auto"/>
        <w:ind w:left="1133" w:right="0" w:firstLine="0"/>
        <w:jc w:val="left"/>
      </w:pPr>
      <w:r>
        <w:t xml:space="preserve"> </w:t>
      </w:r>
    </w:p>
    <w:p w14:paraId="4FCD5D82" w14:textId="3CDF147A" w:rsidR="00EA3FB1" w:rsidRPr="00901311" w:rsidRDefault="001A2865">
      <w:pPr>
        <w:numPr>
          <w:ilvl w:val="0"/>
          <w:numId w:val="3"/>
        </w:numPr>
        <w:ind w:right="0"/>
      </w:pPr>
      <w:r>
        <w:t>El principio</w:t>
      </w:r>
      <w:r w:rsidR="00371558">
        <w:t xml:space="preserve"> fundamental</w:t>
      </w:r>
      <w:r>
        <w:t xml:space="preserve"> y los beneficios de la aplicación de la metodología de recuperación de costos contribuyen a una participación en los gastos de las actividades de gestión más equitativa entre los recursos </w:t>
      </w:r>
      <w:r w:rsidR="00A4798C">
        <w:t>básico</w:t>
      </w:r>
      <w:r>
        <w:t xml:space="preserve">s y otros recursos. Al financiar las actividades calificadas de eficacia del desarrollo, cuando sea apropiado, directamente a partir de programas y proyectos financiados por recursos </w:t>
      </w:r>
      <w:r w:rsidR="00A4798C">
        <w:t>básico</w:t>
      </w:r>
      <w:r>
        <w:t xml:space="preserve">s y otros recursos (mediante la aplicación de la Política y las Metodologías de Costos Directos del Proyecto), los ingresos por recuperación de costos (recursos extrapresupuestarios) utilizados previamente para financiar actividades de eficacia del desarrollo deben utilizarse para financiar actividades de gestión que actualmente están financiadas con recursos </w:t>
      </w:r>
      <w:r w:rsidR="00A4798C">
        <w:t>básico</w:t>
      </w:r>
      <w:r>
        <w:t xml:space="preserve">s. Estos recursos </w:t>
      </w:r>
      <w:r w:rsidR="00A4798C">
        <w:t>básico</w:t>
      </w:r>
      <w:r>
        <w:t xml:space="preserve">s luego serán reasignados a las actividades financieras del programa, un beneficio importante del marco de recuperación de costos.  </w:t>
      </w:r>
    </w:p>
    <w:p w14:paraId="14892350" w14:textId="77777777" w:rsidR="00EA3FB1" w:rsidRPr="00901311" w:rsidRDefault="001A2865">
      <w:pPr>
        <w:spacing w:after="60" w:line="259" w:lineRule="auto"/>
        <w:ind w:left="720" w:right="0" w:firstLine="0"/>
        <w:jc w:val="left"/>
      </w:pPr>
      <w:r>
        <w:t xml:space="preserve"> </w:t>
      </w:r>
    </w:p>
    <w:p w14:paraId="6C1C7ACB" w14:textId="2AC2DEE8" w:rsidR="00EA3FB1" w:rsidRPr="00901311" w:rsidRDefault="001A2865" w:rsidP="00A02DA9">
      <w:pPr>
        <w:numPr>
          <w:ilvl w:val="0"/>
          <w:numId w:val="3"/>
        </w:numPr>
        <w:ind w:right="0"/>
      </w:pPr>
      <w:r>
        <w:t xml:space="preserve">La metodología de recuperación de costos permite alinear los gastos de organización con los marcos de resultados y los flujos de financiación apropiados y con el PNUD para financiar de manera más sostenible el requisito de estructuras y capacidades organizativas para entregar los resultados del programa con éxito. Más aún, la política sobre </w:t>
      </w:r>
      <w:proofErr w:type="spellStart"/>
      <w:r>
        <w:t>multifinanciación</w:t>
      </w:r>
      <w:proofErr w:type="spellEnd"/>
      <w:r>
        <w:t xml:space="preserve"> de los puestos que reúnen las condiciones proporciona la flexibilidad de alinear los costos con los marcos de resultados y las fuentes de financiación relacionadas (</w:t>
      </w:r>
      <w:hyperlink r:id="rId29" w:history="1">
        <w:r w:rsidRPr="0002397B">
          <w:rPr>
            <w:rStyle w:val="Hyperlink"/>
          </w:rPr>
          <w:t>POPP sobre Múltiples Líneas de Financiación para las Posiciones),</w:t>
        </w:r>
      </w:hyperlink>
      <w:r>
        <w:t xml:space="preserve"> y asiste a las </w:t>
      </w:r>
      <w:r w:rsidR="00924999">
        <w:t>oficinas de país</w:t>
      </w:r>
      <w:r>
        <w:t xml:space="preserve"> en la aplicación de la Política y las Metodologías de Costos Directos del Proyecto.</w:t>
      </w:r>
    </w:p>
    <w:p w14:paraId="1B9FA992" w14:textId="77777777" w:rsidR="00EA3FB1" w:rsidRPr="00901311" w:rsidRDefault="001A2865">
      <w:pPr>
        <w:spacing w:after="60" w:line="259" w:lineRule="auto"/>
        <w:ind w:left="0" w:right="0" w:firstLine="0"/>
        <w:jc w:val="left"/>
      </w:pPr>
      <w:r>
        <w:t xml:space="preserve">  </w:t>
      </w:r>
    </w:p>
    <w:p w14:paraId="57390833" w14:textId="7D9B2197" w:rsidR="00EA3FB1" w:rsidRPr="00901311" w:rsidRDefault="001A2865">
      <w:pPr>
        <w:numPr>
          <w:ilvl w:val="0"/>
          <w:numId w:val="3"/>
        </w:numPr>
        <w:spacing w:after="46"/>
        <w:ind w:right="0"/>
      </w:pPr>
      <w:r>
        <w:t xml:space="preserve">Es fundamental para el éxito de la metodología de recuperación de costos que el PNUD tenga la capacidad para equilibrar los intereses de todos los donantes de recursos </w:t>
      </w:r>
      <w:r w:rsidR="00A4798C">
        <w:t>básico</w:t>
      </w:r>
      <w:r>
        <w:t xml:space="preserve">s (básicos) y otros recursos (complementarios), mediante lo siguiente: </w:t>
      </w:r>
    </w:p>
    <w:p w14:paraId="41FC7547" w14:textId="5AC68EA8" w:rsidR="00EA3FB1" w:rsidRPr="00901311" w:rsidRDefault="001A2865">
      <w:pPr>
        <w:numPr>
          <w:ilvl w:val="1"/>
          <w:numId w:val="3"/>
        </w:numPr>
        <w:spacing w:after="49"/>
        <w:ind w:right="0"/>
      </w:pPr>
      <w:r>
        <w:t xml:space="preserve">continuar tomando medidas para contener los gastos de organización mediante medidas de eficacia y eficiencia, garantizando a los donantes de recursos </w:t>
      </w:r>
      <w:r w:rsidR="00A4798C">
        <w:t>básico</w:t>
      </w:r>
      <w:r>
        <w:t xml:space="preserve">s que no están asumiendo una porción desproporcionada de los gastos de organización, y continuar facilitando la máxima cantidad de recursos </w:t>
      </w:r>
      <w:r w:rsidR="00A4798C">
        <w:t>básico</w:t>
      </w:r>
      <w:r>
        <w:t xml:space="preserve">s para actividades programáticas; y </w:t>
      </w:r>
    </w:p>
    <w:p w14:paraId="0D2BFC16" w14:textId="77777777" w:rsidR="00EA3FB1" w:rsidRPr="00901311" w:rsidRDefault="001A2865">
      <w:pPr>
        <w:numPr>
          <w:ilvl w:val="1"/>
          <w:numId w:val="3"/>
        </w:numPr>
        <w:ind w:right="0"/>
      </w:pPr>
      <w:r>
        <w:t xml:space="preserve">garantizar a los donantes de otros recursos (complementarios) que los costos trasladados a programas y proyectos están justificados, y que no se les está cobrando dos veces la misma cosa (es decir, el propósito/la utilización de GMS para la recuperación de costos no duplica el propósito/la utilización de Costos Directos del Proyecto). La tarifa de GMS recupera costos de infraestructura organizativa, mientras que los costos directos del proyecto son parte de los insumos presupuestados del proyecto.  </w:t>
      </w:r>
    </w:p>
    <w:p w14:paraId="6B72A2EB" w14:textId="77777777" w:rsidR="00EA3FB1" w:rsidRPr="00901311" w:rsidRDefault="001A2865">
      <w:pPr>
        <w:spacing w:after="61" w:line="259" w:lineRule="auto"/>
        <w:ind w:left="1133" w:right="0" w:firstLine="0"/>
        <w:jc w:val="left"/>
      </w:pPr>
      <w:r>
        <w:t xml:space="preserve"> </w:t>
      </w:r>
    </w:p>
    <w:p w14:paraId="27E103CA" w14:textId="77777777" w:rsidR="00EA3FB1" w:rsidRPr="00901311" w:rsidRDefault="001A2865">
      <w:pPr>
        <w:numPr>
          <w:ilvl w:val="0"/>
          <w:numId w:val="3"/>
        </w:numPr>
        <w:ind w:right="0"/>
      </w:pPr>
      <w:r>
        <w:t xml:space="preserve">Esta sección cubre las políticas relacionadas con el marco armonizado de financiación conceptual y la metodología de recuperación de costos, y las políticas y los procedimientos relacionados con los ingresos por recuperación de costos (GMS) ganados en programas y proyectos financiados por Otros Recursos. </w:t>
      </w:r>
    </w:p>
    <w:p w14:paraId="7E5B1DF1" w14:textId="77777777" w:rsidR="00EA3FB1" w:rsidRPr="00901311" w:rsidRDefault="001A2865">
      <w:pPr>
        <w:spacing w:after="0" w:line="259" w:lineRule="auto"/>
        <w:ind w:left="720" w:right="0" w:firstLine="0"/>
        <w:jc w:val="left"/>
      </w:pPr>
      <w:r>
        <w:t xml:space="preserve"> </w:t>
      </w:r>
    </w:p>
    <w:p w14:paraId="0898A449" w14:textId="77777777" w:rsidR="00EA3FB1" w:rsidRPr="00901311" w:rsidRDefault="001A2865">
      <w:pPr>
        <w:numPr>
          <w:ilvl w:val="0"/>
          <w:numId w:val="3"/>
        </w:numPr>
        <w:ind w:right="0"/>
      </w:pPr>
      <w:r>
        <w:lastRenderedPageBreak/>
        <w:t xml:space="preserve">La Política y las Metodologías de Costos Directos del Proyecto pueden encontrarse como una subsección separada en la sección Planificación de Recursos.  </w:t>
      </w:r>
    </w:p>
    <w:p w14:paraId="62E3300D" w14:textId="77777777" w:rsidR="00EA3FB1" w:rsidRPr="00901311" w:rsidRDefault="001A2865">
      <w:pPr>
        <w:spacing w:after="139" w:line="259" w:lineRule="auto"/>
        <w:ind w:left="0" w:right="0" w:firstLine="0"/>
        <w:jc w:val="left"/>
      </w:pPr>
      <w:r>
        <w:t xml:space="preserve">  </w:t>
      </w:r>
    </w:p>
    <w:p w14:paraId="40B75104" w14:textId="77777777" w:rsidR="00EA3FB1" w:rsidRPr="00901311" w:rsidRDefault="001A2865">
      <w:pPr>
        <w:pStyle w:val="Heading1"/>
        <w:ind w:left="-5"/>
      </w:pPr>
      <w:r>
        <w:t xml:space="preserve">Documentos de Referencia </w:t>
      </w:r>
      <w:r>
        <w:rPr>
          <w:b w:val="0"/>
        </w:rPr>
        <w:t xml:space="preserve"> </w:t>
      </w:r>
    </w:p>
    <w:p w14:paraId="05F05617" w14:textId="4F1871B9" w:rsidR="00EA3FB1" w:rsidRPr="00901311" w:rsidRDefault="005D5C5A" w:rsidP="00A02DA9">
      <w:pPr>
        <w:spacing w:before="240"/>
        <w:ind w:left="360" w:right="0" w:firstLine="0"/>
        <w:rPr>
          <w:color w:val="0070C0"/>
          <w:u w:val="single"/>
        </w:rPr>
      </w:pPr>
      <w:r>
        <w:rPr>
          <w:color w:val="0070C0"/>
        </w:rPr>
        <w:t xml:space="preserve">Hoja de ruta para el logro del presupuesto integrado: examen conjunto del PNUD, el UNFPA y el UNICEF del impacto de las definiciones de gastos y las clasificaciones de actividades en las tasas armonizadas de recuperación de gastos </w:t>
      </w:r>
      <w:hyperlink r:id="rId30" w:history="1">
        <w:r w:rsidRPr="0002397B">
          <w:rPr>
            <w:rStyle w:val="Hyperlink"/>
          </w:rPr>
          <w:t>(DP/FPA/2012/1)</w:t>
        </w:r>
      </w:hyperlink>
      <w:r>
        <w:rPr>
          <w:color w:val="0070C0"/>
          <w:u w:val="single"/>
        </w:rPr>
        <w:t xml:space="preserve"> </w:t>
      </w:r>
    </w:p>
    <w:p w14:paraId="702371C4" w14:textId="644A34D3" w:rsidR="00EA3FB1" w:rsidRPr="00901311" w:rsidRDefault="005D5C5A" w:rsidP="00A02DA9">
      <w:pPr>
        <w:spacing w:before="240" w:after="50"/>
        <w:ind w:left="360" w:right="0" w:firstLine="0"/>
        <w:rPr>
          <w:color w:val="0070C0"/>
        </w:rPr>
      </w:pPr>
      <w:r>
        <w:rPr>
          <w:color w:val="0070C0"/>
        </w:rPr>
        <w:t xml:space="preserve">Hoja de ruta para el logro de un presupuesto integrado: examen conjunto del impacto de las definiciones de gastos y las clasificaciones de actividades en las tasas armonizadas de recuperación de gastos </w:t>
      </w:r>
      <w:hyperlink r:id="rId31" w:history="1">
        <w:r w:rsidRPr="0002397B">
          <w:rPr>
            <w:rStyle w:val="Hyperlink"/>
          </w:rPr>
          <w:t>(DP/2013/41)</w:t>
        </w:r>
      </w:hyperlink>
      <w:r>
        <w:rPr>
          <w:color w:val="0070C0"/>
        </w:rPr>
        <w:t xml:space="preserve"> </w:t>
      </w:r>
    </w:p>
    <w:p w14:paraId="1AD05C00" w14:textId="05763D75" w:rsidR="00EA3FB1" w:rsidRPr="00901311" w:rsidRDefault="005D5C5A" w:rsidP="00A02DA9">
      <w:pPr>
        <w:spacing w:before="240" w:after="55"/>
        <w:ind w:left="360" w:right="0" w:firstLine="0"/>
        <w:rPr>
          <w:color w:val="0070C0"/>
          <w:u w:val="single"/>
        </w:rPr>
      </w:pPr>
      <w:r>
        <w:rPr>
          <w:color w:val="0070C0"/>
        </w:rPr>
        <w:t xml:space="preserve">Estimaciones presupuestarias integradas del PNUD para 2014-2017 </w:t>
      </w:r>
      <w:hyperlink r:id="rId32" w:history="1">
        <w:r w:rsidRPr="0002397B">
          <w:rPr>
            <w:rStyle w:val="Hyperlink"/>
          </w:rPr>
          <w:t>(DP/2013/41)</w:t>
        </w:r>
      </w:hyperlink>
      <w:r>
        <w:rPr>
          <w:color w:val="0070C0"/>
          <w:u w:val="single"/>
        </w:rPr>
        <w:t xml:space="preserve"> </w:t>
      </w:r>
    </w:p>
    <w:p w14:paraId="56DDDC79" w14:textId="06FCBF2F" w:rsidR="00EA3FB1" w:rsidRPr="00901311" w:rsidRDefault="005D5C5A" w:rsidP="000E0A1C">
      <w:pPr>
        <w:spacing w:before="240"/>
        <w:ind w:left="360" w:right="0" w:firstLine="0"/>
      </w:pPr>
      <w:r>
        <w:rPr>
          <w:color w:val="0070C0"/>
        </w:rPr>
        <w:t>Arreglos de programación, 2014-2017</w:t>
      </w:r>
      <w:r>
        <w:rPr>
          <w:color w:val="0070C0"/>
          <w:u w:val="single"/>
        </w:rPr>
        <w:t xml:space="preserve"> </w:t>
      </w:r>
      <w:hyperlink r:id="rId33" w:history="1">
        <w:r w:rsidRPr="0002397B">
          <w:rPr>
            <w:rStyle w:val="Hyperlink"/>
          </w:rPr>
          <w:t>(DP/2012/25</w:t>
        </w:r>
        <w:r w:rsidR="003A6C23">
          <w:rPr>
            <w:rStyle w:val="Hyperlink"/>
          </w:rPr>
          <w:t xml:space="preserve"> y</w:t>
        </w:r>
        <w:r w:rsidRPr="0002397B">
          <w:rPr>
            <w:rStyle w:val="Hyperlink"/>
          </w:rPr>
          <w:t xml:space="preserve"> </w:t>
        </w:r>
      </w:hyperlink>
      <w:hyperlink r:id="rId34" w:history="1">
        <w:proofErr w:type="spellStart"/>
        <w:r w:rsidR="003A6C23" w:rsidRPr="003A6C23">
          <w:rPr>
            <w:rStyle w:val="Hyperlink"/>
          </w:rPr>
          <w:t>Corrigendum</w:t>
        </w:r>
        <w:proofErr w:type="spellEnd"/>
      </w:hyperlink>
    </w:p>
    <w:sectPr w:rsidR="00EA3FB1" w:rsidRPr="00901311">
      <w:headerReference w:type="even" r:id="rId35"/>
      <w:headerReference w:type="default" r:id="rId36"/>
      <w:footerReference w:type="even" r:id="rId37"/>
      <w:footerReference w:type="default" r:id="rId38"/>
      <w:headerReference w:type="first" r:id="rId39"/>
      <w:footerReference w:type="first" r:id="rId40"/>
      <w:pgSz w:w="11906" w:h="16838"/>
      <w:pgMar w:top="1133" w:right="845" w:bottom="1331"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A698B" w14:textId="77777777" w:rsidR="00F94044" w:rsidRDefault="00F94044">
      <w:pPr>
        <w:spacing w:after="0" w:line="240" w:lineRule="auto"/>
      </w:pPr>
      <w:r>
        <w:separator/>
      </w:r>
    </w:p>
  </w:endnote>
  <w:endnote w:type="continuationSeparator" w:id="0">
    <w:p w14:paraId="5679E0C6" w14:textId="77777777" w:rsidR="00F94044" w:rsidRDefault="00F94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3BC8" w14:textId="77777777" w:rsidR="00EA3FB1" w:rsidRDefault="001A2865">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17461C1C" w14:textId="77777777" w:rsidR="00EA3FB1" w:rsidRDefault="001A2865">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5525" w14:textId="4063BC20" w:rsidR="00EA3FB1" w:rsidRDefault="00901311">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A42AA0">
      <w:rPr>
        <w:b/>
        <w:noProof/>
      </w:rPr>
      <w:t>2</w:t>
    </w:r>
    <w:r>
      <w:rPr>
        <w:b/>
      </w:rPr>
      <w:fldChar w:fldCharType="end"/>
    </w:r>
    <w:r>
      <w:t xml:space="preserve"> de </w:t>
    </w:r>
    <w:r>
      <w:rPr>
        <w:b/>
      </w:rPr>
      <w:fldChar w:fldCharType="begin"/>
    </w:r>
    <w:r>
      <w:rPr>
        <w:b/>
      </w:rPr>
      <w:instrText xml:space="preserve"> NUMPAGES  \* Arabic  \* MERGEFORMAT </w:instrText>
    </w:r>
    <w:r>
      <w:rPr>
        <w:b/>
      </w:rPr>
      <w:fldChar w:fldCharType="separate"/>
    </w:r>
    <w:r w:rsidR="00A42AA0">
      <w:rPr>
        <w:b/>
        <w:noProof/>
      </w:rPr>
      <w:t>6</w:t>
    </w:r>
    <w:r>
      <w:rPr>
        <w:b/>
      </w:rPr>
      <w:fldChar w:fldCharType="end"/>
    </w:r>
    <w:r>
      <w:ptab w:relativeTo="margin" w:alignment="center" w:leader="none"/>
    </w:r>
    <w:r>
      <w:t xml:space="preserve">Fecha de entrada en vigor: </w:t>
    </w:r>
    <w:sdt>
      <w:sdtPr>
        <w:alias w:val="Fecha de entrada en vigor"/>
        <w:tag w:val="UNDP_POPP_EFFECTIVEDATE"/>
        <w:id w:val="-193468291"/>
        <w:placeholder>
          <w:docPart w:val="314DB8B8F1D54D7283FBE9EC32ABC81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9BBEAA40-800C-4F8D-ABB2-7664AA18801C}"/>
        <w:date w:fullDate="2015-05-20T00:00:00Z">
          <w:dateFormat w:val="dd/MM/yyyy"/>
          <w:lid w:val="en-US"/>
          <w:storeMappedDataAs w:val="dateTime"/>
          <w:calendar w:val="gregorian"/>
        </w:date>
      </w:sdtPr>
      <w:sdtEndPr/>
      <w:sdtContent>
        <w:r w:rsidR="00303AC2" w:rsidRPr="00303AC2">
          <w:t>20/05/2015</w:t>
        </w:r>
      </w:sdtContent>
    </w:sdt>
    <w:r>
      <w:ptab w:relativeTo="margin" w:alignment="right" w:leader="none"/>
    </w:r>
    <w:r>
      <w:t xml:space="preserve">Versión </w:t>
    </w:r>
    <w:r w:rsidR="00654BB7">
      <w:t>#</w:t>
    </w:r>
    <w:r>
      <w:t xml:space="preserve"> </w:t>
    </w:r>
    <w:sdt>
      <w:sdtPr>
        <w:alias w:val="POPPRefItemVersion"/>
        <w:tag w:val="UNDP_POPP_REFITEM_VERSION"/>
        <w:id w:val="-2129066328"/>
        <w:placeholder>
          <w:docPart w:val="E8D4B13E56384485B85B8815BE16EA83"/>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9BBEAA40-800C-4F8D-ABB2-7664AA18801C}"/>
        <w:text/>
      </w:sdtPr>
      <w:sdtEndPr/>
      <w:sdtContent>
        <w:r w:rsidR="009E2CFD">
          <w:t>5</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1093" w14:textId="77777777" w:rsidR="00EA3FB1" w:rsidRDefault="001A2865">
    <w:pPr>
      <w:spacing w:after="0" w:line="259" w:lineRule="auto"/>
      <w:ind w:left="0" w:right="0" w:firstLine="0"/>
      <w:jc w:val="center"/>
    </w:pPr>
    <w:r>
      <w:fldChar w:fldCharType="begin"/>
    </w:r>
    <w:r>
      <w:instrText xml:space="preserve"> PAGE   \* MERGEFORMAT </w:instrText>
    </w:r>
    <w:r>
      <w:fldChar w:fldCharType="separate"/>
    </w:r>
    <w:r>
      <w:t>1</w:t>
    </w:r>
    <w:r>
      <w:fldChar w:fldCharType="end"/>
    </w:r>
    <w:r>
      <w:t xml:space="preserve"> </w:t>
    </w:r>
  </w:p>
  <w:p w14:paraId="37DBAD32" w14:textId="77777777" w:rsidR="00EA3FB1" w:rsidRDefault="001A2865">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CA5F" w14:textId="77777777" w:rsidR="00F94044" w:rsidRDefault="00F94044">
      <w:pPr>
        <w:spacing w:after="0" w:line="240" w:lineRule="auto"/>
      </w:pPr>
      <w:r>
        <w:separator/>
      </w:r>
    </w:p>
  </w:footnote>
  <w:footnote w:type="continuationSeparator" w:id="0">
    <w:p w14:paraId="74814DFF" w14:textId="77777777" w:rsidR="00F94044" w:rsidRDefault="00F94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4CA44" w14:textId="77777777" w:rsidR="00654BB7" w:rsidRDefault="00654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74C6" w14:textId="2B139D08" w:rsidR="005B7B4F" w:rsidRDefault="00EB253F" w:rsidP="00EB253F">
    <w:pPr>
      <w:pStyle w:val="Header"/>
      <w:spacing w:before="100" w:beforeAutospacing="1" w:after="100" w:afterAutospacing="1"/>
      <w:ind w:left="9711" w:right="43"/>
    </w:pPr>
    <w:r>
      <w:rPr>
        <w:noProof/>
      </w:rPr>
      <w:drawing>
        <wp:inline distT="0" distB="0" distL="0" distR="0" wp14:anchorId="75756B73" wp14:editId="34A815A9">
          <wp:extent cx="293370" cy="578485"/>
          <wp:effectExtent l="0" t="0" r="0" b="0"/>
          <wp:docPr id="28897184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7184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554" b="17704"/>
                  <a:stretch/>
                </pic:blipFill>
                <pic:spPr bwMode="auto">
                  <a:xfrm>
                    <a:off x="0" y="0"/>
                    <a:ext cx="293370" cy="57848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A1DA" w14:textId="77777777" w:rsidR="00654BB7" w:rsidRDefault="00654B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39DF"/>
    <w:multiLevelType w:val="hybridMultilevel"/>
    <w:tmpl w:val="DEF4BA26"/>
    <w:lvl w:ilvl="0" w:tplc="C40A2F7A">
      <w:start w:val="9"/>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D62C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2A8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1084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B07F0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186AC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B65E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491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FA59F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8F7F7E"/>
    <w:multiLevelType w:val="hybridMultilevel"/>
    <w:tmpl w:val="CF0A6D3E"/>
    <w:lvl w:ilvl="0" w:tplc="6D2A4A76">
      <w:start w:val="1"/>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0E8496">
      <w:start w:val="1"/>
      <w:numFmt w:val="lowerLetter"/>
      <w:lvlText w:val="%2"/>
      <w:lvlJc w:val="left"/>
      <w:pPr>
        <w:ind w:left="1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8481A4">
      <w:start w:val="1"/>
      <w:numFmt w:val="lowerRoman"/>
      <w:lvlText w:val="%3"/>
      <w:lvlJc w:val="left"/>
      <w:pPr>
        <w:ind w:left="22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B6DA0C">
      <w:start w:val="1"/>
      <w:numFmt w:val="decimal"/>
      <w:lvlText w:val="%4"/>
      <w:lvlJc w:val="left"/>
      <w:pPr>
        <w:ind w:left="30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C0FEB8">
      <w:start w:val="1"/>
      <w:numFmt w:val="lowerLetter"/>
      <w:lvlText w:val="%5"/>
      <w:lvlJc w:val="left"/>
      <w:pPr>
        <w:ind w:left="37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508010">
      <w:start w:val="1"/>
      <w:numFmt w:val="lowerRoman"/>
      <w:lvlText w:val="%6"/>
      <w:lvlJc w:val="left"/>
      <w:pPr>
        <w:ind w:left="44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A1E8A">
      <w:start w:val="1"/>
      <w:numFmt w:val="decimal"/>
      <w:lvlText w:val="%7"/>
      <w:lvlJc w:val="left"/>
      <w:pPr>
        <w:ind w:left="5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B6E3D2">
      <w:start w:val="1"/>
      <w:numFmt w:val="lowerLetter"/>
      <w:lvlText w:val="%8"/>
      <w:lvlJc w:val="left"/>
      <w:pPr>
        <w:ind w:left="5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208FF0">
      <w:start w:val="1"/>
      <w:numFmt w:val="lowerRoman"/>
      <w:lvlText w:val="%9"/>
      <w:lvlJc w:val="left"/>
      <w:pPr>
        <w:ind w:left="6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C30395"/>
    <w:multiLevelType w:val="hybridMultilevel"/>
    <w:tmpl w:val="5142BE12"/>
    <w:lvl w:ilvl="0" w:tplc="4A8C4D9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74BF00">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F690AC">
      <w:start w:val="1"/>
      <w:numFmt w:val="lowerRoman"/>
      <w:lvlText w:val="%3"/>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0E3A7A">
      <w:start w:val="1"/>
      <w:numFmt w:val="decimal"/>
      <w:lvlText w:val="%4"/>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34C104">
      <w:start w:val="1"/>
      <w:numFmt w:val="lowerLetter"/>
      <w:lvlText w:val="%5"/>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8EEC5C">
      <w:start w:val="1"/>
      <w:numFmt w:val="lowerRoman"/>
      <w:lvlText w:val="%6"/>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EE9A46">
      <w:start w:val="1"/>
      <w:numFmt w:val="decimal"/>
      <w:lvlText w:val="%7"/>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34C0CE">
      <w:start w:val="1"/>
      <w:numFmt w:val="lowerLetter"/>
      <w:lvlText w:val="%8"/>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AC66F16">
      <w:start w:val="1"/>
      <w:numFmt w:val="lowerRoman"/>
      <w:lvlText w:val="%9"/>
      <w:lvlJc w:val="left"/>
      <w:pPr>
        <w:ind w:left="6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75890"/>
    <w:multiLevelType w:val="hybridMultilevel"/>
    <w:tmpl w:val="C5BC441E"/>
    <w:lvl w:ilvl="0" w:tplc="95E84ADE">
      <w:start w:val="14"/>
      <w:numFmt w:val="decimal"/>
      <w:lvlText w:val="%1."/>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DCCDF4">
      <w:start w:val="1"/>
      <w:numFmt w:val="lowerLetter"/>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10FD18">
      <w:start w:val="1"/>
      <w:numFmt w:val="lowerRoman"/>
      <w:lvlText w:val="%3"/>
      <w:lvlJc w:val="left"/>
      <w:pPr>
        <w:ind w:left="1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36AF1C">
      <w:start w:val="1"/>
      <w:numFmt w:val="decimal"/>
      <w:lvlText w:val="%4"/>
      <w:lvlJc w:val="left"/>
      <w:pPr>
        <w:ind w:left="2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F01D26">
      <w:start w:val="1"/>
      <w:numFmt w:val="lowerLetter"/>
      <w:lvlText w:val="%5"/>
      <w:lvlJc w:val="left"/>
      <w:pPr>
        <w:ind w:left="3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562F40">
      <w:start w:val="1"/>
      <w:numFmt w:val="lowerRoman"/>
      <w:lvlText w:val="%6"/>
      <w:lvlJc w:val="left"/>
      <w:pPr>
        <w:ind w:left="4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E16B474">
      <w:start w:val="1"/>
      <w:numFmt w:val="decimal"/>
      <w:lvlText w:val="%7"/>
      <w:lvlJc w:val="left"/>
      <w:pPr>
        <w:ind w:left="4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6A0DAC">
      <w:start w:val="1"/>
      <w:numFmt w:val="lowerLetter"/>
      <w:lvlText w:val="%8"/>
      <w:lvlJc w:val="left"/>
      <w:pPr>
        <w:ind w:left="5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3EE276">
      <w:start w:val="1"/>
      <w:numFmt w:val="lowerRoman"/>
      <w:lvlText w:val="%9"/>
      <w:lvlJc w:val="left"/>
      <w:pPr>
        <w:ind w:left="6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26380838">
    <w:abstractNumId w:val="2"/>
  </w:num>
  <w:num w:numId="2" w16cid:durableId="1213887606">
    <w:abstractNumId w:val="0"/>
  </w:num>
  <w:num w:numId="3" w16cid:durableId="567570975">
    <w:abstractNumId w:val="3"/>
  </w:num>
  <w:num w:numId="4" w16cid:durableId="142894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B1"/>
    <w:rsid w:val="0002397B"/>
    <w:rsid w:val="000357AB"/>
    <w:rsid w:val="000A719F"/>
    <w:rsid w:val="000B653B"/>
    <w:rsid w:val="000E0A1C"/>
    <w:rsid w:val="00105AA8"/>
    <w:rsid w:val="00136CBC"/>
    <w:rsid w:val="001776B9"/>
    <w:rsid w:val="00194F12"/>
    <w:rsid w:val="001A2865"/>
    <w:rsid w:val="001A5C5B"/>
    <w:rsid w:val="001B2D74"/>
    <w:rsid w:val="001B6D0D"/>
    <w:rsid w:val="001E42BE"/>
    <w:rsid w:val="001F448B"/>
    <w:rsid w:val="0024143E"/>
    <w:rsid w:val="00253A57"/>
    <w:rsid w:val="00266EDB"/>
    <w:rsid w:val="002A381A"/>
    <w:rsid w:val="00303AC2"/>
    <w:rsid w:val="00371558"/>
    <w:rsid w:val="003A6C23"/>
    <w:rsid w:val="003A6F61"/>
    <w:rsid w:val="003D36CD"/>
    <w:rsid w:val="0041204D"/>
    <w:rsid w:val="00427506"/>
    <w:rsid w:val="00432888"/>
    <w:rsid w:val="00460D48"/>
    <w:rsid w:val="00487C4E"/>
    <w:rsid w:val="00524D89"/>
    <w:rsid w:val="00582C64"/>
    <w:rsid w:val="005970CF"/>
    <w:rsid w:val="005A1990"/>
    <w:rsid w:val="005A64A8"/>
    <w:rsid w:val="005B7B4F"/>
    <w:rsid w:val="005D5C5A"/>
    <w:rsid w:val="006362B3"/>
    <w:rsid w:val="00654BB7"/>
    <w:rsid w:val="0075310F"/>
    <w:rsid w:val="00764A8D"/>
    <w:rsid w:val="007D0F76"/>
    <w:rsid w:val="007F4B41"/>
    <w:rsid w:val="00801B4C"/>
    <w:rsid w:val="00882EE8"/>
    <w:rsid w:val="00892096"/>
    <w:rsid w:val="008C061F"/>
    <w:rsid w:val="008D5C14"/>
    <w:rsid w:val="00901311"/>
    <w:rsid w:val="00924999"/>
    <w:rsid w:val="00982FD3"/>
    <w:rsid w:val="00985925"/>
    <w:rsid w:val="009D6100"/>
    <w:rsid w:val="009E2CFD"/>
    <w:rsid w:val="00A02DA9"/>
    <w:rsid w:val="00A42AA0"/>
    <w:rsid w:val="00A4798C"/>
    <w:rsid w:val="00A6413E"/>
    <w:rsid w:val="00AC7125"/>
    <w:rsid w:val="00AE20AA"/>
    <w:rsid w:val="00AF0164"/>
    <w:rsid w:val="00C16347"/>
    <w:rsid w:val="00C22803"/>
    <w:rsid w:val="00C362DD"/>
    <w:rsid w:val="00D7285E"/>
    <w:rsid w:val="00DC464E"/>
    <w:rsid w:val="00DE1457"/>
    <w:rsid w:val="00DF3800"/>
    <w:rsid w:val="00EA3FB1"/>
    <w:rsid w:val="00EB253F"/>
    <w:rsid w:val="00EF1E79"/>
    <w:rsid w:val="00EF5007"/>
    <w:rsid w:val="00F26D96"/>
    <w:rsid w:val="00F32309"/>
    <w:rsid w:val="00F74AA7"/>
    <w:rsid w:val="00F94044"/>
    <w:rsid w:val="00FD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55E5D0"/>
  <w15:docId w15:val="{63C8050F-300E-4A61-8690-DD152D303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711" w:right="2" w:hanging="351"/>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36"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427506"/>
    <w:rPr>
      <w:color w:val="0000FF" w:themeColor="hyperlink"/>
      <w:u w:val="single"/>
    </w:rPr>
  </w:style>
  <w:style w:type="paragraph" w:styleId="BalloonText">
    <w:name w:val="Balloon Text"/>
    <w:basedOn w:val="Normal"/>
    <w:link w:val="BalloonTextChar"/>
    <w:uiPriority w:val="99"/>
    <w:semiHidden/>
    <w:unhideWhenUsed/>
    <w:rsid w:val="005A6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A8"/>
    <w:rPr>
      <w:rFonts w:ascii="Tahoma" w:eastAsia="Calibri" w:hAnsi="Tahoma" w:cs="Tahoma"/>
      <w:color w:val="000000"/>
      <w:sz w:val="16"/>
      <w:szCs w:val="16"/>
    </w:rPr>
  </w:style>
  <w:style w:type="paragraph" w:styleId="Header">
    <w:name w:val="header"/>
    <w:basedOn w:val="Normal"/>
    <w:link w:val="HeaderChar"/>
    <w:uiPriority w:val="99"/>
    <w:unhideWhenUsed/>
    <w:rsid w:val="005B7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4F"/>
    <w:rPr>
      <w:rFonts w:ascii="Calibri" w:eastAsia="Calibri" w:hAnsi="Calibri" w:cs="Calibri"/>
      <w:color w:val="000000"/>
    </w:rPr>
  </w:style>
  <w:style w:type="character" w:styleId="PlaceholderText">
    <w:name w:val="Placeholder Text"/>
    <w:basedOn w:val="DefaultParagraphFont"/>
    <w:uiPriority w:val="99"/>
    <w:semiHidden/>
    <w:rsid w:val="005B7B4F"/>
    <w:rPr>
      <w:color w:val="808080"/>
    </w:rPr>
  </w:style>
  <w:style w:type="character" w:styleId="FollowedHyperlink">
    <w:name w:val="FollowedHyperlink"/>
    <w:basedOn w:val="DefaultParagraphFont"/>
    <w:uiPriority w:val="99"/>
    <w:semiHidden/>
    <w:unhideWhenUsed/>
    <w:rsid w:val="00982FD3"/>
    <w:rPr>
      <w:color w:val="800080" w:themeColor="followedHyperlink"/>
      <w:u w:val="single"/>
    </w:rPr>
  </w:style>
  <w:style w:type="paragraph" w:styleId="Revision">
    <w:name w:val="Revision"/>
    <w:hidden/>
    <w:uiPriority w:val="99"/>
    <w:semiHidden/>
    <w:rsid w:val="00C22803"/>
    <w:pPr>
      <w:spacing w:after="0" w:line="240" w:lineRule="auto"/>
    </w:pPr>
    <w:rPr>
      <w:rFonts w:ascii="Calibri" w:eastAsia="Calibri" w:hAnsi="Calibri" w:cs="Calibri"/>
      <w:color w:val="000000"/>
    </w:rPr>
  </w:style>
  <w:style w:type="character" w:customStyle="1" w:styleId="ms-rtethemeforecolor-5-0">
    <w:name w:val="ms-rtethemeforecolor-5-0"/>
    <w:basedOn w:val="DefaultParagraphFont"/>
    <w:rsid w:val="00303AC2"/>
  </w:style>
  <w:style w:type="character" w:styleId="UnresolvedMention">
    <w:name w:val="Unresolved Mention"/>
    <w:basedOn w:val="DefaultParagraphFont"/>
    <w:uiPriority w:val="99"/>
    <w:semiHidden/>
    <w:unhideWhenUsed/>
    <w:rsid w:val="00303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pp.undp.org/es/node/6651" TargetMode="External"/><Relationship Id="rId18" Type="http://schemas.openxmlformats.org/officeDocument/2006/relationships/hyperlink" Target="https://digitallibrary.un.org/record/758891?ln=es" TargetMode="External"/><Relationship Id="rId26" Type="http://schemas.openxmlformats.org/officeDocument/2006/relationships/hyperlink" Target="https://popp.undp.org/node/1711" TargetMode="External"/><Relationship Id="rId39" Type="http://schemas.openxmlformats.org/officeDocument/2006/relationships/header" Target="header3.xml"/><Relationship Id="rId21" Type="http://schemas.openxmlformats.org/officeDocument/2006/relationships/hyperlink" Target="https://popp.undp.org/node/11271" TargetMode="External"/><Relationship Id="rId34" Type="http://schemas.openxmlformats.org/officeDocument/2006/relationships/hyperlink" Target="https://popp.undp.org/node/3666" TargetMode="External"/><Relationship Id="rId42"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popp.undp.org/node/3091" TargetMode="External"/><Relationship Id="rId20" Type="http://schemas.openxmlformats.org/officeDocument/2006/relationships/hyperlink" Target="https://popp.undp.org/es/node/11671" TargetMode="External"/><Relationship Id="rId29" Type="http://schemas.openxmlformats.org/officeDocument/2006/relationships/hyperlink" Target="https://popp.undp.org/es/node/1113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igitallibrary.un.org/record/746506?ln=en" TargetMode="External"/><Relationship Id="rId32" Type="http://schemas.openxmlformats.org/officeDocument/2006/relationships/hyperlink" Target="https://digitallibrary.un.org/record/755299?ln=e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digitallibrary.un.org/record/755299/files/DP_2013_41-ES.pdf" TargetMode="External"/><Relationship Id="rId23" Type="http://schemas.openxmlformats.org/officeDocument/2006/relationships/hyperlink" Target="https://popp.undp.org/node/2226" TargetMode="External"/><Relationship Id="rId28" Type="http://schemas.openxmlformats.org/officeDocument/2006/relationships/hyperlink" Target="https://popp.undp.org/es/node/10556"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popp.undp.org/es/node/10556" TargetMode="External"/><Relationship Id="rId31" Type="http://schemas.openxmlformats.org/officeDocument/2006/relationships/hyperlink" Target="https://digitallibrary.un.org/record/755299?l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gitallibrary.un.org/record/754898?ln=es" TargetMode="External"/><Relationship Id="rId22" Type="http://schemas.openxmlformats.org/officeDocument/2006/relationships/image" Target="media/image1.jpg"/><Relationship Id="rId27" Type="http://schemas.openxmlformats.org/officeDocument/2006/relationships/hyperlink" Target="https://popp.undp.org/node/11271" TargetMode="External"/><Relationship Id="rId30" Type="http://schemas.openxmlformats.org/officeDocument/2006/relationships/hyperlink" Target="https://digitallibrary.un.org/record/716620?ln=es" TargetMode="External"/><Relationship Id="rId35" Type="http://schemas.openxmlformats.org/officeDocument/2006/relationships/header" Target="header1.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digitallibrary.un.org/record/732003/files/DP-FPA_2012_1--E_ICEF_2012_AB_L.6-EN.pdf" TargetMode="External"/><Relationship Id="rId17" Type="http://schemas.openxmlformats.org/officeDocument/2006/relationships/hyperlink" Target="https://digitallibrary.un.org/record/731816?ln=es" TargetMode="External"/><Relationship Id="rId25" Type="http://schemas.openxmlformats.org/officeDocument/2006/relationships/hyperlink" Target="https://popp.undp.org/node/1706" TargetMode="External"/><Relationship Id="rId33" Type="http://schemas.openxmlformats.org/officeDocument/2006/relationships/hyperlink" Target="https://digitallibrary.un.org/record/731816/files/DP_2012_25-ES.pdf?ln=es" TargetMode="External"/><Relationship Id="rId38"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DB8B8F1D54D7283FBE9EC32ABC810"/>
        <w:category>
          <w:name w:val="General"/>
          <w:gallery w:val="placeholder"/>
        </w:category>
        <w:types>
          <w:type w:val="bbPlcHdr"/>
        </w:types>
        <w:behaviors>
          <w:behavior w:val="content"/>
        </w:behaviors>
        <w:guid w:val="{AA493F52-372B-499A-B595-D46C17B7C37F}"/>
      </w:docPartPr>
      <w:docPartBody>
        <w:p w:rsidR="00FA3253" w:rsidRDefault="00471C88">
          <w:r w:rsidRPr="00EC38FF">
            <w:rPr>
              <w:rStyle w:val="PlaceholderText"/>
            </w:rPr>
            <w:t>[Effective Date]</w:t>
          </w:r>
        </w:p>
      </w:docPartBody>
    </w:docPart>
    <w:docPart>
      <w:docPartPr>
        <w:name w:val="E8D4B13E56384485B85B8815BE16EA83"/>
        <w:category>
          <w:name w:val="General"/>
          <w:gallery w:val="placeholder"/>
        </w:category>
        <w:types>
          <w:type w:val="bbPlcHdr"/>
        </w:types>
        <w:behaviors>
          <w:behavior w:val="content"/>
        </w:behaviors>
        <w:guid w:val="{4391B096-0779-4F62-BBE3-FC916B04E800}"/>
      </w:docPartPr>
      <w:docPartBody>
        <w:p w:rsidR="00FA3253" w:rsidRDefault="00471C88">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621"/>
    <w:rsid w:val="00260D10"/>
    <w:rsid w:val="00470621"/>
    <w:rsid w:val="00471C88"/>
    <w:rsid w:val="008E7ED5"/>
    <w:rsid w:val="009B4A7B"/>
    <w:rsid w:val="00A0750E"/>
    <w:rsid w:val="00A166B4"/>
    <w:rsid w:val="00A872A5"/>
    <w:rsid w:val="00B04D5B"/>
    <w:rsid w:val="00CB310D"/>
    <w:rsid w:val="00F76E3F"/>
    <w:rsid w:val="00FA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C33B2A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1C8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350</Value>
    </TaxCatchAll>
    <_dlc_DocId xmlns="8264c5cc-ec60-4b56-8111-ce635d3d139a">POPP-11-2617</_dlc_DocId>
    <_dlc_DocIdUrl xmlns="8264c5cc-ec60-4b56-8111-ce635d3d139a">
      <Url>https://popp.undp.org/_layouts/15/DocIdRedir.aspx?ID=POPP-11-2617</Url>
      <Description>POPP-11-2617</Description>
    </_dlc_DocIdUrl>
    <UNDP_POPP_REFITEM_VERSION xmlns="8264c5cc-ec60-4b56-8111-ce635d3d139a">5</UNDP_POPP_REFITEM_VERSION>
    <Location xmlns="e560140e-7b2f-4392-90df-e7567e3021a3">Public</Location>
    <DLCPolicyLabelLock xmlns="e560140e-7b2f-4392-90df-e7567e3021a3" xsi:nil="true"/>
    <UNDP_POPP_NOTE xmlns="8264c5cc-ec60-4b56-8111-ce635d3d139a" xsi:nil="true"/>
    <DLCPolicyLabelClientValue xmlns="e560140e-7b2f-4392-90df-e7567e3021a3">Effective Date: 20/05/2015                                                Version #: 5.0</DLCPolicyLabelClientValue>
    <UNDP_POPP_PLANNED_REVIEWDATE xmlns="8264c5cc-ec60-4b56-8111-ce635d3d139a" xsi:nil="true"/>
    <UNDP_POPP_DOCUMENT_LANGUAGE xmlns="8264c5cc-ec60-4b56-8111-ce635d3d139a">Spanish</UNDP_POPP_DOCUMENT_LANGUAGE>
    <UNDP_POPP_BUSINESSUNITID_HIDDEN xmlns="8264c5cc-ec60-4b56-8111-ce635d3d139a" xsi:nil="true"/>
    <UNDP_POPP_EFFECTIVEDATE xmlns="8264c5cc-ec60-4b56-8111-ce635d3d139a">2015-05-19T22:00:00+00:00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El Marco Armonizado de Financiación Conceptual y Metodología de Recuperación de Costos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20/05/2015                                                Version #: 5</DLCPolicyLabelVal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B96D3-666A-471F-9840-B13E1DCDED52}">
  <ds:schemaRefs>
    <ds:schemaRef ds:uri="http://schemas.microsoft.com/sharepoint/v3/contenttype/forms"/>
  </ds:schemaRefs>
</ds:datastoreItem>
</file>

<file path=customXml/itemProps2.xml><?xml version="1.0" encoding="utf-8"?>
<ds:datastoreItem xmlns:ds="http://schemas.openxmlformats.org/officeDocument/2006/customXml" ds:itemID="{47BD6F1F-9CC8-4C0B-8DBE-EDDF9425F221}">
  <ds:schemaRefs>
    <ds:schemaRef ds:uri="office.server.policy"/>
  </ds:schemaRefs>
</ds:datastoreItem>
</file>

<file path=customXml/itemProps3.xml><?xml version="1.0" encoding="utf-8"?>
<ds:datastoreItem xmlns:ds="http://schemas.openxmlformats.org/officeDocument/2006/customXml" ds:itemID="{9BBEAA40-800C-4F8D-ABB2-7664AA18801C}">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e560140e-7b2f-4392-90df-e7567e3021a3"/>
    <ds:schemaRef ds:uri="http://www.w3.org/XML/1998/namespace"/>
    <ds:schemaRef ds:uri="http://purl.org/dc/elements/1.1/"/>
    <ds:schemaRef ds:uri="http://schemas.microsoft.com/office/infopath/2007/PartnerControls"/>
    <ds:schemaRef ds:uri="8264c5cc-ec60-4b56-8111-ce635d3d139a"/>
    <ds:schemaRef ds:uri="http://schemas.microsoft.com/sharepoint/v3"/>
  </ds:schemaRefs>
</ds:datastoreItem>
</file>

<file path=customXml/itemProps4.xml><?xml version="1.0" encoding="utf-8"?>
<ds:datastoreItem xmlns:ds="http://schemas.openxmlformats.org/officeDocument/2006/customXml" ds:itemID="{20DFDD26-A45B-4EE2-A335-6372CF900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73A782-28DE-4B39-9E3A-A225F1740A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2457</Words>
  <Characters>14009</Characters>
  <Application>Microsoft Office Word</Application>
  <DocSecurity>0</DocSecurity>
  <Lines>116</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lastModifiedBy>Pablo Morete</cp:lastModifiedBy>
  <cp:revision>22</cp:revision>
  <cp:lastPrinted>2016-06-29T23:14:00Z</cp:lastPrinted>
  <dcterms:created xsi:type="dcterms:W3CDTF">2018-08-16T14:30:00Z</dcterms:created>
  <dcterms:modified xsi:type="dcterms:W3CDTF">2023-03-25T14:59:00Z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83882334-3c57-4968-9462-fb149c5d41de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ies>
</file>