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EFCD" w14:textId="38791A7D" w:rsidR="00C14287" w:rsidRDefault="00C14287">
      <w:pPr>
        <w:pStyle w:val="BodyText"/>
        <w:rPr>
          <w:rFonts w:ascii="Times New Roman"/>
          <w:sz w:val="20"/>
        </w:rPr>
      </w:pPr>
    </w:p>
    <w:p w14:paraId="17C27BDE" w14:textId="77777777" w:rsidR="00C14287" w:rsidRDefault="00C14287">
      <w:pPr>
        <w:pStyle w:val="BodyText"/>
        <w:rPr>
          <w:rFonts w:ascii="Times New Roman"/>
          <w:sz w:val="20"/>
        </w:rPr>
      </w:pPr>
    </w:p>
    <w:p w14:paraId="4DCA0332" w14:textId="1E3D7C14" w:rsidR="00C14287" w:rsidRDefault="00C50ABE" w:rsidP="00011833">
      <w:pPr>
        <w:pStyle w:val="BodyText"/>
        <w:tabs>
          <w:tab w:val="left" w:pos="8796"/>
        </w:tabs>
        <w:jc w:val="right"/>
        <w:rPr>
          <w:rFonts w:ascii="Times New Roman"/>
          <w:sz w:val="20"/>
        </w:rPr>
      </w:pPr>
      <w:r>
        <w:rPr>
          <w:rFonts w:ascii="Times New Roman"/>
          <w:noProof/>
          <w:sz w:val="20"/>
        </w:rPr>
        <w:drawing>
          <wp:inline distT="0" distB="0" distL="0" distR="0" wp14:anchorId="6D1424B2" wp14:editId="56738A86">
            <wp:extent cx="610329" cy="929640"/>
            <wp:effectExtent l="0" t="0" r="0" b="0"/>
            <wp:docPr id="1946188914"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88914" name="Picture 1" descr="A blue and white logo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8518" cy="957345"/>
                    </a:xfrm>
                    <a:prstGeom prst="rect">
                      <a:avLst/>
                    </a:prstGeom>
                  </pic:spPr>
                </pic:pic>
              </a:graphicData>
            </a:graphic>
          </wp:inline>
        </w:drawing>
      </w:r>
    </w:p>
    <w:p w14:paraId="59E96F14" w14:textId="77777777" w:rsidR="00C14287" w:rsidRDefault="00C14287">
      <w:pPr>
        <w:pStyle w:val="BodyText"/>
        <w:rPr>
          <w:rFonts w:ascii="Times New Roman"/>
          <w:sz w:val="20"/>
        </w:rPr>
      </w:pPr>
    </w:p>
    <w:p w14:paraId="72D7EC9F" w14:textId="77777777" w:rsidR="00C14287" w:rsidRDefault="00000000">
      <w:pPr>
        <w:pStyle w:val="Title"/>
      </w:pPr>
      <w:r>
        <w:t>Utilisation</w:t>
      </w:r>
      <w:r>
        <w:rPr>
          <w:spacing w:val="-8"/>
        </w:rPr>
        <w:t xml:space="preserve"> </w:t>
      </w:r>
      <w:r>
        <w:t>de</w:t>
      </w:r>
      <w:r>
        <w:rPr>
          <w:spacing w:val="-3"/>
        </w:rPr>
        <w:t xml:space="preserve"> </w:t>
      </w:r>
      <w:r>
        <w:t>la</w:t>
      </w:r>
      <w:r>
        <w:rPr>
          <w:spacing w:val="-5"/>
        </w:rPr>
        <w:t xml:space="preserve"> </w:t>
      </w:r>
      <w:r>
        <w:t>liste</w:t>
      </w:r>
      <w:r>
        <w:rPr>
          <w:spacing w:val="-4"/>
        </w:rPr>
        <w:t xml:space="preserve"> </w:t>
      </w:r>
      <w:r>
        <w:t>de</w:t>
      </w:r>
      <w:r>
        <w:rPr>
          <w:spacing w:val="-3"/>
        </w:rPr>
        <w:t xml:space="preserve"> </w:t>
      </w:r>
      <w:r>
        <w:t>prix</w:t>
      </w:r>
      <w:r>
        <w:rPr>
          <w:spacing w:val="-6"/>
        </w:rPr>
        <w:t xml:space="preserve"> </w:t>
      </w:r>
      <w:r>
        <w:t>universelle</w:t>
      </w:r>
      <w:r>
        <w:rPr>
          <w:spacing w:val="-7"/>
        </w:rPr>
        <w:t xml:space="preserve"> </w:t>
      </w:r>
      <w:r>
        <w:t>(LUP)</w:t>
      </w:r>
      <w:r>
        <w:rPr>
          <w:spacing w:val="-7"/>
        </w:rPr>
        <w:t xml:space="preserve"> </w:t>
      </w:r>
      <w:r>
        <w:t>ou</w:t>
      </w:r>
      <w:r>
        <w:rPr>
          <w:spacing w:val="-3"/>
        </w:rPr>
        <w:t xml:space="preserve"> </w:t>
      </w:r>
      <w:r>
        <w:t>de</w:t>
      </w:r>
      <w:r>
        <w:rPr>
          <w:spacing w:val="-7"/>
        </w:rPr>
        <w:t xml:space="preserve"> </w:t>
      </w:r>
      <w:r>
        <w:t>la</w:t>
      </w:r>
      <w:r>
        <w:rPr>
          <w:spacing w:val="-1"/>
        </w:rPr>
        <w:t xml:space="preserve"> </w:t>
      </w:r>
      <w:r>
        <w:t>liste</w:t>
      </w:r>
      <w:r>
        <w:rPr>
          <w:spacing w:val="-7"/>
        </w:rPr>
        <w:t xml:space="preserve"> </w:t>
      </w:r>
      <w:r>
        <w:t>de</w:t>
      </w:r>
      <w:r>
        <w:rPr>
          <w:spacing w:val="-7"/>
        </w:rPr>
        <w:t xml:space="preserve"> </w:t>
      </w:r>
      <w:r>
        <w:t>prix</w:t>
      </w:r>
      <w:r>
        <w:rPr>
          <w:spacing w:val="-1"/>
        </w:rPr>
        <w:t xml:space="preserve"> </w:t>
      </w:r>
      <w:r>
        <w:t>locale</w:t>
      </w:r>
      <w:r>
        <w:rPr>
          <w:spacing w:val="-7"/>
        </w:rPr>
        <w:t xml:space="preserve"> </w:t>
      </w:r>
      <w:r>
        <w:rPr>
          <w:spacing w:val="-2"/>
        </w:rPr>
        <w:t>(LPL)</w:t>
      </w:r>
    </w:p>
    <w:p w14:paraId="609D8B9E" w14:textId="77777777" w:rsidR="00C14287" w:rsidRDefault="00000000">
      <w:pPr>
        <w:pStyle w:val="ListParagraph"/>
        <w:numPr>
          <w:ilvl w:val="0"/>
          <w:numId w:val="1"/>
        </w:numPr>
        <w:tabs>
          <w:tab w:val="left" w:pos="817"/>
        </w:tabs>
        <w:spacing w:before="162" w:line="259" w:lineRule="auto"/>
        <w:ind w:right="112" w:hanging="360"/>
        <w:jc w:val="both"/>
      </w:pPr>
      <w:r>
        <w:t xml:space="preserve">Cette option peut être utilisée lorsque l'option DPC consistant à répartir le temps du personnel de l'unité opérationnelle entre les projets par le biais de plusieurs lignes de financement n'est pas pratique, par exemple lorsque chaque membre du personnel opérationnel peut travailler sur un portefeuille de projets entier (c'est-à-dire fournir un soutien financier à tous les projets plutôt qu'à quelques-uns seulement), contrairement au personnel de programme qui est généralement divisé en unités de programme thématiques et qui gère donc un nombre limité de projets. (Note : DPC signifie "Direct Project </w:t>
      </w:r>
      <w:proofErr w:type="spellStart"/>
      <w:r>
        <w:t>Cost</w:t>
      </w:r>
      <w:proofErr w:type="spellEnd"/>
      <w:r>
        <w:t xml:space="preserve">" (coût direct du projet). Il est également appelé "Delivery </w:t>
      </w:r>
      <w:proofErr w:type="spellStart"/>
      <w:r>
        <w:t>Enabling</w:t>
      </w:r>
      <w:proofErr w:type="spellEnd"/>
      <w:r>
        <w:t xml:space="preserve"> Service" (service d'appui à la mise en œuvre).</w:t>
      </w:r>
    </w:p>
    <w:p w14:paraId="17020FFB" w14:textId="77777777" w:rsidR="00C14287" w:rsidRDefault="00C14287">
      <w:pPr>
        <w:pStyle w:val="BodyText"/>
        <w:spacing w:before="6"/>
        <w:rPr>
          <w:sz w:val="25"/>
        </w:rPr>
      </w:pPr>
    </w:p>
    <w:p w14:paraId="452BD305" w14:textId="77777777" w:rsidR="00C14287" w:rsidRDefault="00000000">
      <w:pPr>
        <w:pStyle w:val="ListParagraph"/>
        <w:numPr>
          <w:ilvl w:val="0"/>
          <w:numId w:val="1"/>
        </w:numPr>
        <w:tabs>
          <w:tab w:val="left" w:pos="817"/>
        </w:tabs>
        <w:spacing w:before="1" w:line="259" w:lineRule="auto"/>
        <w:ind w:right="112" w:hanging="360"/>
        <w:jc w:val="both"/>
      </w:pPr>
      <w:r>
        <w:t>Dans</w:t>
      </w:r>
      <w:r>
        <w:rPr>
          <w:spacing w:val="-12"/>
        </w:rPr>
        <w:t xml:space="preserve"> </w:t>
      </w:r>
      <w:r>
        <w:t>ces</w:t>
      </w:r>
      <w:r>
        <w:rPr>
          <w:spacing w:val="-7"/>
        </w:rPr>
        <w:t xml:space="preserve"> </w:t>
      </w:r>
      <w:r>
        <w:t>cas,</w:t>
      </w:r>
      <w:r>
        <w:rPr>
          <w:spacing w:val="-9"/>
        </w:rPr>
        <w:t xml:space="preserve"> </w:t>
      </w:r>
      <w:r>
        <w:t>les</w:t>
      </w:r>
      <w:r>
        <w:rPr>
          <w:spacing w:val="-7"/>
        </w:rPr>
        <w:t xml:space="preserve"> </w:t>
      </w:r>
      <w:r>
        <w:t>OC</w:t>
      </w:r>
      <w:r>
        <w:rPr>
          <w:spacing w:val="-10"/>
        </w:rPr>
        <w:t xml:space="preserve"> </w:t>
      </w:r>
      <w:r>
        <w:t>peuvent</w:t>
      </w:r>
      <w:r>
        <w:rPr>
          <w:spacing w:val="-9"/>
        </w:rPr>
        <w:t xml:space="preserve"> </w:t>
      </w:r>
      <w:r>
        <w:t>choisir</w:t>
      </w:r>
      <w:r>
        <w:rPr>
          <w:spacing w:val="-12"/>
        </w:rPr>
        <w:t xml:space="preserve"> </w:t>
      </w:r>
      <w:r>
        <w:t>de</w:t>
      </w:r>
      <w:r>
        <w:rPr>
          <w:spacing w:val="-6"/>
        </w:rPr>
        <w:t xml:space="preserve"> </w:t>
      </w:r>
      <w:r>
        <w:t>continuer</w:t>
      </w:r>
      <w:r>
        <w:rPr>
          <w:spacing w:val="-12"/>
        </w:rPr>
        <w:t xml:space="preserve"> </w:t>
      </w:r>
      <w:r>
        <w:t>à</w:t>
      </w:r>
      <w:r>
        <w:rPr>
          <w:spacing w:val="-7"/>
        </w:rPr>
        <w:t xml:space="preserve"> </w:t>
      </w:r>
      <w:r>
        <w:t>utiliser</w:t>
      </w:r>
      <w:r>
        <w:rPr>
          <w:spacing w:val="-12"/>
        </w:rPr>
        <w:t xml:space="preserve"> </w:t>
      </w:r>
      <w:r>
        <w:t>l'option</w:t>
      </w:r>
      <w:r>
        <w:rPr>
          <w:spacing w:val="-13"/>
        </w:rPr>
        <w:t xml:space="preserve"> </w:t>
      </w:r>
      <w:r>
        <w:t>UPL</w:t>
      </w:r>
      <w:r>
        <w:rPr>
          <w:spacing w:val="-8"/>
        </w:rPr>
        <w:t xml:space="preserve"> </w:t>
      </w:r>
      <w:r>
        <w:t>ou</w:t>
      </w:r>
      <w:r>
        <w:rPr>
          <w:spacing w:val="-8"/>
        </w:rPr>
        <w:t xml:space="preserve"> </w:t>
      </w:r>
      <w:r>
        <w:t>LPL</w:t>
      </w:r>
      <w:r>
        <w:rPr>
          <w:spacing w:val="-9"/>
        </w:rPr>
        <w:t xml:space="preserve"> </w:t>
      </w:r>
      <w:r>
        <w:t>pour</w:t>
      </w:r>
      <w:r>
        <w:rPr>
          <w:spacing w:val="-7"/>
        </w:rPr>
        <w:t xml:space="preserve"> </w:t>
      </w:r>
      <w:r>
        <w:t>imputer</w:t>
      </w:r>
      <w:r>
        <w:rPr>
          <w:spacing w:val="-12"/>
        </w:rPr>
        <w:t xml:space="preserve"> </w:t>
      </w:r>
      <w:r>
        <w:t>les</w:t>
      </w:r>
      <w:r>
        <w:rPr>
          <w:spacing w:val="-12"/>
        </w:rPr>
        <w:t xml:space="preserve"> </w:t>
      </w:r>
      <w:r>
        <w:t>frais</w:t>
      </w:r>
      <w:r>
        <w:rPr>
          <w:spacing w:val="-12"/>
        </w:rPr>
        <w:t xml:space="preserve"> </w:t>
      </w:r>
      <w:r>
        <w:t>de</w:t>
      </w:r>
      <w:r>
        <w:rPr>
          <w:spacing w:val="-6"/>
        </w:rPr>
        <w:t xml:space="preserve"> </w:t>
      </w:r>
      <w:r>
        <w:t>type transactionnel directement aux programmes et aux projets. Toutefois, afin d'éviter une double comptabilisation de ces coûts, ces frais doivent être débités aux projets et enregistrés, du côté inverse de la transaction, en tant que dépense négative (crédit) sur le compte de dépenses approprié (par exemple, XB) plutôt qu'en tant que revenu XB. L'utilisation de la méthodologie UPL pour imputer les CPD reste une imputation "ex-post-facto"</w:t>
      </w:r>
      <w:r>
        <w:rPr>
          <w:spacing w:val="-1"/>
        </w:rPr>
        <w:t xml:space="preserve"> </w:t>
      </w:r>
      <w:r>
        <w:t>et ne contribue pas à l'aspect "planification et budgétisation ex-ante"</w:t>
      </w:r>
      <w:r>
        <w:rPr>
          <w:spacing w:val="-1"/>
        </w:rPr>
        <w:t xml:space="preserve"> </w:t>
      </w:r>
      <w:r>
        <w:t>des CPD, qui devrait être effectué séparément.</w:t>
      </w:r>
    </w:p>
    <w:p w14:paraId="3D4B418E" w14:textId="77777777" w:rsidR="00C14287" w:rsidRDefault="00C14287">
      <w:pPr>
        <w:pStyle w:val="BodyText"/>
        <w:spacing w:before="9"/>
      </w:pPr>
    </w:p>
    <w:p w14:paraId="0B1EBD28" w14:textId="77777777" w:rsidR="00C14287" w:rsidRDefault="00000000">
      <w:pPr>
        <w:pStyle w:val="ListParagraph"/>
        <w:numPr>
          <w:ilvl w:val="0"/>
          <w:numId w:val="1"/>
        </w:numPr>
        <w:tabs>
          <w:tab w:val="left" w:pos="815"/>
          <w:tab w:val="left" w:pos="817"/>
        </w:tabs>
        <w:spacing w:line="259" w:lineRule="auto"/>
        <w:jc w:val="both"/>
      </w:pPr>
      <w:r>
        <w:t>À compter du 1er janvier 2014, les frais transactionnels de CPD sont comptabilisés à l'aide de la NPPU en tant que réduction ou crédit du compte de dépenses approprié (par exemple, XB, ou crédit du projet autonome). En d'autres termes, les coûts de personnel et de BGE imputés à XB sont inférieurs à ce qu'ils auraient été sans le CPD. Voir le tableau A ci-dessous.</w:t>
      </w:r>
    </w:p>
    <w:p w14:paraId="354B4F78" w14:textId="4C1657D0" w:rsidR="00C14287" w:rsidRDefault="00000000">
      <w:pPr>
        <w:pStyle w:val="BodyText"/>
        <w:spacing w:before="155"/>
        <w:ind w:left="817"/>
      </w:pPr>
      <w:hyperlink r:id="rId8" w:history="1">
        <w:r w:rsidR="00762CD1" w:rsidRPr="00762CD1">
          <w:rPr>
            <w:rStyle w:val="Hyperlink"/>
          </w:rPr>
          <w:t>Tableau</w:t>
        </w:r>
      </w:hyperlink>
      <w:r w:rsidR="00762CD1">
        <w:rPr>
          <w:color w:val="0000FF"/>
          <w:spacing w:val="-4"/>
          <w:u w:val="single" w:color="0000FF"/>
        </w:rPr>
        <w:t xml:space="preserve"> </w:t>
      </w:r>
      <w:r w:rsidR="00762CD1">
        <w:rPr>
          <w:color w:val="0000FF"/>
          <w:u w:val="single" w:color="0000FF"/>
        </w:rPr>
        <w:t>A</w:t>
      </w:r>
      <w:r w:rsidR="00762CD1">
        <w:rPr>
          <w:color w:val="0000FF"/>
          <w:spacing w:val="-2"/>
          <w:u w:val="single" w:color="0000FF"/>
        </w:rPr>
        <w:t xml:space="preserve"> </w:t>
      </w:r>
      <w:r w:rsidR="00762CD1">
        <w:rPr>
          <w:color w:val="0000FF"/>
          <w:u w:val="single" w:color="0000FF"/>
        </w:rPr>
        <w:t>-</w:t>
      </w:r>
      <w:r w:rsidR="00762CD1">
        <w:rPr>
          <w:color w:val="0000FF"/>
          <w:spacing w:val="-3"/>
          <w:u w:val="single" w:color="0000FF"/>
        </w:rPr>
        <w:t xml:space="preserve"> </w:t>
      </w:r>
      <w:r w:rsidR="00762CD1">
        <w:rPr>
          <w:color w:val="0000FF"/>
          <w:u w:val="single" w:color="0000FF"/>
        </w:rPr>
        <w:t>Frais</w:t>
      </w:r>
      <w:r w:rsidR="00762CD1">
        <w:rPr>
          <w:color w:val="0000FF"/>
          <w:spacing w:val="-3"/>
          <w:u w:val="single" w:color="0000FF"/>
        </w:rPr>
        <w:t xml:space="preserve"> </w:t>
      </w:r>
      <w:r w:rsidR="00762CD1">
        <w:rPr>
          <w:color w:val="0000FF"/>
          <w:u w:val="single" w:color="0000FF"/>
        </w:rPr>
        <w:t>de</w:t>
      </w:r>
      <w:r w:rsidR="00762CD1">
        <w:rPr>
          <w:color w:val="0000FF"/>
          <w:spacing w:val="-3"/>
          <w:u w:val="single" w:color="0000FF"/>
        </w:rPr>
        <w:t xml:space="preserve"> </w:t>
      </w:r>
      <w:hyperlink r:id="rId9" w:history="1">
        <w:r w:rsidR="00762CD1" w:rsidRPr="00762CD1">
          <w:rPr>
            <w:rStyle w:val="Hyperlink"/>
            <w:spacing w:val="-5"/>
          </w:rPr>
          <w:t>CPD</w:t>
        </w:r>
      </w:hyperlink>
    </w:p>
    <w:p w14:paraId="25348151" w14:textId="77777777" w:rsidR="00C14287" w:rsidRDefault="00C14287">
      <w:pPr>
        <w:pStyle w:val="BodyText"/>
        <w:spacing w:before="7"/>
        <w:rPr>
          <w:sz w:val="15"/>
        </w:rPr>
      </w:pPr>
    </w:p>
    <w:p w14:paraId="6A51C848" w14:textId="77777777" w:rsidR="00C14287" w:rsidRDefault="00000000">
      <w:pPr>
        <w:pStyle w:val="ListParagraph"/>
        <w:numPr>
          <w:ilvl w:val="0"/>
          <w:numId w:val="1"/>
        </w:numPr>
        <w:tabs>
          <w:tab w:val="left" w:pos="817"/>
          <w:tab w:val="left" w:pos="864"/>
        </w:tabs>
        <w:spacing w:before="56" w:line="256" w:lineRule="auto"/>
        <w:ind w:right="112" w:hanging="360"/>
        <w:jc w:val="both"/>
      </w:pPr>
      <w:r>
        <w:rPr>
          <w:rFonts w:ascii="Times New Roman" w:hAnsi="Times New Roman"/>
        </w:rPr>
        <w:tab/>
      </w:r>
      <w:r>
        <w:t>La facture à montant nul du module Quantum Payables peut être utilisée par les bureaux nationaux pour débiter et créditer les comptes de dépenses pour l'attribution des frais de services transactionnels aux projets de développement, et certaines unités peuvent avoir leurs propres systèmes de facturation automatisés qui répondent à ces exigences.</w:t>
      </w:r>
    </w:p>
    <w:p w14:paraId="5E7D5369" w14:textId="77777777" w:rsidR="00C14287" w:rsidRDefault="00C14287">
      <w:pPr>
        <w:pStyle w:val="BodyText"/>
        <w:spacing w:before="6"/>
        <w:rPr>
          <w:sz w:val="26"/>
        </w:rPr>
      </w:pPr>
    </w:p>
    <w:p w14:paraId="08F5DA82" w14:textId="77777777" w:rsidR="00C14287" w:rsidRDefault="00000000">
      <w:pPr>
        <w:pStyle w:val="ListParagraph"/>
        <w:numPr>
          <w:ilvl w:val="0"/>
          <w:numId w:val="1"/>
        </w:numPr>
        <w:tabs>
          <w:tab w:val="left" w:pos="815"/>
          <w:tab w:val="left" w:pos="817"/>
        </w:tabs>
        <w:spacing w:before="1" w:line="261" w:lineRule="auto"/>
        <w:jc w:val="both"/>
      </w:pPr>
      <w:r>
        <w:t>La charge de travail pour les coûts directs du projet</w:t>
      </w:r>
      <w:r>
        <w:rPr>
          <w:spacing w:val="-1"/>
        </w:rPr>
        <w:t xml:space="preserve"> </w:t>
      </w:r>
      <w:r>
        <w:t>basés sur les transactions doit</w:t>
      </w:r>
      <w:r>
        <w:rPr>
          <w:spacing w:val="-1"/>
        </w:rPr>
        <w:t xml:space="preserve"> </w:t>
      </w:r>
      <w:r>
        <w:t>être identifiée au début du</w:t>
      </w:r>
      <w:r>
        <w:rPr>
          <w:spacing w:val="-4"/>
        </w:rPr>
        <w:t xml:space="preserve"> </w:t>
      </w:r>
      <w:r>
        <w:t>projet</w:t>
      </w:r>
      <w:r>
        <w:rPr>
          <w:spacing w:val="-5"/>
        </w:rPr>
        <w:t xml:space="preserve"> </w:t>
      </w:r>
      <w:r>
        <w:t>ou au</w:t>
      </w:r>
      <w:r>
        <w:rPr>
          <w:spacing w:val="-4"/>
        </w:rPr>
        <w:t xml:space="preserve"> </w:t>
      </w:r>
      <w:r>
        <w:t>début de</w:t>
      </w:r>
      <w:r>
        <w:rPr>
          <w:spacing w:val="-3"/>
        </w:rPr>
        <w:t xml:space="preserve"> </w:t>
      </w:r>
      <w:r>
        <w:t>chaque</w:t>
      </w:r>
      <w:r>
        <w:rPr>
          <w:spacing w:val="-3"/>
        </w:rPr>
        <w:t xml:space="preserve"> </w:t>
      </w:r>
      <w:r>
        <w:t>année</w:t>
      </w:r>
      <w:r>
        <w:rPr>
          <w:spacing w:val="-3"/>
        </w:rPr>
        <w:t xml:space="preserve"> </w:t>
      </w:r>
      <w:r>
        <w:t>et imputée</w:t>
      </w:r>
      <w:r>
        <w:rPr>
          <w:spacing w:val="-3"/>
        </w:rPr>
        <w:t xml:space="preserve"> </w:t>
      </w:r>
      <w:r>
        <w:t>au projet</w:t>
      </w:r>
      <w:r>
        <w:rPr>
          <w:spacing w:val="-5"/>
        </w:rPr>
        <w:t xml:space="preserve"> </w:t>
      </w:r>
      <w:r>
        <w:t>sur</w:t>
      </w:r>
      <w:r>
        <w:rPr>
          <w:spacing w:val="-3"/>
        </w:rPr>
        <w:t xml:space="preserve"> </w:t>
      </w:r>
      <w:r>
        <w:t>la</w:t>
      </w:r>
      <w:r>
        <w:rPr>
          <w:spacing w:val="-3"/>
        </w:rPr>
        <w:t xml:space="preserve"> </w:t>
      </w:r>
      <w:r>
        <w:t>base</w:t>
      </w:r>
      <w:r>
        <w:rPr>
          <w:spacing w:val="-3"/>
        </w:rPr>
        <w:t xml:space="preserve"> </w:t>
      </w:r>
      <w:r>
        <w:t>de</w:t>
      </w:r>
      <w:r>
        <w:rPr>
          <w:spacing w:val="-3"/>
        </w:rPr>
        <w:t xml:space="preserve"> </w:t>
      </w:r>
      <w:r>
        <w:t>la</w:t>
      </w:r>
      <w:r>
        <w:rPr>
          <w:spacing w:val="-3"/>
        </w:rPr>
        <w:t xml:space="preserve"> </w:t>
      </w:r>
      <w:r>
        <w:t>fourniture</w:t>
      </w:r>
      <w:r>
        <w:rPr>
          <w:spacing w:val="-3"/>
        </w:rPr>
        <w:t xml:space="preserve"> </w:t>
      </w:r>
      <w:r>
        <w:t>réelle</w:t>
      </w:r>
      <w:r>
        <w:rPr>
          <w:spacing w:val="-3"/>
        </w:rPr>
        <w:t xml:space="preserve"> </w:t>
      </w:r>
      <w:r>
        <w:t>de</w:t>
      </w:r>
      <w:r>
        <w:rPr>
          <w:spacing w:val="-3"/>
        </w:rPr>
        <w:t xml:space="preserve"> </w:t>
      </w:r>
      <w:r>
        <w:t>services.</w:t>
      </w:r>
    </w:p>
    <w:p w14:paraId="5ACC6E43" w14:textId="77777777" w:rsidR="00C14287" w:rsidRDefault="00C14287">
      <w:pPr>
        <w:pStyle w:val="BodyText"/>
      </w:pPr>
    </w:p>
    <w:p w14:paraId="6FAEF3A7" w14:textId="77777777" w:rsidR="00C14287" w:rsidRDefault="00000000">
      <w:pPr>
        <w:pStyle w:val="Heading1"/>
        <w:spacing w:before="178"/>
      </w:pPr>
      <w:r>
        <w:t>Planification</w:t>
      </w:r>
      <w:r>
        <w:rPr>
          <w:spacing w:val="-5"/>
        </w:rPr>
        <w:t xml:space="preserve"> </w:t>
      </w:r>
      <w:r>
        <w:t>et</w:t>
      </w:r>
      <w:r>
        <w:rPr>
          <w:spacing w:val="-4"/>
        </w:rPr>
        <w:t xml:space="preserve"> </w:t>
      </w:r>
      <w:r>
        <w:t>estimation</w:t>
      </w:r>
      <w:r>
        <w:rPr>
          <w:spacing w:val="-2"/>
        </w:rPr>
        <w:t xml:space="preserve"> </w:t>
      </w:r>
      <w:r>
        <w:t>des</w:t>
      </w:r>
      <w:r>
        <w:rPr>
          <w:spacing w:val="-5"/>
        </w:rPr>
        <w:t xml:space="preserve"> </w:t>
      </w:r>
      <w:r>
        <w:t>coûts</w:t>
      </w:r>
      <w:r>
        <w:rPr>
          <w:spacing w:val="-6"/>
        </w:rPr>
        <w:t xml:space="preserve"> </w:t>
      </w:r>
      <w:r>
        <w:t>directs</w:t>
      </w:r>
      <w:r>
        <w:rPr>
          <w:spacing w:val="-5"/>
        </w:rPr>
        <w:t xml:space="preserve"> </w:t>
      </w:r>
      <w:r>
        <w:t>des</w:t>
      </w:r>
      <w:r>
        <w:rPr>
          <w:spacing w:val="-6"/>
        </w:rPr>
        <w:t xml:space="preserve"> </w:t>
      </w:r>
      <w:r>
        <w:t>projets</w:t>
      </w:r>
      <w:r>
        <w:rPr>
          <w:spacing w:val="-5"/>
        </w:rPr>
        <w:t xml:space="preserve"> </w:t>
      </w:r>
      <w:r>
        <w:t>pour</w:t>
      </w:r>
      <w:r>
        <w:rPr>
          <w:spacing w:val="-6"/>
        </w:rPr>
        <w:t xml:space="preserve"> </w:t>
      </w:r>
      <w:r>
        <w:t>les</w:t>
      </w:r>
      <w:r>
        <w:rPr>
          <w:spacing w:val="-5"/>
        </w:rPr>
        <w:t xml:space="preserve"> </w:t>
      </w:r>
      <w:r>
        <w:rPr>
          <w:b w:val="0"/>
        </w:rPr>
        <w:t>services</w:t>
      </w:r>
      <w:r>
        <w:rPr>
          <w:b w:val="0"/>
          <w:spacing w:val="-3"/>
        </w:rPr>
        <w:t xml:space="preserve"> </w:t>
      </w:r>
      <w:r>
        <w:t>basés</w:t>
      </w:r>
      <w:r>
        <w:rPr>
          <w:spacing w:val="-5"/>
        </w:rPr>
        <w:t xml:space="preserve"> </w:t>
      </w:r>
      <w:r>
        <w:t>sur</w:t>
      </w:r>
      <w:r>
        <w:rPr>
          <w:spacing w:val="-5"/>
        </w:rPr>
        <w:t xml:space="preserve"> </w:t>
      </w:r>
      <w:r>
        <w:rPr>
          <w:spacing w:val="-2"/>
        </w:rPr>
        <w:t>l'UPL/LPL</w:t>
      </w:r>
    </w:p>
    <w:p w14:paraId="25C63C6A" w14:textId="77777777" w:rsidR="00C14287" w:rsidRDefault="00C14287">
      <w:pPr>
        <w:pStyle w:val="BodyText"/>
        <w:spacing w:before="1"/>
        <w:rPr>
          <w:b/>
          <w:sz w:val="25"/>
        </w:rPr>
      </w:pPr>
    </w:p>
    <w:p w14:paraId="410873F7" w14:textId="77777777" w:rsidR="00C14287" w:rsidRDefault="00000000">
      <w:pPr>
        <w:pStyle w:val="ListParagraph"/>
        <w:numPr>
          <w:ilvl w:val="0"/>
          <w:numId w:val="1"/>
        </w:numPr>
        <w:tabs>
          <w:tab w:val="left" w:pos="815"/>
          <w:tab w:val="left" w:pos="817"/>
        </w:tabs>
        <w:spacing w:before="1" w:line="259" w:lineRule="auto"/>
        <w:jc w:val="both"/>
      </w:pPr>
      <w:r>
        <w:t>Au</w:t>
      </w:r>
      <w:r>
        <w:rPr>
          <w:spacing w:val="-2"/>
        </w:rPr>
        <w:t xml:space="preserve"> </w:t>
      </w:r>
      <w:r>
        <w:t>début</w:t>
      </w:r>
      <w:r>
        <w:rPr>
          <w:spacing w:val="-3"/>
        </w:rPr>
        <w:t xml:space="preserve"> </w:t>
      </w:r>
      <w:r>
        <w:t>de chaque</w:t>
      </w:r>
      <w:r>
        <w:rPr>
          <w:spacing w:val="-1"/>
        </w:rPr>
        <w:t xml:space="preserve"> </w:t>
      </w:r>
      <w:r>
        <w:t>année, tous</w:t>
      </w:r>
      <w:r>
        <w:rPr>
          <w:spacing w:val="-1"/>
        </w:rPr>
        <w:t xml:space="preserve"> </w:t>
      </w:r>
      <w:r>
        <w:t>les</w:t>
      </w:r>
      <w:r>
        <w:rPr>
          <w:spacing w:val="-1"/>
        </w:rPr>
        <w:t xml:space="preserve"> </w:t>
      </w:r>
      <w:r>
        <w:t>chefs</w:t>
      </w:r>
      <w:r>
        <w:rPr>
          <w:spacing w:val="-1"/>
        </w:rPr>
        <w:t xml:space="preserve"> </w:t>
      </w:r>
      <w:r>
        <w:t>de projet doivent</w:t>
      </w:r>
      <w:r>
        <w:rPr>
          <w:spacing w:val="-3"/>
        </w:rPr>
        <w:t xml:space="preserve"> </w:t>
      </w:r>
      <w:r>
        <w:t>fournir</w:t>
      </w:r>
      <w:r>
        <w:rPr>
          <w:spacing w:val="-1"/>
        </w:rPr>
        <w:t xml:space="preserve"> </w:t>
      </w:r>
      <w:r>
        <w:t>une</w:t>
      </w:r>
      <w:r>
        <w:rPr>
          <w:spacing w:val="-1"/>
        </w:rPr>
        <w:t xml:space="preserve"> </w:t>
      </w:r>
      <w:r>
        <w:t>estimation</w:t>
      </w:r>
      <w:r>
        <w:rPr>
          <w:spacing w:val="-2"/>
        </w:rPr>
        <w:t xml:space="preserve"> </w:t>
      </w:r>
      <w:r>
        <w:t>des services</w:t>
      </w:r>
      <w:r>
        <w:rPr>
          <w:spacing w:val="-1"/>
        </w:rPr>
        <w:t xml:space="preserve"> </w:t>
      </w:r>
      <w:r>
        <w:t>de</w:t>
      </w:r>
      <w:r>
        <w:rPr>
          <w:spacing w:val="-1"/>
        </w:rPr>
        <w:t xml:space="preserve"> </w:t>
      </w:r>
      <w:r>
        <w:t>soutien au projet. Les services basés sur la NSI/PL peuvent être estimés sur la base des statistiques des années précédentes ou des services de soutien prévus pour la réalisation du projet. Le volume des services de soutien nécessaires pour chaque projet peut être estimé en utilisant les principales catégories UPL/LPL comme indiqué ci-dessous.</w:t>
      </w:r>
    </w:p>
    <w:p w14:paraId="7C55B32D" w14:textId="77777777" w:rsidR="00C14287" w:rsidRDefault="00000000">
      <w:pPr>
        <w:pStyle w:val="BodyText"/>
        <w:spacing w:before="152"/>
        <w:ind w:left="817"/>
      </w:pPr>
      <w:hyperlink r:id="rId10">
        <w:r>
          <w:rPr>
            <w:color w:val="0562C1"/>
            <w:u w:val="single" w:color="0562C1"/>
          </w:rPr>
          <w:t>Planification</w:t>
        </w:r>
        <w:r>
          <w:rPr>
            <w:color w:val="0562C1"/>
            <w:spacing w:val="-5"/>
            <w:u w:val="single" w:color="0562C1"/>
          </w:rPr>
          <w:t xml:space="preserve"> </w:t>
        </w:r>
        <w:r>
          <w:rPr>
            <w:color w:val="0562C1"/>
            <w:u w:val="single" w:color="0562C1"/>
          </w:rPr>
          <w:t>et</w:t>
        </w:r>
        <w:r>
          <w:rPr>
            <w:color w:val="0562C1"/>
            <w:spacing w:val="-5"/>
            <w:u w:val="single" w:color="0562C1"/>
          </w:rPr>
          <w:t xml:space="preserve"> </w:t>
        </w:r>
        <w:r>
          <w:rPr>
            <w:color w:val="0562C1"/>
            <w:u w:val="single" w:color="0562C1"/>
          </w:rPr>
          <w:t>estimation</w:t>
        </w:r>
        <w:r>
          <w:rPr>
            <w:color w:val="0562C1"/>
            <w:spacing w:val="-4"/>
            <w:u w:val="single" w:color="0562C1"/>
          </w:rPr>
          <w:t xml:space="preserve"> </w:t>
        </w:r>
        <w:r>
          <w:rPr>
            <w:color w:val="0562C1"/>
            <w:u w:val="single" w:color="0562C1"/>
          </w:rPr>
          <w:t>de</w:t>
        </w:r>
        <w:r>
          <w:rPr>
            <w:color w:val="0562C1"/>
            <w:spacing w:val="-3"/>
            <w:u w:val="single" w:color="0562C1"/>
          </w:rPr>
          <w:t xml:space="preserve"> </w:t>
        </w:r>
        <w:r>
          <w:rPr>
            <w:color w:val="0562C1"/>
            <w:u w:val="single" w:color="0562C1"/>
          </w:rPr>
          <w:t>DPC</w:t>
        </w:r>
        <w:r>
          <w:rPr>
            <w:color w:val="0562C1"/>
            <w:spacing w:val="-1"/>
            <w:u w:val="single" w:color="0562C1"/>
          </w:rPr>
          <w:t xml:space="preserve"> </w:t>
        </w:r>
        <w:r>
          <w:rPr>
            <w:color w:val="0562C1"/>
            <w:u w:val="single" w:color="0562C1"/>
          </w:rPr>
          <w:t>pour</w:t>
        </w:r>
        <w:r>
          <w:rPr>
            <w:color w:val="0562C1"/>
            <w:spacing w:val="-3"/>
            <w:u w:val="single" w:color="0562C1"/>
          </w:rPr>
          <w:t xml:space="preserve"> </w:t>
        </w:r>
        <w:r>
          <w:rPr>
            <w:color w:val="0562C1"/>
            <w:u w:val="single" w:color="0562C1"/>
          </w:rPr>
          <w:t>les</w:t>
        </w:r>
      </w:hyperlink>
      <w:r>
        <w:rPr>
          <w:color w:val="0562C1"/>
          <w:spacing w:val="-3"/>
          <w:u w:val="single" w:color="0562C1"/>
        </w:rPr>
        <w:t xml:space="preserve"> </w:t>
      </w:r>
      <w:r>
        <w:t>services</w:t>
      </w:r>
      <w:hyperlink r:id="rId11">
        <w:r>
          <w:rPr>
            <w:color w:val="0562C1"/>
            <w:spacing w:val="-4"/>
            <w:u w:val="single" w:color="0562C1"/>
          </w:rPr>
          <w:t xml:space="preserve"> </w:t>
        </w:r>
        <w:r>
          <w:rPr>
            <w:color w:val="0562C1"/>
            <w:u w:val="single" w:color="0562C1"/>
          </w:rPr>
          <w:t>basés</w:t>
        </w:r>
        <w:r>
          <w:rPr>
            <w:color w:val="0562C1"/>
            <w:spacing w:val="-3"/>
            <w:u w:val="single" w:color="0562C1"/>
          </w:rPr>
          <w:t xml:space="preserve"> </w:t>
        </w:r>
        <w:r>
          <w:rPr>
            <w:color w:val="0562C1"/>
            <w:u w:val="single" w:color="0562C1"/>
          </w:rPr>
          <w:t>sur</w:t>
        </w:r>
        <w:r>
          <w:rPr>
            <w:color w:val="0562C1"/>
            <w:spacing w:val="-3"/>
            <w:u w:val="single" w:color="0562C1"/>
          </w:rPr>
          <w:t xml:space="preserve"> </w:t>
        </w:r>
        <w:r>
          <w:rPr>
            <w:color w:val="0562C1"/>
            <w:u w:val="single" w:color="0562C1"/>
          </w:rPr>
          <w:t>UPL</w:t>
        </w:r>
        <w:r>
          <w:rPr>
            <w:color w:val="0562C1"/>
            <w:spacing w:val="-5"/>
            <w:u w:val="single" w:color="0562C1"/>
          </w:rPr>
          <w:t xml:space="preserve"> </w:t>
        </w:r>
        <w:r>
          <w:rPr>
            <w:color w:val="0562C1"/>
            <w:u w:val="single" w:color="0562C1"/>
          </w:rPr>
          <w:t>et</w:t>
        </w:r>
        <w:r>
          <w:rPr>
            <w:color w:val="0562C1"/>
            <w:spacing w:val="-5"/>
            <w:u w:val="single" w:color="0562C1"/>
          </w:rPr>
          <w:t xml:space="preserve"> LPL</w:t>
        </w:r>
      </w:hyperlink>
    </w:p>
    <w:p w14:paraId="7EC7CD7D" w14:textId="77777777" w:rsidR="00C14287" w:rsidRDefault="00C14287">
      <w:pPr>
        <w:pStyle w:val="BodyText"/>
        <w:spacing w:before="5"/>
        <w:rPr>
          <w:sz w:val="10"/>
        </w:rPr>
      </w:pPr>
    </w:p>
    <w:p w14:paraId="52233643" w14:textId="77777777" w:rsidR="00C14287" w:rsidRDefault="00000000">
      <w:pPr>
        <w:pStyle w:val="ListParagraph"/>
        <w:numPr>
          <w:ilvl w:val="0"/>
          <w:numId w:val="1"/>
        </w:numPr>
        <w:tabs>
          <w:tab w:val="left" w:pos="815"/>
          <w:tab w:val="left" w:pos="817"/>
        </w:tabs>
        <w:spacing w:before="57" w:line="256" w:lineRule="auto"/>
      </w:pPr>
      <w:r>
        <w:t>Le bureau national et les gestionnaires de projet doivent se mettre d'accord sur l'estimation des services attendus pour l'année. Ces plans et estimations peuvent être affinés périodiquement, trimestriellement si</w:t>
      </w:r>
    </w:p>
    <w:p w14:paraId="2BE579F0" w14:textId="77777777" w:rsidR="00C14287" w:rsidRDefault="00C14287">
      <w:pPr>
        <w:spacing w:line="256" w:lineRule="auto"/>
        <w:sectPr w:rsidR="00C14287" w:rsidSect="001E6E14">
          <w:footerReference w:type="default" r:id="rId12"/>
          <w:type w:val="continuous"/>
          <w:pgSz w:w="12240" w:h="16340"/>
          <w:pgMar w:top="0" w:right="980" w:bottom="940" w:left="800" w:header="0" w:footer="743" w:gutter="0"/>
          <w:pgNumType w:start="1"/>
          <w:cols w:space="720"/>
        </w:sectPr>
      </w:pPr>
    </w:p>
    <w:p w14:paraId="1D83BE9C" w14:textId="77777777" w:rsidR="00C14287" w:rsidRDefault="00C14287">
      <w:pPr>
        <w:pStyle w:val="BodyText"/>
        <w:spacing w:before="3"/>
        <w:rPr>
          <w:sz w:val="20"/>
        </w:rPr>
      </w:pPr>
    </w:p>
    <w:p w14:paraId="62343904" w14:textId="77777777" w:rsidR="00C14287" w:rsidRDefault="00000000">
      <w:pPr>
        <w:pStyle w:val="BodyText"/>
        <w:spacing w:before="57" w:line="256" w:lineRule="auto"/>
        <w:ind w:left="817"/>
      </w:pPr>
      <w:r>
        <w:t>nécessaire,</w:t>
      </w:r>
      <w:r>
        <w:rPr>
          <w:spacing w:val="-7"/>
        </w:rPr>
        <w:t xml:space="preserve"> </w:t>
      </w:r>
      <w:r>
        <w:t>en</w:t>
      </w:r>
      <w:r>
        <w:rPr>
          <w:spacing w:val="-5"/>
        </w:rPr>
        <w:t xml:space="preserve"> </w:t>
      </w:r>
      <w:r>
        <w:t>fonction</w:t>
      </w:r>
      <w:r>
        <w:rPr>
          <w:spacing w:val="-5"/>
        </w:rPr>
        <w:t xml:space="preserve"> </w:t>
      </w:r>
      <w:r>
        <w:t>d'événements</w:t>
      </w:r>
      <w:r>
        <w:rPr>
          <w:spacing w:val="-4"/>
        </w:rPr>
        <w:t xml:space="preserve"> </w:t>
      </w:r>
      <w:r>
        <w:t>tels</w:t>
      </w:r>
      <w:r>
        <w:rPr>
          <w:spacing w:val="-4"/>
        </w:rPr>
        <w:t xml:space="preserve"> </w:t>
      </w:r>
      <w:r>
        <w:t>que</w:t>
      </w:r>
      <w:r>
        <w:rPr>
          <w:spacing w:val="-4"/>
        </w:rPr>
        <w:t xml:space="preserve"> </w:t>
      </w:r>
      <w:r>
        <w:t>des</w:t>
      </w:r>
      <w:r>
        <w:rPr>
          <w:spacing w:val="-4"/>
        </w:rPr>
        <w:t xml:space="preserve"> </w:t>
      </w:r>
      <w:r>
        <w:t>changements</w:t>
      </w:r>
      <w:r>
        <w:rPr>
          <w:spacing w:val="-4"/>
        </w:rPr>
        <w:t xml:space="preserve"> </w:t>
      </w:r>
      <w:r>
        <w:t>dans</w:t>
      </w:r>
      <w:r>
        <w:rPr>
          <w:spacing w:val="-4"/>
        </w:rPr>
        <w:t xml:space="preserve"> </w:t>
      </w:r>
      <w:r>
        <w:t>les</w:t>
      </w:r>
      <w:r>
        <w:rPr>
          <w:spacing w:val="-4"/>
        </w:rPr>
        <w:t xml:space="preserve"> </w:t>
      </w:r>
      <w:r>
        <w:t>plans</w:t>
      </w:r>
      <w:r>
        <w:rPr>
          <w:spacing w:val="-4"/>
        </w:rPr>
        <w:t xml:space="preserve"> </w:t>
      </w:r>
      <w:r>
        <w:t>de</w:t>
      </w:r>
      <w:r>
        <w:rPr>
          <w:spacing w:val="-4"/>
        </w:rPr>
        <w:t xml:space="preserve"> </w:t>
      </w:r>
      <w:r>
        <w:t>passation</w:t>
      </w:r>
      <w:r>
        <w:rPr>
          <w:spacing w:val="-5"/>
        </w:rPr>
        <w:t xml:space="preserve"> </w:t>
      </w:r>
      <w:r>
        <w:t>de</w:t>
      </w:r>
      <w:r>
        <w:rPr>
          <w:spacing w:val="-8"/>
        </w:rPr>
        <w:t xml:space="preserve"> </w:t>
      </w:r>
      <w:r>
        <w:t>marchés</w:t>
      </w:r>
      <w:r>
        <w:rPr>
          <w:spacing w:val="-4"/>
        </w:rPr>
        <w:t xml:space="preserve"> </w:t>
      </w:r>
      <w:r>
        <w:t>et de recrutement.</w:t>
      </w:r>
    </w:p>
    <w:p w14:paraId="087C4033" w14:textId="77777777" w:rsidR="00C14287" w:rsidRDefault="00C14287">
      <w:pPr>
        <w:pStyle w:val="BodyText"/>
        <w:rPr>
          <w:sz w:val="24"/>
        </w:rPr>
      </w:pPr>
    </w:p>
    <w:p w14:paraId="21B78DAA" w14:textId="77777777" w:rsidR="00C14287" w:rsidRDefault="00000000">
      <w:pPr>
        <w:pStyle w:val="ListParagraph"/>
        <w:numPr>
          <w:ilvl w:val="0"/>
          <w:numId w:val="1"/>
        </w:numPr>
        <w:tabs>
          <w:tab w:val="left" w:pos="815"/>
          <w:tab w:val="left" w:pos="817"/>
        </w:tabs>
        <w:spacing w:before="1" w:line="256" w:lineRule="auto"/>
        <w:jc w:val="both"/>
      </w:pPr>
      <w:r>
        <w:t>Les gestionnaires de projet veillent à ce que les coûts directs estimés du projet soient inscrits dans les budgets correspondants. Le total des coûts directs estimés du projet doit être budgétisé séparément sur deux</w:t>
      </w:r>
      <w:r>
        <w:rPr>
          <w:spacing w:val="-9"/>
        </w:rPr>
        <w:t xml:space="preserve"> </w:t>
      </w:r>
      <w:r>
        <w:t>codes</w:t>
      </w:r>
      <w:r>
        <w:rPr>
          <w:spacing w:val="-9"/>
        </w:rPr>
        <w:t xml:space="preserve"> </w:t>
      </w:r>
      <w:r>
        <w:t>comptables</w:t>
      </w:r>
      <w:r>
        <w:rPr>
          <w:spacing w:val="-9"/>
        </w:rPr>
        <w:t xml:space="preserve"> </w:t>
      </w:r>
      <w:r>
        <w:t>distincts</w:t>
      </w:r>
      <w:r>
        <w:rPr>
          <w:spacing w:val="-9"/>
        </w:rPr>
        <w:t xml:space="preserve"> </w:t>
      </w:r>
      <w:r>
        <w:t>64300</w:t>
      </w:r>
      <w:r>
        <w:rPr>
          <w:spacing w:val="-6"/>
        </w:rPr>
        <w:t xml:space="preserve"> </w:t>
      </w:r>
      <w:r>
        <w:t>(personnel)</w:t>
      </w:r>
      <w:r>
        <w:rPr>
          <w:spacing w:val="-9"/>
        </w:rPr>
        <w:t xml:space="preserve"> </w:t>
      </w:r>
      <w:r>
        <w:t>et</w:t>
      </w:r>
      <w:r>
        <w:rPr>
          <w:spacing w:val="-11"/>
        </w:rPr>
        <w:t xml:space="preserve"> </w:t>
      </w:r>
      <w:r>
        <w:t>74500</w:t>
      </w:r>
      <w:r>
        <w:rPr>
          <w:spacing w:val="-10"/>
        </w:rPr>
        <w:t xml:space="preserve"> </w:t>
      </w:r>
      <w:r>
        <w:t>(BGE)</w:t>
      </w:r>
      <w:r>
        <w:rPr>
          <w:spacing w:val="-9"/>
        </w:rPr>
        <w:t xml:space="preserve"> </w:t>
      </w:r>
      <w:r>
        <w:t>pour</w:t>
      </w:r>
      <w:r>
        <w:rPr>
          <w:spacing w:val="-9"/>
        </w:rPr>
        <w:t xml:space="preserve"> </w:t>
      </w:r>
      <w:r>
        <w:t>refléter</w:t>
      </w:r>
      <w:r>
        <w:rPr>
          <w:spacing w:val="-9"/>
        </w:rPr>
        <w:t xml:space="preserve"> </w:t>
      </w:r>
      <w:r>
        <w:t>le</w:t>
      </w:r>
      <w:r>
        <w:rPr>
          <w:spacing w:val="-8"/>
        </w:rPr>
        <w:t xml:space="preserve"> </w:t>
      </w:r>
      <w:r>
        <w:t>coût</w:t>
      </w:r>
      <w:r>
        <w:rPr>
          <w:spacing w:val="-11"/>
        </w:rPr>
        <w:t xml:space="preserve"> </w:t>
      </w:r>
      <w:r>
        <w:t>des</w:t>
      </w:r>
      <w:r>
        <w:rPr>
          <w:spacing w:val="-9"/>
        </w:rPr>
        <w:t xml:space="preserve"> </w:t>
      </w:r>
      <w:r>
        <w:t>services</w:t>
      </w:r>
      <w:r>
        <w:rPr>
          <w:spacing w:val="-9"/>
        </w:rPr>
        <w:t xml:space="preserve"> </w:t>
      </w:r>
      <w:r>
        <w:t>fournis par le bureau de pays du PNUD, qui se compose des coûts du personnel et des frais généraux de fonctionnement.</w:t>
      </w:r>
      <w:r>
        <w:rPr>
          <w:spacing w:val="40"/>
        </w:rPr>
        <w:t xml:space="preserve"> </w:t>
      </w:r>
      <w:r>
        <w:t>Lorsqu'il s'agit de la fourniture régulière de services, cela pourrait être facilité par l'utilisation de lignes de financement multiples pour les postes du personnel.</w:t>
      </w:r>
    </w:p>
    <w:p w14:paraId="19C281E2" w14:textId="77777777" w:rsidR="00C14287" w:rsidRDefault="00000000">
      <w:pPr>
        <w:pStyle w:val="ListParagraph"/>
        <w:numPr>
          <w:ilvl w:val="0"/>
          <w:numId w:val="1"/>
        </w:numPr>
        <w:tabs>
          <w:tab w:val="left" w:pos="815"/>
          <w:tab w:val="left" w:pos="817"/>
        </w:tabs>
        <w:spacing w:before="166" w:line="256" w:lineRule="auto"/>
        <w:ind w:right="112"/>
        <w:jc w:val="both"/>
      </w:pPr>
      <w:r>
        <w:t>L'unité opérationnelle du bureau national peut saisir un tableau rapide dans Quantum pour la facturation mensuelle/trimestrielle du CPD avec les COA complets des projets de développement. Chaque COA d'un projet de développement doit être saisi deux fois dans</w:t>
      </w:r>
      <w:r>
        <w:rPr>
          <w:spacing w:val="-3"/>
        </w:rPr>
        <w:t xml:space="preserve"> </w:t>
      </w:r>
      <w:r>
        <w:t>l'organigramme : la première</w:t>
      </w:r>
      <w:r>
        <w:rPr>
          <w:spacing w:val="-3"/>
        </w:rPr>
        <w:t xml:space="preserve"> </w:t>
      </w:r>
      <w:r>
        <w:t>ligne pour les</w:t>
      </w:r>
      <w:r>
        <w:rPr>
          <w:spacing w:val="-3"/>
        </w:rPr>
        <w:t xml:space="preserve"> </w:t>
      </w:r>
      <w:r>
        <w:t>frais de personnel</w:t>
      </w:r>
      <w:r>
        <w:rPr>
          <w:spacing w:val="-6"/>
        </w:rPr>
        <w:t xml:space="preserve"> </w:t>
      </w:r>
      <w:r>
        <w:t>(compte</w:t>
      </w:r>
      <w:r>
        <w:rPr>
          <w:spacing w:val="-7"/>
        </w:rPr>
        <w:t xml:space="preserve"> </w:t>
      </w:r>
      <w:r>
        <w:t>de</w:t>
      </w:r>
      <w:r>
        <w:rPr>
          <w:spacing w:val="-7"/>
        </w:rPr>
        <w:t xml:space="preserve"> </w:t>
      </w:r>
      <w:r>
        <w:t>dépenses</w:t>
      </w:r>
      <w:r>
        <w:rPr>
          <w:spacing w:val="-8"/>
        </w:rPr>
        <w:t xml:space="preserve"> </w:t>
      </w:r>
      <w:r>
        <w:t>64397)</w:t>
      </w:r>
      <w:r>
        <w:rPr>
          <w:spacing w:val="-8"/>
        </w:rPr>
        <w:t xml:space="preserve"> </w:t>
      </w:r>
      <w:r>
        <w:t>et</w:t>
      </w:r>
      <w:r>
        <w:rPr>
          <w:spacing w:val="-5"/>
        </w:rPr>
        <w:t xml:space="preserve"> </w:t>
      </w:r>
      <w:r>
        <w:t>la</w:t>
      </w:r>
      <w:r>
        <w:rPr>
          <w:spacing w:val="-8"/>
        </w:rPr>
        <w:t xml:space="preserve"> </w:t>
      </w:r>
      <w:r>
        <w:t>deuxième</w:t>
      </w:r>
      <w:r>
        <w:rPr>
          <w:spacing w:val="-12"/>
        </w:rPr>
        <w:t xml:space="preserve"> </w:t>
      </w:r>
      <w:r>
        <w:t>ligne</w:t>
      </w:r>
      <w:r>
        <w:rPr>
          <w:spacing w:val="-7"/>
        </w:rPr>
        <w:t xml:space="preserve"> </w:t>
      </w:r>
      <w:r>
        <w:t>pour</w:t>
      </w:r>
      <w:r>
        <w:rPr>
          <w:spacing w:val="-8"/>
        </w:rPr>
        <w:t xml:space="preserve"> </w:t>
      </w:r>
      <w:r>
        <w:t>les</w:t>
      </w:r>
      <w:r>
        <w:rPr>
          <w:spacing w:val="-8"/>
        </w:rPr>
        <w:t xml:space="preserve"> </w:t>
      </w:r>
      <w:r>
        <w:t>BPE</w:t>
      </w:r>
      <w:r>
        <w:rPr>
          <w:spacing w:val="-5"/>
        </w:rPr>
        <w:t xml:space="preserve"> </w:t>
      </w:r>
      <w:r>
        <w:t>(compte</w:t>
      </w:r>
      <w:r>
        <w:rPr>
          <w:spacing w:val="-7"/>
        </w:rPr>
        <w:t xml:space="preserve"> </w:t>
      </w:r>
      <w:r>
        <w:t>de</w:t>
      </w:r>
      <w:r>
        <w:rPr>
          <w:spacing w:val="-7"/>
        </w:rPr>
        <w:t xml:space="preserve"> </w:t>
      </w:r>
      <w:r>
        <w:t>dépenses</w:t>
      </w:r>
      <w:r>
        <w:rPr>
          <w:spacing w:val="-8"/>
        </w:rPr>
        <w:t xml:space="preserve"> </w:t>
      </w:r>
      <w:r>
        <w:t>74596).</w:t>
      </w:r>
      <w:r>
        <w:rPr>
          <w:spacing w:val="-6"/>
        </w:rPr>
        <w:t xml:space="preserve"> </w:t>
      </w:r>
      <w:r>
        <w:t>Par exemple,</w:t>
      </w:r>
      <w:r>
        <w:rPr>
          <w:spacing w:val="-13"/>
        </w:rPr>
        <w:t xml:space="preserve"> </w:t>
      </w:r>
      <w:r>
        <w:t>si</w:t>
      </w:r>
      <w:r>
        <w:rPr>
          <w:spacing w:val="-12"/>
        </w:rPr>
        <w:t xml:space="preserve"> </w:t>
      </w:r>
      <w:r>
        <w:t>le</w:t>
      </w:r>
      <w:r>
        <w:rPr>
          <w:spacing w:val="-13"/>
        </w:rPr>
        <w:t xml:space="preserve"> </w:t>
      </w:r>
      <w:r>
        <w:t>bureau</w:t>
      </w:r>
      <w:r>
        <w:rPr>
          <w:spacing w:val="-12"/>
        </w:rPr>
        <w:t xml:space="preserve"> </w:t>
      </w:r>
      <w:r>
        <w:t>national</w:t>
      </w:r>
      <w:r>
        <w:rPr>
          <w:spacing w:val="-13"/>
        </w:rPr>
        <w:t xml:space="preserve"> </w:t>
      </w:r>
      <w:r>
        <w:t>fournit</w:t>
      </w:r>
      <w:r>
        <w:rPr>
          <w:spacing w:val="-12"/>
        </w:rPr>
        <w:t xml:space="preserve"> </w:t>
      </w:r>
      <w:r>
        <w:t>des</w:t>
      </w:r>
      <w:r>
        <w:rPr>
          <w:spacing w:val="-13"/>
        </w:rPr>
        <w:t xml:space="preserve"> </w:t>
      </w:r>
      <w:r>
        <w:t>services</w:t>
      </w:r>
      <w:r>
        <w:rPr>
          <w:spacing w:val="-12"/>
        </w:rPr>
        <w:t xml:space="preserve"> </w:t>
      </w:r>
      <w:r>
        <w:t>à</w:t>
      </w:r>
      <w:r>
        <w:rPr>
          <w:spacing w:val="-12"/>
        </w:rPr>
        <w:t xml:space="preserve"> </w:t>
      </w:r>
      <w:r>
        <w:t>dix</w:t>
      </w:r>
      <w:r>
        <w:rPr>
          <w:spacing w:val="-13"/>
        </w:rPr>
        <w:t xml:space="preserve"> </w:t>
      </w:r>
      <w:r>
        <w:t>projets</w:t>
      </w:r>
      <w:r>
        <w:rPr>
          <w:spacing w:val="-12"/>
        </w:rPr>
        <w:t xml:space="preserve"> </w:t>
      </w:r>
      <w:r>
        <w:t>de</w:t>
      </w:r>
      <w:r>
        <w:rPr>
          <w:spacing w:val="-13"/>
        </w:rPr>
        <w:t xml:space="preserve"> </w:t>
      </w:r>
      <w:r>
        <w:t>développement,</w:t>
      </w:r>
      <w:r>
        <w:rPr>
          <w:spacing w:val="-12"/>
        </w:rPr>
        <w:t xml:space="preserve"> </w:t>
      </w:r>
      <w:r>
        <w:t>un</w:t>
      </w:r>
      <w:r>
        <w:rPr>
          <w:spacing w:val="-13"/>
        </w:rPr>
        <w:t xml:space="preserve"> </w:t>
      </w:r>
      <w:r>
        <w:t>diagramme</w:t>
      </w:r>
      <w:r>
        <w:rPr>
          <w:spacing w:val="-12"/>
        </w:rPr>
        <w:t xml:space="preserve"> </w:t>
      </w:r>
      <w:r>
        <w:t>de</w:t>
      </w:r>
      <w:r>
        <w:rPr>
          <w:spacing w:val="-12"/>
        </w:rPr>
        <w:t xml:space="preserve"> </w:t>
      </w:r>
      <w:r>
        <w:t>vitesse doit refléter 20 lignes d'ACO des résultats du projet pour les écritures de débit et deux lignes d'ACO pour les écritures de crédit au projet de résultats de gestion du bureau national financé par des fonds extrabudgétaires.</w:t>
      </w:r>
      <w:r>
        <w:rPr>
          <w:spacing w:val="-13"/>
        </w:rPr>
        <w:t xml:space="preserve"> </w:t>
      </w:r>
      <w:r>
        <w:t>Les</w:t>
      </w:r>
      <w:r>
        <w:rPr>
          <w:spacing w:val="-12"/>
        </w:rPr>
        <w:t xml:space="preserve"> </w:t>
      </w:r>
      <w:r>
        <w:t>diagrammes</w:t>
      </w:r>
      <w:r>
        <w:rPr>
          <w:spacing w:val="-12"/>
        </w:rPr>
        <w:t xml:space="preserve"> </w:t>
      </w:r>
      <w:r>
        <w:t>de</w:t>
      </w:r>
      <w:r>
        <w:rPr>
          <w:spacing w:val="-11"/>
        </w:rPr>
        <w:t xml:space="preserve"> </w:t>
      </w:r>
      <w:r>
        <w:t>vitesse</w:t>
      </w:r>
      <w:r>
        <w:rPr>
          <w:spacing w:val="-11"/>
        </w:rPr>
        <w:t xml:space="preserve"> </w:t>
      </w:r>
      <w:r>
        <w:t>doivent</w:t>
      </w:r>
      <w:r>
        <w:rPr>
          <w:spacing w:val="-13"/>
        </w:rPr>
        <w:t xml:space="preserve"> </w:t>
      </w:r>
      <w:r>
        <w:t>être</w:t>
      </w:r>
      <w:r>
        <w:rPr>
          <w:spacing w:val="-11"/>
        </w:rPr>
        <w:t xml:space="preserve"> </w:t>
      </w:r>
      <w:r>
        <w:t>établis</w:t>
      </w:r>
      <w:r>
        <w:rPr>
          <w:spacing w:val="-12"/>
        </w:rPr>
        <w:t xml:space="preserve"> </w:t>
      </w:r>
      <w:r>
        <w:t>au</w:t>
      </w:r>
      <w:r>
        <w:rPr>
          <w:spacing w:val="-13"/>
        </w:rPr>
        <w:t xml:space="preserve"> </w:t>
      </w:r>
      <w:r>
        <w:t>début</w:t>
      </w:r>
      <w:r>
        <w:rPr>
          <w:spacing w:val="-12"/>
        </w:rPr>
        <w:t xml:space="preserve"> </w:t>
      </w:r>
      <w:r>
        <w:t>de</w:t>
      </w:r>
      <w:r>
        <w:rPr>
          <w:spacing w:val="-6"/>
        </w:rPr>
        <w:t xml:space="preserve"> </w:t>
      </w:r>
      <w:r>
        <w:t>l'année.</w:t>
      </w:r>
      <w:r>
        <w:rPr>
          <w:spacing w:val="-10"/>
        </w:rPr>
        <w:t xml:space="preserve"> </w:t>
      </w:r>
      <w:r>
        <w:t>Lorsque</w:t>
      </w:r>
      <w:r>
        <w:rPr>
          <w:spacing w:val="-11"/>
        </w:rPr>
        <w:t xml:space="preserve"> </w:t>
      </w:r>
      <w:r>
        <w:t>de</w:t>
      </w:r>
      <w:r>
        <w:rPr>
          <w:spacing w:val="-6"/>
        </w:rPr>
        <w:t xml:space="preserve"> </w:t>
      </w:r>
      <w:r>
        <w:t>nouveaux projets de développement sont approuvés, les diagrammes de vitesse peuvent être mis à jour en conséquence si le nouveau projet nécessite des services de soutien direct de la part du bureau national.</w:t>
      </w:r>
    </w:p>
    <w:p w14:paraId="55FD8DBF" w14:textId="77777777" w:rsidR="00C14287" w:rsidRDefault="00C14287">
      <w:pPr>
        <w:pStyle w:val="BodyText"/>
        <w:spacing w:before="7"/>
        <w:rPr>
          <w:sz w:val="27"/>
        </w:rPr>
      </w:pPr>
    </w:p>
    <w:p w14:paraId="7B33BFA2" w14:textId="77777777" w:rsidR="00C14287" w:rsidRDefault="00000000">
      <w:pPr>
        <w:pStyle w:val="BodyText"/>
        <w:spacing w:before="1"/>
        <w:ind w:left="472"/>
      </w:pPr>
      <w:r>
        <w:t>Estimation</w:t>
      </w:r>
      <w:r>
        <w:rPr>
          <w:spacing w:val="-7"/>
        </w:rPr>
        <w:t xml:space="preserve"> </w:t>
      </w:r>
      <w:r>
        <w:t>des</w:t>
      </w:r>
      <w:r>
        <w:rPr>
          <w:spacing w:val="-4"/>
        </w:rPr>
        <w:t xml:space="preserve"> </w:t>
      </w:r>
      <w:r>
        <w:t>frais</w:t>
      </w:r>
      <w:r>
        <w:rPr>
          <w:spacing w:val="-3"/>
        </w:rPr>
        <w:t xml:space="preserve"> </w:t>
      </w:r>
      <w:r>
        <w:t>de</w:t>
      </w:r>
      <w:r>
        <w:rPr>
          <w:spacing w:val="-4"/>
        </w:rPr>
        <w:t xml:space="preserve"> </w:t>
      </w:r>
      <w:r>
        <w:t>personnel</w:t>
      </w:r>
      <w:r>
        <w:rPr>
          <w:spacing w:val="-1"/>
        </w:rPr>
        <w:t xml:space="preserve"> </w:t>
      </w:r>
      <w:r>
        <w:t>et</w:t>
      </w:r>
      <w:r>
        <w:rPr>
          <w:spacing w:val="-6"/>
        </w:rPr>
        <w:t xml:space="preserve"> </w:t>
      </w:r>
      <w:r>
        <w:t>du</w:t>
      </w:r>
      <w:r>
        <w:rPr>
          <w:spacing w:val="-4"/>
        </w:rPr>
        <w:t xml:space="preserve"> </w:t>
      </w:r>
      <w:r>
        <w:t>GOE</w:t>
      </w:r>
      <w:r>
        <w:rPr>
          <w:spacing w:val="-2"/>
        </w:rPr>
        <w:t xml:space="preserve"> </w:t>
      </w:r>
      <w:r>
        <w:t>fournissant</w:t>
      </w:r>
      <w:r>
        <w:rPr>
          <w:spacing w:val="-6"/>
        </w:rPr>
        <w:t xml:space="preserve"> </w:t>
      </w:r>
      <w:r>
        <w:t>des</w:t>
      </w:r>
      <w:r>
        <w:rPr>
          <w:spacing w:val="-3"/>
        </w:rPr>
        <w:t xml:space="preserve"> </w:t>
      </w:r>
      <w:r>
        <w:t>services</w:t>
      </w:r>
      <w:r>
        <w:rPr>
          <w:spacing w:val="-4"/>
        </w:rPr>
        <w:t xml:space="preserve"> </w:t>
      </w:r>
      <w:r>
        <w:t>basés</w:t>
      </w:r>
      <w:r>
        <w:rPr>
          <w:spacing w:val="-3"/>
        </w:rPr>
        <w:t xml:space="preserve"> </w:t>
      </w:r>
      <w:r>
        <w:t>sur</w:t>
      </w:r>
      <w:r>
        <w:rPr>
          <w:spacing w:val="-4"/>
        </w:rPr>
        <w:t xml:space="preserve"> </w:t>
      </w:r>
      <w:r>
        <w:t>l'UPL/LPL</w:t>
      </w:r>
      <w:r>
        <w:rPr>
          <w:spacing w:val="-5"/>
        </w:rPr>
        <w:t xml:space="preserve"> </w:t>
      </w:r>
      <w:r>
        <w:rPr>
          <w:spacing w:val="-10"/>
        </w:rPr>
        <w:t>:</w:t>
      </w:r>
    </w:p>
    <w:p w14:paraId="0B4BB599" w14:textId="77777777" w:rsidR="00C14287" w:rsidRDefault="00C14287">
      <w:pPr>
        <w:pStyle w:val="BodyText"/>
        <w:spacing w:before="11"/>
        <w:rPr>
          <w:sz w:val="27"/>
        </w:rPr>
      </w:pPr>
    </w:p>
    <w:p w14:paraId="728258EA" w14:textId="77777777" w:rsidR="00C14287" w:rsidRDefault="00000000">
      <w:pPr>
        <w:pStyle w:val="ListParagraph"/>
        <w:numPr>
          <w:ilvl w:val="0"/>
          <w:numId w:val="1"/>
        </w:numPr>
        <w:tabs>
          <w:tab w:val="left" w:pos="815"/>
          <w:tab w:val="left" w:pos="817"/>
        </w:tabs>
        <w:spacing w:line="256" w:lineRule="auto"/>
        <w:ind w:right="116"/>
        <w:jc w:val="both"/>
      </w:pPr>
      <w:r>
        <w:t>Le bureau national doit s'assurer qu'il dispose de capacités et de ressources suffisantes (personnel et infrastructure de bureau) pour fournir des services de qualité en temps voulu aux projets.</w:t>
      </w:r>
    </w:p>
    <w:p w14:paraId="0D99FAE7" w14:textId="77777777" w:rsidR="00C14287" w:rsidRDefault="00C14287">
      <w:pPr>
        <w:pStyle w:val="BodyText"/>
        <w:spacing w:before="5"/>
        <w:rPr>
          <w:sz w:val="26"/>
        </w:rPr>
      </w:pPr>
    </w:p>
    <w:p w14:paraId="673B26FD" w14:textId="77777777" w:rsidR="00C14287" w:rsidRDefault="00000000">
      <w:pPr>
        <w:pStyle w:val="ListParagraph"/>
        <w:numPr>
          <w:ilvl w:val="0"/>
          <w:numId w:val="1"/>
        </w:numPr>
        <w:tabs>
          <w:tab w:val="left" w:pos="816"/>
        </w:tabs>
        <w:spacing w:line="259" w:lineRule="auto"/>
        <w:ind w:left="816" w:right="112" w:hanging="360"/>
        <w:jc w:val="both"/>
      </w:pPr>
      <w:r>
        <w:t>Comme</w:t>
      </w:r>
      <w:r>
        <w:rPr>
          <w:spacing w:val="-13"/>
        </w:rPr>
        <w:t xml:space="preserve"> </w:t>
      </w:r>
      <w:r>
        <w:t>indiqué</w:t>
      </w:r>
      <w:r>
        <w:rPr>
          <w:spacing w:val="-12"/>
        </w:rPr>
        <w:t xml:space="preserve"> </w:t>
      </w:r>
      <w:r>
        <w:t>ci-dessus,</w:t>
      </w:r>
      <w:r>
        <w:rPr>
          <w:spacing w:val="-13"/>
        </w:rPr>
        <w:t xml:space="preserve"> </w:t>
      </w:r>
      <w:r>
        <w:t>lorsque</w:t>
      </w:r>
      <w:r>
        <w:rPr>
          <w:spacing w:val="-12"/>
        </w:rPr>
        <w:t xml:space="preserve"> </w:t>
      </w:r>
      <w:r>
        <w:t>les</w:t>
      </w:r>
      <w:r>
        <w:rPr>
          <w:spacing w:val="-13"/>
        </w:rPr>
        <w:t xml:space="preserve"> </w:t>
      </w:r>
      <w:r>
        <w:t>bureaux</w:t>
      </w:r>
      <w:r>
        <w:rPr>
          <w:spacing w:val="-12"/>
        </w:rPr>
        <w:t xml:space="preserve"> </w:t>
      </w:r>
      <w:r>
        <w:t>estiment</w:t>
      </w:r>
      <w:r>
        <w:rPr>
          <w:spacing w:val="-13"/>
        </w:rPr>
        <w:t xml:space="preserve"> </w:t>
      </w:r>
      <w:r>
        <w:t>qu'il</w:t>
      </w:r>
      <w:r>
        <w:rPr>
          <w:spacing w:val="-12"/>
        </w:rPr>
        <w:t xml:space="preserve"> </w:t>
      </w:r>
      <w:r>
        <w:t>n'est</w:t>
      </w:r>
      <w:r>
        <w:rPr>
          <w:spacing w:val="-12"/>
        </w:rPr>
        <w:t xml:space="preserve"> </w:t>
      </w:r>
      <w:r>
        <w:t>pas</w:t>
      </w:r>
      <w:r>
        <w:rPr>
          <w:spacing w:val="-13"/>
        </w:rPr>
        <w:t xml:space="preserve"> </w:t>
      </w:r>
      <w:r>
        <w:t>pratique</w:t>
      </w:r>
      <w:r>
        <w:rPr>
          <w:spacing w:val="-12"/>
        </w:rPr>
        <w:t xml:space="preserve"> </w:t>
      </w:r>
      <w:r>
        <w:t>d'imputer</w:t>
      </w:r>
      <w:r>
        <w:rPr>
          <w:spacing w:val="-13"/>
        </w:rPr>
        <w:t xml:space="preserve"> </w:t>
      </w:r>
      <w:r>
        <w:t>le</w:t>
      </w:r>
      <w:r>
        <w:rPr>
          <w:spacing w:val="-12"/>
        </w:rPr>
        <w:t xml:space="preserve"> </w:t>
      </w:r>
      <w:r>
        <w:t>temps</w:t>
      </w:r>
      <w:r>
        <w:rPr>
          <w:spacing w:val="-13"/>
        </w:rPr>
        <w:t xml:space="preserve"> </w:t>
      </w:r>
      <w:r>
        <w:t>de</w:t>
      </w:r>
      <w:r>
        <w:rPr>
          <w:spacing w:val="-12"/>
        </w:rPr>
        <w:t xml:space="preserve"> </w:t>
      </w:r>
      <w:r>
        <w:t>travail du personnel de l'unité opérationnelle à une ligne de financement multiple, il est possible d'utiliser le système UPL/LPL, mais la partie du temps de travail du personnel consacrée à la fourniture de services UPL/LPL</w:t>
      </w:r>
      <w:r>
        <w:rPr>
          <w:spacing w:val="-3"/>
        </w:rPr>
        <w:t xml:space="preserve"> </w:t>
      </w:r>
      <w:r>
        <w:t>aux</w:t>
      </w:r>
      <w:r>
        <w:rPr>
          <w:spacing w:val="-1"/>
        </w:rPr>
        <w:t xml:space="preserve"> </w:t>
      </w:r>
      <w:r>
        <w:t>projets doit</w:t>
      </w:r>
      <w:r>
        <w:rPr>
          <w:spacing w:val="-3"/>
        </w:rPr>
        <w:t xml:space="preserve"> </w:t>
      </w:r>
      <w:r>
        <w:t>être</w:t>
      </w:r>
      <w:r>
        <w:rPr>
          <w:spacing w:val="-1"/>
        </w:rPr>
        <w:t xml:space="preserve"> </w:t>
      </w:r>
      <w:r>
        <w:t>budgétisée</w:t>
      </w:r>
      <w:r>
        <w:rPr>
          <w:spacing w:val="-1"/>
        </w:rPr>
        <w:t xml:space="preserve"> </w:t>
      </w:r>
      <w:r>
        <w:t>sur le</w:t>
      </w:r>
      <w:r>
        <w:rPr>
          <w:spacing w:val="-1"/>
        </w:rPr>
        <w:t xml:space="preserve"> </w:t>
      </w:r>
      <w:r>
        <w:t>compte</w:t>
      </w:r>
      <w:r>
        <w:rPr>
          <w:spacing w:val="-1"/>
        </w:rPr>
        <w:t xml:space="preserve"> </w:t>
      </w:r>
      <w:r>
        <w:t>de</w:t>
      </w:r>
      <w:r>
        <w:rPr>
          <w:spacing w:val="-1"/>
        </w:rPr>
        <w:t xml:space="preserve"> </w:t>
      </w:r>
      <w:r>
        <w:t>dépenses</w:t>
      </w:r>
      <w:r>
        <w:rPr>
          <w:spacing w:val="-1"/>
        </w:rPr>
        <w:t xml:space="preserve"> </w:t>
      </w:r>
      <w:r>
        <w:t>approprié</w:t>
      </w:r>
      <w:r>
        <w:rPr>
          <w:spacing w:val="-1"/>
        </w:rPr>
        <w:t xml:space="preserve"> </w:t>
      </w:r>
      <w:r>
        <w:t>(par</w:t>
      </w:r>
      <w:r>
        <w:rPr>
          <w:spacing w:val="-1"/>
        </w:rPr>
        <w:t xml:space="preserve"> </w:t>
      </w:r>
      <w:r>
        <w:t>exemple, les</w:t>
      </w:r>
      <w:r>
        <w:rPr>
          <w:spacing w:val="-1"/>
        </w:rPr>
        <w:t xml:space="preserve"> </w:t>
      </w:r>
      <w:r>
        <w:t>fonds</w:t>
      </w:r>
      <w:r>
        <w:rPr>
          <w:spacing w:val="-1"/>
        </w:rPr>
        <w:t xml:space="preserve"> </w:t>
      </w:r>
      <w:r>
        <w:t>XB) ou</w:t>
      </w:r>
      <w:r>
        <w:rPr>
          <w:spacing w:val="-11"/>
        </w:rPr>
        <w:t xml:space="preserve"> </w:t>
      </w:r>
      <w:r>
        <w:t>un</w:t>
      </w:r>
      <w:r>
        <w:rPr>
          <w:spacing w:val="-10"/>
        </w:rPr>
        <w:t xml:space="preserve"> </w:t>
      </w:r>
      <w:r>
        <w:t>projet</w:t>
      </w:r>
      <w:r>
        <w:rPr>
          <w:spacing w:val="-11"/>
        </w:rPr>
        <w:t xml:space="preserve"> </w:t>
      </w:r>
      <w:r>
        <w:t>autonome</w:t>
      </w:r>
      <w:r>
        <w:rPr>
          <w:spacing w:val="-8"/>
        </w:rPr>
        <w:t xml:space="preserve"> </w:t>
      </w:r>
      <w:r>
        <w:t>de</w:t>
      </w:r>
      <w:r>
        <w:rPr>
          <w:spacing w:val="-8"/>
        </w:rPr>
        <w:t xml:space="preserve"> </w:t>
      </w:r>
      <w:r>
        <w:t>DPC.</w:t>
      </w:r>
      <w:r>
        <w:rPr>
          <w:spacing w:val="-12"/>
        </w:rPr>
        <w:t xml:space="preserve"> </w:t>
      </w:r>
      <w:r>
        <w:t>Cela</w:t>
      </w:r>
      <w:r>
        <w:rPr>
          <w:spacing w:val="-9"/>
        </w:rPr>
        <w:t xml:space="preserve"> </w:t>
      </w:r>
      <w:r>
        <w:t>permettra</w:t>
      </w:r>
      <w:r>
        <w:rPr>
          <w:spacing w:val="-9"/>
        </w:rPr>
        <w:t xml:space="preserve"> </w:t>
      </w:r>
      <w:r>
        <w:t>d'accumuler</w:t>
      </w:r>
      <w:r>
        <w:rPr>
          <w:spacing w:val="-13"/>
        </w:rPr>
        <w:t xml:space="preserve"> </w:t>
      </w:r>
      <w:r>
        <w:t>les</w:t>
      </w:r>
      <w:r>
        <w:rPr>
          <w:spacing w:val="-8"/>
        </w:rPr>
        <w:t xml:space="preserve"> </w:t>
      </w:r>
      <w:r>
        <w:t>coûts</w:t>
      </w:r>
      <w:r>
        <w:rPr>
          <w:spacing w:val="-9"/>
        </w:rPr>
        <w:t xml:space="preserve"> </w:t>
      </w:r>
      <w:r>
        <w:t>directement</w:t>
      </w:r>
      <w:r>
        <w:rPr>
          <w:spacing w:val="-11"/>
        </w:rPr>
        <w:t xml:space="preserve"> </w:t>
      </w:r>
      <w:r>
        <w:t>imputables</w:t>
      </w:r>
      <w:r>
        <w:rPr>
          <w:spacing w:val="-9"/>
        </w:rPr>
        <w:t xml:space="preserve"> </w:t>
      </w:r>
      <w:r>
        <w:t>au</w:t>
      </w:r>
      <w:r>
        <w:rPr>
          <w:spacing w:val="-10"/>
        </w:rPr>
        <w:t xml:space="preserve"> </w:t>
      </w:r>
      <w:r>
        <w:t>personnel du</w:t>
      </w:r>
      <w:r>
        <w:rPr>
          <w:spacing w:val="-4"/>
        </w:rPr>
        <w:t xml:space="preserve"> </w:t>
      </w:r>
      <w:r>
        <w:t>PNUD</w:t>
      </w:r>
      <w:r>
        <w:rPr>
          <w:spacing w:val="-5"/>
        </w:rPr>
        <w:t xml:space="preserve"> </w:t>
      </w:r>
      <w:r>
        <w:t>dans</w:t>
      </w:r>
      <w:r>
        <w:rPr>
          <w:spacing w:val="-3"/>
        </w:rPr>
        <w:t xml:space="preserve"> </w:t>
      </w:r>
      <w:r>
        <w:t>les</w:t>
      </w:r>
      <w:r>
        <w:rPr>
          <w:spacing w:val="-3"/>
        </w:rPr>
        <w:t xml:space="preserve"> </w:t>
      </w:r>
      <w:r>
        <w:t>fonds</w:t>
      </w:r>
      <w:r>
        <w:rPr>
          <w:spacing w:val="-3"/>
        </w:rPr>
        <w:t xml:space="preserve"> </w:t>
      </w:r>
      <w:r>
        <w:t>XB</w:t>
      </w:r>
      <w:r>
        <w:rPr>
          <w:spacing w:val="-3"/>
        </w:rPr>
        <w:t xml:space="preserve"> </w:t>
      </w:r>
      <w:r>
        <w:t>(ou</w:t>
      </w:r>
      <w:r>
        <w:rPr>
          <w:spacing w:val="-4"/>
        </w:rPr>
        <w:t xml:space="preserve"> </w:t>
      </w:r>
      <w:r>
        <w:t>un</w:t>
      </w:r>
      <w:r>
        <w:rPr>
          <w:spacing w:val="-4"/>
        </w:rPr>
        <w:t xml:space="preserve"> </w:t>
      </w:r>
      <w:r>
        <w:t>projet</w:t>
      </w:r>
      <w:r>
        <w:rPr>
          <w:spacing w:val="-5"/>
        </w:rPr>
        <w:t xml:space="preserve"> </w:t>
      </w:r>
      <w:r>
        <w:t>autonome</w:t>
      </w:r>
      <w:r>
        <w:rPr>
          <w:spacing w:val="-3"/>
        </w:rPr>
        <w:t xml:space="preserve"> </w:t>
      </w:r>
      <w:r>
        <w:t>DPC,</w:t>
      </w:r>
      <w:r>
        <w:rPr>
          <w:spacing w:val="-1"/>
        </w:rPr>
        <w:t xml:space="preserve"> </w:t>
      </w:r>
      <w:r>
        <w:t>fonds</w:t>
      </w:r>
      <w:r>
        <w:rPr>
          <w:spacing w:val="-3"/>
        </w:rPr>
        <w:t xml:space="preserve"> </w:t>
      </w:r>
      <w:r>
        <w:t>11309)</w:t>
      </w:r>
      <w:r>
        <w:rPr>
          <w:spacing w:val="-3"/>
        </w:rPr>
        <w:t xml:space="preserve"> </w:t>
      </w:r>
      <w:r>
        <w:t>puis</w:t>
      </w:r>
      <w:r>
        <w:rPr>
          <w:spacing w:val="-3"/>
        </w:rPr>
        <w:t xml:space="preserve"> </w:t>
      </w:r>
      <w:r>
        <w:t>de</w:t>
      </w:r>
      <w:r>
        <w:rPr>
          <w:spacing w:val="-3"/>
        </w:rPr>
        <w:t xml:space="preserve"> </w:t>
      </w:r>
      <w:r>
        <w:t>les</w:t>
      </w:r>
      <w:r>
        <w:rPr>
          <w:spacing w:val="-3"/>
        </w:rPr>
        <w:t xml:space="preserve"> </w:t>
      </w:r>
      <w:r>
        <w:t>répartir</w:t>
      </w:r>
      <w:r>
        <w:rPr>
          <w:spacing w:val="-3"/>
        </w:rPr>
        <w:t xml:space="preserve"> </w:t>
      </w:r>
      <w:r>
        <w:t>entre</w:t>
      </w:r>
      <w:r>
        <w:rPr>
          <w:spacing w:val="-3"/>
        </w:rPr>
        <w:t xml:space="preserve"> </w:t>
      </w:r>
      <w:r>
        <w:t>les</w:t>
      </w:r>
      <w:r>
        <w:rPr>
          <w:spacing w:val="-3"/>
        </w:rPr>
        <w:t xml:space="preserve"> </w:t>
      </w:r>
      <w:r>
        <w:t>projets de développement sur une base mensuelle ou trimestrielle (et à temps pour l'émission du REC). Par exemple, si un membre du personnel dont le poste est entièrement financé par les fonds de base (02300) consacre</w:t>
      </w:r>
      <w:r>
        <w:rPr>
          <w:spacing w:val="-4"/>
        </w:rPr>
        <w:t xml:space="preserve"> </w:t>
      </w:r>
      <w:r>
        <w:t>20</w:t>
      </w:r>
      <w:r>
        <w:rPr>
          <w:spacing w:val="-6"/>
        </w:rPr>
        <w:t xml:space="preserve"> </w:t>
      </w:r>
      <w:r>
        <w:t>%</w:t>
      </w:r>
      <w:r>
        <w:rPr>
          <w:spacing w:val="-4"/>
        </w:rPr>
        <w:t xml:space="preserve"> </w:t>
      </w:r>
      <w:r>
        <w:t>de</w:t>
      </w:r>
      <w:r>
        <w:rPr>
          <w:spacing w:val="-4"/>
        </w:rPr>
        <w:t xml:space="preserve"> </w:t>
      </w:r>
      <w:r>
        <w:t>son temps</w:t>
      </w:r>
      <w:r>
        <w:rPr>
          <w:spacing w:val="-4"/>
        </w:rPr>
        <w:t xml:space="preserve"> </w:t>
      </w:r>
      <w:r>
        <w:t>à</w:t>
      </w:r>
      <w:r>
        <w:rPr>
          <w:spacing w:val="-4"/>
        </w:rPr>
        <w:t xml:space="preserve"> </w:t>
      </w:r>
      <w:r>
        <w:t>fournir</w:t>
      </w:r>
      <w:r>
        <w:rPr>
          <w:spacing w:val="-4"/>
        </w:rPr>
        <w:t xml:space="preserve"> </w:t>
      </w:r>
      <w:r>
        <w:t>des</w:t>
      </w:r>
      <w:r>
        <w:rPr>
          <w:spacing w:val="-4"/>
        </w:rPr>
        <w:t xml:space="preserve"> </w:t>
      </w:r>
      <w:r>
        <w:t>services</w:t>
      </w:r>
      <w:r>
        <w:rPr>
          <w:spacing w:val="-4"/>
        </w:rPr>
        <w:t xml:space="preserve"> </w:t>
      </w:r>
      <w:r>
        <w:t>basés</w:t>
      </w:r>
      <w:r>
        <w:rPr>
          <w:spacing w:val="-4"/>
        </w:rPr>
        <w:t xml:space="preserve"> </w:t>
      </w:r>
      <w:r>
        <w:t>sur</w:t>
      </w:r>
      <w:r>
        <w:rPr>
          <w:spacing w:val="-4"/>
        </w:rPr>
        <w:t xml:space="preserve"> </w:t>
      </w:r>
      <w:r>
        <w:t>la</w:t>
      </w:r>
      <w:r>
        <w:rPr>
          <w:spacing w:val="-4"/>
        </w:rPr>
        <w:t xml:space="preserve"> </w:t>
      </w:r>
      <w:r>
        <w:t>LPL/PLU</w:t>
      </w:r>
      <w:r>
        <w:rPr>
          <w:spacing w:val="-2"/>
        </w:rPr>
        <w:t xml:space="preserve"> </w:t>
      </w:r>
      <w:r>
        <w:t>aux</w:t>
      </w:r>
      <w:r>
        <w:rPr>
          <w:spacing w:val="-4"/>
        </w:rPr>
        <w:t xml:space="preserve"> </w:t>
      </w:r>
      <w:r>
        <w:t>projets</w:t>
      </w:r>
      <w:r>
        <w:rPr>
          <w:spacing w:val="-4"/>
        </w:rPr>
        <w:t xml:space="preserve"> </w:t>
      </w:r>
      <w:r>
        <w:t>de</w:t>
      </w:r>
      <w:r>
        <w:rPr>
          <w:spacing w:val="-4"/>
        </w:rPr>
        <w:t xml:space="preserve"> </w:t>
      </w:r>
      <w:r>
        <w:t>développement,</w:t>
      </w:r>
      <w:r>
        <w:rPr>
          <w:spacing w:val="-2"/>
        </w:rPr>
        <w:t xml:space="preserve"> </w:t>
      </w:r>
      <w:r>
        <w:t>son poste Quantum sera codé comme poste "DPC" dans Quantum avec deux lignes de financement COA : a) fonds 02300-80 % et b) 11300 (ou projet autonome DPC) -20 %.</w:t>
      </w:r>
    </w:p>
    <w:p w14:paraId="6353A527" w14:textId="77777777" w:rsidR="00C14287" w:rsidRDefault="00C14287">
      <w:pPr>
        <w:pStyle w:val="BodyText"/>
        <w:spacing w:before="3"/>
        <w:rPr>
          <w:sz w:val="25"/>
        </w:rPr>
      </w:pPr>
    </w:p>
    <w:p w14:paraId="1AF3C2EE" w14:textId="77777777" w:rsidR="00C14287" w:rsidRDefault="00000000">
      <w:pPr>
        <w:pStyle w:val="ListParagraph"/>
        <w:numPr>
          <w:ilvl w:val="0"/>
          <w:numId w:val="1"/>
        </w:numPr>
        <w:tabs>
          <w:tab w:val="left" w:pos="815"/>
          <w:tab w:val="left" w:pos="817"/>
        </w:tabs>
        <w:spacing w:line="256" w:lineRule="auto"/>
        <w:ind w:right="113"/>
        <w:jc w:val="both"/>
      </w:pPr>
      <w:r>
        <w:t>Les résultats d'une étude annuelle de la charge de travail pourraient servir d'orientation pour financer les postes</w:t>
      </w:r>
      <w:r>
        <w:rPr>
          <w:spacing w:val="-13"/>
        </w:rPr>
        <w:t xml:space="preserve"> </w:t>
      </w:r>
      <w:r>
        <w:t>opérationnels</w:t>
      </w:r>
      <w:r>
        <w:rPr>
          <w:spacing w:val="-12"/>
        </w:rPr>
        <w:t xml:space="preserve"> </w:t>
      </w:r>
      <w:r>
        <w:t>à</w:t>
      </w:r>
      <w:r>
        <w:rPr>
          <w:spacing w:val="-13"/>
        </w:rPr>
        <w:t xml:space="preserve"> </w:t>
      </w:r>
      <w:r>
        <w:t>partir</w:t>
      </w:r>
      <w:r>
        <w:rPr>
          <w:spacing w:val="-12"/>
        </w:rPr>
        <w:t xml:space="preserve"> </w:t>
      </w:r>
      <w:r>
        <w:t>de</w:t>
      </w:r>
      <w:r>
        <w:rPr>
          <w:spacing w:val="-6"/>
        </w:rPr>
        <w:t xml:space="preserve"> </w:t>
      </w:r>
      <w:r>
        <w:t>diverses</w:t>
      </w:r>
      <w:r>
        <w:rPr>
          <w:spacing w:val="-13"/>
        </w:rPr>
        <w:t xml:space="preserve"> </w:t>
      </w:r>
      <w:r>
        <w:t>sources</w:t>
      </w:r>
      <w:r>
        <w:rPr>
          <w:spacing w:val="-12"/>
        </w:rPr>
        <w:t xml:space="preserve"> </w:t>
      </w:r>
      <w:r>
        <w:t>de</w:t>
      </w:r>
      <w:r>
        <w:rPr>
          <w:spacing w:val="-12"/>
        </w:rPr>
        <w:t xml:space="preserve"> </w:t>
      </w:r>
      <w:r>
        <w:t>financement.</w:t>
      </w:r>
      <w:r>
        <w:rPr>
          <w:spacing w:val="-11"/>
        </w:rPr>
        <w:t xml:space="preserve"> </w:t>
      </w:r>
      <w:r>
        <w:t>Un</w:t>
      </w:r>
      <w:r>
        <w:rPr>
          <w:spacing w:val="-13"/>
        </w:rPr>
        <w:t xml:space="preserve"> </w:t>
      </w:r>
      <w:r>
        <w:t>modèle</w:t>
      </w:r>
      <w:r>
        <w:rPr>
          <w:spacing w:val="-11"/>
        </w:rPr>
        <w:t xml:space="preserve"> </w:t>
      </w:r>
      <w:r>
        <w:t>d'étude</w:t>
      </w:r>
      <w:r>
        <w:rPr>
          <w:spacing w:val="-12"/>
        </w:rPr>
        <w:t xml:space="preserve"> </w:t>
      </w:r>
      <w:r>
        <w:t>de</w:t>
      </w:r>
      <w:r>
        <w:rPr>
          <w:spacing w:val="-12"/>
        </w:rPr>
        <w:t xml:space="preserve"> </w:t>
      </w:r>
      <w:r>
        <w:t>la</w:t>
      </w:r>
      <w:r>
        <w:rPr>
          <w:spacing w:val="-13"/>
        </w:rPr>
        <w:t xml:space="preserve"> </w:t>
      </w:r>
      <w:r>
        <w:t>charge</w:t>
      </w:r>
      <w:r>
        <w:rPr>
          <w:spacing w:val="-11"/>
        </w:rPr>
        <w:t xml:space="preserve"> </w:t>
      </w:r>
      <w:r>
        <w:t>de</w:t>
      </w:r>
      <w:r>
        <w:rPr>
          <w:spacing w:val="-12"/>
        </w:rPr>
        <w:t xml:space="preserve"> </w:t>
      </w:r>
      <w:r>
        <w:t>travail peut être utilisé aussi souvent que nécessaire pour valider la répartition du temps du personnel entre les activités. Le temps consacré par le personnel des opérations aux services basés sur la LPL/PLU pour les projets de développement (Activité 1 - Programme) pourrait être utilisé comme une part indicative du financement XB (par ex. 11300) pour les postes Quantum. A titre d'exemple, les résultats d'une étude sur la charge de travail de quatre membres du personnel opérationnel sont présentés dans le tableau ci- dessous. Ce</w:t>
      </w:r>
      <w:r>
        <w:rPr>
          <w:spacing w:val="-2"/>
        </w:rPr>
        <w:t xml:space="preserve"> </w:t>
      </w:r>
      <w:r>
        <w:t>bureau</w:t>
      </w:r>
      <w:r>
        <w:rPr>
          <w:spacing w:val="-3"/>
        </w:rPr>
        <w:t xml:space="preserve"> </w:t>
      </w:r>
      <w:r>
        <w:t>prévoit</w:t>
      </w:r>
      <w:r>
        <w:rPr>
          <w:spacing w:val="-4"/>
        </w:rPr>
        <w:t xml:space="preserve"> </w:t>
      </w:r>
      <w:r>
        <w:t>de</w:t>
      </w:r>
      <w:r>
        <w:rPr>
          <w:spacing w:val="-2"/>
        </w:rPr>
        <w:t xml:space="preserve"> </w:t>
      </w:r>
      <w:r>
        <w:t>recouvrer</w:t>
      </w:r>
      <w:r>
        <w:rPr>
          <w:spacing w:val="-2"/>
        </w:rPr>
        <w:t xml:space="preserve"> </w:t>
      </w:r>
      <w:r>
        <w:t>les</w:t>
      </w:r>
      <w:r>
        <w:rPr>
          <w:spacing w:val="-2"/>
        </w:rPr>
        <w:t xml:space="preserve"> </w:t>
      </w:r>
      <w:r>
        <w:t>coûts</w:t>
      </w:r>
      <w:r>
        <w:rPr>
          <w:spacing w:val="-2"/>
        </w:rPr>
        <w:t xml:space="preserve"> </w:t>
      </w:r>
      <w:r>
        <w:t>directs</w:t>
      </w:r>
      <w:r>
        <w:rPr>
          <w:spacing w:val="-2"/>
        </w:rPr>
        <w:t xml:space="preserve"> </w:t>
      </w:r>
      <w:r>
        <w:t>des</w:t>
      </w:r>
      <w:r>
        <w:rPr>
          <w:spacing w:val="-2"/>
        </w:rPr>
        <w:t xml:space="preserve"> </w:t>
      </w:r>
      <w:r>
        <w:t>projets</w:t>
      </w:r>
      <w:r>
        <w:rPr>
          <w:spacing w:val="-2"/>
        </w:rPr>
        <w:t xml:space="preserve"> </w:t>
      </w:r>
      <w:r>
        <w:t>par</w:t>
      </w:r>
      <w:r>
        <w:rPr>
          <w:spacing w:val="-2"/>
        </w:rPr>
        <w:t xml:space="preserve"> </w:t>
      </w:r>
      <w:r>
        <w:t>le</w:t>
      </w:r>
      <w:r>
        <w:rPr>
          <w:spacing w:val="-2"/>
        </w:rPr>
        <w:t xml:space="preserve"> </w:t>
      </w:r>
      <w:r>
        <w:t>biais</w:t>
      </w:r>
      <w:r>
        <w:rPr>
          <w:spacing w:val="-2"/>
        </w:rPr>
        <w:t xml:space="preserve"> </w:t>
      </w:r>
      <w:r>
        <w:t>de</w:t>
      </w:r>
      <w:r>
        <w:rPr>
          <w:spacing w:val="-2"/>
        </w:rPr>
        <w:t xml:space="preserve"> </w:t>
      </w:r>
      <w:r>
        <w:t>l'UPL/LPL, la</w:t>
      </w:r>
      <w:r>
        <w:rPr>
          <w:spacing w:val="-3"/>
        </w:rPr>
        <w:t xml:space="preserve"> </w:t>
      </w:r>
      <w:r>
        <w:t>partie</w:t>
      </w:r>
      <w:r>
        <w:rPr>
          <w:spacing w:val="-2"/>
        </w:rPr>
        <w:t xml:space="preserve"> </w:t>
      </w:r>
      <w:r>
        <w:t>des</w:t>
      </w:r>
    </w:p>
    <w:p w14:paraId="1489DE4F" w14:textId="77777777" w:rsidR="00C14287" w:rsidRDefault="00C14287">
      <w:pPr>
        <w:spacing w:line="256" w:lineRule="auto"/>
        <w:jc w:val="both"/>
        <w:sectPr w:rsidR="00C14287" w:rsidSect="001E6E14">
          <w:headerReference w:type="default" r:id="rId13"/>
          <w:footerReference w:type="default" r:id="rId14"/>
          <w:pgSz w:w="12240" w:h="16340"/>
          <w:pgMar w:top="1620" w:right="980" w:bottom="940" w:left="800" w:header="720" w:footer="743" w:gutter="0"/>
          <w:cols w:space="720"/>
        </w:sectPr>
      </w:pPr>
    </w:p>
    <w:p w14:paraId="082238DF" w14:textId="77777777" w:rsidR="00C14287" w:rsidRDefault="00C14287">
      <w:pPr>
        <w:pStyle w:val="BodyText"/>
        <w:spacing w:before="3"/>
        <w:rPr>
          <w:sz w:val="20"/>
        </w:rPr>
      </w:pPr>
    </w:p>
    <w:p w14:paraId="23EC7105" w14:textId="77777777" w:rsidR="00C14287" w:rsidRDefault="00000000">
      <w:pPr>
        <w:pStyle w:val="BodyText"/>
        <w:spacing w:before="57" w:line="256" w:lineRule="auto"/>
        <w:ind w:left="817" w:right="112"/>
        <w:jc w:val="both"/>
      </w:pPr>
      <w:r>
        <w:t>coûts</w:t>
      </w:r>
      <w:r>
        <w:rPr>
          <w:spacing w:val="-13"/>
        </w:rPr>
        <w:t xml:space="preserve"> </w:t>
      </w:r>
      <w:r>
        <w:t>du</w:t>
      </w:r>
      <w:r>
        <w:rPr>
          <w:spacing w:val="-12"/>
        </w:rPr>
        <w:t xml:space="preserve"> </w:t>
      </w:r>
      <w:r>
        <w:t>personnel</w:t>
      </w:r>
      <w:r>
        <w:rPr>
          <w:spacing w:val="-13"/>
        </w:rPr>
        <w:t xml:space="preserve"> </w:t>
      </w:r>
      <w:r>
        <w:t>consacrée</w:t>
      </w:r>
      <w:r>
        <w:rPr>
          <w:spacing w:val="-12"/>
        </w:rPr>
        <w:t xml:space="preserve"> </w:t>
      </w:r>
      <w:r>
        <w:t>à</w:t>
      </w:r>
      <w:r>
        <w:rPr>
          <w:spacing w:val="-13"/>
        </w:rPr>
        <w:t xml:space="preserve"> </w:t>
      </w:r>
      <w:r>
        <w:t>la</w:t>
      </w:r>
      <w:r>
        <w:rPr>
          <w:spacing w:val="-12"/>
        </w:rPr>
        <w:t xml:space="preserve"> </w:t>
      </w:r>
      <w:r>
        <w:t>fourniture</w:t>
      </w:r>
      <w:r>
        <w:rPr>
          <w:spacing w:val="-13"/>
        </w:rPr>
        <w:t xml:space="preserve"> </w:t>
      </w:r>
      <w:r>
        <w:t>de</w:t>
      </w:r>
      <w:r>
        <w:rPr>
          <w:spacing w:val="-12"/>
        </w:rPr>
        <w:t xml:space="preserve"> </w:t>
      </w:r>
      <w:r>
        <w:t>ces</w:t>
      </w:r>
      <w:r>
        <w:rPr>
          <w:spacing w:val="-12"/>
        </w:rPr>
        <w:t xml:space="preserve"> </w:t>
      </w:r>
      <w:r>
        <w:t>services</w:t>
      </w:r>
      <w:r>
        <w:rPr>
          <w:spacing w:val="-13"/>
        </w:rPr>
        <w:t xml:space="preserve"> </w:t>
      </w:r>
      <w:r>
        <w:t>aux</w:t>
      </w:r>
      <w:r>
        <w:rPr>
          <w:spacing w:val="-12"/>
        </w:rPr>
        <w:t xml:space="preserve"> </w:t>
      </w:r>
      <w:r>
        <w:t>projets</w:t>
      </w:r>
      <w:r>
        <w:rPr>
          <w:spacing w:val="-13"/>
        </w:rPr>
        <w:t xml:space="preserve"> </w:t>
      </w:r>
      <w:r>
        <w:t>du</w:t>
      </w:r>
      <w:r>
        <w:rPr>
          <w:spacing w:val="-12"/>
        </w:rPr>
        <w:t xml:space="preserve"> </w:t>
      </w:r>
      <w:r>
        <w:t>programme</w:t>
      </w:r>
      <w:r>
        <w:rPr>
          <w:spacing w:val="-13"/>
        </w:rPr>
        <w:t xml:space="preserve"> </w:t>
      </w:r>
      <w:r>
        <w:t>devrait</w:t>
      </w:r>
      <w:r>
        <w:rPr>
          <w:spacing w:val="-12"/>
        </w:rPr>
        <w:t xml:space="preserve"> </w:t>
      </w:r>
      <w:r>
        <w:t>être</w:t>
      </w:r>
      <w:r>
        <w:rPr>
          <w:spacing w:val="-12"/>
        </w:rPr>
        <w:t xml:space="preserve"> </w:t>
      </w:r>
      <w:r>
        <w:t>imputée au fonds extrabudgétaire (11300) ou à un projet autonome (fonds 11309).</w:t>
      </w:r>
      <w:r>
        <w:rPr>
          <w:spacing w:val="40"/>
        </w:rPr>
        <w:t xml:space="preserve"> </w:t>
      </w:r>
      <w:r>
        <w:t xml:space="preserve">(voir </w:t>
      </w:r>
      <w:hyperlink r:id="rId15">
        <w:r>
          <w:rPr>
            <w:color w:val="0562C1"/>
            <w:u w:val="single" w:color="0562C1"/>
          </w:rPr>
          <w:t>Fonctions (activités)</w:t>
        </w:r>
      </w:hyperlink>
      <w:r>
        <w:rPr>
          <w:color w:val="0562C1"/>
        </w:rPr>
        <w:t xml:space="preserve"> </w:t>
      </w:r>
      <w:hyperlink r:id="rId16">
        <w:r>
          <w:rPr>
            <w:color w:val="0562C1"/>
            <w:spacing w:val="-2"/>
            <w:u w:val="single" w:color="0562C1"/>
          </w:rPr>
          <w:t>exercées</w:t>
        </w:r>
      </w:hyperlink>
      <w:r>
        <w:rPr>
          <w:spacing w:val="-2"/>
        </w:rPr>
        <w:t>)</w:t>
      </w:r>
    </w:p>
    <w:p w14:paraId="0426AC01" w14:textId="77777777" w:rsidR="00C14287" w:rsidRDefault="00C14287">
      <w:pPr>
        <w:pStyle w:val="BodyText"/>
        <w:rPr>
          <w:sz w:val="20"/>
        </w:rPr>
      </w:pPr>
    </w:p>
    <w:p w14:paraId="5AA1553D" w14:textId="77777777" w:rsidR="00C14287" w:rsidRDefault="00C14287">
      <w:pPr>
        <w:pStyle w:val="BodyText"/>
        <w:spacing w:before="3"/>
        <w:rPr>
          <w:sz w:val="24"/>
        </w:rPr>
      </w:pPr>
    </w:p>
    <w:p w14:paraId="7A4FEBCF" w14:textId="77777777" w:rsidR="00C14287" w:rsidRDefault="00000000">
      <w:pPr>
        <w:pStyle w:val="Heading1"/>
        <w:ind w:left="457"/>
      </w:pPr>
      <w:r>
        <w:t>Attribution</w:t>
      </w:r>
      <w:r>
        <w:rPr>
          <w:spacing w:val="-3"/>
        </w:rPr>
        <w:t xml:space="preserve"> </w:t>
      </w:r>
      <w:r>
        <w:t>des</w:t>
      </w:r>
      <w:r>
        <w:rPr>
          <w:spacing w:val="-5"/>
        </w:rPr>
        <w:t xml:space="preserve"> </w:t>
      </w:r>
      <w:r>
        <w:t>coûts</w:t>
      </w:r>
      <w:r>
        <w:rPr>
          <w:spacing w:val="-6"/>
        </w:rPr>
        <w:t xml:space="preserve"> </w:t>
      </w:r>
      <w:r>
        <w:t>directs</w:t>
      </w:r>
      <w:r>
        <w:rPr>
          <w:spacing w:val="-5"/>
        </w:rPr>
        <w:t xml:space="preserve"> </w:t>
      </w:r>
      <w:r>
        <w:t>de</w:t>
      </w:r>
      <w:r>
        <w:rPr>
          <w:spacing w:val="-5"/>
        </w:rPr>
        <w:t xml:space="preserve"> </w:t>
      </w:r>
      <w:r>
        <w:t>projet</w:t>
      </w:r>
      <w:r>
        <w:rPr>
          <w:spacing w:val="-3"/>
        </w:rPr>
        <w:t xml:space="preserve"> </w:t>
      </w:r>
      <w:r>
        <w:t>pour</w:t>
      </w:r>
      <w:r>
        <w:rPr>
          <w:spacing w:val="-5"/>
        </w:rPr>
        <w:t xml:space="preserve"> </w:t>
      </w:r>
      <w:r>
        <w:t>les</w:t>
      </w:r>
      <w:r>
        <w:rPr>
          <w:spacing w:val="-6"/>
        </w:rPr>
        <w:t xml:space="preserve"> </w:t>
      </w:r>
      <w:r>
        <w:t>services</w:t>
      </w:r>
      <w:r>
        <w:rPr>
          <w:spacing w:val="-5"/>
        </w:rPr>
        <w:t xml:space="preserve"> </w:t>
      </w:r>
      <w:r>
        <w:t>basés</w:t>
      </w:r>
      <w:r>
        <w:rPr>
          <w:spacing w:val="-6"/>
        </w:rPr>
        <w:t xml:space="preserve"> </w:t>
      </w:r>
      <w:r>
        <w:t>sur l'UPL/LPL</w:t>
      </w:r>
      <w:r>
        <w:rPr>
          <w:spacing w:val="-5"/>
        </w:rPr>
        <w:t xml:space="preserve"> </w:t>
      </w:r>
      <w:r>
        <w:rPr>
          <w:spacing w:val="-10"/>
        </w:rPr>
        <w:t>:</w:t>
      </w:r>
    </w:p>
    <w:p w14:paraId="67165E8E" w14:textId="77777777" w:rsidR="00C14287" w:rsidRDefault="00C14287">
      <w:pPr>
        <w:pStyle w:val="BodyText"/>
        <w:spacing w:before="3"/>
        <w:rPr>
          <w:b/>
          <w:sz w:val="17"/>
        </w:rPr>
      </w:pPr>
    </w:p>
    <w:p w14:paraId="60365F40" w14:textId="77777777" w:rsidR="00C14287" w:rsidRDefault="00000000">
      <w:pPr>
        <w:pStyle w:val="ListParagraph"/>
        <w:numPr>
          <w:ilvl w:val="0"/>
          <w:numId w:val="1"/>
        </w:numPr>
        <w:tabs>
          <w:tab w:val="left" w:pos="815"/>
          <w:tab w:val="left" w:pos="817"/>
        </w:tabs>
        <w:spacing w:line="259" w:lineRule="auto"/>
        <w:ind w:right="113"/>
        <w:jc w:val="both"/>
      </w:pPr>
      <w:r>
        <w:t>A</w:t>
      </w:r>
      <w:r>
        <w:rPr>
          <w:spacing w:val="-12"/>
        </w:rPr>
        <w:t xml:space="preserve"> </w:t>
      </w:r>
      <w:r>
        <w:t>la</w:t>
      </w:r>
      <w:r>
        <w:rPr>
          <w:spacing w:val="-12"/>
        </w:rPr>
        <w:t xml:space="preserve"> </w:t>
      </w:r>
      <w:r>
        <w:t>fin</w:t>
      </w:r>
      <w:r>
        <w:rPr>
          <w:spacing w:val="-13"/>
        </w:rPr>
        <w:t xml:space="preserve"> </w:t>
      </w:r>
      <w:r>
        <w:t>de</w:t>
      </w:r>
      <w:r>
        <w:rPr>
          <w:spacing w:val="-11"/>
        </w:rPr>
        <w:t xml:space="preserve"> </w:t>
      </w:r>
      <w:r>
        <w:t>chaque</w:t>
      </w:r>
      <w:r>
        <w:rPr>
          <w:spacing w:val="-11"/>
        </w:rPr>
        <w:t xml:space="preserve"> </w:t>
      </w:r>
      <w:r>
        <w:t>mois</w:t>
      </w:r>
      <w:r>
        <w:rPr>
          <w:spacing w:val="-12"/>
        </w:rPr>
        <w:t xml:space="preserve"> </w:t>
      </w:r>
      <w:r>
        <w:t>ou</w:t>
      </w:r>
      <w:r>
        <w:rPr>
          <w:spacing w:val="-13"/>
        </w:rPr>
        <w:t xml:space="preserve"> </w:t>
      </w:r>
      <w:r>
        <w:t>trimestre,</w:t>
      </w:r>
      <w:r>
        <w:rPr>
          <w:spacing w:val="-9"/>
        </w:rPr>
        <w:t xml:space="preserve"> </w:t>
      </w:r>
      <w:r>
        <w:t>les</w:t>
      </w:r>
      <w:r>
        <w:rPr>
          <w:spacing w:val="-12"/>
        </w:rPr>
        <w:t xml:space="preserve"> </w:t>
      </w:r>
      <w:r>
        <w:t>bureaux</w:t>
      </w:r>
      <w:r>
        <w:rPr>
          <w:spacing w:val="-11"/>
        </w:rPr>
        <w:t xml:space="preserve"> </w:t>
      </w:r>
      <w:r>
        <w:t>nationaux</w:t>
      </w:r>
      <w:r>
        <w:rPr>
          <w:spacing w:val="-11"/>
        </w:rPr>
        <w:t xml:space="preserve"> </w:t>
      </w:r>
      <w:r>
        <w:t>doivent</w:t>
      </w:r>
      <w:r>
        <w:rPr>
          <w:spacing w:val="-13"/>
        </w:rPr>
        <w:t xml:space="preserve"> </w:t>
      </w:r>
      <w:r>
        <w:t>calculer</w:t>
      </w:r>
      <w:r>
        <w:rPr>
          <w:spacing w:val="-12"/>
        </w:rPr>
        <w:t xml:space="preserve"> </w:t>
      </w:r>
      <w:r>
        <w:t>le</w:t>
      </w:r>
      <w:r>
        <w:rPr>
          <w:spacing w:val="-11"/>
        </w:rPr>
        <w:t xml:space="preserve"> </w:t>
      </w:r>
      <w:r>
        <w:t>coût</w:t>
      </w:r>
      <w:r>
        <w:rPr>
          <w:spacing w:val="-9"/>
        </w:rPr>
        <w:t xml:space="preserve"> </w:t>
      </w:r>
      <w:r>
        <w:t>des</w:t>
      </w:r>
      <w:r>
        <w:rPr>
          <w:spacing w:val="-12"/>
        </w:rPr>
        <w:t xml:space="preserve"> </w:t>
      </w:r>
      <w:r>
        <w:t>services</w:t>
      </w:r>
      <w:r>
        <w:rPr>
          <w:spacing w:val="-12"/>
        </w:rPr>
        <w:t xml:space="preserve"> </w:t>
      </w:r>
      <w:r>
        <w:t>par</w:t>
      </w:r>
      <w:r>
        <w:rPr>
          <w:spacing w:val="-12"/>
        </w:rPr>
        <w:t xml:space="preserve"> </w:t>
      </w:r>
      <w:r>
        <w:t>UPL/LPL sur la base du registre des services réels. Le nouveau rapport de requête dans Quantum sera disponible (similaire à la requête Atlas "AP Activity CRU Bills"), qui fournit la liste des factures AP traitées par les bureaux de pays au cours de la période de rapport avec</w:t>
      </w:r>
      <w:r>
        <w:rPr>
          <w:spacing w:val="-1"/>
        </w:rPr>
        <w:t xml:space="preserve"> </w:t>
      </w:r>
      <w:r>
        <w:t>les COA complets des projets. Sur</w:t>
      </w:r>
      <w:r>
        <w:rPr>
          <w:spacing w:val="-3"/>
        </w:rPr>
        <w:t xml:space="preserve"> </w:t>
      </w:r>
      <w:r>
        <w:t>la base de cette requête,</w:t>
      </w:r>
      <w:r>
        <w:rPr>
          <w:spacing w:val="-2"/>
        </w:rPr>
        <w:t xml:space="preserve"> </w:t>
      </w:r>
      <w:r>
        <w:t>le</w:t>
      </w:r>
      <w:r>
        <w:rPr>
          <w:spacing w:val="-9"/>
        </w:rPr>
        <w:t xml:space="preserve"> </w:t>
      </w:r>
      <w:r>
        <w:t>bureau</w:t>
      </w:r>
      <w:r>
        <w:rPr>
          <w:spacing w:val="-5"/>
        </w:rPr>
        <w:t xml:space="preserve"> </w:t>
      </w:r>
      <w:r>
        <w:t>national</w:t>
      </w:r>
      <w:r>
        <w:rPr>
          <w:spacing w:val="-2"/>
        </w:rPr>
        <w:t xml:space="preserve"> </w:t>
      </w:r>
      <w:r>
        <w:t>peut</w:t>
      </w:r>
      <w:r>
        <w:rPr>
          <w:spacing w:val="-6"/>
        </w:rPr>
        <w:t xml:space="preserve"> </w:t>
      </w:r>
      <w:r>
        <w:t>calculer</w:t>
      </w:r>
      <w:r>
        <w:rPr>
          <w:spacing w:val="-9"/>
        </w:rPr>
        <w:t xml:space="preserve"> </w:t>
      </w:r>
      <w:r>
        <w:t>le</w:t>
      </w:r>
      <w:r>
        <w:rPr>
          <w:spacing w:val="-4"/>
        </w:rPr>
        <w:t xml:space="preserve"> </w:t>
      </w:r>
      <w:r>
        <w:t>nombre</w:t>
      </w:r>
      <w:r>
        <w:rPr>
          <w:spacing w:val="-4"/>
        </w:rPr>
        <w:t xml:space="preserve"> </w:t>
      </w:r>
      <w:r>
        <w:t>total</w:t>
      </w:r>
      <w:r>
        <w:rPr>
          <w:spacing w:val="-2"/>
        </w:rPr>
        <w:t xml:space="preserve"> </w:t>
      </w:r>
      <w:r>
        <w:t>de</w:t>
      </w:r>
      <w:r>
        <w:rPr>
          <w:spacing w:val="-4"/>
        </w:rPr>
        <w:t xml:space="preserve"> </w:t>
      </w:r>
      <w:r>
        <w:t>factures</w:t>
      </w:r>
      <w:r>
        <w:rPr>
          <w:spacing w:val="-3"/>
        </w:rPr>
        <w:t xml:space="preserve"> </w:t>
      </w:r>
      <w:r>
        <w:t>traitées</w:t>
      </w:r>
      <w:r>
        <w:rPr>
          <w:spacing w:val="-4"/>
        </w:rPr>
        <w:t xml:space="preserve"> </w:t>
      </w:r>
      <w:r>
        <w:t>pour</w:t>
      </w:r>
      <w:r>
        <w:rPr>
          <w:spacing w:val="-4"/>
        </w:rPr>
        <w:t xml:space="preserve"> </w:t>
      </w:r>
      <w:r>
        <w:t>les</w:t>
      </w:r>
      <w:r>
        <w:rPr>
          <w:spacing w:val="-4"/>
        </w:rPr>
        <w:t xml:space="preserve"> </w:t>
      </w:r>
      <w:r>
        <w:t>projets</w:t>
      </w:r>
      <w:r>
        <w:rPr>
          <w:spacing w:val="-4"/>
        </w:rPr>
        <w:t xml:space="preserve"> </w:t>
      </w:r>
      <w:r>
        <w:t>et</w:t>
      </w:r>
      <w:r>
        <w:rPr>
          <w:spacing w:val="-11"/>
        </w:rPr>
        <w:t xml:space="preserve"> </w:t>
      </w:r>
      <w:r>
        <w:t>les</w:t>
      </w:r>
      <w:r>
        <w:rPr>
          <w:spacing w:val="-4"/>
        </w:rPr>
        <w:t xml:space="preserve"> </w:t>
      </w:r>
      <w:r>
        <w:t>frais</w:t>
      </w:r>
      <w:r>
        <w:rPr>
          <w:spacing w:val="-4"/>
        </w:rPr>
        <w:t xml:space="preserve"> </w:t>
      </w:r>
      <w:r>
        <w:t>de service</w:t>
      </w:r>
      <w:r>
        <w:rPr>
          <w:spacing w:val="-7"/>
        </w:rPr>
        <w:t xml:space="preserve"> </w:t>
      </w:r>
      <w:r>
        <w:t>correspondants.</w:t>
      </w:r>
      <w:r>
        <w:rPr>
          <w:spacing w:val="-6"/>
        </w:rPr>
        <w:t xml:space="preserve"> </w:t>
      </w:r>
      <w:r>
        <w:t>De</w:t>
      </w:r>
      <w:r>
        <w:rPr>
          <w:spacing w:val="-7"/>
        </w:rPr>
        <w:t xml:space="preserve"> </w:t>
      </w:r>
      <w:r>
        <w:t>même,</w:t>
      </w:r>
      <w:r>
        <w:rPr>
          <w:spacing w:val="-5"/>
        </w:rPr>
        <w:t xml:space="preserve"> </w:t>
      </w:r>
      <w:r>
        <w:t>le</w:t>
      </w:r>
      <w:r>
        <w:rPr>
          <w:spacing w:val="-7"/>
        </w:rPr>
        <w:t xml:space="preserve"> </w:t>
      </w:r>
      <w:r>
        <w:t>nouveau</w:t>
      </w:r>
      <w:r>
        <w:rPr>
          <w:spacing w:val="-9"/>
        </w:rPr>
        <w:t xml:space="preserve"> </w:t>
      </w:r>
      <w:r>
        <w:t>rapport</w:t>
      </w:r>
      <w:r>
        <w:rPr>
          <w:spacing w:val="-10"/>
        </w:rPr>
        <w:t xml:space="preserve"> </w:t>
      </w:r>
      <w:r>
        <w:t>de</w:t>
      </w:r>
      <w:r>
        <w:rPr>
          <w:spacing w:val="-7"/>
        </w:rPr>
        <w:t xml:space="preserve"> </w:t>
      </w:r>
      <w:r>
        <w:t>requête</w:t>
      </w:r>
      <w:r>
        <w:rPr>
          <w:spacing w:val="-7"/>
        </w:rPr>
        <w:t xml:space="preserve"> </w:t>
      </w:r>
      <w:r>
        <w:t>dans</w:t>
      </w:r>
      <w:r>
        <w:rPr>
          <w:spacing w:val="-8"/>
        </w:rPr>
        <w:t xml:space="preserve"> </w:t>
      </w:r>
      <w:r>
        <w:t>Quantum</w:t>
      </w:r>
      <w:r>
        <w:rPr>
          <w:spacing w:val="-7"/>
        </w:rPr>
        <w:t xml:space="preserve"> </w:t>
      </w:r>
      <w:r>
        <w:t>similaire</w:t>
      </w:r>
      <w:r>
        <w:rPr>
          <w:spacing w:val="-7"/>
        </w:rPr>
        <w:t xml:space="preserve"> </w:t>
      </w:r>
      <w:r>
        <w:t>à</w:t>
      </w:r>
      <w:r>
        <w:rPr>
          <w:spacing w:val="-8"/>
        </w:rPr>
        <w:t xml:space="preserve"> </w:t>
      </w:r>
      <w:r>
        <w:t>la</w:t>
      </w:r>
      <w:r>
        <w:rPr>
          <w:spacing w:val="-8"/>
        </w:rPr>
        <w:t xml:space="preserve"> </w:t>
      </w:r>
      <w:r>
        <w:t>requête</w:t>
      </w:r>
      <w:r>
        <w:rPr>
          <w:spacing w:val="-7"/>
        </w:rPr>
        <w:t xml:space="preserve"> </w:t>
      </w:r>
      <w:r>
        <w:t>"PO Activity - CRU" pourrait être utilisé pour facturer les bons de commande traités pour les projets.</w:t>
      </w:r>
    </w:p>
    <w:p w14:paraId="20F10925" w14:textId="77777777" w:rsidR="00C14287" w:rsidRDefault="00C14287">
      <w:pPr>
        <w:pStyle w:val="BodyText"/>
        <w:spacing w:before="11"/>
        <w:rPr>
          <w:sz w:val="25"/>
        </w:rPr>
      </w:pPr>
    </w:p>
    <w:p w14:paraId="59F8A3AF" w14:textId="77777777" w:rsidR="00C14287" w:rsidRDefault="00000000">
      <w:pPr>
        <w:pStyle w:val="ListParagraph"/>
        <w:numPr>
          <w:ilvl w:val="0"/>
          <w:numId w:val="1"/>
        </w:numPr>
        <w:tabs>
          <w:tab w:val="left" w:pos="815"/>
          <w:tab w:val="left" w:pos="817"/>
        </w:tabs>
        <w:spacing w:before="1" w:line="256" w:lineRule="auto"/>
        <w:ind w:right="114"/>
        <w:jc w:val="both"/>
      </w:pPr>
      <w:r>
        <w:t>Lorsque le bureau national finalise la redevance pour les services basés sur l'UPL/LPL, les gestionnaires de projet doivent être informés du volume des services d'appui fournis et des montants à facturer.</w:t>
      </w:r>
    </w:p>
    <w:p w14:paraId="32AC6936" w14:textId="77777777" w:rsidR="00C14287" w:rsidRDefault="00C14287">
      <w:pPr>
        <w:pStyle w:val="BodyText"/>
        <w:spacing w:before="5"/>
        <w:rPr>
          <w:sz w:val="26"/>
        </w:rPr>
      </w:pPr>
    </w:p>
    <w:p w14:paraId="1B4D0107" w14:textId="77777777" w:rsidR="00C14287" w:rsidRDefault="00000000">
      <w:pPr>
        <w:pStyle w:val="ListParagraph"/>
        <w:numPr>
          <w:ilvl w:val="0"/>
          <w:numId w:val="1"/>
        </w:numPr>
        <w:tabs>
          <w:tab w:val="left" w:pos="815"/>
          <w:tab w:val="left" w:pos="817"/>
        </w:tabs>
        <w:spacing w:line="249" w:lineRule="auto"/>
        <w:ind w:right="112" w:hanging="370"/>
        <w:jc w:val="both"/>
      </w:pPr>
      <w:r>
        <w:t>Le</w:t>
      </w:r>
      <w:r>
        <w:rPr>
          <w:spacing w:val="-4"/>
        </w:rPr>
        <w:t xml:space="preserve"> </w:t>
      </w:r>
      <w:r>
        <w:t>bureau</w:t>
      </w:r>
      <w:r>
        <w:rPr>
          <w:spacing w:val="-5"/>
        </w:rPr>
        <w:t xml:space="preserve"> </w:t>
      </w:r>
      <w:r>
        <w:t>national</w:t>
      </w:r>
      <w:r>
        <w:rPr>
          <w:spacing w:val="-2"/>
        </w:rPr>
        <w:t xml:space="preserve"> </w:t>
      </w:r>
      <w:r>
        <w:t>doit</w:t>
      </w:r>
      <w:r>
        <w:rPr>
          <w:spacing w:val="-6"/>
        </w:rPr>
        <w:t xml:space="preserve"> </w:t>
      </w:r>
      <w:r>
        <w:t>traiter</w:t>
      </w:r>
      <w:r>
        <w:rPr>
          <w:spacing w:val="-4"/>
        </w:rPr>
        <w:t xml:space="preserve"> </w:t>
      </w:r>
      <w:r>
        <w:t>une</w:t>
      </w:r>
      <w:r>
        <w:rPr>
          <w:spacing w:val="-4"/>
        </w:rPr>
        <w:t xml:space="preserve"> </w:t>
      </w:r>
      <w:r>
        <w:t>facture</w:t>
      </w:r>
      <w:r>
        <w:rPr>
          <w:spacing w:val="-4"/>
        </w:rPr>
        <w:t xml:space="preserve"> </w:t>
      </w:r>
      <w:r>
        <w:t>à</w:t>
      </w:r>
      <w:r>
        <w:rPr>
          <w:spacing w:val="-4"/>
        </w:rPr>
        <w:t xml:space="preserve"> </w:t>
      </w:r>
      <w:r>
        <w:t>zéro</w:t>
      </w:r>
      <w:r>
        <w:rPr>
          <w:spacing w:val="-6"/>
        </w:rPr>
        <w:t xml:space="preserve"> </w:t>
      </w:r>
      <w:r>
        <w:t>dollar</w:t>
      </w:r>
      <w:r>
        <w:rPr>
          <w:spacing w:val="-4"/>
        </w:rPr>
        <w:t xml:space="preserve"> </w:t>
      </w:r>
      <w:r>
        <w:t>dans</w:t>
      </w:r>
      <w:r>
        <w:rPr>
          <w:spacing w:val="-4"/>
        </w:rPr>
        <w:t xml:space="preserve"> </w:t>
      </w:r>
      <w:r>
        <w:t>le</w:t>
      </w:r>
      <w:r>
        <w:rPr>
          <w:spacing w:val="-4"/>
        </w:rPr>
        <w:t xml:space="preserve"> </w:t>
      </w:r>
      <w:r>
        <w:t>module</w:t>
      </w:r>
      <w:r>
        <w:rPr>
          <w:spacing w:val="-4"/>
        </w:rPr>
        <w:t xml:space="preserve"> </w:t>
      </w:r>
      <w:r>
        <w:t>Quantum</w:t>
      </w:r>
      <w:r>
        <w:rPr>
          <w:spacing w:val="-3"/>
        </w:rPr>
        <w:t xml:space="preserve"> </w:t>
      </w:r>
      <w:r>
        <w:t>Payables</w:t>
      </w:r>
      <w:r>
        <w:rPr>
          <w:spacing w:val="-4"/>
        </w:rPr>
        <w:t xml:space="preserve"> </w:t>
      </w:r>
      <w:r>
        <w:t>pour</w:t>
      </w:r>
      <w:r>
        <w:rPr>
          <w:spacing w:val="-9"/>
        </w:rPr>
        <w:t xml:space="preserve"> </w:t>
      </w:r>
      <w:r>
        <w:t>les</w:t>
      </w:r>
      <w:r>
        <w:rPr>
          <w:spacing w:val="-4"/>
        </w:rPr>
        <w:t xml:space="preserve"> </w:t>
      </w:r>
      <w:r>
        <w:t>frais</w:t>
      </w:r>
      <w:r>
        <w:rPr>
          <w:spacing w:val="-4"/>
        </w:rPr>
        <w:t xml:space="preserve"> </w:t>
      </w:r>
      <w:r>
        <w:t>de service UPL/LPL à l'aide d'un diagramme de vitesse comme recommandé dans les paragraphes 4 et 9. Les bureaux nationaux peuvent ajouter, supprimer ou modifier les lignes d'ACO une fois que l'organigramme est rempli sur une ligne de facture à zéro dollar. Si aucun service n'est fourni pour un projet spécifique au cours d'une période de facturation, les lignes d'ACO de ce projet peuvent être supprimées des lignes de facture</w:t>
      </w:r>
      <w:r>
        <w:rPr>
          <w:spacing w:val="-13"/>
        </w:rPr>
        <w:t xml:space="preserve"> </w:t>
      </w:r>
      <w:r>
        <w:t>à</w:t>
      </w:r>
      <w:r>
        <w:rPr>
          <w:spacing w:val="-12"/>
        </w:rPr>
        <w:t xml:space="preserve"> </w:t>
      </w:r>
      <w:r>
        <w:t>zéro</w:t>
      </w:r>
      <w:r>
        <w:rPr>
          <w:spacing w:val="-13"/>
        </w:rPr>
        <w:t xml:space="preserve"> </w:t>
      </w:r>
      <w:r>
        <w:t>dollar.</w:t>
      </w:r>
      <w:r>
        <w:rPr>
          <w:spacing w:val="-13"/>
        </w:rPr>
        <w:t xml:space="preserve"> </w:t>
      </w:r>
      <w:r>
        <w:t>Les</w:t>
      </w:r>
      <w:r>
        <w:rPr>
          <w:spacing w:val="-12"/>
        </w:rPr>
        <w:t xml:space="preserve"> </w:t>
      </w:r>
      <w:r>
        <w:t>comptes</w:t>
      </w:r>
      <w:r>
        <w:rPr>
          <w:spacing w:val="-13"/>
        </w:rPr>
        <w:t xml:space="preserve"> </w:t>
      </w:r>
      <w:r>
        <w:t>de</w:t>
      </w:r>
      <w:r>
        <w:rPr>
          <w:spacing w:val="-11"/>
        </w:rPr>
        <w:t xml:space="preserve"> </w:t>
      </w:r>
      <w:r>
        <w:t>dépenses</w:t>
      </w:r>
      <w:r>
        <w:rPr>
          <w:spacing w:val="-13"/>
        </w:rPr>
        <w:t xml:space="preserve"> </w:t>
      </w:r>
      <w:r>
        <w:t>(64397</w:t>
      </w:r>
      <w:r>
        <w:rPr>
          <w:spacing w:val="-13"/>
        </w:rPr>
        <w:t xml:space="preserve"> </w:t>
      </w:r>
      <w:r>
        <w:t>-</w:t>
      </w:r>
      <w:r>
        <w:rPr>
          <w:spacing w:val="-7"/>
        </w:rPr>
        <w:t xml:space="preserve"> </w:t>
      </w:r>
      <w:r>
        <w:t>Services</w:t>
      </w:r>
      <w:r>
        <w:rPr>
          <w:spacing w:val="-13"/>
        </w:rPr>
        <w:t xml:space="preserve"> </w:t>
      </w:r>
      <w:r>
        <w:t>aux</w:t>
      </w:r>
      <w:r>
        <w:rPr>
          <w:spacing w:val="-11"/>
        </w:rPr>
        <w:t xml:space="preserve"> </w:t>
      </w:r>
      <w:r>
        <w:t>projets</w:t>
      </w:r>
      <w:r>
        <w:rPr>
          <w:spacing w:val="-13"/>
        </w:rPr>
        <w:t xml:space="preserve"> </w:t>
      </w:r>
      <w:r>
        <w:t>-</w:t>
      </w:r>
      <w:r>
        <w:rPr>
          <w:spacing w:val="-12"/>
        </w:rPr>
        <w:t xml:space="preserve"> </w:t>
      </w:r>
      <w:r>
        <w:t>frais</w:t>
      </w:r>
      <w:r>
        <w:rPr>
          <w:spacing w:val="-13"/>
        </w:rPr>
        <w:t xml:space="preserve"> </w:t>
      </w:r>
      <w:r>
        <w:t>de</w:t>
      </w:r>
      <w:r>
        <w:rPr>
          <w:spacing w:val="-11"/>
        </w:rPr>
        <w:t xml:space="preserve"> </w:t>
      </w:r>
      <w:r>
        <w:t>personnel</w:t>
      </w:r>
      <w:r>
        <w:rPr>
          <w:spacing w:val="-11"/>
        </w:rPr>
        <w:t xml:space="preserve"> </w:t>
      </w:r>
      <w:r>
        <w:t>CO</w:t>
      </w:r>
      <w:r>
        <w:rPr>
          <w:spacing w:val="-14"/>
        </w:rPr>
        <w:t xml:space="preserve"> </w:t>
      </w:r>
      <w:r>
        <w:t>et</w:t>
      </w:r>
      <w:r>
        <w:rPr>
          <w:spacing w:val="-14"/>
        </w:rPr>
        <w:t xml:space="preserve"> </w:t>
      </w:r>
      <w:r>
        <w:t>74596</w:t>
      </w:r>
    </w:p>
    <w:p w14:paraId="742D3D29" w14:textId="77777777" w:rsidR="00C14287" w:rsidRDefault="00000000">
      <w:pPr>
        <w:pStyle w:val="BodyText"/>
        <w:spacing w:line="249" w:lineRule="auto"/>
        <w:ind w:left="817" w:right="117"/>
        <w:jc w:val="both"/>
      </w:pPr>
      <w:r>
        <w:t>-</w:t>
      </w:r>
      <w:r>
        <w:rPr>
          <w:spacing w:val="-13"/>
        </w:rPr>
        <w:t xml:space="preserve"> </w:t>
      </w:r>
      <w:r>
        <w:t>Services</w:t>
      </w:r>
      <w:r>
        <w:rPr>
          <w:spacing w:val="-12"/>
        </w:rPr>
        <w:t xml:space="preserve"> </w:t>
      </w:r>
      <w:r>
        <w:t>aux</w:t>
      </w:r>
      <w:r>
        <w:rPr>
          <w:spacing w:val="-7"/>
        </w:rPr>
        <w:t xml:space="preserve"> </w:t>
      </w:r>
      <w:r>
        <w:t>projets</w:t>
      </w:r>
      <w:r>
        <w:rPr>
          <w:spacing w:val="-7"/>
        </w:rPr>
        <w:t xml:space="preserve"> </w:t>
      </w:r>
      <w:r>
        <w:t>GOE)</w:t>
      </w:r>
      <w:r>
        <w:rPr>
          <w:spacing w:val="-12"/>
        </w:rPr>
        <w:t xml:space="preserve"> </w:t>
      </w:r>
      <w:r>
        <w:t>doivent</w:t>
      </w:r>
      <w:r>
        <w:rPr>
          <w:spacing w:val="-9"/>
        </w:rPr>
        <w:t xml:space="preserve"> </w:t>
      </w:r>
      <w:r>
        <w:t>être</w:t>
      </w:r>
      <w:r>
        <w:rPr>
          <w:spacing w:val="-11"/>
        </w:rPr>
        <w:t xml:space="preserve"> </w:t>
      </w:r>
      <w:r>
        <w:t>utilisés</w:t>
      </w:r>
      <w:r>
        <w:rPr>
          <w:spacing w:val="-12"/>
        </w:rPr>
        <w:t xml:space="preserve"> </w:t>
      </w:r>
      <w:r>
        <w:t>à</w:t>
      </w:r>
      <w:r>
        <w:rPr>
          <w:spacing w:val="-12"/>
        </w:rPr>
        <w:t xml:space="preserve"> </w:t>
      </w:r>
      <w:r>
        <w:t>la</w:t>
      </w:r>
      <w:r>
        <w:rPr>
          <w:spacing w:val="-12"/>
        </w:rPr>
        <w:t xml:space="preserve"> </w:t>
      </w:r>
      <w:r>
        <w:t>fois</w:t>
      </w:r>
      <w:r>
        <w:rPr>
          <w:spacing w:val="-7"/>
        </w:rPr>
        <w:t xml:space="preserve"> </w:t>
      </w:r>
      <w:r>
        <w:t>pour</w:t>
      </w:r>
      <w:r>
        <w:rPr>
          <w:spacing w:val="-7"/>
        </w:rPr>
        <w:t xml:space="preserve"> </w:t>
      </w:r>
      <w:r>
        <w:t>les</w:t>
      </w:r>
      <w:r>
        <w:rPr>
          <w:spacing w:val="-12"/>
        </w:rPr>
        <w:t xml:space="preserve"> </w:t>
      </w:r>
      <w:r>
        <w:t>écritures</w:t>
      </w:r>
      <w:r>
        <w:rPr>
          <w:spacing w:val="-7"/>
        </w:rPr>
        <w:t xml:space="preserve"> </w:t>
      </w:r>
      <w:r>
        <w:t>de</w:t>
      </w:r>
      <w:r>
        <w:rPr>
          <w:spacing w:val="-6"/>
        </w:rPr>
        <w:t xml:space="preserve"> </w:t>
      </w:r>
      <w:r>
        <w:t>débit</w:t>
      </w:r>
      <w:r>
        <w:rPr>
          <w:spacing w:val="-13"/>
        </w:rPr>
        <w:t xml:space="preserve"> </w:t>
      </w:r>
      <w:r>
        <w:t>et</w:t>
      </w:r>
      <w:r>
        <w:rPr>
          <w:spacing w:val="-9"/>
        </w:rPr>
        <w:t xml:space="preserve"> </w:t>
      </w:r>
      <w:r>
        <w:t>de</w:t>
      </w:r>
      <w:r>
        <w:rPr>
          <w:spacing w:val="-6"/>
        </w:rPr>
        <w:t xml:space="preserve"> </w:t>
      </w:r>
      <w:r>
        <w:t>crédit</w:t>
      </w:r>
      <w:r>
        <w:rPr>
          <w:spacing w:val="-9"/>
        </w:rPr>
        <w:t xml:space="preserve"> </w:t>
      </w:r>
      <w:r>
        <w:t>d'une</w:t>
      </w:r>
      <w:r>
        <w:rPr>
          <w:spacing w:val="-6"/>
        </w:rPr>
        <w:t xml:space="preserve"> </w:t>
      </w:r>
      <w:r>
        <w:t>facture à zéro dollar.</w:t>
      </w:r>
      <w:r>
        <w:rPr>
          <w:spacing w:val="40"/>
        </w:rPr>
        <w:t xml:space="preserve"> </w:t>
      </w:r>
      <w:r>
        <w:t xml:space="preserve">Des instructions supplémentaires sur l'utilisation de ces comptes sont disponibles </w:t>
      </w:r>
      <w:hyperlink r:id="rId17">
        <w:r>
          <w:rPr>
            <w:rFonts w:ascii="Arial" w:hAnsi="Arial"/>
            <w:color w:val="0000FF"/>
            <w:u w:val="single" w:color="0000FF"/>
          </w:rPr>
          <w:t>ici</w:t>
        </w:r>
        <w:r>
          <w:t>.</w:t>
        </w:r>
      </w:hyperlink>
    </w:p>
    <w:p w14:paraId="06904303" w14:textId="77777777" w:rsidR="00C14287" w:rsidRDefault="00C14287">
      <w:pPr>
        <w:pStyle w:val="BodyText"/>
      </w:pPr>
    </w:p>
    <w:p w14:paraId="676779F8" w14:textId="77777777" w:rsidR="00C14287" w:rsidRPr="0097588C" w:rsidRDefault="00000000">
      <w:pPr>
        <w:pStyle w:val="ListParagraph"/>
        <w:numPr>
          <w:ilvl w:val="0"/>
          <w:numId w:val="1"/>
        </w:numPr>
        <w:tabs>
          <w:tab w:val="left" w:pos="817"/>
          <w:tab w:val="left" w:pos="862"/>
        </w:tabs>
        <w:spacing w:before="56" w:line="256" w:lineRule="auto"/>
        <w:jc w:val="both"/>
      </w:pPr>
      <w:r>
        <w:rPr>
          <w:rFonts w:ascii="Times New Roman" w:hAnsi="Times New Roman"/>
        </w:rPr>
        <w:tab/>
      </w:r>
      <w:r>
        <w:t>Toutes</w:t>
      </w:r>
      <w:r>
        <w:rPr>
          <w:spacing w:val="-2"/>
        </w:rPr>
        <w:t xml:space="preserve"> </w:t>
      </w:r>
      <w:r>
        <w:t>les</w:t>
      </w:r>
      <w:r>
        <w:rPr>
          <w:spacing w:val="-2"/>
        </w:rPr>
        <w:t xml:space="preserve"> </w:t>
      </w:r>
      <w:r>
        <w:t>entrées</w:t>
      </w:r>
      <w:r>
        <w:rPr>
          <w:spacing w:val="-2"/>
        </w:rPr>
        <w:t xml:space="preserve"> </w:t>
      </w:r>
      <w:r>
        <w:t>manuelles</w:t>
      </w:r>
      <w:r>
        <w:rPr>
          <w:spacing w:val="-2"/>
        </w:rPr>
        <w:t xml:space="preserve"> </w:t>
      </w:r>
      <w:r>
        <w:t>ou</w:t>
      </w:r>
      <w:r>
        <w:rPr>
          <w:spacing w:val="-3"/>
        </w:rPr>
        <w:t xml:space="preserve"> </w:t>
      </w:r>
      <w:r>
        <w:t>générées</w:t>
      </w:r>
      <w:r>
        <w:rPr>
          <w:spacing w:val="-2"/>
        </w:rPr>
        <w:t xml:space="preserve"> </w:t>
      </w:r>
      <w:r>
        <w:t>par</w:t>
      </w:r>
      <w:r>
        <w:rPr>
          <w:spacing w:val="-2"/>
        </w:rPr>
        <w:t xml:space="preserve"> </w:t>
      </w:r>
      <w:r>
        <w:t>le</w:t>
      </w:r>
      <w:r>
        <w:rPr>
          <w:spacing w:val="-2"/>
        </w:rPr>
        <w:t xml:space="preserve"> </w:t>
      </w:r>
      <w:r>
        <w:t>système, y</w:t>
      </w:r>
      <w:r>
        <w:rPr>
          <w:spacing w:val="-1"/>
        </w:rPr>
        <w:t xml:space="preserve"> </w:t>
      </w:r>
      <w:r>
        <w:t>compris</w:t>
      </w:r>
      <w:r>
        <w:rPr>
          <w:spacing w:val="-2"/>
        </w:rPr>
        <w:t xml:space="preserve"> </w:t>
      </w:r>
      <w:r>
        <w:t>les</w:t>
      </w:r>
      <w:r>
        <w:rPr>
          <w:spacing w:val="-2"/>
        </w:rPr>
        <w:t xml:space="preserve"> </w:t>
      </w:r>
      <w:r>
        <w:t>factures</w:t>
      </w:r>
      <w:r>
        <w:rPr>
          <w:spacing w:val="-2"/>
        </w:rPr>
        <w:t xml:space="preserve"> </w:t>
      </w:r>
      <w:r>
        <w:t>à</w:t>
      </w:r>
      <w:r>
        <w:rPr>
          <w:spacing w:val="-3"/>
        </w:rPr>
        <w:t xml:space="preserve"> </w:t>
      </w:r>
      <w:r>
        <w:t>zéro</w:t>
      </w:r>
      <w:r>
        <w:rPr>
          <w:spacing w:val="-4"/>
        </w:rPr>
        <w:t xml:space="preserve"> </w:t>
      </w:r>
      <w:r>
        <w:t>dollar</w:t>
      </w:r>
      <w:r>
        <w:rPr>
          <w:spacing w:val="-2"/>
        </w:rPr>
        <w:t xml:space="preserve"> </w:t>
      </w:r>
      <w:r>
        <w:t>relatives</w:t>
      </w:r>
      <w:r>
        <w:rPr>
          <w:spacing w:val="-2"/>
        </w:rPr>
        <w:t xml:space="preserve"> </w:t>
      </w:r>
      <w:r>
        <w:t>aux frais</w:t>
      </w:r>
      <w:r>
        <w:rPr>
          <w:spacing w:val="-9"/>
        </w:rPr>
        <w:t xml:space="preserve"> </w:t>
      </w:r>
      <w:r>
        <w:t>basés</w:t>
      </w:r>
      <w:r>
        <w:rPr>
          <w:spacing w:val="-9"/>
        </w:rPr>
        <w:t xml:space="preserve"> </w:t>
      </w:r>
      <w:r>
        <w:t>sur</w:t>
      </w:r>
      <w:r>
        <w:rPr>
          <w:spacing w:val="-9"/>
        </w:rPr>
        <w:t xml:space="preserve"> </w:t>
      </w:r>
      <w:r>
        <w:t>la</w:t>
      </w:r>
      <w:r>
        <w:rPr>
          <w:spacing w:val="-9"/>
        </w:rPr>
        <w:t xml:space="preserve"> </w:t>
      </w:r>
      <w:r>
        <w:t>LPL/PLU,</w:t>
      </w:r>
      <w:r>
        <w:rPr>
          <w:spacing w:val="-6"/>
        </w:rPr>
        <w:t xml:space="preserve"> </w:t>
      </w:r>
      <w:r>
        <w:t>ainsi</w:t>
      </w:r>
      <w:r>
        <w:rPr>
          <w:spacing w:val="-7"/>
        </w:rPr>
        <w:t xml:space="preserve"> </w:t>
      </w:r>
      <w:r>
        <w:t>que</w:t>
      </w:r>
      <w:r>
        <w:rPr>
          <w:spacing w:val="-8"/>
        </w:rPr>
        <w:t xml:space="preserve"> </w:t>
      </w:r>
      <w:r>
        <w:t>le</w:t>
      </w:r>
      <w:r>
        <w:rPr>
          <w:spacing w:val="-8"/>
        </w:rPr>
        <w:t xml:space="preserve"> </w:t>
      </w:r>
      <w:r>
        <w:t>calcul</w:t>
      </w:r>
      <w:r>
        <w:rPr>
          <w:spacing w:val="-7"/>
        </w:rPr>
        <w:t xml:space="preserve"> </w:t>
      </w:r>
      <w:r>
        <w:t>par</w:t>
      </w:r>
      <w:r>
        <w:rPr>
          <w:spacing w:val="-9"/>
        </w:rPr>
        <w:t xml:space="preserve"> </w:t>
      </w:r>
      <w:r>
        <w:t>le</w:t>
      </w:r>
      <w:r>
        <w:rPr>
          <w:spacing w:val="-8"/>
        </w:rPr>
        <w:t xml:space="preserve"> </w:t>
      </w:r>
      <w:r>
        <w:t>bureau</w:t>
      </w:r>
      <w:r>
        <w:rPr>
          <w:spacing w:val="-10"/>
        </w:rPr>
        <w:t xml:space="preserve"> </w:t>
      </w:r>
      <w:r>
        <w:t>national</w:t>
      </w:r>
      <w:r>
        <w:rPr>
          <w:spacing w:val="-7"/>
        </w:rPr>
        <w:t xml:space="preserve"> </w:t>
      </w:r>
      <w:r>
        <w:t>du</w:t>
      </w:r>
      <w:r>
        <w:rPr>
          <w:spacing w:val="-10"/>
        </w:rPr>
        <w:t xml:space="preserve"> </w:t>
      </w:r>
      <w:r>
        <w:t>nombre</w:t>
      </w:r>
      <w:r>
        <w:rPr>
          <w:spacing w:val="-8"/>
        </w:rPr>
        <w:t xml:space="preserve"> </w:t>
      </w:r>
      <w:r>
        <w:t>total</w:t>
      </w:r>
      <w:r>
        <w:rPr>
          <w:spacing w:val="-7"/>
        </w:rPr>
        <w:t xml:space="preserve"> </w:t>
      </w:r>
      <w:r>
        <w:t>de</w:t>
      </w:r>
      <w:r>
        <w:rPr>
          <w:spacing w:val="-8"/>
        </w:rPr>
        <w:t xml:space="preserve"> </w:t>
      </w:r>
      <w:r>
        <w:t>services</w:t>
      </w:r>
      <w:r>
        <w:rPr>
          <w:spacing w:val="-9"/>
        </w:rPr>
        <w:t xml:space="preserve"> </w:t>
      </w:r>
      <w:r>
        <w:t>fournis</w:t>
      </w:r>
      <w:r>
        <w:rPr>
          <w:spacing w:val="-9"/>
        </w:rPr>
        <w:t xml:space="preserve"> </w:t>
      </w:r>
      <w:r>
        <w:t>pour les</w:t>
      </w:r>
      <w:r>
        <w:rPr>
          <w:spacing w:val="-13"/>
        </w:rPr>
        <w:t xml:space="preserve"> </w:t>
      </w:r>
      <w:r>
        <w:t>projets</w:t>
      </w:r>
      <w:r>
        <w:rPr>
          <w:spacing w:val="-12"/>
        </w:rPr>
        <w:t xml:space="preserve"> </w:t>
      </w:r>
      <w:r>
        <w:t>et</w:t>
      </w:r>
      <w:r>
        <w:rPr>
          <w:spacing w:val="-13"/>
        </w:rPr>
        <w:t xml:space="preserve"> </w:t>
      </w:r>
      <w:r>
        <w:t>les</w:t>
      </w:r>
      <w:r>
        <w:rPr>
          <w:spacing w:val="-12"/>
        </w:rPr>
        <w:t xml:space="preserve"> </w:t>
      </w:r>
      <w:r>
        <w:t>frais</w:t>
      </w:r>
      <w:r>
        <w:rPr>
          <w:spacing w:val="-13"/>
        </w:rPr>
        <w:t xml:space="preserve"> </w:t>
      </w:r>
      <w:r>
        <w:t>de</w:t>
      </w:r>
      <w:r>
        <w:rPr>
          <w:spacing w:val="-12"/>
        </w:rPr>
        <w:t xml:space="preserve"> </w:t>
      </w:r>
      <w:r>
        <w:t>service</w:t>
      </w:r>
      <w:r>
        <w:rPr>
          <w:spacing w:val="-13"/>
        </w:rPr>
        <w:t xml:space="preserve"> </w:t>
      </w:r>
      <w:r>
        <w:t>correspondants,</w:t>
      </w:r>
      <w:r>
        <w:rPr>
          <w:spacing w:val="-12"/>
        </w:rPr>
        <w:t xml:space="preserve"> </w:t>
      </w:r>
      <w:r>
        <w:t>doivent</w:t>
      </w:r>
      <w:r>
        <w:rPr>
          <w:spacing w:val="-12"/>
        </w:rPr>
        <w:t xml:space="preserve"> </w:t>
      </w:r>
      <w:r>
        <w:t>être</w:t>
      </w:r>
      <w:r>
        <w:rPr>
          <w:spacing w:val="-13"/>
        </w:rPr>
        <w:t xml:space="preserve"> </w:t>
      </w:r>
      <w:r>
        <w:t>conservés</w:t>
      </w:r>
      <w:r>
        <w:rPr>
          <w:spacing w:val="-12"/>
        </w:rPr>
        <w:t xml:space="preserve"> </w:t>
      </w:r>
      <w:r>
        <w:t>dans</w:t>
      </w:r>
      <w:r>
        <w:rPr>
          <w:spacing w:val="-13"/>
        </w:rPr>
        <w:t xml:space="preserve"> </w:t>
      </w:r>
      <w:r>
        <w:t>le</w:t>
      </w:r>
      <w:r>
        <w:rPr>
          <w:spacing w:val="-12"/>
        </w:rPr>
        <w:t xml:space="preserve"> </w:t>
      </w:r>
      <w:r>
        <w:t>dossier</w:t>
      </w:r>
      <w:r>
        <w:rPr>
          <w:spacing w:val="-13"/>
        </w:rPr>
        <w:t xml:space="preserve"> </w:t>
      </w:r>
      <w:r>
        <w:t>en</w:t>
      </w:r>
      <w:r>
        <w:rPr>
          <w:spacing w:val="-12"/>
        </w:rPr>
        <w:t xml:space="preserve"> </w:t>
      </w:r>
      <w:r>
        <w:t>vue</w:t>
      </w:r>
      <w:r>
        <w:rPr>
          <w:spacing w:val="-12"/>
        </w:rPr>
        <w:t xml:space="preserve"> </w:t>
      </w:r>
      <w:r>
        <w:t>d'un</w:t>
      </w:r>
      <w:r>
        <w:rPr>
          <w:spacing w:val="-12"/>
        </w:rPr>
        <w:t xml:space="preserve"> </w:t>
      </w:r>
      <w:r>
        <w:t xml:space="preserve">contrôle </w:t>
      </w:r>
      <w:r>
        <w:rPr>
          <w:spacing w:val="-2"/>
        </w:rPr>
        <w:t>ultérieur.</w:t>
      </w:r>
    </w:p>
    <w:p w14:paraId="37E1EF9F" w14:textId="77777777" w:rsidR="0097588C" w:rsidRDefault="0097588C" w:rsidP="0097588C">
      <w:pPr>
        <w:tabs>
          <w:tab w:val="left" w:pos="817"/>
          <w:tab w:val="left" w:pos="862"/>
        </w:tabs>
        <w:spacing w:before="56" w:line="256" w:lineRule="auto"/>
        <w:jc w:val="both"/>
      </w:pPr>
    </w:p>
    <w:p w14:paraId="37E40CFF" w14:textId="77777777" w:rsidR="0097588C" w:rsidRDefault="0097588C" w:rsidP="0097588C">
      <w:pPr>
        <w:tabs>
          <w:tab w:val="left" w:pos="817"/>
          <w:tab w:val="left" w:pos="862"/>
        </w:tabs>
        <w:spacing w:before="56" w:line="256" w:lineRule="auto"/>
        <w:jc w:val="both"/>
      </w:pPr>
    </w:p>
    <w:p w14:paraId="42E16268" w14:textId="77777777" w:rsidR="0097588C" w:rsidRDefault="0097588C" w:rsidP="0097588C">
      <w:pPr>
        <w:tabs>
          <w:tab w:val="left" w:pos="817"/>
          <w:tab w:val="left" w:pos="862"/>
        </w:tabs>
        <w:spacing w:before="56" w:line="256" w:lineRule="auto"/>
        <w:jc w:val="both"/>
      </w:pPr>
    </w:p>
    <w:p w14:paraId="34FD9685" w14:textId="77777777" w:rsidR="0097588C" w:rsidRDefault="0097588C" w:rsidP="0097588C">
      <w:pPr>
        <w:tabs>
          <w:tab w:val="left" w:pos="817"/>
          <w:tab w:val="left" w:pos="862"/>
        </w:tabs>
        <w:spacing w:before="56" w:line="256" w:lineRule="auto"/>
        <w:jc w:val="both"/>
      </w:pPr>
    </w:p>
    <w:p w14:paraId="68D8F656" w14:textId="77777777" w:rsidR="0097588C" w:rsidRDefault="0097588C" w:rsidP="0097588C">
      <w:pPr>
        <w:tabs>
          <w:tab w:val="left" w:pos="817"/>
          <w:tab w:val="left" w:pos="862"/>
        </w:tabs>
        <w:spacing w:before="56" w:line="256" w:lineRule="auto"/>
        <w:jc w:val="both"/>
      </w:pPr>
    </w:p>
    <w:p w14:paraId="13FD7297" w14:textId="77777777" w:rsidR="0097588C" w:rsidRDefault="0097588C" w:rsidP="0097588C">
      <w:pPr>
        <w:tabs>
          <w:tab w:val="left" w:pos="817"/>
          <w:tab w:val="left" w:pos="862"/>
        </w:tabs>
        <w:spacing w:before="56" w:line="256" w:lineRule="auto"/>
        <w:jc w:val="both"/>
      </w:pPr>
    </w:p>
    <w:p w14:paraId="15BFEFD3" w14:textId="77777777" w:rsidR="0097588C" w:rsidRDefault="0097588C" w:rsidP="0097588C">
      <w:pPr>
        <w:tabs>
          <w:tab w:val="left" w:pos="817"/>
          <w:tab w:val="left" w:pos="862"/>
        </w:tabs>
        <w:spacing w:before="56" w:line="256" w:lineRule="auto"/>
        <w:jc w:val="both"/>
      </w:pPr>
    </w:p>
    <w:p w14:paraId="29461497" w14:textId="77777777" w:rsidR="0097588C" w:rsidRDefault="0097588C" w:rsidP="0097588C">
      <w:pPr>
        <w:tabs>
          <w:tab w:val="left" w:pos="817"/>
          <w:tab w:val="left" w:pos="862"/>
        </w:tabs>
        <w:spacing w:before="56" w:line="256" w:lineRule="auto"/>
        <w:jc w:val="both"/>
      </w:pPr>
    </w:p>
    <w:p w14:paraId="61C05CEE" w14:textId="77777777" w:rsidR="0097588C" w:rsidRPr="00C22782" w:rsidRDefault="0097588C" w:rsidP="0097588C">
      <w:pPr>
        <w:pStyle w:val="NormalWeb"/>
        <w:shd w:val="clear" w:color="auto" w:fill="FFFFFF"/>
        <w:spacing w:before="0" w:beforeAutospacing="0" w:after="0" w:afterAutospacing="0"/>
        <w:rPr>
          <w:rFonts w:ascii="Calibri" w:hAnsi="Calibri"/>
          <w:color w:val="000000"/>
          <w:lang w:val="fr-FR"/>
        </w:rPr>
      </w:pPr>
      <w:r w:rsidRPr="00C22782">
        <w:rPr>
          <w:rFonts w:ascii="Calibri" w:hAnsi="Calibri"/>
          <w:b/>
          <w:bCs/>
          <w:color w:val="212121"/>
          <w:sz w:val="22"/>
          <w:szCs w:val="22"/>
          <w:u w:val="single"/>
          <w:bdr w:val="none" w:sz="0" w:space="0" w:color="auto" w:frame="1"/>
          <w:lang w:val="fr-FR"/>
        </w:rPr>
        <w:t>Avertissement:</w:t>
      </w:r>
      <w:r w:rsidRPr="00C22782">
        <w:rPr>
          <w:rFonts w:ascii="Calibri" w:hAnsi="Calibri"/>
          <w:color w:val="212121"/>
          <w:sz w:val="22"/>
          <w:szCs w:val="22"/>
          <w:bdr w:val="none" w:sz="0" w:space="0" w:color="auto" w:frame="1"/>
          <w:lang w:val="fr-FR"/>
        </w:rPr>
        <w:t> Ce document a été traduit de l'anglais vers le français. En cas de divergence entre cette traduction et le document anglais original, le document anglais original prévaudra.</w:t>
      </w:r>
    </w:p>
    <w:p w14:paraId="2BBA0D39" w14:textId="77777777" w:rsidR="0097588C" w:rsidRPr="00C22782" w:rsidRDefault="0097588C" w:rsidP="0097588C">
      <w:pPr>
        <w:pStyle w:val="NormalWeb"/>
        <w:shd w:val="clear" w:color="auto" w:fill="FFFFFF"/>
        <w:spacing w:before="0" w:beforeAutospacing="0" w:after="0" w:afterAutospacing="0"/>
        <w:rPr>
          <w:rFonts w:ascii="Calibri" w:hAnsi="Calibri"/>
          <w:color w:val="000000"/>
          <w:lang w:val="fr-FR"/>
        </w:rPr>
      </w:pPr>
      <w:r w:rsidRPr="00C22782">
        <w:rPr>
          <w:rFonts w:ascii="Calibri" w:hAnsi="Calibri"/>
          <w:color w:val="212121"/>
          <w:sz w:val="22"/>
          <w:szCs w:val="22"/>
          <w:bdr w:val="none" w:sz="0" w:space="0" w:color="auto" w:frame="1"/>
          <w:lang w:val="fr-FR"/>
        </w:rPr>
        <w:t> </w:t>
      </w:r>
    </w:p>
    <w:p w14:paraId="1B9A19BA" w14:textId="77777777" w:rsidR="0097588C" w:rsidRDefault="0097588C" w:rsidP="0097588C">
      <w:pPr>
        <w:pStyle w:val="NormalWeb"/>
        <w:shd w:val="clear" w:color="auto" w:fill="FFFFFF"/>
        <w:spacing w:before="0" w:beforeAutospacing="0" w:after="0" w:afterAutospacing="0"/>
        <w:jc w:val="both"/>
        <w:rPr>
          <w:rFonts w:ascii="Calibri" w:hAnsi="Calibri"/>
          <w:color w:val="000000"/>
        </w:rPr>
      </w:pPr>
      <w:r>
        <w:rPr>
          <w:rStyle w:val="markwqu4ow29p"/>
          <w:rFonts w:ascii="Calibri" w:hAnsi="Calibri"/>
          <w:b/>
          <w:bCs/>
          <w:color w:val="000000"/>
          <w:sz w:val="22"/>
          <w:szCs w:val="22"/>
          <w:bdr w:val="none" w:sz="0" w:space="0" w:color="auto" w:frame="1"/>
          <w:lang w:val="en-GB"/>
        </w:rPr>
        <w:t>Disclaimer</w:t>
      </w:r>
      <w:r w:rsidRPr="00660313">
        <w:rPr>
          <w:rFonts w:ascii="Calibri" w:hAnsi="Calibri"/>
          <w:b/>
          <w:bCs/>
          <w:color w:val="000000"/>
          <w:sz w:val="22"/>
          <w:szCs w:val="22"/>
          <w:bdr w:val="none" w:sz="0" w:space="0" w:color="auto" w:frame="1"/>
          <w:lang w:val="en-GB"/>
        </w:rPr>
        <w:t>:</w:t>
      </w:r>
      <w:r>
        <w:rPr>
          <w:rFonts w:ascii="Calibri" w:hAnsi="Calibri"/>
          <w:color w:val="000000"/>
          <w:sz w:val="22"/>
          <w:szCs w:val="22"/>
          <w:bdr w:val="none" w:sz="0" w:space="0" w:color="auto" w:frame="1"/>
          <w:lang w:val="en-GB"/>
        </w:rPr>
        <w:t> This document was translated from English into French. In the event of any discrepancy between this translation and the original English document, the original English document shall prevail.</w:t>
      </w:r>
    </w:p>
    <w:p w14:paraId="48362F46" w14:textId="77777777" w:rsidR="0097588C" w:rsidRPr="0097588C" w:rsidRDefault="0097588C" w:rsidP="0097588C">
      <w:pPr>
        <w:tabs>
          <w:tab w:val="left" w:pos="817"/>
          <w:tab w:val="left" w:pos="862"/>
        </w:tabs>
        <w:spacing w:before="56" w:line="256" w:lineRule="auto"/>
        <w:jc w:val="both"/>
        <w:rPr>
          <w:lang w:val="en-US"/>
        </w:rPr>
      </w:pPr>
    </w:p>
    <w:sectPr w:rsidR="0097588C" w:rsidRPr="0097588C">
      <w:pgSz w:w="12240" w:h="16340"/>
      <w:pgMar w:top="1620" w:right="980" w:bottom="940" w:left="80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05B6" w14:textId="77777777" w:rsidR="001E6E14" w:rsidRDefault="001E6E14">
      <w:r>
        <w:separator/>
      </w:r>
    </w:p>
  </w:endnote>
  <w:endnote w:type="continuationSeparator" w:id="0">
    <w:p w14:paraId="056DC75A" w14:textId="77777777" w:rsidR="001E6E14" w:rsidRDefault="001E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2CD2" w14:textId="77777777" w:rsidR="00C14287" w:rsidRDefault="00000000">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5314B0C8" wp14:editId="5BCEC411">
              <wp:simplePos x="0" y="0"/>
              <wp:positionH relativeFrom="page">
                <wp:posOffset>795019</wp:posOffset>
              </wp:positionH>
              <wp:positionV relativeFrom="page">
                <wp:posOffset>9763760</wp:posOffset>
              </wp:positionV>
              <wp:extent cx="6788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 cy="165735"/>
                      </a:xfrm>
                      <a:prstGeom prst="rect">
                        <a:avLst/>
                      </a:prstGeom>
                    </wps:spPr>
                    <wps:txbx>
                      <w:txbxContent>
                        <w:p w14:paraId="0BBE0A13" w14:textId="77777777" w:rsidR="00C14287" w:rsidRDefault="00000000">
                          <w:pPr>
                            <w:spacing w:line="245" w:lineRule="exact"/>
                            <w:ind w:left="20"/>
                            <w:rPr>
                              <w:b/>
                            </w:rPr>
                          </w:pPr>
                          <w:r>
                            <w:t>Page</w:t>
                          </w:r>
                          <w:r>
                            <w:rPr>
                              <w:spacing w:val="-2"/>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1</w:t>
                          </w:r>
                          <w:r>
                            <w:rPr>
                              <w:b/>
                              <w:color w:val="2B569A"/>
                              <w:shd w:val="clear" w:color="auto" w:fill="E6E6E6"/>
                            </w:rPr>
                            <w:fldChar w:fldCharType="end"/>
                          </w:r>
                          <w:r>
                            <w:rPr>
                              <w:b/>
                              <w:color w:val="2B569A"/>
                              <w:spacing w:val="-4"/>
                            </w:rPr>
                            <w:t xml:space="preserve"> </w:t>
                          </w:r>
                          <w:r>
                            <w:rPr>
                              <w:color w:val="000000"/>
                            </w:rPr>
                            <w:t>de</w:t>
                          </w:r>
                          <w:r>
                            <w:rPr>
                              <w:color w:val="000000"/>
                              <w:spacing w:val="-2"/>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4</w:t>
                          </w:r>
                          <w:r>
                            <w:rPr>
                              <w:b/>
                              <w:color w:val="2B569A"/>
                              <w:spacing w:val="-10"/>
                              <w:shd w:val="clear" w:color="auto" w:fill="E6E6E6"/>
                            </w:rPr>
                            <w:fldChar w:fldCharType="end"/>
                          </w:r>
                        </w:p>
                      </w:txbxContent>
                    </wps:txbx>
                    <wps:bodyPr wrap="square" lIns="0" tIns="0" rIns="0" bIns="0" rtlCol="0">
                      <a:noAutofit/>
                    </wps:bodyPr>
                  </wps:wsp>
                </a:graphicData>
              </a:graphic>
            </wp:anchor>
          </w:drawing>
        </mc:Choice>
        <mc:Fallback>
          <w:pict>
            <v:shapetype w14:anchorId="5314B0C8" id="_x0000_t202" coordsize="21600,21600" o:spt="202" path="m,l,21600r21600,l21600,xe">
              <v:stroke joinstyle="miter"/>
              <v:path gradientshapeok="t" o:connecttype="rect"/>
            </v:shapetype>
            <v:shape id="Textbox 1" o:spid="_x0000_s1026" type="#_x0000_t202" style="position:absolute;margin-left:62.6pt;margin-top:768.8pt;width:53.45pt;height:13.0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" filled="f" stroked="f">
              <v:textbox inset="0,0,0,0">
                <w:txbxContent>
                  <w:p w14:paraId="0BBE0A13" w14:textId="77777777" w:rsidR="00C14287" w:rsidRDefault="00000000">
                    <w:pPr>
                      <w:spacing w:line="245" w:lineRule="exact"/>
                      <w:ind w:left="20"/>
                      <w:rPr>
                        <w:b/>
                      </w:rPr>
                    </w:pPr>
                    <w:r>
                      <w:t>Page</w:t>
                    </w:r>
                    <w:r>
                      <w:rPr>
                        <w:spacing w:val="-2"/>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1</w:t>
                    </w:r>
                    <w:r>
                      <w:rPr>
                        <w:b/>
                        <w:color w:val="2B569A"/>
                        <w:shd w:val="clear" w:color="auto" w:fill="E6E6E6"/>
                      </w:rPr>
                      <w:fldChar w:fldCharType="end"/>
                    </w:r>
                    <w:r>
                      <w:rPr>
                        <w:b/>
                        <w:color w:val="2B569A"/>
                        <w:spacing w:val="-4"/>
                      </w:rPr>
                      <w:t xml:space="preserve"> </w:t>
                    </w:r>
                    <w:r>
                      <w:rPr>
                        <w:color w:val="000000"/>
                      </w:rPr>
                      <w:t>de</w:t>
                    </w:r>
                    <w:r>
                      <w:rPr>
                        <w:color w:val="000000"/>
                        <w:spacing w:val="-2"/>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4</w:t>
                    </w:r>
                    <w:r>
                      <w:rPr>
                        <w:b/>
                        <w:color w:val="2B569A"/>
                        <w:spacing w:val="-10"/>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87503360" behindDoc="1" locked="0" layoutInCell="1" allowOverlap="1" wp14:anchorId="2644B118" wp14:editId="344AB54B">
              <wp:simplePos x="0" y="0"/>
              <wp:positionH relativeFrom="page">
                <wp:posOffset>2721337</wp:posOffset>
              </wp:positionH>
              <wp:positionV relativeFrom="page">
                <wp:posOffset>9763760</wp:posOffset>
              </wp:positionV>
              <wp:extent cx="22104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65735"/>
                      </a:xfrm>
                      <a:prstGeom prst="rect">
                        <a:avLst/>
                      </a:prstGeom>
                    </wps:spPr>
                    <wps:txbx>
                      <w:txbxContent>
                        <w:p w14:paraId="3AFE66F4" w14:textId="77777777" w:rsidR="00C14287"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color w:val="2B569A"/>
                              <w:spacing w:val="-2"/>
                              <w:shd w:val="clear" w:color="auto" w:fill="E6E6E6"/>
                            </w:rPr>
                            <w:t>23/11/2022</w:t>
                          </w:r>
                        </w:p>
                      </w:txbxContent>
                    </wps:txbx>
                    <wps:bodyPr wrap="square" lIns="0" tIns="0" rIns="0" bIns="0" rtlCol="0">
                      <a:noAutofit/>
                    </wps:bodyPr>
                  </wps:wsp>
                </a:graphicData>
              </a:graphic>
            </wp:anchor>
          </w:drawing>
        </mc:Choice>
        <mc:Fallback>
          <w:pict>
            <v:shape w14:anchorId="2644B118" id="Textbox 2" o:spid="_x0000_s1027" type="#_x0000_t202" style="position:absolute;margin-left:214.3pt;margin-top:768.8pt;width:174.05pt;height:13.05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" filled="f" stroked="f">
              <v:textbox inset="0,0,0,0">
                <w:txbxContent>
                  <w:p w14:paraId="3AFE66F4" w14:textId="77777777" w:rsidR="00C14287"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color w:val="2B569A"/>
                        <w:spacing w:val="-2"/>
                        <w:shd w:val="clear" w:color="auto" w:fill="E6E6E6"/>
                      </w:rPr>
                      <w:t>23/11/2022</w:t>
                    </w:r>
                  </w:p>
                </w:txbxContent>
              </v:textbox>
              <w10:wrap anchorx="page" anchory="page"/>
            </v:shape>
          </w:pict>
        </mc:Fallback>
      </mc:AlternateContent>
    </w:r>
    <w:r>
      <w:rPr>
        <w:noProof/>
      </w:rPr>
      <mc:AlternateContent>
        <mc:Choice Requires="wps">
          <w:drawing>
            <wp:anchor distT="0" distB="0" distL="0" distR="0" simplePos="0" relativeHeight="487503872" behindDoc="1" locked="0" layoutInCell="1" allowOverlap="1" wp14:anchorId="3119D457" wp14:editId="46F3DC21">
              <wp:simplePos x="0" y="0"/>
              <wp:positionH relativeFrom="page">
                <wp:posOffset>6354547</wp:posOffset>
              </wp:positionH>
              <wp:positionV relativeFrom="page">
                <wp:posOffset>9763760</wp:posOffset>
              </wp:positionV>
              <wp:extent cx="7277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0D3A0B1C" w14:textId="77777777" w:rsidR="00C14287"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color w:val="2B569A"/>
                              <w:spacing w:val="-10"/>
                              <w:shd w:val="clear" w:color="auto" w:fill="E6E6E6"/>
                            </w:rPr>
                            <w:t>6</w:t>
                          </w:r>
                        </w:p>
                      </w:txbxContent>
                    </wps:txbx>
                    <wps:bodyPr wrap="square" lIns="0" tIns="0" rIns="0" bIns="0" rtlCol="0">
                      <a:noAutofit/>
                    </wps:bodyPr>
                  </wps:wsp>
                </a:graphicData>
              </a:graphic>
            </wp:anchor>
          </w:drawing>
        </mc:Choice>
        <mc:Fallback>
          <w:pict>
            <v:shape w14:anchorId="3119D457" id="Textbox 3" o:spid="_x0000_s1028" type="#_x0000_t202" style="position:absolute;margin-left:500.35pt;margin-top:768.8pt;width:57.3pt;height:13.0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0NmA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" filled="f" stroked="f">
              <v:textbox inset="0,0,0,0">
                <w:txbxContent>
                  <w:p w14:paraId="0D3A0B1C" w14:textId="77777777" w:rsidR="00C14287"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color w:val="2B569A"/>
                        <w:spacing w:val="-10"/>
                        <w:shd w:val="clear" w:color="auto" w:fill="E6E6E6"/>
                      </w:rPr>
                      <w:t>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E6AB" w14:textId="77777777" w:rsidR="00C14287" w:rsidRDefault="00000000">
    <w:pPr>
      <w:pStyle w:val="BodyText"/>
      <w:spacing w:line="14" w:lineRule="auto"/>
      <w:rPr>
        <w:sz w:val="20"/>
      </w:rPr>
    </w:pPr>
    <w:r>
      <w:rPr>
        <w:noProof/>
      </w:rPr>
      <mc:AlternateContent>
        <mc:Choice Requires="wps">
          <w:drawing>
            <wp:anchor distT="0" distB="0" distL="0" distR="0" simplePos="0" relativeHeight="487504896" behindDoc="1" locked="0" layoutInCell="1" allowOverlap="1" wp14:anchorId="6EB48235" wp14:editId="1DF41821">
              <wp:simplePos x="0" y="0"/>
              <wp:positionH relativeFrom="page">
                <wp:posOffset>795019</wp:posOffset>
              </wp:positionH>
              <wp:positionV relativeFrom="page">
                <wp:posOffset>9763760</wp:posOffset>
              </wp:positionV>
              <wp:extent cx="67881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815" cy="165735"/>
                      </a:xfrm>
                      <a:prstGeom prst="rect">
                        <a:avLst/>
                      </a:prstGeom>
                    </wps:spPr>
                    <wps:txbx>
                      <w:txbxContent>
                        <w:p w14:paraId="67374099" w14:textId="77777777" w:rsidR="00C14287" w:rsidRDefault="00000000">
                          <w:pPr>
                            <w:spacing w:line="245" w:lineRule="exact"/>
                            <w:ind w:left="20"/>
                            <w:rPr>
                              <w:b/>
                            </w:rPr>
                          </w:pPr>
                          <w:r>
                            <w:t>Page</w:t>
                          </w:r>
                          <w:r>
                            <w:rPr>
                              <w:spacing w:val="-2"/>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4"/>
                            </w:rPr>
                            <w:t xml:space="preserve"> </w:t>
                          </w:r>
                          <w:r>
                            <w:rPr>
                              <w:color w:val="000000"/>
                            </w:rPr>
                            <w:t>de</w:t>
                          </w:r>
                          <w:r>
                            <w:rPr>
                              <w:color w:val="000000"/>
                              <w:spacing w:val="-2"/>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4</w:t>
                          </w:r>
                          <w:r>
                            <w:rPr>
                              <w:b/>
                              <w:color w:val="2B569A"/>
                              <w:spacing w:val="-10"/>
                              <w:shd w:val="clear" w:color="auto" w:fill="E6E6E6"/>
                            </w:rPr>
                            <w:fldChar w:fldCharType="end"/>
                          </w:r>
                        </w:p>
                      </w:txbxContent>
                    </wps:txbx>
                    <wps:bodyPr wrap="square" lIns="0" tIns="0" rIns="0" bIns="0" rtlCol="0">
                      <a:noAutofit/>
                    </wps:bodyPr>
                  </wps:wsp>
                </a:graphicData>
              </a:graphic>
            </wp:anchor>
          </w:drawing>
        </mc:Choice>
        <mc:Fallback>
          <w:pict>
            <v:shapetype w14:anchorId="6EB48235" id="_x0000_t202" coordsize="21600,21600" o:spt="202" path="m,l,21600r21600,l21600,xe">
              <v:stroke joinstyle="miter"/>
              <v:path gradientshapeok="t" o:connecttype="rect"/>
            </v:shapetype>
            <v:shape id="Textbox 16" o:spid="_x0000_s1029" type="#_x0000_t202" style="position:absolute;margin-left:62.6pt;margin-top:768.8pt;width:53.45pt;height:13.0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" filled="f" stroked="f">
              <v:textbox inset="0,0,0,0">
                <w:txbxContent>
                  <w:p w14:paraId="67374099" w14:textId="77777777" w:rsidR="00C14287" w:rsidRDefault="00000000">
                    <w:pPr>
                      <w:spacing w:line="245" w:lineRule="exact"/>
                      <w:ind w:left="20"/>
                      <w:rPr>
                        <w:b/>
                      </w:rPr>
                    </w:pPr>
                    <w:r>
                      <w:t>Page</w:t>
                    </w:r>
                    <w:r>
                      <w:rPr>
                        <w:spacing w:val="-2"/>
                      </w:rPr>
                      <w:t xml:space="preserve"> </w:t>
                    </w:r>
                    <w:r>
                      <w:rPr>
                        <w:b/>
                        <w:color w:val="2B569A"/>
                        <w:shd w:val="clear" w:color="auto" w:fill="E6E6E6"/>
                      </w:rPr>
                      <w:fldChar w:fldCharType="begin"/>
                    </w:r>
                    <w:r>
                      <w:rPr>
                        <w:b/>
                        <w:color w:val="2B569A"/>
                        <w:shd w:val="clear" w:color="auto" w:fill="E6E6E6"/>
                      </w:rPr>
                      <w:instrText xml:space="preserve"> PAGE </w:instrText>
                    </w:r>
                    <w:r>
                      <w:rPr>
                        <w:b/>
                        <w:color w:val="2B569A"/>
                        <w:shd w:val="clear" w:color="auto" w:fill="E6E6E6"/>
                      </w:rPr>
                      <w:fldChar w:fldCharType="separate"/>
                    </w:r>
                    <w:r>
                      <w:rPr>
                        <w:b/>
                        <w:color w:val="2B569A"/>
                        <w:shd w:val="clear" w:color="auto" w:fill="E6E6E6"/>
                      </w:rPr>
                      <w:t>2</w:t>
                    </w:r>
                    <w:r>
                      <w:rPr>
                        <w:b/>
                        <w:color w:val="2B569A"/>
                        <w:shd w:val="clear" w:color="auto" w:fill="E6E6E6"/>
                      </w:rPr>
                      <w:fldChar w:fldCharType="end"/>
                    </w:r>
                    <w:r>
                      <w:rPr>
                        <w:b/>
                        <w:color w:val="2B569A"/>
                        <w:spacing w:val="-4"/>
                      </w:rPr>
                      <w:t xml:space="preserve"> </w:t>
                    </w:r>
                    <w:r>
                      <w:rPr>
                        <w:color w:val="000000"/>
                      </w:rPr>
                      <w:t>de</w:t>
                    </w:r>
                    <w:r>
                      <w:rPr>
                        <w:color w:val="000000"/>
                        <w:spacing w:val="-2"/>
                      </w:rPr>
                      <w:t xml:space="preserve"> </w:t>
                    </w:r>
                    <w:r>
                      <w:rPr>
                        <w:b/>
                        <w:color w:val="2B569A"/>
                        <w:spacing w:val="-10"/>
                        <w:shd w:val="clear" w:color="auto" w:fill="E6E6E6"/>
                      </w:rPr>
                      <w:fldChar w:fldCharType="begin"/>
                    </w:r>
                    <w:r>
                      <w:rPr>
                        <w:b/>
                        <w:color w:val="2B569A"/>
                        <w:spacing w:val="-10"/>
                        <w:shd w:val="clear" w:color="auto" w:fill="E6E6E6"/>
                      </w:rPr>
                      <w:instrText xml:space="preserve"> NUMPAGES </w:instrText>
                    </w:r>
                    <w:r>
                      <w:rPr>
                        <w:b/>
                        <w:color w:val="2B569A"/>
                        <w:spacing w:val="-10"/>
                        <w:shd w:val="clear" w:color="auto" w:fill="E6E6E6"/>
                      </w:rPr>
                      <w:fldChar w:fldCharType="separate"/>
                    </w:r>
                    <w:r>
                      <w:rPr>
                        <w:b/>
                        <w:color w:val="2B569A"/>
                        <w:spacing w:val="-10"/>
                        <w:shd w:val="clear" w:color="auto" w:fill="E6E6E6"/>
                      </w:rPr>
                      <w:t>4</w:t>
                    </w:r>
                    <w:r>
                      <w:rPr>
                        <w:b/>
                        <w:color w:val="2B569A"/>
                        <w:spacing w:val="-10"/>
                        <w:shd w:val="clear" w:color="auto" w:fill="E6E6E6"/>
                      </w:rPr>
                      <w:fldChar w:fldCharType="end"/>
                    </w:r>
                  </w:p>
                </w:txbxContent>
              </v:textbox>
              <w10:wrap anchorx="page" anchory="page"/>
            </v:shape>
          </w:pict>
        </mc:Fallback>
      </mc:AlternateContent>
    </w:r>
    <w:r>
      <w:rPr>
        <w:noProof/>
      </w:rPr>
      <mc:AlternateContent>
        <mc:Choice Requires="wps">
          <w:drawing>
            <wp:anchor distT="0" distB="0" distL="0" distR="0" simplePos="0" relativeHeight="487505408" behindDoc="1" locked="0" layoutInCell="1" allowOverlap="1" wp14:anchorId="384E5A9E" wp14:editId="30F734D1">
              <wp:simplePos x="0" y="0"/>
              <wp:positionH relativeFrom="page">
                <wp:posOffset>2721337</wp:posOffset>
              </wp:positionH>
              <wp:positionV relativeFrom="page">
                <wp:posOffset>9763760</wp:posOffset>
              </wp:positionV>
              <wp:extent cx="2210435"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65735"/>
                      </a:xfrm>
                      <a:prstGeom prst="rect">
                        <a:avLst/>
                      </a:prstGeom>
                    </wps:spPr>
                    <wps:txbx>
                      <w:txbxContent>
                        <w:p w14:paraId="60B3ED71" w14:textId="16CE0AEA" w:rsidR="00C14287"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sidR="004955CE" w:rsidRPr="004955CE">
                            <w:rPr>
                              <w:spacing w:val="-5"/>
                            </w:rPr>
                            <w:t>23/11/2022</w:t>
                          </w:r>
                        </w:p>
                      </w:txbxContent>
                    </wps:txbx>
                    <wps:bodyPr wrap="square" lIns="0" tIns="0" rIns="0" bIns="0" rtlCol="0">
                      <a:noAutofit/>
                    </wps:bodyPr>
                  </wps:wsp>
                </a:graphicData>
              </a:graphic>
            </wp:anchor>
          </w:drawing>
        </mc:Choice>
        <mc:Fallback>
          <w:pict>
            <v:shape w14:anchorId="384E5A9E" id="Textbox 17" o:spid="_x0000_s1030" type="#_x0000_t202" style="position:absolute;margin-left:214.3pt;margin-top:768.8pt;width:174.05pt;height:13.0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" filled="f" stroked="f">
              <v:textbox inset="0,0,0,0">
                <w:txbxContent>
                  <w:p w14:paraId="60B3ED71" w14:textId="16CE0AEA" w:rsidR="00C14287"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sidR="004955CE" w:rsidRPr="004955CE">
                      <w:rPr>
                        <w:spacing w:val="-5"/>
                      </w:rPr>
                      <w:t>23/11/2022</w:t>
                    </w:r>
                  </w:p>
                </w:txbxContent>
              </v:textbox>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16B21277" wp14:editId="487B1F38">
              <wp:simplePos x="0" y="0"/>
              <wp:positionH relativeFrom="page">
                <wp:posOffset>6354547</wp:posOffset>
              </wp:positionH>
              <wp:positionV relativeFrom="page">
                <wp:posOffset>9763760</wp:posOffset>
              </wp:positionV>
              <wp:extent cx="727710" cy="16573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710" cy="165735"/>
                      </a:xfrm>
                      <a:prstGeom prst="rect">
                        <a:avLst/>
                      </a:prstGeom>
                    </wps:spPr>
                    <wps:txbx>
                      <w:txbxContent>
                        <w:p w14:paraId="778712A5" w14:textId="77777777" w:rsidR="00C14287"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color w:val="2B569A"/>
                              <w:spacing w:val="-10"/>
                              <w:shd w:val="clear" w:color="auto" w:fill="E6E6E6"/>
                            </w:rPr>
                            <w:t>6</w:t>
                          </w:r>
                        </w:p>
                      </w:txbxContent>
                    </wps:txbx>
                    <wps:bodyPr wrap="square" lIns="0" tIns="0" rIns="0" bIns="0" rtlCol="0">
                      <a:noAutofit/>
                    </wps:bodyPr>
                  </wps:wsp>
                </a:graphicData>
              </a:graphic>
            </wp:anchor>
          </w:drawing>
        </mc:Choice>
        <mc:Fallback>
          <w:pict>
            <v:shape w14:anchorId="16B21277" id="Textbox 18" o:spid="_x0000_s1031" type="#_x0000_t202" style="position:absolute;margin-left:500.35pt;margin-top:768.8pt;width:57.3pt;height:13.0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" filled="f" stroked="f">
              <v:textbox inset="0,0,0,0">
                <w:txbxContent>
                  <w:p w14:paraId="778712A5" w14:textId="77777777" w:rsidR="00C14287" w:rsidRDefault="00000000">
                    <w:pPr>
                      <w:pStyle w:val="BodyText"/>
                      <w:spacing w:line="245" w:lineRule="exact"/>
                      <w:ind w:left="20"/>
                    </w:pPr>
                    <w:r>
                      <w:t>Version</w:t>
                    </w:r>
                    <w:r>
                      <w:rPr>
                        <w:spacing w:val="-4"/>
                      </w:rPr>
                      <w:t xml:space="preserve"> </w:t>
                    </w:r>
                    <w:r>
                      <w:t>#</w:t>
                    </w:r>
                    <w:r>
                      <w:rPr>
                        <w:spacing w:val="-3"/>
                      </w:rPr>
                      <w:t xml:space="preserve"> </w:t>
                    </w:r>
                    <w:r>
                      <w:t>:</w:t>
                    </w:r>
                    <w:r>
                      <w:rPr>
                        <w:spacing w:val="-4"/>
                      </w:rPr>
                      <w:t xml:space="preserve"> </w:t>
                    </w:r>
                    <w:r>
                      <w:rPr>
                        <w:color w:val="2B569A"/>
                        <w:spacing w:val="-10"/>
                        <w:shd w:val="clear" w:color="auto" w:fill="E6E6E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0C10" w14:textId="77777777" w:rsidR="001E6E14" w:rsidRDefault="001E6E14">
      <w:r>
        <w:separator/>
      </w:r>
    </w:p>
  </w:footnote>
  <w:footnote w:type="continuationSeparator" w:id="0">
    <w:p w14:paraId="2291222B" w14:textId="77777777" w:rsidR="001E6E14" w:rsidRDefault="001E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5BFC" w14:textId="77777777" w:rsidR="00C14287" w:rsidRDefault="00000000">
    <w:pPr>
      <w:pStyle w:val="BodyText"/>
      <w:spacing w:line="14" w:lineRule="auto"/>
      <w:rPr>
        <w:sz w:val="20"/>
      </w:rPr>
    </w:pPr>
    <w:r>
      <w:rPr>
        <w:noProof/>
      </w:rPr>
      <w:drawing>
        <wp:anchor distT="0" distB="0" distL="0" distR="0" simplePos="0" relativeHeight="487504384" behindDoc="1" locked="0" layoutInCell="1" allowOverlap="1" wp14:anchorId="1450C59E" wp14:editId="79B9F9E3">
          <wp:simplePos x="0" y="0"/>
          <wp:positionH relativeFrom="page">
            <wp:posOffset>6777367</wp:posOffset>
          </wp:positionH>
          <wp:positionV relativeFrom="page">
            <wp:posOffset>457200</wp:posOffset>
          </wp:positionV>
          <wp:extent cx="294411" cy="57912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294411" cy="5791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91582"/>
    <w:multiLevelType w:val="hybridMultilevel"/>
    <w:tmpl w:val="B2B69680"/>
    <w:lvl w:ilvl="0" w:tplc="3934D570">
      <w:start w:val="1"/>
      <w:numFmt w:val="decimal"/>
      <w:lvlText w:val="%1."/>
      <w:lvlJc w:val="left"/>
      <w:pPr>
        <w:ind w:left="817" w:hanging="361"/>
        <w:jc w:val="left"/>
      </w:pPr>
      <w:rPr>
        <w:rFonts w:ascii="Calibri" w:eastAsia="Calibri" w:hAnsi="Calibri" w:cs="Calibri" w:hint="default"/>
        <w:b w:val="0"/>
        <w:bCs w:val="0"/>
        <w:i w:val="0"/>
        <w:iCs w:val="0"/>
        <w:spacing w:val="-2"/>
        <w:w w:val="100"/>
        <w:sz w:val="22"/>
        <w:szCs w:val="22"/>
        <w:lang w:val="fr-FR" w:eastAsia="en-US" w:bidi="ar-SA"/>
      </w:rPr>
    </w:lvl>
    <w:lvl w:ilvl="1" w:tplc="DC3EC74C">
      <w:numFmt w:val="bullet"/>
      <w:lvlText w:val="•"/>
      <w:lvlJc w:val="left"/>
      <w:pPr>
        <w:ind w:left="1784" w:hanging="361"/>
      </w:pPr>
      <w:rPr>
        <w:rFonts w:hint="default"/>
        <w:lang w:val="fr-FR" w:eastAsia="en-US" w:bidi="ar-SA"/>
      </w:rPr>
    </w:lvl>
    <w:lvl w:ilvl="2" w:tplc="5EE4E3FA">
      <w:numFmt w:val="bullet"/>
      <w:lvlText w:val="•"/>
      <w:lvlJc w:val="left"/>
      <w:pPr>
        <w:ind w:left="2748" w:hanging="361"/>
      </w:pPr>
      <w:rPr>
        <w:rFonts w:hint="default"/>
        <w:lang w:val="fr-FR" w:eastAsia="en-US" w:bidi="ar-SA"/>
      </w:rPr>
    </w:lvl>
    <w:lvl w:ilvl="3" w:tplc="918AD7A2">
      <w:numFmt w:val="bullet"/>
      <w:lvlText w:val="•"/>
      <w:lvlJc w:val="left"/>
      <w:pPr>
        <w:ind w:left="3712" w:hanging="361"/>
      </w:pPr>
      <w:rPr>
        <w:rFonts w:hint="default"/>
        <w:lang w:val="fr-FR" w:eastAsia="en-US" w:bidi="ar-SA"/>
      </w:rPr>
    </w:lvl>
    <w:lvl w:ilvl="4" w:tplc="EB804CE4">
      <w:numFmt w:val="bullet"/>
      <w:lvlText w:val="•"/>
      <w:lvlJc w:val="left"/>
      <w:pPr>
        <w:ind w:left="4676" w:hanging="361"/>
      </w:pPr>
      <w:rPr>
        <w:rFonts w:hint="default"/>
        <w:lang w:val="fr-FR" w:eastAsia="en-US" w:bidi="ar-SA"/>
      </w:rPr>
    </w:lvl>
    <w:lvl w:ilvl="5" w:tplc="1840B210">
      <w:numFmt w:val="bullet"/>
      <w:lvlText w:val="•"/>
      <w:lvlJc w:val="left"/>
      <w:pPr>
        <w:ind w:left="5640" w:hanging="361"/>
      </w:pPr>
      <w:rPr>
        <w:rFonts w:hint="default"/>
        <w:lang w:val="fr-FR" w:eastAsia="en-US" w:bidi="ar-SA"/>
      </w:rPr>
    </w:lvl>
    <w:lvl w:ilvl="6" w:tplc="836414E4">
      <w:numFmt w:val="bullet"/>
      <w:lvlText w:val="•"/>
      <w:lvlJc w:val="left"/>
      <w:pPr>
        <w:ind w:left="6604" w:hanging="361"/>
      </w:pPr>
      <w:rPr>
        <w:rFonts w:hint="default"/>
        <w:lang w:val="fr-FR" w:eastAsia="en-US" w:bidi="ar-SA"/>
      </w:rPr>
    </w:lvl>
    <w:lvl w:ilvl="7" w:tplc="E2EC0A3E">
      <w:numFmt w:val="bullet"/>
      <w:lvlText w:val="•"/>
      <w:lvlJc w:val="left"/>
      <w:pPr>
        <w:ind w:left="7568" w:hanging="361"/>
      </w:pPr>
      <w:rPr>
        <w:rFonts w:hint="default"/>
        <w:lang w:val="fr-FR" w:eastAsia="en-US" w:bidi="ar-SA"/>
      </w:rPr>
    </w:lvl>
    <w:lvl w:ilvl="8" w:tplc="36ACAB10">
      <w:numFmt w:val="bullet"/>
      <w:lvlText w:val="•"/>
      <w:lvlJc w:val="left"/>
      <w:pPr>
        <w:ind w:left="8532" w:hanging="361"/>
      </w:pPr>
      <w:rPr>
        <w:rFonts w:hint="default"/>
        <w:lang w:val="fr-FR" w:eastAsia="en-US" w:bidi="ar-SA"/>
      </w:rPr>
    </w:lvl>
  </w:abstractNum>
  <w:num w:numId="1" w16cid:durableId="91173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4287"/>
    <w:rsid w:val="00011833"/>
    <w:rsid w:val="001E6E14"/>
    <w:rsid w:val="004955CE"/>
    <w:rsid w:val="00762CD1"/>
    <w:rsid w:val="0097588C"/>
    <w:rsid w:val="00AC0670"/>
    <w:rsid w:val="00C14287"/>
    <w:rsid w:val="00C50ABE"/>
    <w:rsid w:val="00D4442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1937"/>
  <w15:docId w15:val="{B9C49442-3723-47E6-AEDE-CD83AE4E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spacing w:before="57"/>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112"/>
    </w:pPr>
    <w:rPr>
      <w:b/>
      <w:bCs/>
      <w:sz w:val="28"/>
      <w:szCs w:val="28"/>
    </w:rPr>
  </w:style>
  <w:style w:type="paragraph" w:styleId="ListParagraph">
    <w:name w:val="List Paragraph"/>
    <w:basedOn w:val="Normal"/>
    <w:uiPriority w:val="1"/>
    <w:qFormat/>
    <w:pPr>
      <w:ind w:left="817" w:right="11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2CD1"/>
    <w:rPr>
      <w:color w:val="0000FF" w:themeColor="hyperlink"/>
      <w:u w:val="single"/>
    </w:rPr>
  </w:style>
  <w:style w:type="character" w:styleId="UnresolvedMention">
    <w:name w:val="Unresolved Mention"/>
    <w:basedOn w:val="DefaultParagraphFont"/>
    <w:uiPriority w:val="99"/>
    <w:semiHidden/>
    <w:unhideWhenUsed/>
    <w:rsid w:val="00762CD1"/>
    <w:rPr>
      <w:color w:val="605E5C"/>
      <w:shd w:val="clear" w:color="auto" w:fill="E1DFDD"/>
    </w:rPr>
  </w:style>
  <w:style w:type="paragraph" w:styleId="NormalWeb">
    <w:name w:val="Normal (Web)"/>
    <w:basedOn w:val="Normal"/>
    <w:uiPriority w:val="99"/>
    <w:semiHidden/>
    <w:unhideWhenUsed/>
    <w:rsid w:val="0097588C"/>
    <w:pPr>
      <w:widowControl/>
      <w:autoSpaceDE/>
      <w:autoSpaceDN/>
      <w:spacing w:before="100" w:beforeAutospacing="1" w:after="100" w:afterAutospacing="1"/>
    </w:pPr>
    <w:rPr>
      <w:rFonts w:ascii="Times New Roman" w:eastAsiaTheme="minorHAnsi" w:hAnsi="Times New Roman" w:cs="Times New Roman"/>
      <w:sz w:val="24"/>
      <w:szCs w:val="24"/>
      <w:lang w:val="en-US"/>
    </w:rPr>
  </w:style>
  <w:style w:type="character" w:customStyle="1" w:styleId="markwqu4ow29p">
    <w:name w:val="markwqu4ow29p"/>
    <w:basedOn w:val="DefaultParagraphFont"/>
    <w:rsid w:val="0097588C"/>
  </w:style>
  <w:style w:type="paragraph" w:styleId="Header">
    <w:name w:val="header"/>
    <w:basedOn w:val="Normal"/>
    <w:link w:val="HeaderChar"/>
    <w:uiPriority w:val="99"/>
    <w:unhideWhenUsed/>
    <w:rsid w:val="004955CE"/>
    <w:pPr>
      <w:tabs>
        <w:tab w:val="center" w:pos="4513"/>
        <w:tab w:val="right" w:pos="9026"/>
      </w:tabs>
    </w:pPr>
  </w:style>
  <w:style w:type="character" w:customStyle="1" w:styleId="HeaderChar">
    <w:name w:val="Header Char"/>
    <w:basedOn w:val="DefaultParagraphFont"/>
    <w:link w:val="Header"/>
    <w:uiPriority w:val="99"/>
    <w:rsid w:val="004955CE"/>
    <w:rPr>
      <w:rFonts w:ascii="Calibri" w:eastAsia="Calibri" w:hAnsi="Calibri" w:cs="Calibri"/>
      <w:lang w:val="fr-FR"/>
    </w:rPr>
  </w:style>
  <w:style w:type="paragraph" w:styleId="Footer">
    <w:name w:val="footer"/>
    <w:basedOn w:val="Normal"/>
    <w:link w:val="FooterChar"/>
    <w:uiPriority w:val="99"/>
    <w:unhideWhenUsed/>
    <w:rsid w:val="004955CE"/>
    <w:pPr>
      <w:tabs>
        <w:tab w:val="center" w:pos="4513"/>
        <w:tab w:val="right" w:pos="9026"/>
      </w:tabs>
    </w:pPr>
  </w:style>
  <w:style w:type="character" w:customStyle="1" w:styleId="FooterChar">
    <w:name w:val="Footer Char"/>
    <w:basedOn w:val="DefaultParagraphFont"/>
    <w:link w:val="Footer"/>
    <w:uiPriority w:val="99"/>
    <w:rsid w:val="004955CE"/>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pp.undp.org/document/resource-planning-and-cost-recovery-universal-price-list-upl-and-local-price-list-lpl-xb"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intranet.undp.org/unit/ofrm/fbp/analytics/_layouts/15/WopiFrame.aspx?sourcedoc=/unit/ofrm/fbp/analytics/Direct%20Project%20Costs%20DPC%20Exception%20Report/Account%20codes%20for%20Direct%20Project%20Costs_2017.docx&amp;action=default" TargetMode="External"/><Relationship Id="rId2" Type="http://schemas.openxmlformats.org/officeDocument/2006/relationships/styles" Target="styles.xml"/><Relationship Id="rId16" Type="http://schemas.openxmlformats.org/officeDocument/2006/relationships/hyperlink" Target="https://popp.undp.org/node/4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node/511" TargetMode="External"/><Relationship Id="rId5" Type="http://schemas.openxmlformats.org/officeDocument/2006/relationships/footnotes" Target="footnotes.xml"/><Relationship Id="rId15" Type="http://schemas.openxmlformats.org/officeDocument/2006/relationships/hyperlink" Target="https://popp.undp.org/node/446" TargetMode="External"/><Relationship Id="rId10" Type="http://schemas.openxmlformats.org/officeDocument/2006/relationships/hyperlink" Target="https://popp.undp.org/node/51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pp.undp.org/document/resource-planning-and-cost-recovery-universal-price-list-upl-and-local-price-list-lpl-x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1425</TotalTime>
  <Pages>3</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keywords>, docId:E510E1BF311C1AA66B1980068358AC0C</cp:keywords>
  <cp:lastModifiedBy>Pablo Morete</cp:lastModifiedBy>
  <cp:revision>5</cp:revision>
  <dcterms:created xsi:type="dcterms:W3CDTF">2023-08-15T15:06:00Z</dcterms:created>
  <dcterms:modified xsi:type="dcterms:W3CDTF">2024-01-16T10:46:00Z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2023-08-15T00:00:00Z</vt:filetime>
  </property>
  <property fmtid="{D5CDD505-2E9C-101B-9397-08002B2CF9AE}" pid="4" name="Creator">
    <vt:lpwstr>Acrobat PDFMaker 23 for Word</vt:lpwstr>
  </property>
  <property fmtid="{D5CDD505-2E9C-101B-9397-08002B2CF9AE}" pid="5" name="DLCPolicyLabelValue">
    <vt:lpwstr>Effective Date: {Effective Date}                                                Version #: {POPPRefItemVersion}</vt:lpwstr>
  </property>
  <property fmtid="{D5CDD505-2E9C-101B-9397-08002B2CF9AE}" pid="6" name="LastSaved">
    <vt:filetime>2023-08-15T00:00:00Z</vt:filetime>
  </property>
  <property fmtid="{D5CDD505-2E9C-101B-9397-08002B2CF9AE}" pid="7" name="POPPBusinessProcess">
    <vt:lpwstr/>
  </property>
  <property fmtid="{D5CDD505-2E9C-101B-9397-08002B2CF9AE}" pid="8" name="Producer">
    <vt:lpwstr>Adobe PDF Library 23.3.20</vt:lpwstr>
  </property>
  <property fmtid="{D5CDD505-2E9C-101B-9397-08002B2CF9AE}" pid="9" name="SourceModified">
    <vt:lpwstr>D:20230815144823</vt:lpwstr>
  </property>
  <property fmtid="{D5CDD505-2E9C-101B-9397-08002B2CF9AE}" pid="10" name="TaxCatchAll">
    <vt:lpwstr>350;#Financial Resources Management|682d4c54-a288-412d-bfec-ce5587bbd25c</vt:lpwstr>
  </property>
  <property fmtid="{D5CDD505-2E9C-101B-9397-08002B2CF9AE}" pid="11" name="UNDP_POPP_BUSINESSPROCESS_HIDDEN">
    <vt:lpwstr/>
  </property>
  <property fmtid="{D5CDD505-2E9C-101B-9397-08002B2CF9AE}" pid="12" name="UNDP_POPP_BUSINESSUNIT">
    <vt:lpwstr>350;#Financial Resources Management|682d4c54-a288-412d-bfec-ce5587bbd25c</vt:lpwstr>
  </property>
  <property fmtid="{D5CDD505-2E9C-101B-9397-08002B2CF9AE}" pid="13" name="_dlc_DocIdItemGuid">
    <vt:lpwstr>98f98421-6f42-4a32-ba12-62f32d8eb418</vt:lpwstr>
  </property>
  <property fmtid="{D5CDD505-2E9C-101B-9397-08002B2CF9AE}" pid="14" name="l0e6ef0c43e74560bd7f3acd1f5e8571">
    <vt:lpwstr>Financial Resources Management|682d4c54-a288-412d-bfec-ce5587bbd25c</vt:lpwstr>
  </property>
</Properties>
</file>