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41CF" w14:textId="77777777" w:rsidR="00A80E5B" w:rsidRPr="00A80E5B" w:rsidRDefault="00A80E5B" w:rsidP="00A80E5B">
      <w:pPr>
        <w:jc w:val="center"/>
      </w:pPr>
      <w:r w:rsidRPr="00A80E5B">
        <w:t>How to use the Account Codes for Services to Projects (Delivery Enabling Service Costs, formerly known as “direct project costs”)</w:t>
      </w:r>
    </w:p>
    <w:p w14:paraId="3D847884" w14:textId="77777777" w:rsidR="00A80E5B" w:rsidRPr="00A80E5B" w:rsidRDefault="00A80E5B" w:rsidP="00A80E5B">
      <w:pPr>
        <w:jc w:val="center"/>
      </w:pPr>
      <w:r w:rsidRPr="00A80E5B">
        <w:t>(revised as per POPP update - 15 March 2023)</w:t>
      </w:r>
    </w:p>
    <w:p w14:paraId="1E104363" w14:textId="77777777" w:rsidR="00A80E5B" w:rsidRPr="00A80E5B" w:rsidRDefault="00A80E5B" w:rsidP="00A80E5B">
      <w:pPr>
        <w:numPr>
          <w:ilvl w:val="0"/>
          <w:numId w:val="5"/>
        </w:numPr>
        <w:rPr>
          <w:lang w:val="en-US"/>
        </w:rPr>
      </w:pPr>
      <w:r w:rsidRPr="00A80E5B">
        <w:rPr>
          <w:b/>
          <w:bCs/>
        </w:rPr>
        <w:t>Overview</w:t>
      </w:r>
      <w:r w:rsidRPr="00A80E5B">
        <w:rPr>
          <w:b/>
          <w:bCs/>
          <w:lang w:val="en-US"/>
        </w:rPr>
        <w:t xml:space="preserve"> </w:t>
      </w:r>
      <w:bookmarkStart w:id="0" w:name="_Toc319074681"/>
      <w:bookmarkStart w:id="1" w:name="_Toc319074684"/>
      <w:bookmarkStart w:id="2" w:name="_Toc319074686"/>
      <w:bookmarkStart w:id="3" w:name="_Toc319074687"/>
      <w:bookmarkStart w:id="4" w:name="_Toc319074688"/>
      <w:bookmarkStart w:id="5" w:name="_Toc319074690"/>
      <w:bookmarkStart w:id="6" w:name="_Toc319074691"/>
      <w:bookmarkEnd w:id="0"/>
      <w:bookmarkEnd w:id="1"/>
      <w:bookmarkEnd w:id="2"/>
      <w:bookmarkEnd w:id="3"/>
      <w:bookmarkEnd w:id="4"/>
      <w:bookmarkEnd w:id="5"/>
      <w:bookmarkEnd w:id="6"/>
    </w:p>
    <w:p w14:paraId="70F5E1DD" w14:textId="77777777" w:rsidR="00A80E5B" w:rsidRPr="00A80E5B" w:rsidRDefault="00A80E5B" w:rsidP="00A80E5B"/>
    <w:p w14:paraId="23E6BE44" w14:textId="77777777" w:rsidR="00A80E5B" w:rsidRPr="00A80E5B" w:rsidRDefault="00A80E5B" w:rsidP="00A80E5B"/>
    <w:p w14:paraId="661E0E98" w14:textId="77777777" w:rsidR="00A80E5B" w:rsidRPr="00A80E5B" w:rsidRDefault="00A80E5B" w:rsidP="00A80E5B">
      <w:r w:rsidRPr="00A80E5B">
        <w:rPr>
          <w:lang w:val="en-US"/>
        </w:rPr>
        <w:t xml:space="preserve">Please refer to the POPP update,  </w:t>
      </w:r>
      <w:hyperlink r:id="rId12">
        <w:r w:rsidRPr="00A80E5B">
          <w:rPr>
            <w:rStyle w:val="Hyperlink"/>
            <w:b/>
            <w:bCs/>
          </w:rPr>
          <w:t>Programme and Project Management</w:t>
        </w:r>
      </w:hyperlink>
      <w:r w:rsidRPr="00A80E5B">
        <w:t>, June 17</w:t>
      </w:r>
      <w:r w:rsidRPr="00A80E5B">
        <w:rPr>
          <w:vertAlign w:val="superscript"/>
        </w:rPr>
        <w:t>th</w:t>
      </w:r>
      <w:r w:rsidRPr="00A80E5B">
        <w:t>, 2021</w:t>
      </w:r>
      <w:r w:rsidRPr="00A80E5B">
        <w:br/>
      </w:r>
    </w:p>
    <w:p w14:paraId="2A22B988" w14:textId="77777777" w:rsidR="00A80E5B" w:rsidRPr="00A80E5B" w:rsidRDefault="00A80E5B" w:rsidP="00A80E5B">
      <w:r w:rsidRPr="00A80E5B">
        <w:t>In order to assist offices in their costing and budgeting of project activities, PPM procedures "</w:t>
      </w:r>
      <w:hyperlink r:id="rId13">
        <w:r w:rsidRPr="00A80E5B">
          <w:rPr>
            <w:rStyle w:val="Hyperlink"/>
          </w:rPr>
          <w:t>Prepare Fully Costed Budgets for Projects</w:t>
        </w:r>
      </w:hyperlink>
      <w:r w:rsidRPr="00A80E5B">
        <w:t xml:space="preserve">" have been added. These procedures provide guidance on how to budget direct and indirect costs including personnel and operating costs, as well services by UNDP offices to projects. They also provide a sample project budget template by activities and budget inputs and a sample timesheet template when estimating UNDP services to projects.  These updates are reflected in the following PPM chapters:  </w:t>
      </w:r>
    </w:p>
    <w:p w14:paraId="113467DB" w14:textId="77777777" w:rsidR="00A80E5B" w:rsidRPr="00A80E5B" w:rsidRDefault="00A80E5B" w:rsidP="00A80E5B">
      <w:pPr>
        <w:numPr>
          <w:ilvl w:val="0"/>
          <w:numId w:val="5"/>
        </w:numPr>
      </w:pPr>
      <w:hyperlink r:id="rId14">
        <w:r w:rsidRPr="00A80E5B">
          <w:rPr>
            <w:rStyle w:val="Hyperlink"/>
          </w:rPr>
          <w:t>Formulate Programmes and Projects policy</w:t>
        </w:r>
      </w:hyperlink>
      <w:r w:rsidRPr="00A80E5B">
        <w:t xml:space="preserve"> (clauses 41-42, 47 and 49)</w:t>
      </w:r>
    </w:p>
    <w:p w14:paraId="2281010C" w14:textId="77777777" w:rsidR="00A80E5B" w:rsidRPr="00A80E5B" w:rsidRDefault="00A80E5B" w:rsidP="00A80E5B">
      <w:pPr>
        <w:numPr>
          <w:ilvl w:val="0"/>
          <w:numId w:val="5"/>
        </w:numPr>
      </w:pPr>
      <w:hyperlink r:id="rId15">
        <w:r w:rsidRPr="00A80E5B">
          <w:rPr>
            <w:rStyle w:val="Hyperlink"/>
          </w:rPr>
          <w:t>Formulate Development Projects procedures</w:t>
        </w:r>
      </w:hyperlink>
      <w:r w:rsidRPr="00A80E5B">
        <w:t xml:space="preserve"> (Step 3.2) </w:t>
      </w:r>
    </w:p>
    <w:p w14:paraId="4A11DD96" w14:textId="77777777" w:rsidR="00A80E5B" w:rsidRPr="00A80E5B" w:rsidRDefault="00A80E5B" w:rsidP="00A80E5B">
      <w:pPr>
        <w:numPr>
          <w:ilvl w:val="0"/>
          <w:numId w:val="5"/>
        </w:numPr>
      </w:pPr>
      <w:hyperlink r:id="rId16">
        <w:r w:rsidRPr="00A80E5B">
          <w:rPr>
            <w:rStyle w:val="Hyperlink"/>
          </w:rPr>
          <w:t>Formulate Development and Institutional Effectiveness Projects procedures</w:t>
        </w:r>
      </w:hyperlink>
      <w:r w:rsidRPr="00A80E5B">
        <w:t xml:space="preserve"> (Step 1.1) </w:t>
      </w:r>
    </w:p>
    <w:p w14:paraId="2A6E8E1F" w14:textId="77777777" w:rsidR="00A80E5B" w:rsidRPr="00A80E5B" w:rsidRDefault="00A80E5B" w:rsidP="00A80E5B">
      <w:pPr>
        <w:numPr>
          <w:ilvl w:val="0"/>
          <w:numId w:val="5"/>
        </w:numPr>
      </w:pPr>
      <w:hyperlink r:id="rId17">
        <w:r w:rsidRPr="00A80E5B">
          <w:rPr>
            <w:rStyle w:val="Hyperlink"/>
          </w:rPr>
          <w:t>Engagement Facility procedures</w:t>
        </w:r>
      </w:hyperlink>
      <w:r w:rsidRPr="00A80E5B">
        <w:t xml:space="preserve">  (Step 3.1) </w:t>
      </w:r>
    </w:p>
    <w:p w14:paraId="6E4F11CD" w14:textId="77777777" w:rsidR="00A80E5B" w:rsidRPr="00A80E5B" w:rsidRDefault="00A80E5B" w:rsidP="00A80E5B">
      <w:pPr>
        <w:numPr>
          <w:ilvl w:val="0"/>
          <w:numId w:val="5"/>
        </w:numPr>
      </w:pPr>
      <w:hyperlink r:id="rId18">
        <w:r w:rsidRPr="00A80E5B">
          <w:rPr>
            <w:rStyle w:val="Hyperlink"/>
          </w:rPr>
          <w:t>Multi-Country and South-South Projects procedures</w:t>
        </w:r>
      </w:hyperlink>
      <w:r w:rsidRPr="00A80E5B">
        <w:t xml:space="preserve"> (Step 3.1) </w:t>
      </w:r>
    </w:p>
    <w:p w14:paraId="6A6ADDCE" w14:textId="77777777" w:rsidR="00A80E5B" w:rsidRPr="00A80E5B" w:rsidRDefault="00A80E5B" w:rsidP="00A80E5B">
      <w:r w:rsidRPr="00A80E5B">
        <w:t>Budgeting and costing requirements of the specific funding partners (EU, GEF and Global Fund) are also available  under a hyperlink in the above procedures:</w:t>
      </w:r>
    </w:p>
    <w:p w14:paraId="20CC1D40" w14:textId="77777777" w:rsidR="00A80E5B" w:rsidRPr="00A80E5B" w:rsidRDefault="00A80E5B" w:rsidP="00A80E5B">
      <w:pPr>
        <w:numPr>
          <w:ilvl w:val="0"/>
          <w:numId w:val="1"/>
        </w:numPr>
      </w:pPr>
      <w:hyperlink r:id="rId19">
        <w:r w:rsidRPr="00A80E5B">
          <w:rPr>
            <w:rStyle w:val="Hyperlink"/>
          </w:rPr>
          <w:t>European Union (EU)</w:t>
        </w:r>
      </w:hyperlink>
    </w:p>
    <w:p w14:paraId="518AEBED" w14:textId="77777777" w:rsidR="00A80E5B" w:rsidRPr="00A80E5B" w:rsidRDefault="00A80E5B" w:rsidP="00A80E5B">
      <w:pPr>
        <w:numPr>
          <w:ilvl w:val="0"/>
          <w:numId w:val="1"/>
        </w:numPr>
      </w:pPr>
      <w:hyperlink r:id="rId20">
        <w:r w:rsidRPr="00A80E5B">
          <w:rPr>
            <w:rStyle w:val="Hyperlink"/>
          </w:rPr>
          <w:t>GEF funded</w:t>
        </w:r>
      </w:hyperlink>
    </w:p>
    <w:p w14:paraId="5989CE78" w14:textId="77777777" w:rsidR="00A80E5B" w:rsidRPr="00A80E5B" w:rsidRDefault="00A80E5B" w:rsidP="00A80E5B">
      <w:pPr>
        <w:numPr>
          <w:ilvl w:val="0"/>
          <w:numId w:val="1"/>
        </w:numPr>
      </w:pPr>
      <w:hyperlink r:id="rId21">
        <w:r w:rsidRPr="00A80E5B">
          <w:rPr>
            <w:rStyle w:val="Hyperlink"/>
          </w:rPr>
          <w:t>Global Fund (GF)</w:t>
        </w:r>
      </w:hyperlink>
    </w:p>
    <w:p w14:paraId="16C2B69A" w14:textId="77777777" w:rsidR="00A80E5B" w:rsidRPr="00A80E5B" w:rsidRDefault="00A80E5B" w:rsidP="00A80E5B"/>
    <w:p w14:paraId="46E3DFBA" w14:textId="77777777" w:rsidR="00A80E5B" w:rsidRPr="00A80E5B" w:rsidRDefault="00A80E5B" w:rsidP="00A80E5B">
      <w:r w:rsidRPr="00A80E5B">
        <w:rPr>
          <w:b/>
          <w:bCs/>
        </w:rPr>
        <w:t xml:space="preserve">       Direct Project Costing</w:t>
      </w:r>
    </w:p>
    <w:p w14:paraId="2F0ABBBD" w14:textId="77777777" w:rsidR="00A80E5B" w:rsidRPr="00A80E5B" w:rsidRDefault="00A80E5B" w:rsidP="00A80E5B">
      <w:pPr>
        <w:numPr>
          <w:ilvl w:val="0"/>
          <w:numId w:val="2"/>
        </w:numPr>
      </w:pPr>
      <w:r w:rsidRPr="00A80E5B">
        <w:t xml:space="preserve"> </w:t>
      </w:r>
      <w:hyperlink r:id="rId22">
        <w:r w:rsidRPr="00A80E5B">
          <w:rPr>
            <w:rStyle w:val="Hyperlink"/>
          </w:rPr>
          <w:t>Planning and Paying for Delivery Enabling Services to Projects</w:t>
        </w:r>
      </w:hyperlink>
    </w:p>
    <w:p w14:paraId="49D0FAFB" w14:textId="77777777" w:rsidR="00A80E5B" w:rsidRPr="00A80E5B" w:rsidRDefault="00A80E5B" w:rsidP="00A80E5B">
      <w:pPr>
        <w:numPr>
          <w:ilvl w:val="0"/>
          <w:numId w:val="2"/>
        </w:numPr>
      </w:pPr>
      <w:r w:rsidRPr="00A80E5B">
        <w:t xml:space="preserve"> </w:t>
      </w:r>
      <w:hyperlink r:id="rId23">
        <w:r w:rsidRPr="00A80E5B">
          <w:rPr>
            <w:rStyle w:val="Hyperlink"/>
          </w:rPr>
          <w:t>Multiple Funding Lines for Positions</w:t>
        </w:r>
      </w:hyperlink>
    </w:p>
    <w:p w14:paraId="7139474C" w14:textId="77777777" w:rsidR="00A80E5B" w:rsidRPr="00A80E5B" w:rsidRDefault="00A80E5B" w:rsidP="00A80E5B">
      <w:pPr>
        <w:numPr>
          <w:ilvl w:val="0"/>
          <w:numId w:val="2"/>
        </w:numPr>
      </w:pPr>
      <w:r w:rsidRPr="00A80E5B">
        <w:t xml:space="preserve"> </w:t>
      </w:r>
      <w:hyperlink r:id="rId24">
        <w:r w:rsidRPr="00A80E5B">
          <w:rPr>
            <w:rStyle w:val="Hyperlink"/>
          </w:rPr>
          <w:t>Use of UPL and LPL</w:t>
        </w:r>
      </w:hyperlink>
    </w:p>
    <w:p w14:paraId="3D711FD4" w14:textId="77777777" w:rsidR="00A80E5B" w:rsidRPr="00A80E5B" w:rsidRDefault="00A80E5B" w:rsidP="00A80E5B">
      <w:r w:rsidRPr="00A80E5B">
        <w:rPr>
          <w:lang w:val="en-US"/>
        </w:rPr>
        <w:t xml:space="preserve">Direct Project Costs (DPC) (or as re-defined as delivery enabling services) are organizational costs incurred in the implementation of a development activity or service that can be directly traced and attributed in full to that development activity (projects &amp; </w:t>
      </w:r>
      <w:proofErr w:type="spellStart"/>
      <w:r w:rsidRPr="00A80E5B">
        <w:rPr>
          <w:lang w:val="en-US"/>
        </w:rPr>
        <w:t>programmes</w:t>
      </w:r>
      <w:proofErr w:type="spellEnd"/>
      <w:r w:rsidRPr="00A80E5B">
        <w:rPr>
          <w:lang w:val="en-US"/>
        </w:rPr>
        <w:t xml:space="preserve">) or service. </w:t>
      </w:r>
      <w:r w:rsidRPr="00A80E5B">
        <w:rPr>
          <w:lang w:val="en-US"/>
        </w:rPr>
        <w:lastRenderedPageBreak/>
        <w:t>Therefore, these costs are included in the project budgets and charged directly to the projects budget for the development activity and/or service.</w:t>
      </w:r>
    </w:p>
    <w:p w14:paraId="37DECD2D" w14:textId="77777777" w:rsidR="00A80E5B" w:rsidRPr="00A80E5B" w:rsidRDefault="00A80E5B" w:rsidP="00A80E5B">
      <w:r w:rsidRPr="00A80E5B">
        <w:rPr>
          <w:lang w:val="en-US"/>
        </w:rPr>
        <w:t xml:space="preserve">The primary objective of POPP update is to reflect in the appropriate projects budget the true direct costs of achieving the development results and objectives funded from regular (core) and other (non-core) </w:t>
      </w:r>
      <w:proofErr w:type="spellStart"/>
      <w:r w:rsidRPr="00A80E5B">
        <w:rPr>
          <w:lang w:val="en-US"/>
        </w:rPr>
        <w:t>programme</w:t>
      </w:r>
      <w:proofErr w:type="spellEnd"/>
      <w:r w:rsidRPr="00A80E5B">
        <w:rPr>
          <w:lang w:val="en-US"/>
        </w:rPr>
        <w:t xml:space="preserve"> resources.  </w:t>
      </w:r>
    </w:p>
    <w:p w14:paraId="797203EC" w14:textId="77777777" w:rsidR="00A80E5B" w:rsidRPr="00A80E5B" w:rsidRDefault="00A80E5B" w:rsidP="00A80E5B">
      <w:pPr>
        <w:rPr>
          <w:lang w:val="en-US"/>
        </w:rPr>
      </w:pPr>
      <w:r w:rsidRPr="00A80E5B">
        <w:rPr>
          <w:lang w:val="en-US"/>
        </w:rPr>
        <w:t xml:space="preserve">There are </w:t>
      </w:r>
      <w:r w:rsidRPr="00A80E5B">
        <w:rPr>
          <w:b/>
          <w:bCs/>
          <w:lang w:val="en-US"/>
        </w:rPr>
        <w:t>two</w:t>
      </w:r>
      <w:r w:rsidRPr="00A80E5B">
        <w:rPr>
          <w:lang w:val="en-US"/>
        </w:rPr>
        <w:t xml:space="preserve"> main options for implementing Direct Project Costing at the country office level. The flexibility to determine which option to use rests with the respective country office. </w:t>
      </w:r>
    </w:p>
    <w:p w14:paraId="260D6700" w14:textId="4289FC4F" w:rsidR="00A80E5B" w:rsidRPr="00A80E5B" w:rsidRDefault="00A80E5B" w:rsidP="00A80E5B">
      <w:pPr>
        <w:rPr>
          <w:lang w:val="en-US"/>
        </w:rPr>
      </w:pPr>
      <w:r w:rsidRPr="00A80E5B">
        <w:rPr>
          <w:b/>
          <w:lang w:val="en-US"/>
        </w:rPr>
        <w:t>Option 1 - Application of the CO workload study results, combined with multiple funding lines for posts:</w:t>
      </w:r>
      <w:r w:rsidRPr="00A80E5B">
        <w:rPr>
          <w:lang w:val="en-US"/>
        </w:rPr>
        <w:t xml:space="preserve"> This is the preferred modality as there is a minimal transactional burden on the </w:t>
      </w:r>
      <w:proofErr w:type="spellStart"/>
      <w:r w:rsidRPr="00A80E5B">
        <w:rPr>
          <w:lang w:val="en-US"/>
        </w:rPr>
        <w:t>COs.</w:t>
      </w:r>
      <w:proofErr w:type="spellEnd"/>
      <w:r w:rsidRPr="00A80E5B">
        <w:rPr>
          <w:lang w:val="en-US"/>
        </w:rPr>
        <w:t xml:space="preserve"> By using the multiple funding lines for posts, most of the costs are attributed up front in the Quantum HR module and the payroll charges are posted directly to the defined COAs without the requirement to perform ‘ex-post-facto’ Zero-dollar </w:t>
      </w:r>
      <w:r w:rsidRPr="00A80E5B">
        <w:rPr>
          <w:lang w:val="en-US"/>
        </w:rPr>
        <w:t>invoice adjustments</w:t>
      </w:r>
      <w:r w:rsidRPr="00A80E5B">
        <w:rPr>
          <w:lang w:val="en-US"/>
        </w:rPr>
        <w:t>.</w:t>
      </w:r>
    </w:p>
    <w:p w14:paraId="6B3544FD" w14:textId="77777777" w:rsidR="00A80E5B" w:rsidRPr="00A80E5B" w:rsidRDefault="00A80E5B" w:rsidP="00A80E5B">
      <w:pPr>
        <w:rPr>
          <w:lang w:val="en-US"/>
        </w:rPr>
      </w:pPr>
      <w:r w:rsidRPr="00A80E5B">
        <w:rPr>
          <w:b/>
          <w:lang w:val="en-US"/>
        </w:rPr>
        <w:t>Option 2 - Application of the Universal Price Lists (UPL) or Local Price List (LPL) for transactional costs recovery:</w:t>
      </w:r>
      <w:r w:rsidRPr="00A80E5B">
        <w:rPr>
          <w:lang w:val="en-US"/>
        </w:rPr>
        <w:t xml:space="preserve"> This option may be preferred for operations support, where staff are more likely to provide support to the full range of country office projects (as opposed to </w:t>
      </w:r>
      <w:proofErr w:type="spellStart"/>
      <w:r w:rsidRPr="00A80E5B">
        <w:rPr>
          <w:lang w:val="en-US"/>
        </w:rPr>
        <w:t>programme</w:t>
      </w:r>
      <w:proofErr w:type="spellEnd"/>
      <w:r w:rsidRPr="00A80E5B">
        <w:rPr>
          <w:lang w:val="en-US"/>
        </w:rPr>
        <w:t xml:space="preserve"> staff who typically support a narrower portfolio of limited projects).    </w:t>
      </w:r>
    </w:p>
    <w:p w14:paraId="75A47D84" w14:textId="77777777" w:rsidR="00A80E5B" w:rsidRPr="00A80E5B" w:rsidRDefault="00A80E5B" w:rsidP="00A80E5B">
      <w:pPr>
        <w:rPr>
          <w:lang w:val="en-US"/>
        </w:rPr>
      </w:pPr>
      <w:r w:rsidRPr="00A80E5B">
        <w:rPr>
          <w:lang w:val="en-US"/>
        </w:rPr>
        <w:t xml:space="preserve">The use of multi-COA position or UPL/LPL based charges via Zero-dollar invoices are the preferred methods for direct services. </w:t>
      </w:r>
      <w:r w:rsidRPr="00A80E5B">
        <w:t xml:space="preserve">When the development project COA is </w:t>
      </w:r>
      <w:r w:rsidRPr="00A80E5B">
        <w:rPr>
          <w:b/>
          <w:bCs/>
        </w:rPr>
        <w:t>not</w:t>
      </w:r>
      <w:r w:rsidRPr="00A80E5B">
        <w:t xml:space="preserve"> available, the units can establish a delivery enabling service project (pre-financing) until information projects to be charged becomes available. Please refer to POPP </w:t>
      </w:r>
      <w:hyperlink r:id="rId25">
        <w:r w:rsidRPr="00A80E5B">
          <w:rPr>
            <w:rStyle w:val="Hyperlink"/>
          </w:rPr>
          <w:t xml:space="preserve">Planning and Paying for Delivery Enabling Services to Projects </w:t>
        </w:r>
      </w:hyperlink>
      <w:r w:rsidRPr="00A80E5B">
        <w:t>paragraphs 5-10.</w:t>
      </w:r>
    </w:p>
    <w:p w14:paraId="42702877" w14:textId="77777777" w:rsidR="00A80E5B" w:rsidRPr="00A80E5B" w:rsidRDefault="00A80E5B" w:rsidP="00A80E5B">
      <w:r w:rsidRPr="00A80E5B">
        <w:rPr>
          <w:b/>
          <w:bCs/>
        </w:rPr>
        <w:t xml:space="preserve">CO services to development projects - Account codes </w:t>
      </w:r>
    </w:p>
    <w:p w14:paraId="63CD2C47" w14:textId="77777777" w:rsidR="00A80E5B" w:rsidRPr="00A80E5B" w:rsidRDefault="00A80E5B" w:rsidP="00A80E5B"/>
    <w:p w14:paraId="512891D5" w14:textId="77777777" w:rsidR="00A80E5B" w:rsidRPr="00A80E5B" w:rsidRDefault="00A80E5B" w:rsidP="00A80E5B">
      <w:r w:rsidRPr="00A80E5B">
        <w:t xml:space="preserve">Please be noted it is </w:t>
      </w:r>
      <w:r w:rsidRPr="00A80E5B">
        <w:rPr>
          <w:u w:val="single"/>
        </w:rPr>
        <w:t>NOT</w:t>
      </w:r>
      <w:r w:rsidRPr="00A80E5B">
        <w:t xml:space="preserve"> necessary to reverse the direct project costs attributed through the option 1 (e.g. position multiple COA line through Quantum HCM position management). These costs will be posted </w:t>
      </w:r>
      <w:r w:rsidRPr="00A80E5B">
        <w:rPr>
          <w:u w:val="single"/>
        </w:rPr>
        <w:t>directly</w:t>
      </w:r>
      <w:r w:rsidRPr="00A80E5B">
        <w:t xml:space="preserve"> to various payroll expense accounts in 6 series. DPC implementation report (BMS/OFM) will include the DPC positions based on their position distribution (%). </w:t>
      </w:r>
    </w:p>
    <w:p w14:paraId="1C6F83C1" w14:textId="77777777" w:rsidR="00A80E5B" w:rsidRPr="00A80E5B" w:rsidRDefault="00A80E5B" w:rsidP="00A80E5B">
      <w:r w:rsidRPr="00A80E5B">
        <w:t xml:space="preserve">The following two new account codes effective 1 January 2017 are available: </w:t>
      </w:r>
    </w:p>
    <w:p w14:paraId="7D1E41C0" w14:textId="77777777" w:rsidR="00A80E5B" w:rsidRPr="00A80E5B" w:rsidRDefault="00A80E5B" w:rsidP="00A80E5B">
      <w:r w:rsidRPr="00A80E5B">
        <w:t xml:space="preserve">64397 – Services to Projects - CO Staff </w:t>
      </w:r>
    </w:p>
    <w:p w14:paraId="0CCD5D43" w14:textId="77777777" w:rsidR="00A80E5B" w:rsidRPr="00A80E5B" w:rsidRDefault="00A80E5B" w:rsidP="00A80E5B">
      <w:r w:rsidRPr="00A80E5B">
        <w:t>74596 – Services to Projects - GOE</w:t>
      </w:r>
    </w:p>
    <w:p w14:paraId="3D7F8637" w14:textId="77777777" w:rsidR="00A80E5B" w:rsidRPr="00A80E5B" w:rsidRDefault="00A80E5B" w:rsidP="00A80E5B"/>
    <w:p w14:paraId="604CD2A1" w14:textId="77777777" w:rsidR="00A80E5B" w:rsidRPr="00A80E5B" w:rsidRDefault="00A80E5B" w:rsidP="00A80E5B">
      <w:r w:rsidRPr="00A80E5B">
        <w:t xml:space="preserve">DPC account codes (64397 and 74596) are used to charge directly attributable costs incurred by the </w:t>
      </w:r>
      <w:r w:rsidRPr="00A80E5B">
        <w:rPr>
          <w:b/>
        </w:rPr>
        <w:t>country offices</w:t>
      </w:r>
      <w:r w:rsidRPr="00A80E5B">
        <w:t xml:space="preserve"> to the development projects for UPL/LPL services or reverse direct expenses to the projects when pre-financing had to be made:</w:t>
      </w:r>
    </w:p>
    <w:p w14:paraId="7E3964D8" w14:textId="77777777" w:rsidR="00A80E5B" w:rsidRPr="00A80E5B" w:rsidRDefault="00A80E5B" w:rsidP="00A80E5B">
      <w:pPr>
        <w:numPr>
          <w:ilvl w:val="0"/>
          <w:numId w:val="8"/>
        </w:numPr>
        <w:rPr>
          <w:b/>
        </w:rPr>
      </w:pPr>
      <w:r w:rsidRPr="00A80E5B">
        <w:t>UPL/LPL based services - use both accounts 64397 &amp; 74596;</w:t>
      </w:r>
    </w:p>
    <w:p w14:paraId="7ADEA40F" w14:textId="77777777" w:rsidR="00A80E5B" w:rsidRPr="00A80E5B" w:rsidRDefault="00A80E5B" w:rsidP="00A80E5B">
      <w:pPr>
        <w:numPr>
          <w:ilvl w:val="0"/>
          <w:numId w:val="8"/>
        </w:numPr>
      </w:pPr>
      <w:r w:rsidRPr="00A80E5B">
        <w:t xml:space="preserve">Eligible </w:t>
      </w:r>
      <w:r w:rsidRPr="00A80E5B">
        <w:rPr>
          <w:b/>
          <w:bCs/>
        </w:rPr>
        <w:t>staff</w:t>
      </w:r>
      <w:r w:rsidRPr="00A80E5B">
        <w:t xml:space="preserve"> costs from DPC pre-financing projects - use the account 64397;</w:t>
      </w:r>
    </w:p>
    <w:p w14:paraId="4A48BB60" w14:textId="77777777" w:rsidR="00A80E5B" w:rsidRPr="00A80E5B" w:rsidRDefault="00A80E5B" w:rsidP="00A80E5B">
      <w:pPr>
        <w:numPr>
          <w:ilvl w:val="0"/>
          <w:numId w:val="8"/>
        </w:numPr>
      </w:pPr>
      <w:r w:rsidRPr="00A80E5B">
        <w:lastRenderedPageBreak/>
        <w:t xml:space="preserve">Eligible </w:t>
      </w:r>
      <w:r w:rsidRPr="00A80E5B">
        <w:rPr>
          <w:b/>
          <w:bCs/>
        </w:rPr>
        <w:t>operational expenses</w:t>
      </w:r>
      <w:r w:rsidRPr="00A80E5B">
        <w:t xml:space="preserve"> from DPC pre-financing projects to development projects  - use the account 74596.</w:t>
      </w:r>
    </w:p>
    <w:p w14:paraId="63492951" w14:textId="77777777" w:rsidR="00A80E5B" w:rsidRPr="00A80E5B" w:rsidRDefault="00A80E5B" w:rsidP="00A80E5B">
      <w:r w:rsidRPr="00A80E5B">
        <w:t xml:space="preserve">When charging DPC under the Option 2 and a pre-financing, it is important to use the same DPC account on both sides of debit and credit entries of </w:t>
      </w:r>
      <w:r w:rsidRPr="00A80E5B">
        <w:rPr>
          <w:lang w:val="en-US"/>
        </w:rPr>
        <w:t xml:space="preserve">Zero-dollar invoices </w:t>
      </w:r>
      <w:r w:rsidRPr="00A80E5B">
        <w:t>and AP invoices. It is attribution of already-incurred expenses from a UNDP CO management project to the development projects, hence, the debit entries to the development project should also have to be with the same DPC accounts. (Note that it is a change from prior year practices! The offices used to charge UPL/LPL based services to various expense accounts of the development projects and credit it to a single income account in XB funds despite the fact that such charges are simply reversal of already-incurred expenses, not a new revenue!).</w:t>
      </w:r>
    </w:p>
    <w:p w14:paraId="08C2E14B" w14:textId="77777777" w:rsidR="00A80E5B" w:rsidRPr="00A80E5B" w:rsidRDefault="00A80E5B" w:rsidP="00A80E5B">
      <w:pPr>
        <w:rPr>
          <w:b/>
          <w:bCs/>
        </w:rPr>
      </w:pPr>
      <w:r w:rsidRPr="00A80E5B">
        <w:rPr>
          <w:b/>
          <w:bCs/>
        </w:rPr>
        <w:t xml:space="preserve">Accounting Entries for UPL/LPL services via </w:t>
      </w:r>
      <w:r w:rsidRPr="00A80E5B">
        <w:rPr>
          <w:lang w:val="en-US"/>
        </w:rPr>
        <w:t>Zero-dollar invoices</w:t>
      </w:r>
      <w:r w:rsidRPr="00A80E5B">
        <w:rPr>
          <w:b/>
          <w:bCs/>
        </w:rPr>
        <w:t xml:space="preserve"> and AP Invoice:</w:t>
      </w:r>
    </w:p>
    <w:p w14:paraId="3749BE0F" w14:textId="77777777" w:rsidR="00A80E5B" w:rsidRPr="00A80E5B" w:rsidRDefault="00A80E5B" w:rsidP="00A80E5B">
      <w:r w:rsidRPr="00A80E5B">
        <w:t xml:space="preserve"> For example, LPL for a visa processing fee is $100, it has two cost components: a) staff costs (70%); b) GOE (30%). $70 is charged to COA of the development project and credited to the management project with the account code “Direct Project Costs – Staff- 64397 on BOTH debit and credit entries. Similarly, $30, the GOE portion is posted with the account code “Direct project Costs –GOE – 74596” BOTH on debit and credit entries of journal.  </w:t>
      </w:r>
    </w:p>
    <w:p w14:paraId="230D07B0" w14:textId="77777777" w:rsidR="00A80E5B" w:rsidRPr="00A80E5B" w:rsidRDefault="00A80E5B" w:rsidP="00A80E5B">
      <w:r w:rsidRPr="00A80E5B">
        <w:rPr>
          <w:lang w:val="en-US"/>
        </w:rPr>
        <w:t>Zero-dollar invoices</w:t>
      </w:r>
      <w:r w:rsidRPr="00A80E5B">
        <w:t xml:space="preserve"> shall have the following entries: </w:t>
      </w:r>
    </w:p>
    <w:tbl>
      <w:tblPr>
        <w:tblW w:w="8939" w:type="dxa"/>
        <w:tblCellMar>
          <w:left w:w="0" w:type="dxa"/>
          <w:right w:w="0" w:type="dxa"/>
        </w:tblCellMar>
        <w:tblLook w:val="04A0" w:firstRow="1" w:lastRow="0" w:firstColumn="1" w:lastColumn="0" w:noHBand="0" w:noVBand="1"/>
      </w:tblPr>
      <w:tblGrid>
        <w:gridCol w:w="1721"/>
        <w:gridCol w:w="1682"/>
        <w:gridCol w:w="1162"/>
        <w:gridCol w:w="2390"/>
        <w:gridCol w:w="1984"/>
      </w:tblGrid>
      <w:tr w:rsidR="00A80E5B" w:rsidRPr="00A80E5B" w14:paraId="6822DF63" w14:textId="77777777" w:rsidTr="00DA5D39">
        <w:trPr>
          <w:trHeight w:val="144"/>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CB44B" w14:textId="77777777" w:rsidR="00A80E5B" w:rsidRPr="00A80E5B" w:rsidRDefault="00A80E5B" w:rsidP="00A80E5B">
            <w:r w:rsidRPr="00A80E5B">
              <w:t>Debit (Credit) amount</w:t>
            </w:r>
          </w:p>
        </w:tc>
        <w:tc>
          <w:tcPr>
            <w:tcW w:w="1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D746B" w14:textId="77777777" w:rsidR="00A80E5B" w:rsidRPr="00A80E5B" w:rsidRDefault="00A80E5B" w:rsidP="00A80E5B">
            <w:r w:rsidRPr="00A80E5B">
              <w:t>Distribution of UPL/LPL</w:t>
            </w:r>
          </w:p>
          <w:p w14:paraId="78F7F82C" w14:textId="77777777" w:rsidR="00A80E5B" w:rsidRPr="00A80E5B" w:rsidRDefault="00A80E5B" w:rsidP="00A80E5B">
            <w:r w:rsidRPr="00A80E5B">
              <w:t>(%)</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89EE0" w14:textId="77777777" w:rsidR="00A80E5B" w:rsidRPr="00A80E5B" w:rsidRDefault="00A80E5B" w:rsidP="00A80E5B">
            <w:r w:rsidRPr="00A80E5B">
              <w:t>Expense</w:t>
            </w:r>
          </w:p>
          <w:p w14:paraId="6BF3F0FB" w14:textId="77777777" w:rsidR="00A80E5B" w:rsidRPr="00A80E5B" w:rsidRDefault="00A80E5B" w:rsidP="00A80E5B">
            <w:r w:rsidRPr="00A80E5B">
              <w:t>Account Code</w:t>
            </w:r>
          </w:p>
        </w:tc>
        <w:tc>
          <w:tcPr>
            <w:tcW w:w="2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0C5D2" w14:textId="77777777" w:rsidR="00A80E5B" w:rsidRPr="00A80E5B" w:rsidRDefault="00A80E5B" w:rsidP="00A80E5B">
            <w:r w:rsidRPr="00A80E5B">
              <w:t>Fund</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61CDD9" w14:textId="77777777" w:rsidR="00A80E5B" w:rsidRPr="00A80E5B" w:rsidRDefault="00A80E5B" w:rsidP="00A80E5B">
            <w:r w:rsidRPr="00A80E5B">
              <w:t>Project</w:t>
            </w:r>
          </w:p>
        </w:tc>
      </w:tr>
      <w:tr w:rsidR="00A80E5B" w:rsidRPr="00A80E5B" w14:paraId="367191D8" w14:textId="77777777" w:rsidTr="00DA5D39">
        <w:trPr>
          <w:trHeight w:val="14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0C5D7" w14:textId="77777777" w:rsidR="00A80E5B" w:rsidRPr="00A80E5B" w:rsidRDefault="00A80E5B" w:rsidP="00A80E5B">
            <w:r w:rsidRPr="00A80E5B">
              <w:t>$70 -  Debit</w:t>
            </w:r>
          </w:p>
        </w:tc>
        <w:tc>
          <w:tcPr>
            <w:tcW w:w="1682" w:type="dxa"/>
            <w:tcBorders>
              <w:top w:val="nil"/>
              <w:left w:val="nil"/>
              <w:bottom w:val="single" w:sz="8" w:space="0" w:color="auto"/>
              <w:right w:val="single" w:sz="8" w:space="0" w:color="auto"/>
            </w:tcBorders>
            <w:tcMar>
              <w:top w:w="0" w:type="dxa"/>
              <w:left w:w="108" w:type="dxa"/>
              <w:bottom w:w="0" w:type="dxa"/>
              <w:right w:w="108" w:type="dxa"/>
            </w:tcMar>
            <w:hideMark/>
          </w:tcPr>
          <w:p w14:paraId="761279A8" w14:textId="77777777" w:rsidR="00A80E5B" w:rsidRPr="00A80E5B" w:rsidRDefault="00A80E5B" w:rsidP="00A80E5B">
            <w:r w:rsidRPr="00A80E5B">
              <w:t xml:space="preserve">70% of total bill </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3DD216D8" w14:textId="77777777" w:rsidR="00A80E5B" w:rsidRPr="00A80E5B" w:rsidRDefault="00A80E5B" w:rsidP="00A80E5B">
            <w:r w:rsidRPr="00A80E5B">
              <w:t>64397 – DPC staff cost</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3FC33D34" w14:textId="77777777" w:rsidR="00A80E5B" w:rsidRPr="00A80E5B" w:rsidRDefault="00A80E5B" w:rsidP="00A80E5B">
            <w:r w:rsidRPr="00A80E5B">
              <w:t>Prog. Funds as per Project COA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0FBA79" w14:textId="77777777" w:rsidR="00A80E5B" w:rsidRPr="00A80E5B" w:rsidRDefault="00A80E5B" w:rsidP="00A80E5B">
            <w:r w:rsidRPr="00A80E5B">
              <w:t>Prog. projects</w:t>
            </w:r>
          </w:p>
        </w:tc>
      </w:tr>
      <w:tr w:rsidR="00A80E5B" w:rsidRPr="00A80E5B" w14:paraId="4E08FD4A" w14:textId="77777777" w:rsidTr="00DA5D39">
        <w:trPr>
          <w:trHeight w:val="94"/>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4D5CC" w14:textId="77777777" w:rsidR="00A80E5B" w:rsidRPr="00A80E5B" w:rsidRDefault="00A80E5B" w:rsidP="00A80E5B">
            <w:r w:rsidRPr="00A80E5B">
              <w:t>($70) - Credit</w:t>
            </w:r>
          </w:p>
        </w:tc>
        <w:tc>
          <w:tcPr>
            <w:tcW w:w="1682" w:type="dxa"/>
            <w:tcBorders>
              <w:top w:val="nil"/>
              <w:left w:val="nil"/>
              <w:bottom w:val="single" w:sz="8" w:space="0" w:color="auto"/>
              <w:right w:val="single" w:sz="8" w:space="0" w:color="auto"/>
            </w:tcBorders>
            <w:tcMar>
              <w:top w:w="0" w:type="dxa"/>
              <w:left w:w="108" w:type="dxa"/>
              <w:bottom w:w="0" w:type="dxa"/>
              <w:right w:w="108" w:type="dxa"/>
            </w:tcMar>
            <w:hideMark/>
          </w:tcPr>
          <w:p w14:paraId="74BAD423" w14:textId="77777777" w:rsidR="00A80E5B" w:rsidRPr="00A80E5B" w:rsidRDefault="00A80E5B" w:rsidP="00A80E5B">
            <w:r w:rsidRPr="00A80E5B">
              <w:t>70% of total bill</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3E694B89" w14:textId="77777777" w:rsidR="00A80E5B" w:rsidRPr="00A80E5B" w:rsidRDefault="00A80E5B" w:rsidP="00A80E5B">
            <w:r w:rsidRPr="00A80E5B">
              <w:t>64397 –DPC staff cost</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68839451" w14:textId="77777777" w:rsidR="00A80E5B" w:rsidRPr="00A80E5B" w:rsidRDefault="00A80E5B" w:rsidP="00A80E5B">
            <w:proofErr w:type="spellStart"/>
            <w:r w:rsidRPr="00A80E5B">
              <w:t>Mgmt</w:t>
            </w:r>
            <w:proofErr w:type="spellEnd"/>
            <w:r w:rsidRPr="00A80E5B">
              <w:t>  (core or XB) funds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ADDE78E" w14:textId="77777777" w:rsidR="00A80E5B" w:rsidRPr="00A80E5B" w:rsidRDefault="00A80E5B" w:rsidP="00A80E5B">
            <w:proofErr w:type="spellStart"/>
            <w:r w:rsidRPr="00A80E5B">
              <w:t>Mgmt</w:t>
            </w:r>
            <w:proofErr w:type="spellEnd"/>
            <w:r w:rsidRPr="00A80E5B">
              <w:t xml:space="preserve"> projects</w:t>
            </w:r>
          </w:p>
        </w:tc>
      </w:tr>
      <w:tr w:rsidR="00A80E5B" w:rsidRPr="00A80E5B" w14:paraId="570F2FB0" w14:textId="77777777" w:rsidTr="00DA5D39">
        <w:trPr>
          <w:trHeight w:val="34"/>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9DD65" w14:textId="77777777" w:rsidR="00A80E5B" w:rsidRPr="00A80E5B" w:rsidRDefault="00A80E5B" w:rsidP="00A80E5B">
            <w:r w:rsidRPr="00A80E5B">
              <w:t>$30 -  Debit</w:t>
            </w:r>
          </w:p>
        </w:tc>
        <w:tc>
          <w:tcPr>
            <w:tcW w:w="1682" w:type="dxa"/>
            <w:tcBorders>
              <w:top w:val="nil"/>
              <w:left w:val="nil"/>
              <w:bottom w:val="single" w:sz="8" w:space="0" w:color="auto"/>
              <w:right w:val="single" w:sz="8" w:space="0" w:color="auto"/>
            </w:tcBorders>
            <w:tcMar>
              <w:top w:w="0" w:type="dxa"/>
              <w:left w:w="108" w:type="dxa"/>
              <w:bottom w:w="0" w:type="dxa"/>
              <w:right w:w="108" w:type="dxa"/>
            </w:tcMar>
          </w:tcPr>
          <w:p w14:paraId="2BDF398B" w14:textId="77777777" w:rsidR="00A80E5B" w:rsidRPr="00A80E5B" w:rsidRDefault="00A80E5B" w:rsidP="00A80E5B">
            <w:r w:rsidRPr="00A80E5B">
              <w:t>30% of total bill</w:t>
            </w:r>
          </w:p>
        </w:tc>
        <w:tc>
          <w:tcPr>
            <w:tcW w:w="1162" w:type="dxa"/>
            <w:tcBorders>
              <w:top w:val="nil"/>
              <w:left w:val="nil"/>
              <w:bottom w:val="single" w:sz="8" w:space="0" w:color="auto"/>
              <w:right w:val="single" w:sz="8" w:space="0" w:color="auto"/>
            </w:tcBorders>
            <w:tcMar>
              <w:top w:w="0" w:type="dxa"/>
              <w:left w:w="108" w:type="dxa"/>
              <w:bottom w:w="0" w:type="dxa"/>
              <w:right w:w="108" w:type="dxa"/>
            </w:tcMar>
          </w:tcPr>
          <w:p w14:paraId="2DAF58C6" w14:textId="77777777" w:rsidR="00A80E5B" w:rsidRPr="00A80E5B" w:rsidRDefault="00A80E5B" w:rsidP="00A80E5B">
            <w:r w:rsidRPr="00A80E5B">
              <w:t>74596 – DPC GOE</w:t>
            </w:r>
          </w:p>
        </w:tc>
        <w:tc>
          <w:tcPr>
            <w:tcW w:w="2390" w:type="dxa"/>
            <w:tcBorders>
              <w:top w:val="nil"/>
              <w:left w:val="nil"/>
              <w:bottom w:val="single" w:sz="8" w:space="0" w:color="auto"/>
              <w:right w:val="single" w:sz="8" w:space="0" w:color="auto"/>
            </w:tcBorders>
            <w:tcMar>
              <w:top w:w="0" w:type="dxa"/>
              <w:left w:w="108" w:type="dxa"/>
              <w:bottom w:w="0" w:type="dxa"/>
              <w:right w:w="108" w:type="dxa"/>
            </w:tcMar>
          </w:tcPr>
          <w:p w14:paraId="3AED5E26" w14:textId="77777777" w:rsidR="00A80E5B" w:rsidRPr="00A80E5B" w:rsidRDefault="00A80E5B" w:rsidP="00A80E5B">
            <w:r w:rsidRPr="00A80E5B">
              <w:t>Prog. Funds as per Project COA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F41B6D0" w14:textId="77777777" w:rsidR="00A80E5B" w:rsidRPr="00A80E5B" w:rsidRDefault="00A80E5B" w:rsidP="00A80E5B">
            <w:r w:rsidRPr="00A80E5B">
              <w:t>Prog. projects</w:t>
            </w:r>
          </w:p>
        </w:tc>
      </w:tr>
      <w:tr w:rsidR="00A80E5B" w:rsidRPr="00A80E5B" w14:paraId="3C74E09A" w14:textId="77777777" w:rsidTr="00DA5D39">
        <w:trPr>
          <w:trHeight w:val="34"/>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562E1" w14:textId="77777777" w:rsidR="00A80E5B" w:rsidRPr="00A80E5B" w:rsidRDefault="00A80E5B" w:rsidP="00A80E5B">
            <w:r w:rsidRPr="00A80E5B">
              <w:t>($30)  - Credit</w:t>
            </w:r>
          </w:p>
        </w:tc>
        <w:tc>
          <w:tcPr>
            <w:tcW w:w="1682" w:type="dxa"/>
            <w:tcBorders>
              <w:top w:val="nil"/>
              <w:left w:val="nil"/>
              <w:bottom w:val="single" w:sz="8" w:space="0" w:color="auto"/>
              <w:right w:val="single" w:sz="8" w:space="0" w:color="auto"/>
            </w:tcBorders>
            <w:tcMar>
              <w:top w:w="0" w:type="dxa"/>
              <w:left w:w="108" w:type="dxa"/>
              <w:bottom w:w="0" w:type="dxa"/>
              <w:right w:w="108" w:type="dxa"/>
            </w:tcMar>
            <w:hideMark/>
          </w:tcPr>
          <w:p w14:paraId="6FCF39D0" w14:textId="77777777" w:rsidR="00A80E5B" w:rsidRPr="00A80E5B" w:rsidRDefault="00A80E5B" w:rsidP="00A80E5B">
            <w:r w:rsidRPr="00A80E5B">
              <w:t>30% of total bill</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7BE9C5F0" w14:textId="77777777" w:rsidR="00A80E5B" w:rsidRPr="00A80E5B" w:rsidRDefault="00A80E5B" w:rsidP="00A80E5B">
            <w:r w:rsidRPr="00A80E5B">
              <w:t>74596 – DPC GOE</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525B7F3F" w14:textId="77777777" w:rsidR="00A80E5B" w:rsidRPr="00A80E5B" w:rsidRDefault="00A80E5B" w:rsidP="00A80E5B">
            <w:proofErr w:type="spellStart"/>
            <w:r w:rsidRPr="00A80E5B">
              <w:t>Mgmt</w:t>
            </w:r>
            <w:proofErr w:type="spellEnd"/>
            <w:r w:rsidRPr="00A80E5B">
              <w:t>  (core or XB) funds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B2D85DB" w14:textId="77777777" w:rsidR="00A80E5B" w:rsidRPr="00A80E5B" w:rsidRDefault="00A80E5B" w:rsidP="00A80E5B">
            <w:proofErr w:type="spellStart"/>
            <w:r w:rsidRPr="00A80E5B">
              <w:t>Mgmt</w:t>
            </w:r>
            <w:proofErr w:type="spellEnd"/>
            <w:r w:rsidRPr="00A80E5B">
              <w:t xml:space="preserve"> projects</w:t>
            </w:r>
          </w:p>
        </w:tc>
      </w:tr>
    </w:tbl>
    <w:p w14:paraId="6AD936B4" w14:textId="77777777" w:rsidR="00A80E5B" w:rsidRPr="00A80E5B" w:rsidRDefault="00A80E5B" w:rsidP="00A80E5B"/>
    <w:p w14:paraId="2A149187" w14:textId="77777777" w:rsidR="00A80E5B" w:rsidRPr="00A80E5B" w:rsidRDefault="00A80E5B" w:rsidP="00A80E5B">
      <w:proofErr w:type="spellStart"/>
      <w:r w:rsidRPr="00A80E5B">
        <w:t>APinvoices</w:t>
      </w:r>
      <w:proofErr w:type="spellEnd"/>
      <w:r w:rsidRPr="00A80E5B">
        <w:t>: If an office recovers a DPC (for example, a visa fee) based on UPL/LPL at the time of processing travel allowance, an AP Invoice shall have 4 additional lines in addition to the travel allowance payable to the vendor:</w:t>
      </w:r>
    </w:p>
    <w:tbl>
      <w:tblPr>
        <w:tblW w:w="9098" w:type="dxa"/>
        <w:tblCellMar>
          <w:left w:w="0" w:type="dxa"/>
          <w:right w:w="0" w:type="dxa"/>
        </w:tblCellMar>
        <w:tblLook w:val="04A0" w:firstRow="1" w:lastRow="0" w:firstColumn="1" w:lastColumn="0" w:noHBand="0" w:noVBand="1"/>
      </w:tblPr>
      <w:tblGrid>
        <w:gridCol w:w="1751"/>
        <w:gridCol w:w="1327"/>
        <w:gridCol w:w="1568"/>
        <w:gridCol w:w="2432"/>
        <w:gridCol w:w="2020"/>
      </w:tblGrid>
      <w:tr w:rsidR="00A80E5B" w:rsidRPr="00A80E5B" w14:paraId="5245850D" w14:textId="77777777" w:rsidTr="00DA5D39">
        <w:trPr>
          <w:trHeight w:val="132"/>
        </w:trPr>
        <w:tc>
          <w:tcPr>
            <w:tcW w:w="1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F9E83" w14:textId="77777777" w:rsidR="00A80E5B" w:rsidRPr="00A80E5B" w:rsidRDefault="00A80E5B" w:rsidP="00A80E5B">
            <w:r w:rsidRPr="00A80E5B">
              <w:lastRenderedPageBreak/>
              <w:t>Debit (Credit) amount</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1109D1" w14:textId="77777777" w:rsidR="00A80E5B" w:rsidRPr="00A80E5B" w:rsidRDefault="00A80E5B" w:rsidP="00A80E5B">
            <w:r w:rsidRPr="00A80E5B">
              <w:t>Distribution of UPL/LPL</w:t>
            </w:r>
          </w:p>
          <w:p w14:paraId="22B26514" w14:textId="77777777" w:rsidR="00A80E5B" w:rsidRPr="00A80E5B" w:rsidRDefault="00A80E5B" w:rsidP="00A80E5B">
            <w:r w:rsidRPr="00A80E5B">
              <w:t>(%)</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DC750D" w14:textId="77777777" w:rsidR="00A80E5B" w:rsidRPr="00A80E5B" w:rsidRDefault="00A80E5B" w:rsidP="00A80E5B">
            <w:r w:rsidRPr="00A80E5B">
              <w:t>Expense</w:t>
            </w:r>
          </w:p>
          <w:p w14:paraId="148343D3" w14:textId="77777777" w:rsidR="00A80E5B" w:rsidRPr="00A80E5B" w:rsidRDefault="00A80E5B" w:rsidP="00A80E5B">
            <w:r w:rsidRPr="00A80E5B">
              <w:t>Account Code</w:t>
            </w:r>
          </w:p>
        </w:tc>
        <w:tc>
          <w:tcPr>
            <w:tcW w:w="2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DAFCD" w14:textId="77777777" w:rsidR="00A80E5B" w:rsidRPr="00A80E5B" w:rsidRDefault="00A80E5B" w:rsidP="00A80E5B">
            <w:r w:rsidRPr="00A80E5B">
              <w:t>Fund</w:t>
            </w:r>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DDFD27" w14:textId="77777777" w:rsidR="00A80E5B" w:rsidRPr="00A80E5B" w:rsidRDefault="00A80E5B" w:rsidP="00A80E5B">
            <w:r w:rsidRPr="00A80E5B">
              <w:t>Project</w:t>
            </w:r>
          </w:p>
        </w:tc>
      </w:tr>
      <w:tr w:rsidR="00A80E5B" w:rsidRPr="00A80E5B" w14:paraId="25F35A45" w14:textId="77777777" w:rsidTr="00DA5D39">
        <w:trPr>
          <w:trHeight w:val="128"/>
        </w:trPr>
        <w:tc>
          <w:tcPr>
            <w:tcW w:w="30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0E334A" w14:textId="77777777" w:rsidR="00A80E5B" w:rsidRPr="00A80E5B" w:rsidRDefault="00A80E5B" w:rsidP="00A80E5B">
            <w:pPr>
              <w:rPr>
                <w:b/>
              </w:rPr>
            </w:pPr>
            <w:r w:rsidRPr="00A80E5B">
              <w:rPr>
                <w:b/>
              </w:rPr>
              <w:t>Recording of travel allowance:</w:t>
            </w:r>
          </w:p>
        </w:tc>
        <w:tc>
          <w:tcPr>
            <w:tcW w:w="1568" w:type="dxa"/>
            <w:tcBorders>
              <w:top w:val="nil"/>
              <w:left w:val="nil"/>
              <w:bottom w:val="single" w:sz="8" w:space="0" w:color="auto"/>
              <w:right w:val="single" w:sz="8" w:space="0" w:color="auto"/>
            </w:tcBorders>
            <w:tcMar>
              <w:top w:w="0" w:type="dxa"/>
              <w:left w:w="108" w:type="dxa"/>
              <w:bottom w:w="0" w:type="dxa"/>
              <w:right w:w="108" w:type="dxa"/>
            </w:tcMar>
          </w:tcPr>
          <w:p w14:paraId="4BD2897B" w14:textId="77777777" w:rsidR="00A80E5B" w:rsidRPr="00A80E5B" w:rsidRDefault="00A80E5B" w:rsidP="00A80E5B"/>
        </w:tc>
        <w:tc>
          <w:tcPr>
            <w:tcW w:w="2432" w:type="dxa"/>
            <w:tcBorders>
              <w:top w:val="nil"/>
              <w:left w:val="nil"/>
              <w:bottom w:val="single" w:sz="8" w:space="0" w:color="auto"/>
              <w:right w:val="single" w:sz="8" w:space="0" w:color="auto"/>
            </w:tcBorders>
            <w:tcMar>
              <w:top w:w="0" w:type="dxa"/>
              <w:left w:w="108" w:type="dxa"/>
              <w:bottom w:w="0" w:type="dxa"/>
              <w:right w:w="108" w:type="dxa"/>
            </w:tcMar>
          </w:tcPr>
          <w:p w14:paraId="66F1073A" w14:textId="77777777" w:rsidR="00A80E5B" w:rsidRPr="00A80E5B" w:rsidRDefault="00A80E5B" w:rsidP="00A80E5B"/>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47AF2A37" w14:textId="77777777" w:rsidR="00A80E5B" w:rsidRPr="00A80E5B" w:rsidRDefault="00A80E5B" w:rsidP="00A80E5B"/>
        </w:tc>
      </w:tr>
      <w:tr w:rsidR="00A80E5B" w:rsidRPr="00A80E5B" w14:paraId="5AB4C276" w14:textId="77777777" w:rsidTr="00DA5D39">
        <w:trPr>
          <w:trHeight w:val="128"/>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DE30" w14:textId="77777777" w:rsidR="00A80E5B" w:rsidRPr="00A80E5B" w:rsidRDefault="00A80E5B" w:rsidP="00A80E5B">
            <w:r w:rsidRPr="00A80E5B">
              <w:t xml:space="preserve"> $2,000 - Debit</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14:paraId="7E8A9819" w14:textId="77777777" w:rsidR="00A80E5B" w:rsidRPr="00A80E5B" w:rsidRDefault="00A80E5B" w:rsidP="00A80E5B"/>
        </w:tc>
        <w:tc>
          <w:tcPr>
            <w:tcW w:w="1568" w:type="dxa"/>
            <w:tcBorders>
              <w:top w:val="nil"/>
              <w:left w:val="nil"/>
              <w:bottom w:val="single" w:sz="8" w:space="0" w:color="auto"/>
              <w:right w:val="single" w:sz="8" w:space="0" w:color="auto"/>
            </w:tcBorders>
            <w:tcMar>
              <w:top w:w="0" w:type="dxa"/>
              <w:left w:w="108" w:type="dxa"/>
              <w:bottom w:w="0" w:type="dxa"/>
              <w:right w:w="108" w:type="dxa"/>
            </w:tcMar>
          </w:tcPr>
          <w:p w14:paraId="25F9EDEC" w14:textId="77777777" w:rsidR="00A80E5B" w:rsidRPr="00A80E5B" w:rsidRDefault="00A80E5B" w:rsidP="00A80E5B">
            <w:r w:rsidRPr="00A80E5B">
              <w:t>71615 – Travel allowance</w:t>
            </w:r>
          </w:p>
        </w:tc>
        <w:tc>
          <w:tcPr>
            <w:tcW w:w="2432" w:type="dxa"/>
            <w:tcBorders>
              <w:top w:val="nil"/>
              <w:left w:val="nil"/>
              <w:bottom w:val="single" w:sz="8" w:space="0" w:color="auto"/>
              <w:right w:val="single" w:sz="8" w:space="0" w:color="auto"/>
            </w:tcBorders>
            <w:tcMar>
              <w:top w:w="0" w:type="dxa"/>
              <w:left w:w="108" w:type="dxa"/>
              <w:bottom w:w="0" w:type="dxa"/>
              <w:right w:w="108" w:type="dxa"/>
            </w:tcMar>
          </w:tcPr>
          <w:p w14:paraId="00292D83" w14:textId="77777777" w:rsidR="00A80E5B" w:rsidRPr="00A80E5B" w:rsidRDefault="00A80E5B" w:rsidP="00A80E5B">
            <w:r w:rsidRPr="00A80E5B">
              <w:t>Prog. Funds as per Project COA</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46C3A599" w14:textId="77777777" w:rsidR="00A80E5B" w:rsidRPr="00A80E5B" w:rsidRDefault="00A80E5B" w:rsidP="00A80E5B">
            <w:r w:rsidRPr="00A80E5B">
              <w:t>Prog. projects</w:t>
            </w:r>
          </w:p>
        </w:tc>
      </w:tr>
      <w:tr w:rsidR="00A80E5B" w:rsidRPr="00A80E5B" w14:paraId="31AA8D4D" w14:textId="77777777" w:rsidTr="00DA5D39">
        <w:trPr>
          <w:trHeight w:val="128"/>
        </w:trPr>
        <w:tc>
          <w:tcPr>
            <w:tcW w:w="30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9515F6" w14:textId="77777777" w:rsidR="00A80E5B" w:rsidRPr="00A80E5B" w:rsidRDefault="00A80E5B" w:rsidP="00A80E5B">
            <w:pPr>
              <w:rPr>
                <w:b/>
              </w:rPr>
            </w:pPr>
            <w:r w:rsidRPr="00A80E5B">
              <w:rPr>
                <w:b/>
              </w:rPr>
              <w:t>Recording of DPC:</w:t>
            </w:r>
          </w:p>
        </w:tc>
        <w:tc>
          <w:tcPr>
            <w:tcW w:w="1568" w:type="dxa"/>
            <w:tcBorders>
              <w:top w:val="nil"/>
              <w:left w:val="nil"/>
              <w:bottom w:val="single" w:sz="8" w:space="0" w:color="auto"/>
              <w:right w:val="single" w:sz="8" w:space="0" w:color="auto"/>
            </w:tcBorders>
            <w:tcMar>
              <w:top w:w="0" w:type="dxa"/>
              <w:left w:w="108" w:type="dxa"/>
              <w:bottom w:w="0" w:type="dxa"/>
              <w:right w:w="108" w:type="dxa"/>
            </w:tcMar>
          </w:tcPr>
          <w:p w14:paraId="69786A30" w14:textId="77777777" w:rsidR="00A80E5B" w:rsidRPr="00A80E5B" w:rsidRDefault="00A80E5B" w:rsidP="00A80E5B"/>
        </w:tc>
        <w:tc>
          <w:tcPr>
            <w:tcW w:w="2432" w:type="dxa"/>
            <w:tcBorders>
              <w:top w:val="nil"/>
              <w:left w:val="nil"/>
              <w:bottom w:val="single" w:sz="8" w:space="0" w:color="auto"/>
              <w:right w:val="single" w:sz="8" w:space="0" w:color="auto"/>
            </w:tcBorders>
            <w:tcMar>
              <w:top w:w="0" w:type="dxa"/>
              <w:left w:w="108" w:type="dxa"/>
              <w:bottom w:w="0" w:type="dxa"/>
              <w:right w:w="108" w:type="dxa"/>
            </w:tcMar>
          </w:tcPr>
          <w:p w14:paraId="4B8E9BE3" w14:textId="77777777" w:rsidR="00A80E5B" w:rsidRPr="00A80E5B" w:rsidRDefault="00A80E5B" w:rsidP="00A80E5B"/>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38FF353F" w14:textId="77777777" w:rsidR="00A80E5B" w:rsidRPr="00A80E5B" w:rsidRDefault="00A80E5B" w:rsidP="00A80E5B"/>
        </w:tc>
      </w:tr>
      <w:tr w:rsidR="00A80E5B" w:rsidRPr="00A80E5B" w14:paraId="05F03110" w14:textId="77777777" w:rsidTr="00DA5D39">
        <w:trPr>
          <w:trHeight w:val="128"/>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B8D86" w14:textId="77777777" w:rsidR="00A80E5B" w:rsidRPr="00A80E5B" w:rsidRDefault="00A80E5B" w:rsidP="00A80E5B">
            <w:r w:rsidRPr="00A80E5B">
              <w:t>$70 -  Debit</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2B71439E" w14:textId="77777777" w:rsidR="00A80E5B" w:rsidRPr="00A80E5B" w:rsidRDefault="00A80E5B" w:rsidP="00A80E5B">
            <w:r w:rsidRPr="00A80E5B">
              <w:t xml:space="preserve">70% of total bill </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14:paraId="333BDAA4" w14:textId="77777777" w:rsidR="00A80E5B" w:rsidRPr="00A80E5B" w:rsidRDefault="00A80E5B" w:rsidP="00A80E5B">
            <w:r w:rsidRPr="00A80E5B">
              <w:t>64397 – Project Services Staff costs</w:t>
            </w:r>
          </w:p>
        </w:tc>
        <w:tc>
          <w:tcPr>
            <w:tcW w:w="2432" w:type="dxa"/>
            <w:tcBorders>
              <w:top w:val="nil"/>
              <w:left w:val="nil"/>
              <w:bottom w:val="single" w:sz="8" w:space="0" w:color="auto"/>
              <w:right w:val="single" w:sz="8" w:space="0" w:color="auto"/>
            </w:tcBorders>
            <w:tcMar>
              <w:top w:w="0" w:type="dxa"/>
              <w:left w:w="108" w:type="dxa"/>
              <w:bottom w:w="0" w:type="dxa"/>
              <w:right w:w="108" w:type="dxa"/>
            </w:tcMar>
            <w:hideMark/>
          </w:tcPr>
          <w:p w14:paraId="1A3FA20B" w14:textId="77777777" w:rsidR="00A80E5B" w:rsidRPr="00A80E5B" w:rsidRDefault="00A80E5B" w:rsidP="00A80E5B">
            <w:r w:rsidRPr="00A80E5B">
              <w:t>Prog. Funds as per Project COA</w:t>
            </w:r>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14:paraId="16383905" w14:textId="77777777" w:rsidR="00A80E5B" w:rsidRPr="00A80E5B" w:rsidRDefault="00A80E5B" w:rsidP="00A80E5B">
            <w:r w:rsidRPr="00A80E5B">
              <w:t>Prog. projects</w:t>
            </w:r>
          </w:p>
        </w:tc>
      </w:tr>
      <w:tr w:rsidR="00A80E5B" w:rsidRPr="00A80E5B" w14:paraId="5476B9A4" w14:textId="77777777" w:rsidTr="00DA5D39">
        <w:trPr>
          <w:trHeight w:val="86"/>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6E7C9" w14:textId="77777777" w:rsidR="00A80E5B" w:rsidRPr="00A80E5B" w:rsidRDefault="00A80E5B" w:rsidP="00A80E5B">
            <w:r w:rsidRPr="00A80E5B">
              <w:t>($70) - Credit</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3A46F3F8" w14:textId="77777777" w:rsidR="00A80E5B" w:rsidRPr="00A80E5B" w:rsidRDefault="00A80E5B" w:rsidP="00A80E5B">
            <w:r w:rsidRPr="00A80E5B">
              <w:t>70% of total bill</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14:paraId="4F0A44CA" w14:textId="77777777" w:rsidR="00A80E5B" w:rsidRPr="00A80E5B" w:rsidRDefault="00A80E5B" w:rsidP="00A80E5B">
            <w:r w:rsidRPr="00A80E5B">
              <w:t>64397 - Project Services Staff costs</w:t>
            </w:r>
          </w:p>
        </w:tc>
        <w:tc>
          <w:tcPr>
            <w:tcW w:w="2432" w:type="dxa"/>
            <w:tcBorders>
              <w:top w:val="nil"/>
              <w:left w:val="nil"/>
              <w:bottom w:val="single" w:sz="8" w:space="0" w:color="auto"/>
              <w:right w:val="single" w:sz="8" w:space="0" w:color="auto"/>
            </w:tcBorders>
            <w:tcMar>
              <w:top w:w="0" w:type="dxa"/>
              <w:left w:w="108" w:type="dxa"/>
              <w:bottom w:w="0" w:type="dxa"/>
              <w:right w:w="108" w:type="dxa"/>
            </w:tcMar>
            <w:hideMark/>
          </w:tcPr>
          <w:p w14:paraId="57FDCF1A" w14:textId="77777777" w:rsidR="00A80E5B" w:rsidRPr="00A80E5B" w:rsidRDefault="00A80E5B" w:rsidP="00A80E5B">
            <w:proofErr w:type="spellStart"/>
            <w:r w:rsidRPr="00A80E5B">
              <w:t>Mgmt</w:t>
            </w:r>
            <w:proofErr w:type="spellEnd"/>
            <w:r w:rsidRPr="00A80E5B">
              <w:t>  (core or XB) funds or DPC pre-financing (11309)</w:t>
            </w:r>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14:paraId="3EFEEA7E" w14:textId="77777777" w:rsidR="00A80E5B" w:rsidRPr="00A80E5B" w:rsidRDefault="00A80E5B" w:rsidP="00A80E5B">
            <w:proofErr w:type="spellStart"/>
            <w:r w:rsidRPr="00A80E5B">
              <w:t>Mgmt</w:t>
            </w:r>
            <w:proofErr w:type="spellEnd"/>
            <w:r w:rsidRPr="00A80E5B">
              <w:t xml:space="preserve">  or DPC pre-financing projects</w:t>
            </w:r>
          </w:p>
        </w:tc>
      </w:tr>
      <w:tr w:rsidR="00A80E5B" w:rsidRPr="00A80E5B" w14:paraId="08C05465" w14:textId="77777777" w:rsidTr="00DA5D39">
        <w:trPr>
          <w:trHeight w:val="31"/>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88F" w14:textId="77777777" w:rsidR="00A80E5B" w:rsidRPr="00A80E5B" w:rsidRDefault="00A80E5B" w:rsidP="00A80E5B">
            <w:r w:rsidRPr="00A80E5B">
              <w:t>$30 -  Debit</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14:paraId="059B69F1" w14:textId="77777777" w:rsidR="00A80E5B" w:rsidRPr="00A80E5B" w:rsidRDefault="00A80E5B" w:rsidP="00A80E5B">
            <w:r w:rsidRPr="00A80E5B">
              <w:t>30% of total bill</w:t>
            </w:r>
          </w:p>
        </w:tc>
        <w:tc>
          <w:tcPr>
            <w:tcW w:w="1568" w:type="dxa"/>
            <w:tcBorders>
              <w:top w:val="nil"/>
              <w:left w:val="nil"/>
              <w:bottom w:val="single" w:sz="8" w:space="0" w:color="auto"/>
              <w:right w:val="single" w:sz="8" w:space="0" w:color="auto"/>
            </w:tcBorders>
            <w:tcMar>
              <w:top w:w="0" w:type="dxa"/>
              <w:left w:w="108" w:type="dxa"/>
              <w:bottom w:w="0" w:type="dxa"/>
              <w:right w:w="108" w:type="dxa"/>
            </w:tcMar>
          </w:tcPr>
          <w:p w14:paraId="363BFCEC" w14:textId="77777777" w:rsidR="00A80E5B" w:rsidRPr="00A80E5B" w:rsidRDefault="00A80E5B" w:rsidP="00A80E5B">
            <w:r w:rsidRPr="00A80E5B">
              <w:t>74596 – Project Services GOE</w:t>
            </w:r>
          </w:p>
        </w:tc>
        <w:tc>
          <w:tcPr>
            <w:tcW w:w="2432" w:type="dxa"/>
            <w:tcBorders>
              <w:top w:val="nil"/>
              <w:left w:val="nil"/>
              <w:bottom w:val="single" w:sz="8" w:space="0" w:color="auto"/>
              <w:right w:val="single" w:sz="8" w:space="0" w:color="auto"/>
            </w:tcBorders>
            <w:tcMar>
              <w:top w:w="0" w:type="dxa"/>
              <w:left w:w="108" w:type="dxa"/>
              <w:bottom w:w="0" w:type="dxa"/>
              <w:right w:w="108" w:type="dxa"/>
            </w:tcMar>
          </w:tcPr>
          <w:p w14:paraId="3662B051" w14:textId="77777777" w:rsidR="00A80E5B" w:rsidRPr="00A80E5B" w:rsidRDefault="00A80E5B" w:rsidP="00A80E5B">
            <w:r w:rsidRPr="00A80E5B">
              <w:t>Prog. Funds as per Project COA</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0312F151" w14:textId="77777777" w:rsidR="00A80E5B" w:rsidRPr="00A80E5B" w:rsidRDefault="00A80E5B" w:rsidP="00A80E5B">
            <w:r w:rsidRPr="00A80E5B">
              <w:t>Prog. projects</w:t>
            </w:r>
          </w:p>
        </w:tc>
      </w:tr>
      <w:tr w:rsidR="00A80E5B" w:rsidRPr="00A80E5B" w14:paraId="6DD5A71D" w14:textId="77777777" w:rsidTr="00DA5D39">
        <w:trPr>
          <w:trHeight w:val="31"/>
        </w:trPr>
        <w:tc>
          <w:tcPr>
            <w:tcW w:w="1751" w:type="dxa"/>
            <w:tcBorders>
              <w:top w:val="nil"/>
              <w:left w:val="single" w:sz="8" w:space="0" w:color="auto"/>
              <w:bottom w:val="nil"/>
              <w:right w:val="single" w:sz="8" w:space="0" w:color="auto"/>
            </w:tcBorders>
            <w:tcMar>
              <w:top w:w="0" w:type="dxa"/>
              <w:left w:w="108" w:type="dxa"/>
              <w:bottom w:w="0" w:type="dxa"/>
              <w:right w:w="108" w:type="dxa"/>
            </w:tcMar>
            <w:hideMark/>
          </w:tcPr>
          <w:p w14:paraId="5572615D" w14:textId="77777777" w:rsidR="00A80E5B" w:rsidRPr="00A80E5B" w:rsidRDefault="00A80E5B" w:rsidP="00A80E5B">
            <w:r w:rsidRPr="00A80E5B">
              <w:t>($30) - Credit</w:t>
            </w:r>
          </w:p>
        </w:tc>
        <w:tc>
          <w:tcPr>
            <w:tcW w:w="1327" w:type="dxa"/>
            <w:tcBorders>
              <w:top w:val="nil"/>
              <w:left w:val="nil"/>
              <w:bottom w:val="nil"/>
              <w:right w:val="single" w:sz="8" w:space="0" w:color="auto"/>
            </w:tcBorders>
            <w:tcMar>
              <w:top w:w="0" w:type="dxa"/>
              <w:left w:w="108" w:type="dxa"/>
              <w:bottom w:w="0" w:type="dxa"/>
              <w:right w:w="108" w:type="dxa"/>
            </w:tcMar>
            <w:hideMark/>
          </w:tcPr>
          <w:p w14:paraId="200DFFE0" w14:textId="77777777" w:rsidR="00A80E5B" w:rsidRPr="00A80E5B" w:rsidRDefault="00A80E5B" w:rsidP="00A80E5B">
            <w:r w:rsidRPr="00A80E5B">
              <w:t>30% of total bill</w:t>
            </w:r>
          </w:p>
        </w:tc>
        <w:tc>
          <w:tcPr>
            <w:tcW w:w="1568" w:type="dxa"/>
            <w:tcBorders>
              <w:top w:val="nil"/>
              <w:left w:val="nil"/>
              <w:bottom w:val="nil"/>
              <w:right w:val="single" w:sz="8" w:space="0" w:color="auto"/>
            </w:tcBorders>
            <w:tcMar>
              <w:top w:w="0" w:type="dxa"/>
              <w:left w:w="108" w:type="dxa"/>
              <w:bottom w:w="0" w:type="dxa"/>
              <w:right w:w="108" w:type="dxa"/>
            </w:tcMar>
            <w:hideMark/>
          </w:tcPr>
          <w:p w14:paraId="541DE96C" w14:textId="77777777" w:rsidR="00A80E5B" w:rsidRPr="00A80E5B" w:rsidRDefault="00A80E5B" w:rsidP="00A80E5B">
            <w:r w:rsidRPr="00A80E5B">
              <w:t>74596 – Project Services GOE</w:t>
            </w:r>
          </w:p>
        </w:tc>
        <w:tc>
          <w:tcPr>
            <w:tcW w:w="2432" w:type="dxa"/>
            <w:tcBorders>
              <w:top w:val="nil"/>
              <w:left w:val="nil"/>
              <w:bottom w:val="nil"/>
              <w:right w:val="single" w:sz="8" w:space="0" w:color="auto"/>
            </w:tcBorders>
            <w:tcMar>
              <w:top w:w="0" w:type="dxa"/>
              <w:left w:w="108" w:type="dxa"/>
              <w:bottom w:w="0" w:type="dxa"/>
              <w:right w:w="108" w:type="dxa"/>
            </w:tcMar>
            <w:hideMark/>
          </w:tcPr>
          <w:p w14:paraId="1A90C527" w14:textId="77777777" w:rsidR="00A80E5B" w:rsidRPr="00A80E5B" w:rsidRDefault="00A80E5B" w:rsidP="00A80E5B">
            <w:proofErr w:type="spellStart"/>
            <w:r w:rsidRPr="00A80E5B">
              <w:t>Mgmt</w:t>
            </w:r>
            <w:proofErr w:type="spellEnd"/>
            <w:r w:rsidRPr="00A80E5B">
              <w:t xml:space="preserve">  (core or XB) funds or </w:t>
            </w:r>
            <w:proofErr w:type="spellStart"/>
            <w:r w:rsidRPr="00A80E5B">
              <w:t>or</w:t>
            </w:r>
            <w:proofErr w:type="spellEnd"/>
            <w:r w:rsidRPr="00A80E5B">
              <w:t xml:space="preserve"> DPC pre-financing (11309)</w:t>
            </w:r>
          </w:p>
        </w:tc>
        <w:tc>
          <w:tcPr>
            <w:tcW w:w="2020" w:type="dxa"/>
            <w:tcBorders>
              <w:top w:val="nil"/>
              <w:left w:val="nil"/>
              <w:bottom w:val="nil"/>
              <w:right w:val="single" w:sz="8" w:space="0" w:color="auto"/>
            </w:tcBorders>
            <w:tcMar>
              <w:top w:w="0" w:type="dxa"/>
              <w:left w:w="108" w:type="dxa"/>
              <w:bottom w:w="0" w:type="dxa"/>
              <w:right w:w="108" w:type="dxa"/>
            </w:tcMar>
            <w:hideMark/>
          </w:tcPr>
          <w:p w14:paraId="3EE838BE" w14:textId="77777777" w:rsidR="00A80E5B" w:rsidRPr="00A80E5B" w:rsidRDefault="00A80E5B" w:rsidP="00A80E5B">
            <w:proofErr w:type="spellStart"/>
            <w:r w:rsidRPr="00A80E5B">
              <w:t>Mgmt</w:t>
            </w:r>
            <w:proofErr w:type="spellEnd"/>
            <w:r w:rsidRPr="00A80E5B">
              <w:t xml:space="preserve">  or DPC pre-financing  projects</w:t>
            </w:r>
          </w:p>
        </w:tc>
      </w:tr>
      <w:tr w:rsidR="00A80E5B" w:rsidRPr="00A80E5B" w14:paraId="574AA00D" w14:textId="77777777" w:rsidTr="00DA5D39">
        <w:trPr>
          <w:trHeight w:val="31"/>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78F86D" w14:textId="77777777" w:rsidR="00A80E5B" w:rsidRPr="00A80E5B" w:rsidRDefault="00A80E5B" w:rsidP="00A80E5B"/>
        </w:tc>
        <w:tc>
          <w:tcPr>
            <w:tcW w:w="1327" w:type="dxa"/>
            <w:tcBorders>
              <w:top w:val="nil"/>
              <w:left w:val="nil"/>
              <w:bottom w:val="single" w:sz="8" w:space="0" w:color="auto"/>
              <w:right w:val="single" w:sz="8" w:space="0" w:color="auto"/>
            </w:tcBorders>
            <w:tcMar>
              <w:top w:w="0" w:type="dxa"/>
              <w:left w:w="108" w:type="dxa"/>
              <w:bottom w:w="0" w:type="dxa"/>
              <w:right w:w="108" w:type="dxa"/>
            </w:tcMar>
          </w:tcPr>
          <w:p w14:paraId="13DF2EDD" w14:textId="77777777" w:rsidR="00A80E5B" w:rsidRPr="00A80E5B" w:rsidRDefault="00A80E5B" w:rsidP="00A80E5B"/>
        </w:tc>
        <w:tc>
          <w:tcPr>
            <w:tcW w:w="1568" w:type="dxa"/>
            <w:tcBorders>
              <w:top w:val="nil"/>
              <w:left w:val="nil"/>
              <w:bottom w:val="single" w:sz="8" w:space="0" w:color="auto"/>
              <w:right w:val="single" w:sz="8" w:space="0" w:color="auto"/>
            </w:tcBorders>
            <w:tcMar>
              <w:top w:w="0" w:type="dxa"/>
              <w:left w:w="108" w:type="dxa"/>
              <w:bottom w:w="0" w:type="dxa"/>
              <w:right w:w="108" w:type="dxa"/>
            </w:tcMar>
          </w:tcPr>
          <w:p w14:paraId="74158FC6" w14:textId="77777777" w:rsidR="00A80E5B" w:rsidRPr="00A80E5B" w:rsidRDefault="00A80E5B" w:rsidP="00A80E5B"/>
        </w:tc>
        <w:tc>
          <w:tcPr>
            <w:tcW w:w="2432" w:type="dxa"/>
            <w:tcBorders>
              <w:top w:val="nil"/>
              <w:left w:val="nil"/>
              <w:bottom w:val="single" w:sz="8" w:space="0" w:color="auto"/>
              <w:right w:val="single" w:sz="8" w:space="0" w:color="auto"/>
            </w:tcBorders>
            <w:tcMar>
              <w:top w:w="0" w:type="dxa"/>
              <w:left w:w="108" w:type="dxa"/>
              <w:bottom w:w="0" w:type="dxa"/>
              <w:right w:w="108" w:type="dxa"/>
            </w:tcMar>
          </w:tcPr>
          <w:p w14:paraId="7A39A7AC" w14:textId="77777777" w:rsidR="00A80E5B" w:rsidRPr="00A80E5B" w:rsidRDefault="00A80E5B" w:rsidP="00A80E5B"/>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10E25E5C" w14:textId="77777777" w:rsidR="00A80E5B" w:rsidRPr="00A80E5B" w:rsidRDefault="00A80E5B" w:rsidP="00A80E5B"/>
        </w:tc>
      </w:tr>
    </w:tbl>
    <w:p w14:paraId="64EAE824" w14:textId="77777777" w:rsidR="00A80E5B" w:rsidRPr="00A80E5B" w:rsidRDefault="00A80E5B" w:rsidP="00A80E5B">
      <w:pPr>
        <w:rPr>
          <w:lang w:val="en-MY"/>
        </w:rPr>
      </w:pPr>
    </w:p>
    <w:p w14:paraId="22D8899E" w14:textId="77777777" w:rsidR="00A80E5B" w:rsidRPr="00A80E5B" w:rsidRDefault="00A80E5B" w:rsidP="00A80E5B">
      <w:r w:rsidRPr="00A80E5B">
        <w:rPr>
          <w:lang w:val="en-US"/>
        </w:rPr>
        <w:t>Zero-dollar invoices</w:t>
      </w:r>
      <w:r w:rsidRPr="00A80E5B">
        <w:rPr>
          <w:b/>
          <w:bCs/>
        </w:rPr>
        <w:t xml:space="preserve"> accounting entries for expenses incurred in CO DPC pre-financing projects:</w:t>
      </w:r>
    </w:p>
    <w:p w14:paraId="68243263" w14:textId="77777777" w:rsidR="00A80E5B" w:rsidRPr="00A80E5B" w:rsidRDefault="00A80E5B" w:rsidP="00A80E5B">
      <w:r w:rsidRPr="00A80E5B">
        <w:t>When the country offices decided to pre-finance the costs when the development project COA is not available, the units can establish a delivery enabling service project (pre-financing) until information projects to be charged becomes available.</w:t>
      </w:r>
    </w:p>
    <w:p w14:paraId="4FADDE73" w14:textId="77777777" w:rsidR="00A80E5B" w:rsidRPr="00A80E5B" w:rsidRDefault="00A80E5B" w:rsidP="00A80E5B">
      <w:r w:rsidRPr="00A80E5B">
        <w:t xml:space="preserve">The expenses should be apportioned to development projects regularly (monthly or at least quarterly). The following review and analysis should be completed for any </w:t>
      </w:r>
      <w:r w:rsidRPr="00A80E5B">
        <w:rPr>
          <w:lang w:val="en-US"/>
        </w:rPr>
        <w:t>Zero-dollar invoices</w:t>
      </w:r>
      <w:r w:rsidRPr="00A80E5B">
        <w:t xml:space="preserve"> to attribute the costs to development projects (for more detail to POPP </w:t>
      </w:r>
      <w:hyperlink r:id="rId26">
        <w:r w:rsidRPr="00A80E5B">
          <w:rPr>
            <w:rStyle w:val="Hyperlink"/>
            <w:b/>
            <w:bCs/>
          </w:rPr>
          <w:t>Planning and Paying for Delivery Enabling Services to Projects</w:t>
        </w:r>
      </w:hyperlink>
      <w:r w:rsidRPr="00A80E5B">
        <w:t>):</w:t>
      </w:r>
    </w:p>
    <w:p w14:paraId="5C3BBD7D" w14:textId="77777777" w:rsidR="00A80E5B" w:rsidRPr="00A80E5B" w:rsidRDefault="00A80E5B" w:rsidP="00A80E5B">
      <w:pPr>
        <w:numPr>
          <w:ilvl w:val="0"/>
          <w:numId w:val="10"/>
        </w:numPr>
      </w:pPr>
      <w:r w:rsidRPr="00A80E5B">
        <w:lastRenderedPageBreak/>
        <w:t>Review and summary of expenses in two categories a) staff costs (all expenses in 6 series) and general operating expenses (7 series) in their pre-financing projects;</w:t>
      </w:r>
    </w:p>
    <w:p w14:paraId="7AE14AD5" w14:textId="77777777" w:rsidR="00A80E5B" w:rsidRPr="00A80E5B" w:rsidRDefault="00A80E5B" w:rsidP="00A80E5B">
      <w:pPr>
        <w:numPr>
          <w:ilvl w:val="0"/>
          <w:numId w:val="10"/>
        </w:numPr>
      </w:pPr>
      <w:r w:rsidRPr="00A80E5B">
        <w:t>Apportionment of actual expenses based on the workload of staff pre-funded from DPC project</w:t>
      </w:r>
    </w:p>
    <w:p w14:paraId="3000D932" w14:textId="77777777" w:rsidR="00A80E5B" w:rsidRPr="00A80E5B" w:rsidRDefault="00A80E5B" w:rsidP="00A80E5B">
      <w:r w:rsidRPr="00A80E5B">
        <w:t>Once the office finalized the apportionment of direct project costs across the development projects, the following entries would need to be made with DPC account codes (64397 and 74596)</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1"/>
        <w:gridCol w:w="1769"/>
        <w:gridCol w:w="1455"/>
        <w:gridCol w:w="2284"/>
        <w:gridCol w:w="2088"/>
      </w:tblGrid>
      <w:tr w:rsidR="00A80E5B" w:rsidRPr="00A80E5B" w14:paraId="19993905" w14:textId="77777777" w:rsidTr="00DA5D39">
        <w:trPr>
          <w:trHeight w:val="124"/>
        </w:trPr>
        <w:tc>
          <w:tcPr>
            <w:tcW w:w="1811" w:type="dxa"/>
            <w:tcMar>
              <w:top w:w="0" w:type="dxa"/>
              <w:left w:w="108" w:type="dxa"/>
              <w:bottom w:w="0" w:type="dxa"/>
              <w:right w:w="108" w:type="dxa"/>
            </w:tcMar>
            <w:hideMark/>
          </w:tcPr>
          <w:p w14:paraId="2B992AE8" w14:textId="77777777" w:rsidR="00A80E5B" w:rsidRPr="00A80E5B" w:rsidRDefault="00A80E5B" w:rsidP="00A80E5B">
            <w:r w:rsidRPr="00A80E5B">
              <w:t>Debit (Credit) amount</w:t>
            </w:r>
          </w:p>
        </w:tc>
        <w:tc>
          <w:tcPr>
            <w:tcW w:w="1769" w:type="dxa"/>
            <w:tcMar>
              <w:top w:w="0" w:type="dxa"/>
              <w:left w:w="108" w:type="dxa"/>
              <w:bottom w:w="0" w:type="dxa"/>
              <w:right w:w="108" w:type="dxa"/>
            </w:tcMar>
            <w:hideMark/>
          </w:tcPr>
          <w:p w14:paraId="2E0FD4A8" w14:textId="77777777" w:rsidR="00A80E5B" w:rsidRPr="00A80E5B" w:rsidRDefault="00A80E5B" w:rsidP="00A80E5B">
            <w:r w:rsidRPr="00A80E5B">
              <w:t>Purpose</w:t>
            </w:r>
          </w:p>
        </w:tc>
        <w:tc>
          <w:tcPr>
            <w:tcW w:w="1455" w:type="dxa"/>
            <w:tcMar>
              <w:top w:w="0" w:type="dxa"/>
              <w:left w:w="108" w:type="dxa"/>
              <w:bottom w:w="0" w:type="dxa"/>
              <w:right w:w="108" w:type="dxa"/>
            </w:tcMar>
            <w:hideMark/>
          </w:tcPr>
          <w:p w14:paraId="305E0AB9" w14:textId="77777777" w:rsidR="00A80E5B" w:rsidRPr="00A80E5B" w:rsidRDefault="00A80E5B" w:rsidP="00A80E5B">
            <w:r w:rsidRPr="00A80E5B">
              <w:t>Expense</w:t>
            </w:r>
          </w:p>
          <w:p w14:paraId="22CE1EF2" w14:textId="77777777" w:rsidR="00A80E5B" w:rsidRPr="00A80E5B" w:rsidRDefault="00A80E5B" w:rsidP="00A80E5B">
            <w:r w:rsidRPr="00A80E5B">
              <w:t>Account Code</w:t>
            </w:r>
          </w:p>
        </w:tc>
        <w:tc>
          <w:tcPr>
            <w:tcW w:w="2284" w:type="dxa"/>
            <w:tcMar>
              <w:top w:w="0" w:type="dxa"/>
              <w:left w:w="108" w:type="dxa"/>
              <w:bottom w:w="0" w:type="dxa"/>
              <w:right w:w="108" w:type="dxa"/>
            </w:tcMar>
            <w:hideMark/>
          </w:tcPr>
          <w:p w14:paraId="5885E52E" w14:textId="77777777" w:rsidR="00A80E5B" w:rsidRPr="00A80E5B" w:rsidRDefault="00A80E5B" w:rsidP="00A80E5B">
            <w:r w:rsidRPr="00A80E5B">
              <w:t>Fund</w:t>
            </w:r>
          </w:p>
        </w:tc>
        <w:tc>
          <w:tcPr>
            <w:tcW w:w="2088" w:type="dxa"/>
            <w:tcMar>
              <w:top w:w="0" w:type="dxa"/>
              <w:left w:w="108" w:type="dxa"/>
              <w:bottom w:w="0" w:type="dxa"/>
              <w:right w:w="108" w:type="dxa"/>
            </w:tcMar>
            <w:hideMark/>
          </w:tcPr>
          <w:p w14:paraId="23B6098D" w14:textId="77777777" w:rsidR="00A80E5B" w:rsidRPr="00A80E5B" w:rsidRDefault="00A80E5B" w:rsidP="00A80E5B">
            <w:r w:rsidRPr="00A80E5B">
              <w:t>Project</w:t>
            </w:r>
          </w:p>
        </w:tc>
      </w:tr>
      <w:tr w:rsidR="00A80E5B" w:rsidRPr="00A80E5B" w14:paraId="0688BB4B" w14:textId="77777777" w:rsidTr="00DA5D39">
        <w:trPr>
          <w:trHeight w:val="120"/>
        </w:trPr>
        <w:tc>
          <w:tcPr>
            <w:tcW w:w="1811" w:type="dxa"/>
            <w:tcMar>
              <w:top w:w="0" w:type="dxa"/>
              <w:left w:w="108" w:type="dxa"/>
              <w:bottom w:w="0" w:type="dxa"/>
              <w:right w:w="108" w:type="dxa"/>
            </w:tcMar>
            <w:hideMark/>
          </w:tcPr>
          <w:p w14:paraId="262D43A5" w14:textId="77777777" w:rsidR="00A80E5B" w:rsidRPr="00A80E5B" w:rsidRDefault="00A80E5B" w:rsidP="00A80E5B">
            <w:r w:rsidRPr="00A80E5B">
              <w:t>$10,000 -  Debit</w:t>
            </w:r>
          </w:p>
        </w:tc>
        <w:tc>
          <w:tcPr>
            <w:tcW w:w="1769" w:type="dxa"/>
            <w:tcMar>
              <w:top w:w="0" w:type="dxa"/>
              <w:left w:w="108" w:type="dxa"/>
              <w:bottom w:w="0" w:type="dxa"/>
              <w:right w:w="108" w:type="dxa"/>
            </w:tcMar>
            <w:hideMark/>
          </w:tcPr>
          <w:p w14:paraId="3188C7B7" w14:textId="77777777" w:rsidR="00A80E5B" w:rsidRPr="00A80E5B" w:rsidRDefault="00A80E5B" w:rsidP="00A80E5B">
            <w:r w:rsidRPr="00A80E5B">
              <w:t>Project to project A</w:t>
            </w:r>
          </w:p>
        </w:tc>
        <w:tc>
          <w:tcPr>
            <w:tcW w:w="1455" w:type="dxa"/>
            <w:tcMar>
              <w:top w:w="0" w:type="dxa"/>
              <w:left w:w="108" w:type="dxa"/>
              <w:bottom w:w="0" w:type="dxa"/>
              <w:right w:w="108" w:type="dxa"/>
            </w:tcMar>
            <w:hideMark/>
          </w:tcPr>
          <w:p w14:paraId="676288DA" w14:textId="77777777" w:rsidR="00A80E5B" w:rsidRPr="00A80E5B" w:rsidRDefault="00A80E5B" w:rsidP="00A80E5B">
            <w:r w:rsidRPr="00A80E5B">
              <w:t>64397 – project services –staff cost</w:t>
            </w:r>
          </w:p>
        </w:tc>
        <w:tc>
          <w:tcPr>
            <w:tcW w:w="2284" w:type="dxa"/>
            <w:tcMar>
              <w:top w:w="0" w:type="dxa"/>
              <w:left w:w="108" w:type="dxa"/>
              <w:bottom w:w="0" w:type="dxa"/>
              <w:right w:w="108" w:type="dxa"/>
            </w:tcMar>
            <w:hideMark/>
          </w:tcPr>
          <w:p w14:paraId="4A28F713" w14:textId="77777777" w:rsidR="00A80E5B" w:rsidRPr="00A80E5B" w:rsidRDefault="00A80E5B" w:rsidP="00A80E5B">
            <w:r w:rsidRPr="00A80E5B">
              <w:t>programme funds (30000 or 04000)</w:t>
            </w:r>
          </w:p>
        </w:tc>
        <w:tc>
          <w:tcPr>
            <w:tcW w:w="2088" w:type="dxa"/>
            <w:tcMar>
              <w:top w:w="0" w:type="dxa"/>
              <w:left w:w="108" w:type="dxa"/>
              <w:bottom w:w="0" w:type="dxa"/>
              <w:right w:w="108" w:type="dxa"/>
            </w:tcMar>
            <w:hideMark/>
          </w:tcPr>
          <w:p w14:paraId="209B729D" w14:textId="77777777" w:rsidR="00A80E5B" w:rsidRPr="00A80E5B" w:rsidRDefault="00A80E5B" w:rsidP="00A80E5B">
            <w:r w:rsidRPr="00A80E5B">
              <w:t>Prog. projects</w:t>
            </w:r>
          </w:p>
        </w:tc>
      </w:tr>
      <w:tr w:rsidR="00A80E5B" w:rsidRPr="00A80E5B" w14:paraId="5988B7FE" w14:textId="77777777" w:rsidTr="00DA5D39">
        <w:trPr>
          <w:trHeight w:val="314"/>
        </w:trPr>
        <w:tc>
          <w:tcPr>
            <w:tcW w:w="1811" w:type="dxa"/>
            <w:tcMar>
              <w:top w:w="0" w:type="dxa"/>
              <w:left w:w="108" w:type="dxa"/>
              <w:bottom w:w="0" w:type="dxa"/>
              <w:right w:w="108" w:type="dxa"/>
            </w:tcMar>
            <w:hideMark/>
          </w:tcPr>
          <w:p w14:paraId="4685DFF2" w14:textId="77777777" w:rsidR="00A80E5B" w:rsidRPr="00A80E5B" w:rsidRDefault="00A80E5B" w:rsidP="00A80E5B">
            <w:r w:rsidRPr="00A80E5B">
              <w:t xml:space="preserve"> $5,000  - Debit </w:t>
            </w:r>
          </w:p>
        </w:tc>
        <w:tc>
          <w:tcPr>
            <w:tcW w:w="1769" w:type="dxa"/>
            <w:tcMar>
              <w:top w:w="0" w:type="dxa"/>
              <w:left w:w="108" w:type="dxa"/>
              <w:bottom w:w="0" w:type="dxa"/>
              <w:right w:w="108" w:type="dxa"/>
            </w:tcMar>
            <w:hideMark/>
          </w:tcPr>
          <w:p w14:paraId="18ED2D7E" w14:textId="77777777" w:rsidR="00A80E5B" w:rsidRPr="00A80E5B" w:rsidRDefault="00A80E5B" w:rsidP="00A80E5B">
            <w:r w:rsidRPr="00A80E5B">
              <w:t>Staff cost to project B</w:t>
            </w:r>
          </w:p>
        </w:tc>
        <w:tc>
          <w:tcPr>
            <w:tcW w:w="1455" w:type="dxa"/>
            <w:tcMar>
              <w:top w:w="0" w:type="dxa"/>
              <w:left w:w="108" w:type="dxa"/>
              <w:bottom w:w="0" w:type="dxa"/>
              <w:right w:w="108" w:type="dxa"/>
            </w:tcMar>
            <w:hideMark/>
          </w:tcPr>
          <w:p w14:paraId="5DF707CC" w14:textId="77777777" w:rsidR="00A80E5B" w:rsidRPr="00A80E5B" w:rsidRDefault="00A80E5B" w:rsidP="00A80E5B">
            <w:r w:rsidRPr="00A80E5B">
              <w:t xml:space="preserve">64397 </w:t>
            </w:r>
          </w:p>
        </w:tc>
        <w:tc>
          <w:tcPr>
            <w:tcW w:w="2284" w:type="dxa"/>
            <w:tcMar>
              <w:top w:w="0" w:type="dxa"/>
              <w:left w:w="108" w:type="dxa"/>
              <w:bottom w:w="0" w:type="dxa"/>
              <w:right w:w="108" w:type="dxa"/>
            </w:tcMar>
            <w:hideMark/>
          </w:tcPr>
          <w:p w14:paraId="68F312D2" w14:textId="77777777" w:rsidR="00A80E5B" w:rsidRPr="00A80E5B" w:rsidRDefault="00A80E5B" w:rsidP="00A80E5B">
            <w:r w:rsidRPr="00A80E5B">
              <w:t>programme funds (30000 or 04000)</w:t>
            </w:r>
          </w:p>
        </w:tc>
        <w:tc>
          <w:tcPr>
            <w:tcW w:w="2088" w:type="dxa"/>
            <w:tcMar>
              <w:top w:w="0" w:type="dxa"/>
              <w:left w:w="108" w:type="dxa"/>
              <w:bottom w:w="0" w:type="dxa"/>
              <w:right w:w="108" w:type="dxa"/>
            </w:tcMar>
            <w:hideMark/>
          </w:tcPr>
          <w:p w14:paraId="5025E9D7" w14:textId="77777777" w:rsidR="00A80E5B" w:rsidRPr="00A80E5B" w:rsidRDefault="00A80E5B" w:rsidP="00A80E5B">
            <w:r w:rsidRPr="00A80E5B">
              <w:t>Prog. projects</w:t>
            </w:r>
          </w:p>
        </w:tc>
      </w:tr>
      <w:tr w:rsidR="00A80E5B" w:rsidRPr="00A80E5B" w14:paraId="20FA583F" w14:textId="77777777" w:rsidTr="00DA5D39">
        <w:trPr>
          <w:trHeight w:val="28"/>
        </w:trPr>
        <w:tc>
          <w:tcPr>
            <w:tcW w:w="1811" w:type="dxa"/>
            <w:tcMar>
              <w:top w:w="0" w:type="dxa"/>
              <w:left w:w="108" w:type="dxa"/>
              <w:bottom w:w="0" w:type="dxa"/>
              <w:right w:w="108" w:type="dxa"/>
            </w:tcMar>
          </w:tcPr>
          <w:p w14:paraId="6D0771C6" w14:textId="77777777" w:rsidR="00A80E5B" w:rsidRPr="00A80E5B" w:rsidRDefault="00A80E5B" w:rsidP="00A80E5B">
            <w:r w:rsidRPr="00A80E5B">
              <w:t>($15,000) - Credit</w:t>
            </w:r>
          </w:p>
        </w:tc>
        <w:tc>
          <w:tcPr>
            <w:tcW w:w="1769" w:type="dxa"/>
            <w:tcMar>
              <w:top w:w="0" w:type="dxa"/>
              <w:left w:w="108" w:type="dxa"/>
              <w:bottom w:w="0" w:type="dxa"/>
              <w:right w:w="108" w:type="dxa"/>
            </w:tcMar>
          </w:tcPr>
          <w:p w14:paraId="51A4A55A" w14:textId="77777777" w:rsidR="00A80E5B" w:rsidRPr="00A80E5B" w:rsidRDefault="00A80E5B" w:rsidP="00A80E5B">
            <w:r w:rsidRPr="00A80E5B">
              <w:t>Staff costs</w:t>
            </w:r>
          </w:p>
        </w:tc>
        <w:tc>
          <w:tcPr>
            <w:tcW w:w="1455" w:type="dxa"/>
            <w:tcMar>
              <w:top w:w="0" w:type="dxa"/>
              <w:left w:w="108" w:type="dxa"/>
              <w:bottom w:w="0" w:type="dxa"/>
              <w:right w:w="108" w:type="dxa"/>
            </w:tcMar>
          </w:tcPr>
          <w:p w14:paraId="3468413E" w14:textId="77777777" w:rsidR="00A80E5B" w:rsidRPr="00A80E5B" w:rsidRDefault="00A80E5B" w:rsidP="00A80E5B">
            <w:r w:rsidRPr="00A80E5B">
              <w:t>64397</w:t>
            </w:r>
          </w:p>
        </w:tc>
        <w:tc>
          <w:tcPr>
            <w:tcW w:w="2284" w:type="dxa"/>
            <w:tcMar>
              <w:top w:w="0" w:type="dxa"/>
              <w:left w:w="108" w:type="dxa"/>
              <w:bottom w:w="0" w:type="dxa"/>
              <w:right w:w="108" w:type="dxa"/>
            </w:tcMar>
          </w:tcPr>
          <w:p w14:paraId="1E9BAF4F" w14:textId="77777777" w:rsidR="00A80E5B" w:rsidRPr="00A80E5B" w:rsidRDefault="00A80E5B" w:rsidP="00A80E5B">
            <w:proofErr w:type="spellStart"/>
            <w:r w:rsidRPr="00A80E5B">
              <w:t>Mgmt</w:t>
            </w:r>
            <w:proofErr w:type="spellEnd"/>
            <w:r w:rsidRPr="00A80E5B">
              <w:t>  (core or XB) or prefinancing fund</w:t>
            </w:r>
          </w:p>
        </w:tc>
        <w:tc>
          <w:tcPr>
            <w:tcW w:w="2088" w:type="dxa"/>
            <w:tcMar>
              <w:top w:w="0" w:type="dxa"/>
              <w:left w:w="108" w:type="dxa"/>
              <w:bottom w:w="0" w:type="dxa"/>
              <w:right w:w="108" w:type="dxa"/>
            </w:tcMar>
          </w:tcPr>
          <w:p w14:paraId="55A11DA0" w14:textId="77777777" w:rsidR="00A80E5B" w:rsidRPr="00A80E5B" w:rsidRDefault="00A80E5B" w:rsidP="00A80E5B">
            <w:proofErr w:type="spellStart"/>
            <w:r w:rsidRPr="00A80E5B">
              <w:t>Mgmt</w:t>
            </w:r>
            <w:proofErr w:type="spellEnd"/>
            <w:r w:rsidRPr="00A80E5B">
              <w:t xml:space="preserve"> project</w:t>
            </w:r>
          </w:p>
        </w:tc>
      </w:tr>
      <w:tr w:rsidR="00A80E5B" w:rsidRPr="00A80E5B" w14:paraId="260682A3" w14:textId="77777777" w:rsidTr="00DA5D39">
        <w:trPr>
          <w:trHeight w:val="28"/>
        </w:trPr>
        <w:tc>
          <w:tcPr>
            <w:tcW w:w="1811" w:type="dxa"/>
            <w:tcMar>
              <w:top w:w="0" w:type="dxa"/>
              <w:left w:w="108" w:type="dxa"/>
              <w:bottom w:w="0" w:type="dxa"/>
              <w:right w:w="108" w:type="dxa"/>
            </w:tcMar>
          </w:tcPr>
          <w:p w14:paraId="3F18298D" w14:textId="77777777" w:rsidR="00A80E5B" w:rsidRPr="00A80E5B" w:rsidRDefault="00A80E5B" w:rsidP="00A80E5B">
            <w:r w:rsidRPr="00A80E5B">
              <w:t xml:space="preserve">     $5,000 - Debit</w:t>
            </w:r>
          </w:p>
        </w:tc>
        <w:tc>
          <w:tcPr>
            <w:tcW w:w="1769" w:type="dxa"/>
            <w:tcMar>
              <w:top w:w="0" w:type="dxa"/>
              <w:left w:w="108" w:type="dxa"/>
              <w:bottom w:w="0" w:type="dxa"/>
              <w:right w:w="108" w:type="dxa"/>
            </w:tcMar>
          </w:tcPr>
          <w:p w14:paraId="1CFED6B3" w14:textId="77777777" w:rsidR="00A80E5B" w:rsidRPr="00A80E5B" w:rsidRDefault="00A80E5B" w:rsidP="00A80E5B">
            <w:r w:rsidRPr="00A80E5B">
              <w:t>Project Services – GOE project A</w:t>
            </w:r>
          </w:p>
        </w:tc>
        <w:tc>
          <w:tcPr>
            <w:tcW w:w="1455" w:type="dxa"/>
            <w:tcMar>
              <w:top w:w="0" w:type="dxa"/>
              <w:left w:w="108" w:type="dxa"/>
              <w:bottom w:w="0" w:type="dxa"/>
              <w:right w:w="108" w:type="dxa"/>
            </w:tcMar>
          </w:tcPr>
          <w:p w14:paraId="777F47A6" w14:textId="77777777" w:rsidR="00A80E5B" w:rsidRPr="00A80E5B" w:rsidRDefault="00A80E5B" w:rsidP="00A80E5B">
            <w:r w:rsidRPr="00A80E5B">
              <w:t xml:space="preserve">74596 – project services - GOE </w:t>
            </w:r>
          </w:p>
        </w:tc>
        <w:tc>
          <w:tcPr>
            <w:tcW w:w="2284" w:type="dxa"/>
            <w:tcMar>
              <w:top w:w="0" w:type="dxa"/>
              <w:left w:w="108" w:type="dxa"/>
              <w:bottom w:w="0" w:type="dxa"/>
              <w:right w:w="108" w:type="dxa"/>
            </w:tcMar>
          </w:tcPr>
          <w:p w14:paraId="68EC951A" w14:textId="77777777" w:rsidR="00A80E5B" w:rsidRPr="00A80E5B" w:rsidRDefault="00A80E5B" w:rsidP="00A80E5B">
            <w:r w:rsidRPr="00A80E5B">
              <w:t>programme funds (30000 or 04000)</w:t>
            </w:r>
          </w:p>
        </w:tc>
        <w:tc>
          <w:tcPr>
            <w:tcW w:w="2088" w:type="dxa"/>
            <w:tcMar>
              <w:top w:w="0" w:type="dxa"/>
              <w:left w:w="108" w:type="dxa"/>
              <w:bottom w:w="0" w:type="dxa"/>
              <w:right w:w="108" w:type="dxa"/>
            </w:tcMar>
          </w:tcPr>
          <w:p w14:paraId="5720F291" w14:textId="77777777" w:rsidR="00A80E5B" w:rsidRPr="00A80E5B" w:rsidRDefault="00A80E5B" w:rsidP="00A80E5B">
            <w:r w:rsidRPr="00A80E5B">
              <w:t>Prog. projects</w:t>
            </w:r>
          </w:p>
        </w:tc>
      </w:tr>
      <w:tr w:rsidR="00A80E5B" w:rsidRPr="00A80E5B" w14:paraId="0549EBA3" w14:textId="77777777" w:rsidTr="00DA5D39">
        <w:trPr>
          <w:trHeight w:val="28"/>
        </w:trPr>
        <w:tc>
          <w:tcPr>
            <w:tcW w:w="1811" w:type="dxa"/>
            <w:tcMar>
              <w:top w:w="0" w:type="dxa"/>
              <w:left w:w="108" w:type="dxa"/>
              <w:bottom w:w="0" w:type="dxa"/>
              <w:right w:w="108" w:type="dxa"/>
            </w:tcMar>
          </w:tcPr>
          <w:p w14:paraId="62CE7883" w14:textId="77777777" w:rsidR="00A80E5B" w:rsidRPr="00A80E5B" w:rsidRDefault="00A80E5B" w:rsidP="00A80E5B">
            <w:r w:rsidRPr="00A80E5B">
              <w:t xml:space="preserve">     $2,000 - Debit</w:t>
            </w:r>
          </w:p>
        </w:tc>
        <w:tc>
          <w:tcPr>
            <w:tcW w:w="1769" w:type="dxa"/>
            <w:tcMar>
              <w:top w:w="0" w:type="dxa"/>
              <w:left w:w="108" w:type="dxa"/>
              <w:bottom w:w="0" w:type="dxa"/>
              <w:right w:w="108" w:type="dxa"/>
            </w:tcMar>
          </w:tcPr>
          <w:p w14:paraId="25F21681" w14:textId="77777777" w:rsidR="00A80E5B" w:rsidRPr="00A80E5B" w:rsidRDefault="00A80E5B" w:rsidP="00A80E5B">
            <w:r w:rsidRPr="00A80E5B">
              <w:t>Project Services - GOE to project B</w:t>
            </w:r>
          </w:p>
        </w:tc>
        <w:tc>
          <w:tcPr>
            <w:tcW w:w="1455" w:type="dxa"/>
            <w:tcMar>
              <w:top w:w="0" w:type="dxa"/>
              <w:left w:w="108" w:type="dxa"/>
              <w:bottom w:w="0" w:type="dxa"/>
              <w:right w:w="108" w:type="dxa"/>
            </w:tcMar>
          </w:tcPr>
          <w:p w14:paraId="53560F54" w14:textId="77777777" w:rsidR="00A80E5B" w:rsidRPr="00A80E5B" w:rsidRDefault="00A80E5B" w:rsidP="00A80E5B">
            <w:r w:rsidRPr="00A80E5B">
              <w:t>74596</w:t>
            </w:r>
          </w:p>
        </w:tc>
        <w:tc>
          <w:tcPr>
            <w:tcW w:w="2284" w:type="dxa"/>
            <w:tcMar>
              <w:top w:w="0" w:type="dxa"/>
              <w:left w:w="108" w:type="dxa"/>
              <w:bottom w:w="0" w:type="dxa"/>
              <w:right w:w="108" w:type="dxa"/>
            </w:tcMar>
          </w:tcPr>
          <w:p w14:paraId="2796F9C3" w14:textId="77777777" w:rsidR="00A80E5B" w:rsidRPr="00A80E5B" w:rsidRDefault="00A80E5B" w:rsidP="00A80E5B">
            <w:r w:rsidRPr="00A80E5B">
              <w:t>programme funds (30000 or 04000)</w:t>
            </w:r>
          </w:p>
        </w:tc>
        <w:tc>
          <w:tcPr>
            <w:tcW w:w="2088" w:type="dxa"/>
            <w:tcMar>
              <w:top w:w="0" w:type="dxa"/>
              <w:left w:w="108" w:type="dxa"/>
              <w:bottom w:w="0" w:type="dxa"/>
              <w:right w:w="108" w:type="dxa"/>
            </w:tcMar>
          </w:tcPr>
          <w:p w14:paraId="65F8650F" w14:textId="77777777" w:rsidR="00A80E5B" w:rsidRPr="00A80E5B" w:rsidRDefault="00A80E5B" w:rsidP="00A80E5B">
            <w:r w:rsidRPr="00A80E5B">
              <w:t>Prog. projects</w:t>
            </w:r>
          </w:p>
        </w:tc>
      </w:tr>
      <w:tr w:rsidR="00A80E5B" w:rsidRPr="00A80E5B" w14:paraId="2E808E9D" w14:textId="77777777" w:rsidTr="00DA5D39">
        <w:trPr>
          <w:trHeight w:val="33"/>
        </w:trPr>
        <w:tc>
          <w:tcPr>
            <w:tcW w:w="1811" w:type="dxa"/>
            <w:tcMar>
              <w:top w:w="0" w:type="dxa"/>
              <w:left w:w="108" w:type="dxa"/>
              <w:bottom w:w="0" w:type="dxa"/>
              <w:right w:w="108" w:type="dxa"/>
            </w:tcMar>
            <w:hideMark/>
          </w:tcPr>
          <w:p w14:paraId="7FE17100" w14:textId="77777777" w:rsidR="00A80E5B" w:rsidRPr="00A80E5B" w:rsidRDefault="00A80E5B" w:rsidP="00A80E5B">
            <w:r w:rsidRPr="00A80E5B">
              <w:t xml:space="preserve">     ($5,000) - Credit</w:t>
            </w:r>
          </w:p>
        </w:tc>
        <w:tc>
          <w:tcPr>
            <w:tcW w:w="1769" w:type="dxa"/>
            <w:tcMar>
              <w:top w:w="0" w:type="dxa"/>
              <w:left w:w="108" w:type="dxa"/>
              <w:bottom w:w="0" w:type="dxa"/>
              <w:right w:w="108" w:type="dxa"/>
            </w:tcMar>
            <w:hideMark/>
          </w:tcPr>
          <w:p w14:paraId="06B91453" w14:textId="77777777" w:rsidR="00A80E5B" w:rsidRPr="00A80E5B" w:rsidRDefault="00A80E5B" w:rsidP="00A80E5B">
            <w:r w:rsidRPr="00A80E5B">
              <w:t>Project Services - GOE</w:t>
            </w:r>
          </w:p>
        </w:tc>
        <w:tc>
          <w:tcPr>
            <w:tcW w:w="1455" w:type="dxa"/>
            <w:tcMar>
              <w:top w:w="0" w:type="dxa"/>
              <w:left w:w="108" w:type="dxa"/>
              <w:bottom w:w="0" w:type="dxa"/>
              <w:right w:w="108" w:type="dxa"/>
            </w:tcMar>
            <w:hideMark/>
          </w:tcPr>
          <w:p w14:paraId="054D696E" w14:textId="77777777" w:rsidR="00A80E5B" w:rsidRPr="00A80E5B" w:rsidRDefault="00A80E5B" w:rsidP="00A80E5B">
            <w:r w:rsidRPr="00A80E5B">
              <w:t xml:space="preserve">74596 </w:t>
            </w:r>
          </w:p>
        </w:tc>
        <w:tc>
          <w:tcPr>
            <w:tcW w:w="2284" w:type="dxa"/>
            <w:tcMar>
              <w:top w:w="0" w:type="dxa"/>
              <w:left w:w="108" w:type="dxa"/>
              <w:bottom w:w="0" w:type="dxa"/>
              <w:right w:w="108" w:type="dxa"/>
            </w:tcMar>
            <w:hideMark/>
          </w:tcPr>
          <w:p w14:paraId="05D25A0F" w14:textId="77777777" w:rsidR="00A80E5B" w:rsidRPr="00A80E5B" w:rsidRDefault="00A80E5B" w:rsidP="00A80E5B">
            <w:proofErr w:type="spellStart"/>
            <w:r w:rsidRPr="00A80E5B">
              <w:t>Mgmt</w:t>
            </w:r>
            <w:proofErr w:type="spellEnd"/>
            <w:r w:rsidRPr="00A80E5B">
              <w:t>  (core or XB) or pre-financing fund</w:t>
            </w:r>
          </w:p>
        </w:tc>
        <w:tc>
          <w:tcPr>
            <w:tcW w:w="2088" w:type="dxa"/>
            <w:tcMar>
              <w:top w:w="0" w:type="dxa"/>
              <w:left w:w="108" w:type="dxa"/>
              <w:bottom w:w="0" w:type="dxa"/>
              <w:right w:w="108" w:type="dxa"/>
            </w:tcMar>
            <w:hideMark/>
          </w:tcPr>
          <w:p w14:paraId="71D5B4A8" w14:textId="77777777" w:rsidR="00A80E5B" w:rsidRPr="00A80E5B" w:rsidRDefault="00A80E5B" w:rsidP="00A80E5B">
            <w:proofErr w:type="spellStart"/>
            <w:r w:rsidRPr="00A80E5B">
              <w:t>Mgmt</w:t>
            </w:r>
            <w:proofErr w:type="spellEnd"/>
            <w:r w:rsidRPr="00A80E5B">
              <w:t xml:space="preserve"> project</w:t>
            </w:r>
          </w:p>
        </w:tc>
      </w:tr>
    </w:tbl>
    <w:p w14:paraId="14EBE100" w14:textId="77777777" w:rsidR="00A80E5B" w:rsidRPr="00A80E5B" w:rsidRDefault="00A80E5B" w:rsidP="00A80E5B"/>
    <w:p w14:paraId="382366D0" w14:textId="77777777" w:rsidR="00A80E5B" w:rsidRPr="00A80E5B" w:rsidRDefault="00A80E5B" w:rsidP="00A80E5B">
      <w:pPr>
        <w:rPr>
          <w:b/>
        </w:rPr>
      </w:pPr>
      <w:r w:rsidRPr="00A80E5B">
        <w:rPr>
          <w:b/>
        </w:rPr>
        <w:t>Attribution of “Expert Policy Advisory Services” from HQ (BPPS and central bureaux) from country development projects</w:t>
      </w:r>
    </w:p>
    <w:p w14:paraId="412BFAAD" w14:textId="77777777" w:rsidR="00A80E5B" w:rsidRPr="00A80E5B" w:rsidRDefault="00A80E5B" w:rsidP="00A80E5B">
      <w:r w:rsidRPr="00A80E5B">
        <w:t>The country offices may request expert advisory services from HQ units to support the development projects at any stage of project life cycle in consultation with HQ bureaux.</w:t>
      </w:r>
    </w:p>
    <w:p w14:paraId="4F3C92C4" w14:textId="77777777" w:rsidR="00A80E5B" w:rsidRPr="00A80E5B" w:rsidRDefault="00A80E5B" w:rsidP="00A80E5B">
      <w:r w:rsidRPr="00A80E5B">
        <w:t>A dedicated account code, Expert Advisory Service- Staff cost (64399) is created to record the internal services charges.  This account is only used to pay the cost of HQ staff to development projects.</w:t>
      </w:r>
    </w:p>
    <w:p w14:paraId="61D753D3" w14:textId="77777777" w:rsidR="00A80E5B" w:rsidRPr="00A80E5B" w:rsidRDefault="00A80E5B" w:rsidP="00A80E5B">
      <w:pPr>
        <w:rPr>
          <w:i/>
        </w:rPr>
      </w:pPr>
      <w:r w:rsidRPr="00A80E5B">
        <w:rPr>
          <w:i/>
        </w:rPr>
        <w:t>Accounting Entries to reimburse “Expert Policy Advisory Services” from HQ (BPPS and central bureaux:</w:t>
      </w:r>
    </w:p>
    <w:p w14:paraId="1CB7B1B4" w14:textId="77777777" w:rsidR="00A80E5B" w:rsidRPr="00A80E5B" w:rsidRDefault="00A80E5B" w:rsidP="00A80E5B">
      <w:r w:rsidRPr="00A80E5B">
        <w:lastRenderedPageBreak/>
        <w:t>For example, at the request from the country office, HQ staff conducted a 5-day mission for two projects with the following costs:</w:t>
      </w:r>
    </w:p>
    <w:p w14:paraId="4E28F705" w14:textId="77777777" w:rsidR="00A80E5B" w:rsidRPr="00A80E5B" w:rsidRDefault="00A80E5B" w:rsidP="00A80E5B">
      <w:pPr>
        <w:numPr>
          <w:ilvl w:val="0"/>
          <w:numId w:val="11"/>
        </w:numPr>
      </w:pPr>
      <w:r w:rsidRPr="00A80E5B">
        <w:t>Staff costs for 5 days - $1000 cost at the internal charge-out rate (lower than the full proforma)</w:t>
      </w:r>
    </w:p>
    <w:p w14:paraId="1499503D" w14:textId="77777777" w:rsidR="00A80E5B" w:rsidRPr="00A80E5B" w:rsidRDefault="00A80E5B" w:rsidP="00A80E5B">
      <w:pPr>
        <w:numPr>
          <w:ilvl w:val="0"/>
          <w:numId w:val="11"/>
        </w:numPr>
      </w:pPr>
      <w:r w:rsidRPr="00A80E5B">
        <w:t>Mission costs (ticket and DSA) - $5000</w:t>
      </w:r>
    </w:p>
    <w:p w14:paraId="58A7EA55" w14:textId="77777777" w:rsidR="00A80E5B" w:rsidRPr="00A80E5B" w:rsidRDefault="00A80E5B" w:rsidP="00A80E5B">
      <w:r w:rsidRPr="00A80E5B">
        <w:t xml:space="preserve">In this case, the mission costs should be charged directly to the concerned development projects COA against the travel account codes (716xx) when processing the travel requests in Quantum for the staff member. If the office was not able to pay the travel costs at the time of travel, the office should reimburse the mission costs from the development projects budget to the HQ units COA using the travel account codes (716xx) not DPC account codes. </w:t>
      </w:r>
    </w:p>
    <w:p w14:paraId="3CD5A53B" w14:textId="77777777" w:rsidR="00A80E5B" w:rsidRPr="00A80E5B" w:rsidRDefault="00A80E5B" w:rsidP="00A80E5B">
      <w:r w:rsidRPr="00A80E5B">
        <w:t xml:space="preserve">The recovery of staff costs, e.g. expert advisory services, however, will be processed via </w:t>
      </w:r>
      <w:r w:rsidRPr="00A80E5B">
        <w:rPr>
          <w:lang w:val="en-US"/>
        </w:rPr>
        <w:t>Zero-dollar invoices</w:t>
      </w:r>
      <w:r w:rsidRPr="00A80E5B">
        <w:t xml:space="preserve"> as follows:</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1789"/>
        <w:gridCol w:w="1471"/>
        <w:gridCol w:w="2309"/>
        <w:gridCol w:w="2111"/>
      </w:tblGrid>
      <w:tr w:rsidR="00A80E5B" w:rsidRPr="00A80E5B" w14:paraId="0CD04AA9" w14:textId="77777777" w:rsidTr="00DA5D39">
        <w:trPr>
          <w:trHeight w:val="218"/>
        </w:trPr>
        <w:tc>
          <w:tcPr>
            <w:tcW w:w="1831" w:type="dxa"/>
            <w:tcMar>
              <w:top w:w="0" w:type="dxa"/>
              <w:left w:w="108" w:type="dxa"/>
              <w:bottom w:w="0" w:type="dxa"/>
              <w:right w:w="108" w:type="dxa"/>
            </w:tcMar>
            <w:hideMark/>
          </w:tcPr>
          <w:p w14:paraId="6B30A6EA" w14:textId="77777777" w:rsidR="00A80E5B" w:rsidRPr="00A80E5B" w:rsidRDefault="00A80E5B" w:rsidP="00A80E5B">
            <w:r w:rsidRPr="00A80E5B">
              <w:t>Debit (Credit) amount</w:t>
            </w:r>
          </w:p>
        </w:tc>
        <w:tc>
          <w:tcPr>
            <w:tcW w:w="1789" w:type="dxa"/>
            <w:tcMar>
              <w:top w:w="0" w:type="dxa"/>
              <w:left w:w="108" w:type="dxa"/>
              <w:bottom w:w="0" w:type="dxa"/>
              <w:right w:w="108" w:type="dxa"/>
            </w:tcMar>
            <w:hideMark/>
          </w:tcPr>
          <w:p w14:paraId="44806115" w14:textId="77777777" w:rsidR="00A80E5B" w:rsidRPr="00A80E5B" w:rsidRDefault="00A80E5B" w:rsidP="00A80E5B">
            <w:r w:rsidRPr="00A80E5B">
              <w:t>Purpose</w:t>
            </w:r>
          </w:p>
        </w:tc>
        <w:tc>
          <w:tcPr>
            <w:tcW w:w="1471" w:type="dxa"/>
            <w:tcMar>
              <w:top w:w="0" w:type="dxa"/>
              <w:left w:w="108" w:type="dxa"/>
              <w:bottom w:w="0" w:type="dxa"/>
              <w:right w:w="108" w:type="dxa"/>
            </w:tcMar>
            <w:hideMark/>
          </w:tcPr>
          <w:p w14:paraId="0C19490F" w14:textId="77777777" w:rsidR="00A80E5B" w:rsidRPr="00A80E5B" w:rsidRDefault="00A80E5B" w:rsidP="00A80E5B">
            <w:r w:rsidRPr="00A80E5B">
              <w:t>Expense</w:t>
            </w:r>
          </w:p>
          <w:p w14:paraId="4114838A" w14:textId="77777777" w:rsidR="00A80E5B" w:rsidRPr="00A80E5B" w:rsidRDefault="00A80E5B" w:rsidP="00A80E5B">
            <w:r w:rsidRPr="00A80E5B">
              <w:t>Account Code</w:t>
            </w:r>
          </w:p>
        </w:tc>
        <w:tc>
          <w:tcPr>
            <w:tcW w:w="2309" w:type="dxa"/>
            <w:tcMar>
              <w:top w:w="0" w:type="dxa"/>
              <w:left w:w="108" w:type="dxa"/>
              <w:bottom w:w="0" w:type="dxa"/>
              <w:right w:w="108" w:type="dxa"/>
            </w:tcMar>
            <w:hideMark/>
          </w:tcPr>
          <w:p w14:paraId="4B071CB9" w14:textId="77777777" w:rsidR="00A80E5B" w:rsidRPr="00A80E5B" w:rsidRDefault="00A80E5B" w:rsidP="00A80E5B">
            <w:r w:rsidRPr="00A80E5B">
              <w:t>Fund</w:t>
            </w:r>
          </w:p>
        </w:tc>
        <w:tc>
          <w:tcPr>
            <w:tcW w:w="2111" w:type="dxa"/>
            <w:tcMar>
              <w:top w:w="0" w:type="dxa"/>
              <w:left w:w="108" w:type="dxa"/>
              <w:bottom w:w="0" w:type="dxa"/>
              <w:right w:w="108" w:type="dxa"/>
            </w:tcMar>
            <w:hideMark/>
          </w:tcPr>
          <w:p w14:paraId="6AE5CC02" w14:textId="77777777" w:rsidR="00A80E5B" w:rsidRPr="00A80E5B" w:rsidRDefault="00A80E5B" w:rsidP="00A80E5B">
            <w:r w:rsidRPr="00A80E5B">
              <w:t>Project</w:t>
            </w:r>
          </w:p>
        </w:tc>
      </w:tr>
      <w:tr w:rsidR="00A80E5B" w:rsidRPr="00A80E5B" w14:paraId="78BBABFE" w14:textId="77777777" w:rsidTr="00DA5D39">
        <w:trPr>
          <w:trHeight w:val="210"/>
        </w:trPr>
        <w:tc>
          <w:tcPr>
            <w:tcW w:w="1831" w:type="dxa"/>
            <w:tcMar>
              <w:top w:w="0" w:type="dxa"/>
              <w:left w:w="108" w:type="dxa"/>
              <w:bottom w:w="0" w:type="dxa"/>
              <w:right w:w="108" w:type="dxa"/>
            </w:tcMar>
            <w:hideMark/>
          </w:tcPr>
          <w:p w14:paraId="2DCCF875" w14:textId="77777777" w:rsidR="00A80E5B" w:rsidRPr="00A80E5B" w:rsidRDefault="00A80E5B" w:rsidP="00A80E5B">
            <w:r w:rsidRPr="00A80E5B">
              <w:t>$1,000 -  Debit</w:t>
            </w:r>
          </w:p>
        </w:tc>
        <w:tc>
          <w:tcPr>
            <w:tcW w:w="1789" w:type="dxa"/>
            <w:tcMar>
              <w:top w:w="0" w:type="dxa"/>
              <w:left w:w="108" w:type="dxa"/>
              <w:bottom w:w="0" w:type="dxa"/>
              <w:right w:w="108" w:type="dxa"/>
            </w:tcMar>
            <w:hideMark/>
          </w:tcPr>
          <w:p w14:paraId="2B6469C9" w14:textId="77777777" w:rsidR="00A80E5B" w:rsidRPr="00A80E5B" w:rsidRDefault="00A80E5B" w:rsidP="00A80E5B">
            <w:r w:rsidRPr="00A80E5B">
              <w:t>Project to project A</w:t>
            </w:r>
          </w:p>
        </w:tc>
        <w:tc>
          <w:tcPr>
            <w:tcW w:w="1471" w:type="dxa"/>
            <w:tcMar>
              <w:top w:w="0" w:type="dxa"/>
              <w:left w:w="108" w:type="dxa"/>
              <w:bottom w:w="0" w:type="dxa"/>
              <w:right w:w="108" w:type="dxa"/>
            </w:tcMar>
            <w:hideMark/>
          </w:tcPr>
          <w:p w14:paraId="463B1039" w14:textId="77777777" w:rsidR="00A80E5B" w:rsidRPr="00A80E5B" w:rsidRDefault="00A80E5B" w:rsidP="00A80E5B">
            <w:r w:rsidRPr="00A80E5B">
              <w:t>64399 – Expert Advisory Services staff cost</w:t>
            </w:r>
          </w:p>
        </w:tc>
        <w:tc>
          <w:tcPr>
            <w:tcW w:w="2309" w:type="dxa"/>
            <w:tcMar>
              <w:top w:w="0" w:type="dxa"/>
              <w:left w:w="108" w:type="dxa"/>
              <w:bottom w:w="0" w:type="dxa"/>
              <w:right w:w="108" w:type="dxa"/>
            </w:tcMar>
            <w:hideMark/>
          </w:tcPr>
          <w:p w14:paraId="62EA2A21" w14:textId="77777777" w:rsidR="00A80E5B" w:rsidRPr="00A80E5B" w:rsidRDefault="00A80E5B" w:rsidP="00A80E5B">
            <w:r w:rsidRPr="00A80E5B">
              <w:t>programme funds (30000 or 04000)</w:t>
            </w:r>
          </w:p>
        </w:tc>
        <w:tc>
          <w:tcPr>
            <w:tcW w:w="2111" w:type="dxa"/>
            <w:tcMar>
              <w:top w:w="0" w:type="dxa"/>
              <w:left w:w="108" w:type="dxa"/>
              <w:bottom w:w="0" w:type="dxa"/>
              <w:right w:w="108" w:type="dxa"/>
            </w:tcMar>
            <w:hideMark/>
          </w:tcPr>
          <w:p w14:paraId="4C5F2282" w14:textId="77777777" w:rsidR="00A80E5B" w:rsidRPr="00A80E5B" w:rsidRDefault="00A80E5B" w:rsidP="00A80E5B">
            <w:r w:rsidRPr="00A80E5B">
              <w:t>Prog. projects</w:t>
            </w:r>
          </w:p>
        </w:tc>
      </w:tr>
      <w:tr w:rsidR="00A80E5B" w:rsidRPr="00A80E5B" w14:paraId="448801F1" w14:textId="77777777" w:rsidTr="00DA5D39">
        <w:trPr>
          <w:trHeight w:val="552"/>
        </w:trPr>
        <w:tc>
          <w:tcPr>
            <w:tcW w:w="1831" w:type="dxa"/>
            <w:tcMar>
              <w:top w:w="0" w:type="dxa"/>
              <w:left w:w="108" w:type="dxa"/>
              <w:bottom w:w="0" w:type="dxa"/>
              <w:right w:w="108" w:type="dxa"/>
            </w:tcMar>
            <w:hideMark/>
          </w:tcPr>
          <w:p w14:paraId="52C21626" w14:textId="77777777" w:rsidR="00A80E5B" w:rsidRPr="00A80E5B" w:rsidRDefault="00A80E5B" w:rsidP="00A80E5B">
            <w:r w:rsidRPr="00A80E5B">
              <w:t xml:space="preserve"> $1,000  - Debit </w:t>
            </w:r>
          </w:p>
        </w:tc>
        <w:tc>
          <w:tcPr>
            <w:tcW w:w="1789" w:type="dxa"/>
            <w:tcMar>
              <w:top w:w="0" w:type="dxa"/>
              <w:left w:w="108" w:type="dxa"/>
              <w:bottom w:w="0" w:type="dxa"/>
              <w:right w:w="108" w:type="dxa"/>
            </w:tcMar>
            <w:hideMark/>
          </w:tcPr>
          <w:p w14:paraId="7AD898C7" w14:textId="77777777" w:rsidR="00A80E5B" w:rsidRPr="00A80E5B" w:rsidRDefault="00A80E5B" w:rsidP="00A80E5B">
            <w:r w:rsidRPr="00A80E5B">
              <w:t>Staff cost to project B</w:t>
            </w:r>
          </w:p>
        </w:tc>
        <w:tc>
          <w:tcPr>
            <w:tcW w:w="1471" w:type="dxa"/>
            <w:tcMar>
              <w:top w:w="0" w:type="dxa"/>
              <w:left w:w="108" w:type="dxa"/>
              <w:bottom w:w="0" w:type="dxa"/>
              <w:right w:w="108" w:type="dxa"/>
            </w:tcMar>
            <w:hideMark/>
          </w:tcPr>
          <w:p w14:paraId="6269F67D" w14:textId="77777777" w:rsidR="00A80E5B" w:rsidRPr="00A80E5B" w:rsidRDefault="00A80E5B" w:rsidP="00A80E5B">
            <w:r w:rsidRPr="00A80E5B">
              <w:t>64399</w:t>
            </w:r>
          </w:p>
        </w:tc>
        <w:tc>
          <w:tcPr>
            <w:tcW w:w="2309" w:type="dxa"/>
            <w:tcMar>
              <w:top w:w="0" w:type="dxa"/>
              <w:left w:w="108" w:type="dxa"/>
              <w:bottom w:w="0" w:type="dxa"/>
              <w:right w:w="108" w:type="dxa"/>
            </w:tcMar>
            <w:hideMark/>
          </w:tcPr>
          <w:p w14:paraId="1621FE57" w14:textId="77777777" w:rsidR="00A80E5B" w:rsidRPr="00A80E5B" w:rsidRDefault="00A80E5B" w:rsidP="00A80E5B">
            <w:r w:rsidRPr="00A80E5B">
              <w:t>programme funds (30000 or 04000)</w:t>
            </w:r>
          </w:p>
        </w:tc>
        <w:tc>
          <w:tcPr>
            <w:tcW w:w="2111" w:type="dxa"/>
            <w:tcMar>
              <w:top w:w="0" w:type="dxa"/>
              <w:left w:w="108" w:type="dxa"/>
              <w:bottom w:w="0" w:type="dxa"/>
              <w:right w:w="108" w:type="dxa"/>
            </w:tcMar>
            <w:hideMark/>
          </w:tcPr>
          <w:p w14:paraId="31271CC8" w14:textId="77777777" w:rsidR="00A80E5B" w:rsidRPr="00A80E5B" w:rsidRDefault="00A80E5B" w:rsidP="00A80E5B">
            <w:r w:rsidRPr="00A80E5B">
              <w:t>Prog. projects</w:t>
            </w:r>
          </w:p>
        </w:tc>
      </w:tr>
      <w:tr w:rsidR="00A80E5B" w:rsidRPr="00A80E5B" w14:paraId="659799C0" w14:textId="77777777" w:rsidTr="00DA5D39">
        <w:trPr>
          <w:trHeight w:val="93"/>
        </w:trPr>
        <w:tc>
          <w:tcPr>
            <w:tcW w:w="1831" w:type="dxa"/>
            <w:tcMar>
              <w:top w:w="0" w:type="dxa"/>
              <w:left w:w="108" w:type="dxa"/>
              <w:bottom w:w="0" w:type="dxa"/>
              <w:right w:w="108" w:type="dxa"/>
            </w:tcMar>
          </w:tcPr>
          <w:p w14:paraId="30BF59DC" w14:textId="77777777" w:rsidR="00A80E5B" w:rsidRPr="00A80E5B" w:rsidRDefault="00A80E5B" w:rsidP="00A80E5B">
            <w:r w:rsidRPr="00A80E5B">
              <w:t>($2,000) - Credit</w:t>
            </w:r>
          </w:p>
        </w:tc>
        <w:tc>
          <w:tcPr>
            <w:tcW w:w="1789" w:type="dxa"/>
            <w:tcMar>
              <w:top w:w="0" w:type="dxa"/>
              <w:left w:w="108" w:type="dxa"/>
              <w:bottom w:w="0" w:type="dxa"/>
              <w:right w:w="108" w:type="dxa"/>
            </w:tcMar>
          </w:tcPr>
          <w:p w14:paraId="37E7288F" w14:textId="77777777" w:rsidR="00A80E5B" w:rsidRPr="00A80E5B" w:rsidRDefault="00A80E5B" w:rsidP="00A80E5B">
            <w:r w:rsidRPr="00A80E5B">
              <w:t>Staff costs</w:t>
            </w:r>
          </w:p>
        </w:tc>
        <w:tc>
          <w:tcPr>
            <w:tcW w:w="1471" w:type="dxa"/>
            <w:tcMar>
              <w:top w:w="0" w:type="dxa"/>
              <w:left w:w="108" w:type="dxa"/>
              <w:bottom w:w="0" w:type="dxa"/>
              <w:right w:w="108" w:type="dxa"/>
            </w:tcMar>
          </w:tcPr>
          <w:p w14:paraId="3A0BD569" w14:textId="77777777" w:rsidR="00A80E5B" w:rsidRPr="00A80E5B" w:rsidRDefault="00A80E5B" w:rsidP="00A80E5B">
            <w:r w:rsidRPr="00A80E5B">
              <w:t>64399</w:t>
            </w:r>
          </w:p>
        </w:tc>
        <w:tc>
          <w:tcPr>
            <w:tcW w:w="2309" w:type="dxa"/>
            <w:tcMar>
              <w:top w:w="0" w:type="dxa"/>
              <w:left w:w="108" w:type="dxa"/>
              <w:bottom w:w="0" w:type="dxa"/>
              <w:right w:w="108" w:type="dxa"/>
            </w:tcMar>
          </w:tcPr>
          <w:p w14:paraId="7306E05A" w14:textId="77777777" w:rsidR="00A80E5B" w:rsidRPr="00A80E5B" w:rsidRDefault="00A80E5B" w:rsidP="00A80E5B">
            <w:r w:rsidRPr="00A80E5B">
              <w:t>COA from HQ (BPPS, BMS, BERA)</w:t>
            </w:r>
          </w:p>
        </w:tc>
        <w:tc>
          <w:tcPr>
            <w:tcW w:w="2111" w:type="dxa"/>
            <w:tcMar>
              <w:top w:w="0" w:type="dxa"/>
              <w:left w:w="108" w:type="dxa"/>
              <w:bottom w:w="0" w:type="dxa"/>
              <w:right w:w="108" w:type="dxa"/>
            </w:tcMar>
          </w:tcPr>
          <w:p w14:paraId="69D9DA46" w14:textId="77777777" w:rsidR="00A80E5B" w:rsidRPr="00A80E5B" w:rsidRDefault="00A80E5B" w:rsidP="00A80E5B">
            <w:r w:rsidRPr="00A80E5B">
              <w:t>As provided from HQ</w:t>
            </w:r>
          </w:p>
        </w:tc>
      </w:tr>
    </w:tbl>
    <w:p w14:paraId="03F2514A" w14:textId="77777777" w:rsidR="00A80E5B" w:rsidRPr="00A80E5B" w:rsidRDefault="00A80E5B" w:rsidP="00A80E5B"/>
    <w:p w14:paraId="02254500" w14:textId="77777777" w:rsidR="00A80E5B" w:rsidRPr="00A80E5B" w:rsidRDefault="00A80E5B" w:rsidP="00A80E5B">
      <w:pPr>
        <w:numPr>
          <w:ilvl w:val="0"/>
          <w:numId w:val="5"/>
        </w:numPr>
      </w:pPr>
      <w:r w:rsidRPr="00A80E5B">
        <w:t>Incorrect use of DPC accounts</w:t>
      </w:r>
    </w:p>
    <w:p w14:paraId="6AD4BE8E" w14:textId="77777777" w:rsidR="00A80E5B" w:rsidRPr="00A80E5B" w:rsidRDefault="00A80E5B" w:rsidP="00A80E5B">
      <w:r w:rsidRPr="00A80E5B">
        <w:t xml:space="preserve">The following DPC accounts should be used only to attribute the internal direct project costs. </w:t>
      </w:r>
    </w:p>
    <w:p w14:paraId="7E9F3835" w14:textId="77777777" w:rsidR="00A80E5B" w:rsidRPr="00A80E5B" w:rsidRDefault="00A80E5B" w:rsidP="00A80E5B">
      <w:pPr>
        <w:numPr>
          <w:ilvl w:val="0"/>
          <w:numId w:val="12"/>
        </w:numPr>
      </w:pPr>
      <w:r w:rsidRPr="00A80E5B">
        <w:t xml:space="preserve">64399- Expert advisory services – HQ staff </w:t>
      </w:r>
    </w:p>
    <w:p w14:paraId="3D3C4C4E" w14:textId="77777777" w:rsidR="00A80E5B" w:rsidRPr="00A80E5B" w:rsidRDefault="00A80E5B" w:rsidP="00A80E5B">
      <w:pPr>
        <w:numPr>
          <w:ilvl w:val="0"/>
          <w:numId w:val="12"/>
        </w:numPr>
      </w:pPr>
      <w:r w:rsidRPr="00A80E5B">
        <w:t>64397 – Projects services – CO staff</w:t>
      </w:r>
    </w:p>
    <w:p w14:paraId="4D481A56" w14:textId="77777777" w:rsidR="00A80E5B" w:rsidRPr="00A80E5B" w:rsidRDefault="00A80E5B" w:rsidP="00A80E5B">
      <w:pPr>
        <w:numPr>
          <w:ilvl w:val="0"/>
          <w:numId w:val="12"/>
        </w:numPr>
      </w:pPr>
      <w:r w:rsidRPr="00A80E5B">
        <w:t>74596- Project services – GOE</w:t>
      </w:r>
    </w:p>
    <w:p w14:paraId="62273274" w14:textId="77777777" w:rsidR="00A80E5B" w:rsidRPr="00A80E5B" w:rsidRDefault="00A80E5B" w:rsidP="00A80E5B"/>
    <w:p w14:paraId="14C7647C" w14:textId="77777777" w:rsidR="00A80E5B" w:rsidRPr="00A80E5B" w:rsidRDefault="00A80E5B" w:rsidP="00A80E5B">
      <w:r w:rsidRPr="00A80E5B">
        <w:t xml:space="preserve">Any transactions where the above account codes were incorrectly used, for instance, DPC accounts were only used to charge the development projects while the credits were recorded in different accounts, will be included in a monthly DPC exception report and year-end accounts certification exercise.  The offices should review the DPC exception reports regularly to correct any miscoding on time.  </w:t>
      </w:r>
    </w:p>
    <w:p w14:paraId="4066A271" w14:textId="77777777" w:rsidR="00A80E5B" w:rsidRPr="00A80E5B" w:rsidRDefault="00A80E5B" w:rsidP="00A80E5B"/>
    <w:p w14:paraId="3C72A823" w14:textId="77777777" w:rsidR="00A80E5B" w:rsidRPr="00A80E5B" w:rsidRDefault="00A80E5B" w:rsidP="00A80E5B">
      <w:r w:rsidRPr="00A80E5B">
        <w:t>DPC accounts should NOT be used to charge the mission costs, external consultants, translators and drivers who were hired to support the mission, rental of equipment and vehicles and premises. These type of expenses should be paid directly from the respective development project budgets using the following expense accounts at the time of payments to vendors:</w:t>
      </w:r>
    </w:p>
    <w:p w14:paraId="15A90D73" w14:textId="77777777" w:rsidR="00A80E5B" w:rsidRPr="00A80E5B" w:rsidRDefault="00A80E5B" w:rsidP="00A80E5B">
      <w:pPr>
        <w:numPr>
          <w:ilvl w:val="0"/>
          <w:numId w:val="12"/>
        </w:numPr>
      </w:pPr>
      <w:r w:rsidRPr="00A80E5B">
        <w:t>716xx - Travel costs</w:t>
      </w:r>
    </w:p>
    <w:p w14:paraId="1175BA3D" w14:textId="77777777" w:rsidR="00A80E5B" w:rsidRPr="00A80E5B" w:rsidRDefault="00A80E5B" w:rsidP="00A80E5B">
      <w:pPr>
        <w:numPr>
          <w:ilvl w:val="0"/>
          <w:numId w:val="12"/>
        </w:numPr>
      </w:pPr>
      <w:r w:rsidRPr="00A80E5B">
        <w:t>731xx - Rental of premise</w:t>
      </w:r>
    </w:p>
    <w:p w14:paraId="6C76783F" w14:textId="77777777" w:rsidR="00A80E5B" w:rsidRPr="00A80E5B" w:rsidRDefault="00A80E5B" w:rsidP="00A80E5B">
      <w:pPr>
        <w:numPr>
          <w:ilvl w:val="0"/>
          <w:numId w:val="12"/>
        </w:numPr>
      </w:pPr>
      <w:r w:rsidRPr="00A80E5B">
        <w:t>712xx – Consultants</w:t>
      </w:r>
    </w:p>
    <w:p w14:paraId="17EFEAAC" w14:textId="77777777" w:rsidR="00A80E5B" w:rsidRPr="00A80E5B" w:rsidRDefault="00A80E5B" w:rsidP="00A80E5B">
      <w:pPr>
        <w:numPr>
          <w:ilvl w:val="0"/>
          <w:numId w:val="12"/>
        </w:numPr>
      </w:pPr>
      <w:r w:rsidRPr="00A80E5B">
        <w:t>734xx – Rental of equipment</w:t>
      </w:r>
    </w:p>
    <w:p w14:paraId="6A0A7D9B" w14:textId="77777777" w:rsidR="00A80E5B" w:rsidRPr="00A80E5B" w:rsidRDefault="00A80E5B" w:rsidP="00A80E5B">
      <w:pPr>
        <w:numPr>
          <w:ilvl w:val="0"/>
          <w:numId w:val="12"/>
        </w:numPr>
      </w:pPr>
      <w:r w:rsidRPr="00A80E5B">
        <w:t>725xx – Publications</w:t>
      </w:r>
    </w:p>
    <w:p w14:paraId="2F819B32" w14:textId="77777777" w:rsidR="00A80E5B" w:rsidRPr="00A80E5B" w:rsidRDefault="00A80E5B" w:rsidP="00A80E5B">
      <w:r w:rsidRPr="00A80E5B">
        <w:t xml:space="preserve">DPC accounts should NOT be used to recover the agency services costs via </w:t>
      </w:r>
      <w:r w:rsidRPr="00A80E5B">
        <w:rPr>
          <w:lang w:val="en-US"/>
        </w:rPr>
        <w:t>Zero-dollar invoices</w:t>
      </w:r>
      <w:r w:rsidRPr="00A80E5B">
        <w:t xml:space="preserve"> or AP Invoices.  DPC account codes are only used for internal re-distribution of UNDP costs among UNDP development projects. Agency service fees are recorded to country offices XB fund (11302) and service fee income account (54015). For more information, please refer to POPP Chapter Agency services.</w:t>
      </w:r>
    </w:p>
    <w:p w14:paraId="76EA970E" w14:textId="1016F23A" w:rsidR="008F4B86" w:rsidRPr="00A80E5B" w:rsidRDefault="008F4B86" w:rsidP="00A80E5B"/>
    <w:sectPr w:rsidR="008F4B86" w:rsidRPr="00A80E5B">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9E50" w14:textId="77777777" w:rsidR="001C6E47" w:rsidRDefault="001C6E47" w:rsidP="00670BE5">
      <w:pPr>
        <w:spacing w:after="0"/>
      </w:pPr>
      <w:r>
        <w:separator/>
      </w:r>
    </w:p>
  </w:endnote>
  <w:endnote w:type="continuationSeparator" w:id="0">
    <w:p w14:paraId="0F92F520" w14:textId="77777777" w:rsidR="001C6E47" w:rsidRDefault="001C6E47" w:rsidP="00670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8764" w14:textId="730A26C4" w:rsidR="00724358" w:rsidRDefault="00B20A48" w:rsidP="00EA7806">
    <w:pPr>
      <w:pStyle w:val="Footer"/>
      <w:rPr>
        <w:rStyle w:val="PageNumber"/>
      </w:rPr>
    </w:pPr>
    <w:r>
      <w:rPr>
        <w:rStyle w:val="PageNumber"/>
      </w:rPr>
      <w:tab/>
      <w:t xml:space="preserve"> Page </w:t>
    </w:r>
    <w:r>
      <w:rPr>
        <w:rStyle w:val="PageNumber"/>
      </w:rPr>
      <w:fldChar w:fldCharType="begin"/>
    </w:r>
    <w:r>
      <w:rPr>
        <w:rStyle w:val="PageNumber"/>
      </w:rPr>
      <w:instrText xml:space="preserve"> PAGE </w:instrText>
    </w:r>
    <w:r>
      <w:rPr>
        <w:rStyle w:val="PageNumber"/>
      </w:rPr>
      <w:fldChar w:fldCharType="separate"/>
    </w:r>
    <w:r w:rsidR="00DF5122">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512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716B" w14:textId="77777777" w:rsidR="001C6E47" w:rsidRDefault="001C6E47" w:rsidP="00670BE5">
      <w:pPr>
        <w:spacing w:after="0"/>
      </w:pPr>
      <w:r>
        <w:separator/>
      </w:r>
    </w:p>
  </w:footnote>
  <w:footnote w:type="continuationSeparator" w:id="0">
    <w:p w14:paraId="5467C59E" w14:textId="77777777" w:rsidR="001C6E47" w:rsidRDefault="001C6E47" w:rsidP="00670B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9"/>
      <w:gridCol w:w="711"/>
      <w:gridCol w:w="1988"/>
      <w:gridCol w:w="2162"/>
      <w:gridCol w:w="2600"/>
    </w:tblGrid>
    <w:tr w:rsidR="00724358" w14:paraId="66F48767" w14:textId="77777777" w:rsidTr="009D6001">
      <w:trPr>
        <w:trHeight w:val="240"/>
        <w:tblHeader/>
        <w:jc w:val="center"/>
      </w:trPr>
      <w:tc>
        <w:tcPr>
          <w:tcW w:w="1014" w:type="pct"/>
          <w:tcBorders>
            <w:top w:val="nil"/>
            <w:left w:val="nil"/>
            <w:bottom w:val="double" w:sz="4" w:space="0" w:color="auto"/>
            <w:right w:val="nil"/>
          </w:tcBorders>
        </w:tcPr>
        <w:p w14:paraId="66F48765" w14:textId="77777777" w:rsidR="00724358" w:rsidRPr="006D7181" w:rsidRDefault="00A80E5B" w:rsidP="009D6001">
          <w:pPr>
            <w:pStyle w:val="Header"/>
            <w:rPr>
              <w:lang w:eastAsia="en-US"/>
            </w:rPr>
          </w:pPr>
        </w:p>
      </w:tc>
      <w:tc>
        <w:tcPr>
          <w:tcW w:w="3986" w:type="pct"/>
          <w:gridSpan w:val="4"/>
          <w:tcBorders>
            <w:top w:val="nil"/>
            <w:left w:val="nil"/>
            <w:bottom w:val="double" w:sz="4" w:space="0" w:color="auto"/>
            <w:right w:val="nil"/>
          </w:tcBorders>
        </w:tcPr>
        <w:p w14:paraId="66F48766" w14:textId="77777777" w:rsidR="00724358" w:rsidRPr="00E878CD" w:rsidRDefault="00B20A48" w:rsidP="00D60FD9">
          <w:pPr>
            <w:pStyle w:val="BodyText"/>
            <w:spacing w:before="500"/>
            <w:jc w:val="center"/>
            <w:rPr>
              <w:b/>
              <w:bCs/>
              <w:sz w:val="32"/>
              <w:szCs w:val="32"/>
            </w:rPr>
          </w:pPr>
          <w:r>
            <w:rPr>
              <w:b/>
              <w:bCs/>
              <w:sz w:val="32"/>
              <w:szCs w:val="32"/>
            </w:rPr>
            <w:t>Business Process</w:t>
          </w:r>
        </w:p>
      </w:tc>
    </w:tr>
    <w:tr w:rsidR="00724358" w14:paraId="66F48769" w14:textId="77777777" w:rsidTr="009D6001">
      <w:trPr>
        <w:trHeight w:val="240"/>
        <w:tblHeader/>
        <w:jc w:val="center"/>
      </w:trPr>
      <w:tc>
        <w:tcPr>
          <w:tcW w:w="5000" w:type="pct"/>
          <w:gridSpan w:val="5"/>
          <w:tcBorders>
            <w:top w:val="double" w:sz="4" w:space="0" w:color="auto"/>
            <w:left w:val="double" w:sz="4" w:space="0" w:color="auto"/>
            <w:bottom w:val="single" w:sz="4" w:space="0" w:color="auto"/>
            <w:right w:val="double" w:sz="4" w:space="0" w:color="auto"/>
          </w:tcBorders>
        </w:tcPr>
        <w:p w14:paraId="66F48768" w14:textId="77777777" w:rsidR="00724358" w:rsidRDefault="00B20A48" w:rsidP="00D60FD9">
          <w:pPr>
            <w:pStyle w:val="BodyText"/>
            <w:spacing w:before="60" w:after="60"/>
            <w:rPr>
              <w:b/>
              <w:bCs/>
            </w:rPr>
          </w:pPr>
          <w:r>
            <w:rPr>
              <w:b/>
              <w:bCs/>
            </w:rPr>
            <w:t>Area:                       OFRM Administrative Services Management</w:t>
          </w:r>
        </w:p>
      </w:tc>
    </w:tr>
    <w:tr w:rsidR="00724358" w14:paraId="66F4876E" w14:textId="77777777" w:rsidTr="00930C57">
      <w:trPr>
        <w:trHeight w:val="240"/>
        <w:tblHeader/>
        <w:jc w:val="center"/>
      </w:trPr>
      <w:tc>
        <w:tcPr>
          <w:tcW w:w="1394" w:type="pct"/>
          <w:gridSpan w:val="2"/>
          <w:tcBorders>
            <w:top w:val="double" w:sz="4" w:space="0" w:color="auto"/>
            <w:left w:val="double" w:sz="4" w:space="0" w:color="auto"/>
            <w:bottom w:val="double" w:sz="4" w:space="0" w:color="auto"/>
            <w:right w:val="nil"/>
          </w:tcBorders>
        </w:tcPr>
        <w:p w14:paraId="66F4876A" w14:textId="77777777" w:rsidR="00724358" w:rsidRDefault="00B20A48" w:rsidP="009D6001">
          <w:pPr>
            <w:pStyle w:val="BodyText"/>
            <w:spacing w:before="60" w:after="60"/>
            <w:rPr>
              <w:b/>
              <w:bCs/>
            </w:rPr>
          </w:pPr>
          <w:r>
            <w:rPr>
              <w:b/>
              <w:bCs/>
            </w:rPr>
            <w:t>BP Reference No:</w:t>
          </w:r>
        </w:p>
      </w:tc>
      <w:tc>
        <w:tcPr>
          <w:tcW w:w="1062" w:type="pct"/>
          <w:tcBorders>
            <w:top w:val="double" w:sz="4" w:space="0" w:color="auto"/>
            <w:left w:val="nil"/>
            <w:bottom w:val="double" w:sz="4" w:space="0" w:color="auto"/>
            <w:right w:val="single" w:sz="4" w:space="0" w:color="auto"/>
          </w:tcBorders>
        </w:tcPr>
        <w:p w14:paraId="66F4876B" w14:textId="77777777" w:rsidR="00724358" w:rsidRPr="00783700" w:rsidRDefault="00B20A48" w:rsidP="00D60FD9">
          <w:pPr>
            <w:spacing w:after="0"/>
            <w:rPr>
              <w:rFonts w:cs="Arial"/>
              <w:sz w:val="20"/>
              <w:lang w:val="en-US"/>
            </w:rPr>
          </w:pPr>
          <w:r>
            <w:rPr>
              <w:lang w:val="en-US"/>
            </w:rPr>
            <w:t>BP001 -  PAYMENT</w:t>
          </w:r>
        </w:p>
      </w:tc>
      <w:tc>
        <w:tcPr>
          <w:tcW w:w="1155" w:type="pct"/>
          <w:tcBorders>
            <w:top w:val="double" w:sz="4" w:space="0" w:color="auto"/>
            <w:left w:val="single" w:sz="4" w:space="0" w:color="auto"/>
            <w:bottom w:val="double" w:sz="4" w:space="0" w:color="auto"/>
            <w:right w:val="nil"/>
          </w:tcBorders>
        </w:tcPr>
        <w:p w14:paraId="66F4876C" w14:textId="77777777" w:rsidR="00724358" w:rsidRDefault="00B20A48" w:rsidP="009D6001">
          <w:pPr>
            <w:pStyle w:val="BodyText"/>
            <w:tabs>
              <w:tab w:val="left" w:pos="823"/>
            </w:tabs>
            <w:spacing w:before="60" w:after="60"/>
          </w:pPr>
          <w:r>
            <w:rPr>
              <w:b/>
              <w:bCs/>
            </w:rPr>
            <w:t>Version No.:</w:t>
          </w:r>
        </w:p>
      </w:tc>
      <w:tc>
        <w:tcPr>
          <w:tcW w:w="1389" w:type="pct"/>
          <w:tcBorders>
            <w:top w:val="double" w:sz="4" w:space="0" w:color="auto"/>
            <w:left w:val="nil"/>
            <w:bottom w:val="double" w:sz="4" w:space="0" w:color="auto"/>
            <w:right w:val="double" w:sz="4" w:space="0" w:color="auto"/>
          </w:tcBorders>
        </w:tcPr>
        <w:p w14:paraId="66F4876D" w14:textId="77777777" w:rsidR="00724358" w:rsidRDefault="00B20A48" w:rsidP="00C72784">
          <w:pPr>
            <w:pStyle w:val="BodyText"/>
            <w:spacing w:before="60" w:after="60"/>
          </w:pPr>
          <w:r>
            <w:t>1</w:t>
          </w:r>
        </w:p>
      </w:tc>
    </w:tr>
  </w:tbl>
  <w:p w14:paraId="66F4876F" w14:textId="77777777" w:rsidR="00724358" w:rsidRDefault="00A80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B4AF51A"/>
    <w:lvl w:ilvl="0">
      <w:start w:val="1"/>
      <w:numFmt w:val="decimal"/>
      <w:pStyle w:val="ListNumber3"/>
      <w:lvlText w:val="%1."/>
      <w:lvlJc w:val="left"/>
      <w:pPr>
        <w:tabs>
          <w:tab w:val="num" w:pos="1080"/>
        </w:tabs>
        <w:ind w:left="1080" w:hanging="360"/>
      </w:pPr>
    </w:lvl>
  </w:abstractNum>
  <w:abstractNum w:abstractNumId="1" w15:restartNumberingAfterBreak="0">
    <w:nsid w:val="0A092D89"/>
    <w:multiLevelType w:val="hybridMultilevel"/>
    <w:tmpl w:val="B09A757A"/>
    <w:lvl w:ilvl="0" w:tplc="9B406106">
      <w:start w:val="1"/>
      <w:numFmt w:val="lowerLetter"/>
      <w:lvlText w:val="(%1)"/>
      <w:lvlJc w:val="left"/>
      <w:pPr>
        <w:ind w:left="1755" w:hanging="40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A6D015B"/>
    <w:multiLevelType w:val="multilevel"/>
    <w:tmpl w:val="8226505C"/>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BEE3088"/>
    <w:multiLevelType w:val="hybridMultilevel"/>
    <w:tmpl w:val="186896B0"/>
    <w:lvl w:ilvl="0" w:tplc="4F8E8B12">
      <w:start w:val="1"/>
      <w:numFmt w:val="bullet"/>
      <w:lvlText w:val=""/>
      <w:lvlJc w:val="left"/>
      <w:pPr>
        <w:ind w:left="720" w:hanging="360"/>
      </w:pPr>
      <w:rPr>
        <w:rFonts w:ascii="Symbol" w:hAnsi="Symbol" w:hint="default"/>
      </w:rPr>
    </w:lvl>
    <w:lvl w:ilvl="1" w:tplc="D6AAC9F2">
      <w:start w:val="1"/>
      <w:numFmt w:val="bullet"/>
      <w:lvlText w:val="o"/>
      <w:lvlJc w:val="left"/>
      <w:pPr>
        <w:ind w:left="1440" w:hanging="360"/>
      </w:pPr>
      <w:rPr>
        <w:rFonts w:ascii="Courier New" w:hAnsi="Courier New" w:hint="default"/>
      </w:rPr>
    </w:lvl>
    <w:lvl w:ilvl="2" w:tplc="FF446D3A">
      <w:start w:val="1"/>
      <w:numFmt w:val="bullet"/>
      <w:lvlText w:val=""/>
      <w:lvlJc w:val="left"/>
      <w:pPr>
        <w:ind w:left="2160" w:hanging="360"/>
      </w:pPr>
      <w:rPr>
        <w:rFonts w:ascii="Wingdings" w:hAnsi="Wingdings" w:hint="default"/>
      </w:rPr>
    </w:lvl>
    <w:lvl w:ilvl="3" w:tplc="A1B41D16">
      <w:start w:val="1"/>
      <w:numFmt w:val="bullet"/>
      <w:lvlText w:val=""/>
      <w:lvlJc w:val="left"/>
      <w:pPr>
        <w:ind w:left="2880" w:hanging="360"/>
      </w:pPr>
      <w:rPr>
        <w:rFonts w:ascii="Symbol" w:hAnsi="Symbol" w:hint="default"/>
      </w:rPr>
    </w:lvl>
    <w:lvl w:ilvl="4" w:tplc="39BE9586">
      <w:start w:val="1"/>
      <w:numFmt w:val="bullet"/>
      <w:lvlText w:val="o"/>
      <w:lvlJc w:val="left"/>
      <w:pPr>
        <w:ind w:left="3600" w:hanging="360"/>
      </w:pPr>
      <w:rPr>
        <w:rFonts w:ascii="Courier New" w:hAnsi="Courier New" w:hint="default"/>
      </w:rPr>
    </w:lvl>
    <w:lvl w:ilvl="5" w:tplc="ABB8613C">
      <w:start w:val="1"/>
      <w:numFmt w:val="bullet"/>
      <w:lvlText w:val=""/>
      <w:lvlJc w:val="left"/>
      <w:pPr>
        <w:ind w:left="4320" w:hanging="360"/>
      </w:pPr>
      <w:rPr>
        <w:rFonts w:ascii="Wingdings" w:hAnsi="Wingdings" w:hint="default"/>
      </w:rPr>
    </w:lvl>
    <w:lvl w:ilvl="6" w:tplc="D798598E">
      <w:start w:val="1"/>
      <w:numFmt w:val="bullet"/>
      <w:lvlText w:val=""/>
      <w:lvlJc w:val="left"/>
      <w:pPr>
        <w:ind w:left="5040" w:hanging="360"/>
      </w:pPr>
      <w:rPr>
        <w:rFonts w:ascii="Symbol" w:hAnsi="Symbol" w:hint="default"/>
      </w:rPr>
    </w:lvl>
    <w:lvl w:ilvl="7" w:tplc="0762A996">
      <w:start w:val="1"/>
      <w:numFmt w:val="bullet"/>
      <w:lvlText w:val="o"/>
      <w:lvlJc w:val="left"/>
      <w:pPr>
        <w:ind w:left="5760" w:hanging="360"/>
      </w:pPr>
      <w:rPr>
        <w:rFonts w:ascii="Courier New" w:hAnsi="Courier New" w:hint="default"/>
      </w:rPr>
    </w:lvl>
    <w:lvl w:ilvl="8" w:tplc="61E887DE">
      <w:start w:val="1"/>
      <w:numFmt w:val="bullet"/>
      <w:lvlText w:val=""/>
      <w:lvlJc w:val="left"/>
      <w:pPr>
        <w:ind w:left="6480" w:hanging="360"/>
      </w:pPr>
      <w:rPr>
        <w:rFonts w:ascii="Wingdings" w:hAnsi="Wingdings" w:hint="default"/>
      </w:rPr>
    </w:lvl>
  </w:abstractNum>
  <w:abstractNum w:abstractNumId="4" w15:restartNumberingAfterBreak="0">
    <w:nsid w:val="21A329F9"/>
    <w:multiLevelType w:val="hybridMultilevel"/>
    <w:tmpl w:val="7D7EF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350"/>
    <w:multiLevelType w:val="hybridMultilevel"/>
    <w:tmpl w:val="D468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A3E3E"/>
    <w:multiLevelType w:val="multilevel"/>
    <w:tmpl w:val="46301AC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869720D"/>
    <w:multiLevelType w:val="hybridMultilevel"/>
    <w:tmpl w:val="928ED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D55A9"/>
    <w:multiLevelType w:val="hybridMultilevel"/>
    <w:tmpl w:val="841A3780"/>
    <w:lvl w:ilvl="0" w:tplc="944A7B0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964B1"/>
    <w:multiLevelType w:val="hybridMultilevel"/>
    <w:tmpl w:val="2A18572E"/>
    <w:lvl w:ilvl="0" w:tplc="06AC6C2E">
      <w:start w:val="1"/>
      <w:numFmt w:val="bullet"/>
      <w:lvlText w:val=""/>
      <w:lvlJc w:val="left"/>
      <w:pPr>
        <w:ind w:left="720" w:hanging="360"/>
      </w:pPr>
      <w:rPr>
        <w:rFonts w:ascii="Symbol" w:hAnsi="Symbol" w:hint="default"/>
      </w:rPr>
    </w:lvl>
    <w:lvl w:ilvl="1" w:tplc="83BEA794">
      <w:start w:val="1"/>
      <w:numFmt w:val="bullet"/>
      <w:lvlText w:val="o"/>
      <w:lvlJc w:val="left"/>
      <w:pPr>
        <w:ind w:left="1440" w:hanging="360"/>
      </w:pPr>
      <w:rPr>
        <w:rFonts w:ascii="Courier New" w:hAnsi="Courier New" w:hint="default"/>
      </w:rPr>
    </w:lvl>
    <w:lvl w:ilvl="2" w:tplc="7FC06294">
      <w:start w:val="1"/>
      <w:numFmt w:val="bullet"/>
      <w:lvlText w:val=""/>
      <w:lvlJc w:val="left"/>
      <w:pPr>
        <w:ind w:left="2160" w:hanging="360"/>
      </w:pPr>
      <w:rPr>
        <w:rFonts w:ascii="Wingdings" w:hAnsi="Wingdings" w:hint="default"/>
      </w:rPr>
    </w:lvl>
    <w:lvl w:ilvl="3" w:tplc="589E0528">
      <w:start w:val="1"/>
      <w:numFmt w:val="bullet"/>
      <w:lvlText w:val=""/>
      <w:lvlJc w:val="left"/>
      <w:pPr>
        <w:ind w:left="2880" w:hanging="360"/>
      </w:pPr>
      <w:rPr>
        <w:rFonts w:ascii="Symbol" w:hAnsi="Symbol" w:hint="default"/>
      </w:rPr>
    </w:lvl>
    <w:lvl w:ilvl="4" w:tplc="19E6EAEC">
      <w:start w:val="1"/>
      <w:numFmt w:val="bullet"/>
      <w:lvlText w:val="o"/>
      <w:lvlJc w:val="left"/>
      <w:pPr>
        <w:ind w:left="3600" w:hanging="360"/>
      </w:pPr>
      <w:rPr>
        <w:rFonts w:ascii="Courier New" w:hAnsi="Courier New" w:hint="default"/>
      </w:rPr>
    </w:lvl>
    <w:lvl w:ilvl="5" w:tplc="E0A49264">
      <w:start w:val="1"/>
      <w:numFmt w:val="bullet"/>
      <w:lvlText w:val=""/>
      <w:lvlJc w:val="left"/>
      <w:pPr>
        <w:ind w:left="4320" w:hanging="360"/>
      </w:pPr>
      <w:rPr>
        <w:rFonts w:ascii="Wingdings" w:hAnsi="Wingdings" w:hint="default"/>
      </w:rPr>
    </w:lvl>
    <w:lvl w:ilvl="6" w:tplc="A5646F20">
      <w:start w:val="1"/>
      <w:numFmt w:val="bullet"/>
      <w:lvlText w:val=""/>
      <w:lvlJc w:val="left"/>
      <w:pPr>
        <w:ind w:left="5040" w:hanging="360"/>
      </w:pPr>
      <w:rPr>
        <w:rFonts w:ascii="Symbol" w:hAnsi="Symbol" w:hint="default"/>
      </w:rPr>
    </w:lvl>
    <w:lvl w:ilvl="7" w:tplc="9AC299FE">
      <w:start w:val="1"/>
      <w:numFmt w:val="bullet"/>
      <w:lvlText w:val="o"/>
      <w:lvlJc w:val="left"/>
      <w:pPr>
        <w:ind w:left="5760" w:hanging="360"/>
      </w:pPr>
      <w:rPr>
        <w:rFonts w:ascii="Courier New" w:hAnsi="Courier New" w:hint="default"/>
      </w:rPr>
    </w:lvl>
    <w:lvl w:ilvl="8" w:tplc="332A630C">
      <w:start w:val="1"/>
      <w:numFmt w:val="bullet"/>
      <w:lvlText w:val=""/>
      <w:lvlJc w:val="left"/>
      <w:pPr>
        <w:ind w:left="6480" w:hanging="360"/>
      </w:pPr>
      <w:rPr>
        <w:rFonts w:ascii="Wingdings" w:hAnsi="Wingdings" w:hint="default"/>
      </w:rPr>
    </w:lvl>
  </w:abstractNum>
  <w:abstractNum w:abstractNumId="10" w15:restartNumberingAfterBreak="0">
    <w:nsid w:val="7BA9465C"/>
    <w:multiLevelType w:val="hybridMultilevel"/>
    <w:tmpl w:val="B09A757A"/>
    <w:lvl w:ilvl="0" w:tplc="9B406106">
      <w:start w:val="1"/>
      <w:numFmt w:val="lowerLetter"/>
      <w:lvlText w:val="(%1)"/>
      <w:lvlJc w:val="left"/>
      <w:pPr>
        <w:ind w:left="1755" w:hanging="40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7FBB0782"/>
    <w:multiLevelType w:val="hybridMultilevel"/>
    <w:tmpl w:val="23C4A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715116">
    <w:abstractNumId w:val="9"/>
  </w:num>
  <w:num w:numId="2" w16cid:durableId="423191708">
    <w:abstractNumId w:val="3"/>
  </w:num>
  <w:num w:numId="3" w16cid:durableId="1090195382">
    <w:abstractNumId w:val="0"/>
  </w:num>
  <w:num w:numId="4" w16cid:durableId="68160000">
    <w:abstractNumId w:val="2"/>
  </w:num>
  <w:num w:numId="5" w16cid:durableId="730347352">
    <w:abstractNumId w:val="4"/>
  </w:num>
  <w:num w:numId="6" w16cid:durableId="4209705">
    <w:abstractNumId w:val="10"/>
  </w:num>
  <w:num w:numId="7" w16cid:durableId="954409598">
    <w:abstractNumId w:val="1"/>
  </w:num>
  <w:num w:numId="8" w16cid:durableId="943075433">
    <w:abstractNumId w:val="5"/>
  </w:num>
  <w:num w:numId="9" w16cid:durableId="129979005">
    <w:abstractNumId w:val="6"/>
  </w:num>
  <w:num w:numId="10" w16cid:durableId="1031568064">
    <w:abstractNumId w:val="11"/>
  </w:num>
  <w:num w:numId="11" w16cid:durableId="1783260931">
    <w:abstractNumId w:val="7"/>
  </w:num>
  <w:num w:numId="12" w16cid:durableId="472215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51"/>
    <w:rsid w:val="00024F8D"/>
    <w:rsid w:val="000271D3"/>
    <w:rsid w:val="0009550E"/>
    <w:rsid w:val="000A21B3"/>
    <w:rsid w:val="000B5FFF"/>
    <w:rsid w:val="000C04D9"/>
    <w:rsid w:val="000C163C"/>
    <w:rsid w:val="000D4D6D"/>
    <w:rsid w:val="000E6DFC"/>
    <w:rsid w:val="001126D8"/>
    <w:rsid w:val="001371B6"/>
    <w:rsid w:val="0016449E"/>
    <w:rsid w:val="0017430C"/>
    <w:rsid w:val="00187504"/>
    <w:rsid w:val="001927BD"/>
    <w:rsid w:val="00194F30"/>
    <w:rsid w:val="001C6E47"/>
    <w:rsid w:val="001D6F77"/>
    <w:rsid w:val="001E15BA"/>
    <w:rsid w:val="001F1873"/>
    <w:rsid w:val="00201272"/>
    <w:rsid w:val="002029BC"/>
    <w:rsid w:val="0021527A"/>
    <w:rsid w:val="00267DD9"/>
    <w:rsid w:val="00271874"/>
    <w:rsid w:val="002A2D5F"/>
    <w:rsid w:val="002A31B0"/>
    <w:rsid w:val="002D6593"/>
    <w:rsid w:val="002D6C81"/>
    <w:rsid w:val="00317EE9"/>
    <w:rsid w:val="00360D5B"/>
    <w:rsid w:val="00437C6E"/>
    <w:rsid w:val="00440D11"/>
    <w:rsid w:val="00441C63"/>
    <w:rsid w:val="00442A6D"/>
    <w:rsid w:val="00452D8B"/>
    <w:rsid w:val="004B2DAE"/>
    <w:rsid w:val="004E4C5F"/>
    <w:rsid w:val="00510DDC"/>
    <w:rsid w:val="005564AF"/>
    <w:rsid w:val="00560D32"/>
    <w:rsid w:val="00591578"/>
    <w:rsid w:val="005A6586"/>
    <w:rsid w:val="00627756"/>
    <w:rsid w:val="00670BE5"/>
    <w:rsid w:val="00676A3D"/>
    <w:rsid w:val="006E3304"/>
    <w:rsid w:val="006F5002"/>
    <w:rsid w:val="00745ED6"/>
    <w:rsid w:val="007506A2"/>
    <w:rsid w:val="00755BA3"/>
    <w:rsid w:val="0079330B"/>
    <w:rsid w:val="00797B80"/>
    <w:rsid w:val="007B56CE"/>
    <w:rsid w:val="007F6751"/>
    <w:rsid w:val="007F7823"/>
    <w:rsid w:val="008059BD"/>
    <w:rsid w:val="00821838"/>
    <w:rsid w:val="00887A1E"/>
    <w:rsid w:val="008A49A0"/>
    <w:rsid w:val="008B3A4D"/>
    <w:rsid w:val="008B54B0"/>
    <w:rsid w:val="008D70B9"/>
    <w:rsid w:val="008E619F"/>
    <w:rsid w:val="008F4B86"/>
    <w:rsid w:val="009041C9"/>
    <w:rsid w:val="009136BF"/>
    <w:rsid w:val="00923494"/>
    <w:rsid w:val="009703E7"/>
    <w:rsid w:val="009D003D"/>
    <w:rsid w:val="00A014E7"/>
    <w:rsid w:val="00A1657E"/>
    <w:rsid w:val="00A80E5B"/>
    <w:rsid w:val="00A87654"/>
    <w:rsid w:val="00AA55C9"/>
    <w:rsid w:val="00AC20CB"/>
    <w:rsid w:val="00AD6904"/>
    <w:rsid w:val="00AF448C"/>
    <w:rsid w:val="00AF513A"/>
    <w:rsid w:val="00B20A48"/>
    <w:rsid w:val="00B610DF"/>
    <w:rsid w:val="00B774C0"/>
    <w:rsid w:val="00BB3A66"/>
    <w:rsid w:val="00BC27E0"/>
    <w:rsid w:val="00BF66F3"/>
    <w:rsid w:val="00C014ED"/>
    <w:rsid w:val="00C457F1"/>
    <w:rsid w:val="00C52E61"/>
    <w:rsid w:val="00C8057F"/>
    <w:rsid w:val="00CC3AB6"/>
    <w:rsid w:val="00CD556F"/>
    <w:rsid w:val="00CE2C90"/>
    <w:rsid w:val="00D110FC"/>
    <w:rsid w:val="00D3139D"/>
    <w:rsid w:val="00D34829"/>
    <w:rsid w:val="00D6548E"/>
    <w:rsid w:val="00D82705"/>
    <w:rsid w:val="00DA16B6"/>
    <w:rsid w:val="00DA70E9"/>
    <w:rsid w:val="00DB4A03"/>
    <w:rsid w:val="00DC2FAD"/>
    <w:rsid w:val="00DE1BAE"/>
    <w:rsid w:val="00DE2DC4"/>
    <w:rsid w:val="00DF5122"/>
    <w:rsid w:val="00E01E83"/>
    <w:rsid w:val="00E95661"/>
    <w:rsid w:val="00EA02F2"/>
    <w:rsid w:val="00EC1301"/>
    <w:rsid w:val="00F611D4"/>
    <w:rsid w:val="00F76E0F"/>
    <w:rsid w:val="00F93934"/>
    <w:rsid w:val="00FD0DA3"/>
    <w:rsid w:val="0E16BBD9"/>
    <w:rsid w:val="1E66912A"/>
    <w:rsid w:val="3EDF24C0"/>
    <w:rsid w:val="4008B8AF"/>
    <w:rsid w:val="41EB5B70"/>
    <w:rsid w:val="51801681"/>
    <w:rsid w:val="5774EA29"/>
    <w:rsid w:val="666217F7"/>
    <w:rsid w:val="6CE13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86F2"/>
  <w15:docId w15:val="{343F6990-5558-4252-B3E9-9994B844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51"/>
    <w:pPr>
      <w:spacing w:after="220" w:line="240" w:lineRule="auto"/>
    </w:pPr>
    <w:rPr>
      <w:rFonts w:ascii="Arial" w:eastAsia="Times New Roman" w:hAnsi="Arial" w:cs="Times New Roman"/>
      <w:szCs w:val="20"/>
      <w:lang w:val="en-GB"/>
    </w:rPr>
  </w:style>
  <w:style w:type="paragraph" w:styleId="Heading3">
    <w:name w:val="heading 3"/>
    <w:basedOn w:val="Normal"/>
    <w:next w:val="ListNumber3"/>
    <w:link w:val="Heading3Char"/>
    <w:autoRedefine/>
    <w:qFormat/>
    <w:rsid w:val="007F6751"/>
    <w:pPr>
      <w:spacing w:before="60" w:after="60"/>
      <w:jc w:val="both"/>
      <w:outlineLvl w:val="2"/>
    </w:pPr>
    <w:rPr>
      <w:b/>
      <w:snapToGrid w:val="0"/>
      <w:sz w:val="20"/>
      <w:lang w:val="en-MY" w:eastAsia="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6751"/>
    <w:rPr>
      <w:rFonts w:ascii="Arial" w:eastAsia="Times New Roman" w:hAnsi="Arial" w:cs="Times New Roman"/>
      <w:b/>
      <w:snapToGrid w:val="0"/>
      <w:sz w:val="20"/>
      <w:szCs w:val="20"/>
      <w:lang w:val="en-MY" w:eastAsia="en-MY"/>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basedOn w:val="Normal"/>
    <w:link w:val="ListParagraphChar"/>
    <w:uiPriority w:val="34"/>
    <w:qFormat/>
    <w:rsid w:val="007F6751"/>
    <w:pPr>
      <w:ind w:left="720"/>
    </w:pPr>
  </w:style>
  <w:style w:type="paragraph" w:styleId="ListNumber3">
    <w:name w:val="List Number 3"/>
    <w:basedOn w:val="Normal"/>
    <w:uiPriority w:val="99"/>
    <w:unhideWhenUsed/>
    <w:rsid w:val="007F6751"/>
    <w:pPr>
      <w:numPr>
        <w:numId w:val="3"/>
      </w:numPr>
      <w:contextualSpacing/>
    </w:p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basedOn w:val="DefaultParagraphFont"/>
    <w:link w:val="ListParagraph"/>
    <w:uiPriority w:val="34"/>
    <w:locked/>
    <w:rsid w:val="007F6751"/>
    <w:rPr>
      <w:rFonts w:ascii="Arial" w:eastAsia="Times New Roman" w:hAnsi="Arial" w:cs="Times New Roman"/>
      <w:szCs w:val="20"/>
      <w:lang w:val="en-GB"/>
    </w:rPr>
  </w:style>
  <w:style w:type="paragraph" w:styleId="Footer">
    <w:name w:val="footer"/>
    <w:basedOn w:val="Normal"/>
    <w:link w:val="FooterChar"/>
    <w:uiPriority w:val="99"/>
    <w:rsid w:val="00670BE5"/>
    <w:pPr>
      <w:tabs>
        <w:tab w:val="center" w:pos="4153"/>
        <w:tab w:val="right" w:pos="8306"/>
      </w:tabs>
    </w:pPr>
    <w:rPr>
      <w:snapToGrid w:val="0"/>
      <w:sz w:val="20"/>
    </w:rPr>
  </w:style>
  <w:style w:type="character" w:customStyle="1" w:styleId="FooterChar">
    <w:name w:val="Footer Char"/>
    <w:basedOn w:val="DefaultParagraphFont"/>
    <w:link w:val="Footer"/>
    <w:uiPriority w:val="99"/>
    <w:rsid w:val="00670BE5"/>
    <w:rPr>
      <w:rFonts w:ascii="Arial" w:eastAsia="Times New Roman" w:hAnsi="Arial" w:cs="Times New Roman"/>
      <w:snapToGrid w:val="0"/>
      <w:sz w:val="20"/>
      <w:szCs w:val="20"/>
      <w:lang w:val="en-GB"/>
    </w:rPr>
  </w:style>
  <w:style w:type="paragraph" w:styleId="Header">
    <w:name w:val="header"/>
    <w:basedOn w:val="Normal"/>
    <w:link w:val="HeaderChar"/>
    <w:uiPriority w:val="99"/>
    <w:rsid w:val="00670BE5"/>
    <w:pPr>
      <w:tabs>
        <w:tab w:val="center" w:pos="4153"/>
        <w:tab w:val="right" w:pos="8306"/>
      </w:tabs>
    </w:pPr>
    <w:rPr>
      <w:lang w:eastAsia="x-none"/>
    </w:rPr>
  </w:style>
  <w:style w:type="character" w:customStyle="1" w:styleId="HeaderChar">
    <w:name w:val="Header Char"/>
    <w:basedOn w:val="DefaultParagraphFont"/>
    <w:link w:val="Header"/>
    <w:uiPriority w:val="99"/>
    <w:rsid w:val="00670BE5"/>
    <w:rPr>
      <w:rFonts w:ascii="Arial" w:eastAsia="Times New Roman" w:hAnsi="Arial" w:cs="Times New Roman"/>
      <w:szCs w:val="20"/>
      <w:lang w:val="en-GB" w:eastAsia="x-none"/>
    </w:rPr>
  </w:style>
  <w:style w:type="paragraph" w:styleId="BodyText">
    <w:name w:val="Body Text"/>
    <w:basedOn w:val="Normal"/>
    <w:link w:val="BodyTextChar"/>
    <w:rsid w:val="00670BE5"/>
  </w:style>
  <w:style w:type="character" w:customStyle="1" w:styleId="BodyTextChar">
    <w:name w:val="Body Text Char"/>
    <w:basedOn w:val="DefaultParagraphFont"/>
    <w:link w:val="BodyText"/>
    <w:rsid w:val="00670BE5"/>
    <w:rPr>
      <w:rFonts w:ascii="Arial" w:eastAsia="Times New Roman" w:hAnsi="Arial" w:cs="Times New Roman"/>
      <w:szCs w:val="20"/>
      <w:lang w:val="en-GB"/>
    </w:rPr>
  </w:style>
  <w:style w:type="character" w:styleId="PageNumber">
    <w:name w:val="page number"/>
    <w:basedOn w:val="DefaultParagraphFont"/>
    <w:rsid w:val="00670BE5"/>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DE1BAE"/>
    <w:pPr>
      <w:spacing w:after="0" w:line="240" w:lineRule="auto"/>
    </w:pPr>
    <w:rPr>
      <w:rFonts w:ascii="Arial" w:eastAsia="Times New Roman" w:hAnsi="Arial" w:cs="Times New Roman"/>
      <w:szCs w:val="20"/>
      <w:lang w:val="en-GB"/>
    </w:rPr>
  </w:style>
  <w:style w:type="character" w:styleId="UnresolvedMention">
    <w:name w:val="Unresolved Mention"/>
    <w:basedOn w:val="DefaultParagraphFont"/>
    <w:uiPriority w:val="99"/>
    <w:semiHidden/>
    <w:unhideWhenUsed/>
    <w:rsid w:val="00A80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706" TargetMode="External"/><Relationship Id="rId18" Type="http://schemas.openxmlformats.org/officeDocument/2006/relationships/hyperlink" Target="https://popp.undp.org/node/11131" TargetMode="External"/><Relationship Id="rId26" Type="http://schemas.openxmlformats.org/officeDocument/2006/relationships/hyperlink" Target="https://popp.undp.org/node/2996" TargetMode="External"/><Relationship Id="rId3" Type="http://schemas.openxmlformats.org/officeDocument/2006/relationships/customXml" Target="../customXml/item3.xml"/><Relationship Id="rId21" Type="http://schemas.openxmlformats.org/officeDocument/2006/relationships/hyperlink" Target="https://popp.undp.org/node/1706" TargetMode="External"/><Relationship Id="rId7" Type="http://schemas.openxmlformats.org/officeDocument/2006/relationships/styles" Target="styles.xml"/><Relationship Id="rId12" Type="http://schemas.openxmlformats.org/officeDocument/2006/relationships/hyperlink" Target="https://popp.undp.org/taxonomy/term/36" TargetMode="External"/><Relationship Id="rId17" Type="http://schemas.openxmlformats.org/officeDocument/2006/relationships/hyperlink" Target="https://popp.undp.org/node/10706" TargetMode="External"/><Relationship Id="rId25" Type="http://schemas.openxmlformats.org/officeDocument/2006/relationships/hyperlink" Target="https://popp.undp.org/node/11271" TargetMode="External"/><Relationship Id="rId2" Type="http://schemas.openxmlformats.org/officeDocument/2006/relationships/customXml" Target="../customXml/item2.xml"/><Relationship Id="rId16" Type="http://schemas.openxmlformats.org/officeDocument/2006/relationships/hyperlink" Target="https://popp.undp.org/node/10826" TargetMode="External"/><Relationship Id="rId20" Type="http://schemas.openxmlformats.org/officeDocument/2006/relationships/hyperlink" Target="https://popp.undp.org/node/14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11736" TargetMode="External"/><Relationship Id="rId5" Type="http://schemas.openxmlformats.org/officeDocument/2006/relationships/customXml" Target="../customXml/item5.xml"/><Relationship Id="rId15" Type="http://schemas.openxmlformats.org/officeDocument/2006/relationships/hyperlink" Target="https://popp.undp.org/node/10826" TargetMode="External"/><Relationship Id="rId23" Type="http://schemas.openxmlformats.org/officeDocument/2006/relationships/hyperlink" Target="https://popp.undp.org/node/11136"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node/17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981" TargetMode="External"/><Relationship Id="rId22" Type="http://schemas.openxmlformats.org/officeDocument/2006/relationships/hyperlink" Target="https://popp.undp.org/node/1127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2023-01-08T23:00:00+00:00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How to Use Account Codes for Services to Projects</UNDP_POPP_TITLE_EN>
    <DLCPolicyLabelLock xmlns="e560140e-7b2f-4392-90df-e7567e3021a3" xsi:nil="true"/>
    <DLCPolicyLabelClientValue xmlns="e560140e-7b2f-4392-90df-e7567e3021a3">Effective Date: 09/01/2023                                                Version #: {POPPRefItemVersion}</DLCPolicyLabelClientValue>
    <UNDP_POPP_BUSINESSUNITID_HIDDEN xmlns="8264c5cc-ec60-4b56-8111-ce635d3d139a" xsi:nil="true"/>
    <_dlc_DocId xmlns="8264c5cc-ec60-4b56-8111-ce635d3d139a">POPP-11-3927</_dlc_DocId>
    <_dlc_DocIdUrl xmlns="8264c5cc-ec60-4b56-8111-ce635d3d139a">
      <Url>https://popp.undp.org/_layouts/15/DocIdRedir.aspx?ID=POPP-11-3927</Url>
      <Description>POPP-11-3927</Description>
    </_dlc_DocIdUrl>
    <DLCPolicyLabelValue xmlns="e560140e-7b2f-4392-90df-e7567e3021a3">Effective Date: 09/01/2023                                                Version #: {POPPRefItemVersion}</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A0F72-0025-40F0-A76F-88E00504043D}">
  <ds:schemaRefs>
    <ds:schemaRef ds:uri="http://schemas.microsoft.com/sharepoint/v3/contenttype/forms"/>
  </ds:schemaRefs>
</ds:datastoreItem>
</file>

<file path=customXml/itemProps2.xml><?xml version="1.0" encoding="utf-8"?>
<ds:datastoreItem xmlns:ds="http://schemas.openxmlformats.org/officeDocument/2006/customXml" ds:itemID="{60BB385E-1A5B-4087-B644-AC16BCBDFD3C}">
  <ds:schemaRefs>
    <ds:schemaRef ds:uri="http://schemas.microsoft.com/sharepoint/events"/>
  </ds:schemaRefs>
</ds:datastoreItem>
</file>

<file path=customXml/itemProps3.xml><?xml version="1.0" encoding="utf-8"?>
<ds:datastoreItem xmlns:ds="http://schemas.openxmlformats.org/officeDocument/2006/customXml" ds:itemID="{062C78E4-B6D7-4A97-8A84-5019D078CF72}">
  <ds:schemaRefs>
    <ds:schemaRef ds:uri="http://www.w3.org/XML/1998/namespace"/>
    <ds:schemaRef ds:uri="8264c5cc-ec60-4b56-8111-ce635d3d139a"/>
    <ds:schemaRef ds:uri="http://purl.org/dc/elements/1.1/"/>
    <ds:schemaRef ds:uri="http://purl.org/dc/dcmitype/"/>
    <ds:schemaRef ds:uri="http://schemas.microsoft.com/office/2006/metadata/properties"/>
    <ds:schemaRef ds:uri="e560140e-7b2f-4392-90df-e7567e3021a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1C0B811D-95BC-44F6-9D64-0DDBB1D74E85}">
  <ds:schemaRefs>
    <ds:schemaRef ds:uri="office.server.policy"/>
  </ds:schemaRefs>
</ds:datastoreItem>
</file>

<file path=customXml/itemProps5.xml><?xml version="1.0" encoding="utf-8"?>
<ds:datastoreItem xmlns:ds="http://schemas.openxmlformats.org/officeDocument/2006/customXml" ds:itemID="{9C9F1D1F-AF6F-4E6B-BC13-FAD436FA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2163</Words>
  <Characters>12333</Characters>
  <Application>Microsoft Office Word</Application>
  <DocSecurity>0</DocSecurity>
  <Lines>102</Lines>
  <Paragraphs>28</Paragraphs>
  <ScaleCrop>false</ScaleCrop>
  <Company>UNDP BOM/OFRM</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Batdolgor Chuluun</dc:creator>
  <cp:lastModifiedBy>Pablo Morete</cp:lastModifiedBy>
  <cp:revision>4</cp:revision>
  <dcterms:created xsi:type="dcterms:W3CDTF">2023-01-09T14:52:00Z</dcterms:created>
  <dcterms:modified xsi:type="dcterms:W3CDTF">2023-03-21T16:38:00Z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054aa769-e979-4c44-8542-edf444eed3ac</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
  </property>
  <property fmtid="{D5CDD505-2E9C-101B-9397-08002B2CF9AE}" pid="9" name="UndpUnitMM">
    <vt:lpwstr/>
  </property>
  <property fmtid="{D5CDD505-2E9C-101B-9397-08002B2CF9AE}" pid="10" name="eRegFilingCodeMM">
    <vt:lpwstr/>
  </property>
  <property fmtid="{D5CDD505-2E9C-101B-9397-08002B2CF9AE}" pid="11" name="Year">
    <vt:lpwstr>2015</vt:lpwstr>
  </property>
  <property fmtid="{D5CDD505-2E9C-101B-9397-08002B2CF9AE}" pid="12" name="Month">
    <vt:lpwstr>12</vt:lpwstr>
  </property>
  <property fmtid="{D5CDD505-2E9C-101B-9397-08002B2CF9AE}" pid="13" name="Quarter">
    <vt:lpwstr>Q4</vt:lpwstr>
  </property>
  <property fmtid="{D5CDD505-2E9C-101B-9397-08002B2CF9AE}" pid="14" name="Location">
    <vt:lpwstr>Public</vt:lpwstr>
  </property>
  <property fmtid="{D5CDD505-2E9C-101B-9397-08002B2CF9AE}" pid="15" name="POPPBusinessProcess">
    <vt:lpwstr/>
  </property>
  <property fmtid="{D5CDD505-2E9C-101B-9397-08002B2CF9AE}" pid="16" name="UNDP_POPP_BUSINESSUNIT">
    <vt:lpwstr>350;#Financial Resources Management|682d4c54-a288-412d-bfec-ce5587bbd25c</vt:lpwstr>
  </property>
</Properties>
</file>