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C192D" w14:textId="4B86C077" w:rsidR="005C5404" w:rsidRPr="006D5E1A" w:rsidRDefault="002E3BA2">
      <w:pPr>
        <w:spacing w:after="132" w:line="259" w:lineRule="auto"/>
        <w:ind w:left="0" w:right="0" w:firstLine="0"/>
        <w:jc w:val="left"/>
      </w:pPr>
      <w:r>
        <w:rPr>
          <w:b/>
          <w:sz w:val="28"/>
        </w:rPr>
        <w:t>U</w:t>
      </w:r>
      <w:r w:rsidR="0016753B">
        <w:rPr>
          <w:b/>
          <w:sz w:val="28"/>
        </w:rPr>
        <w:t xml:space="preserve">so de Líneas de Financiación Múltiples para Posiciones  </w:t>
      </w:r>
    </w:p>
    <w:p w14:paraId="6A9EA3E5" w14:textId="35EA9D02" w:rsidR="005C5404" w:rsidRPr="006D5E1A" w:rsidRDefault="00EC461F">
      <w:pPr>
        <w:numPr>
          <w:ilvl w:val="0"/>
          <w:numId w:val="1"/>
        </w:numPr>
        <w:ind w:right="-9"/>
      </w:pPr>
      <w:r>
        <w:t xml:space="preserve">El PNUD es una organización financiada por varias fuentes, con recursos aportados por asociados, ya sea a través de contribuciones voluntarias regulares o a través de otros recursos destinados a temas, proyectos o países específicos. Respaldar un marco de ejecución para el uso de fuentes de financiación múltiples para financiar posiciones corresponde a la naturaleza de financiación por varias fuentes del PNUD.  </w:t>
      </w:r>
    </w:p>
    <w:p w14:paraId="63026C25" w14:textId="77777777" w:rsidR="005C5404" w:rsidRPr="006D5E1A" w:rsidRDefault="00EC461F">
      <w:pPr>
        <w:spacing w:after="33" w:line="259" w:lineRule="auto"/>
        <w:ind w:left="720" w:right="0" w:firstLine="0"/>
        <w:jc w:val="left"/>
      </w:pPr>
      <w:r>
        <w:t xml:space="preserve"> </w:t>
      </w:r>
    </w:p>
    <w:p w14:paraId="6EFBAD1E" w14:textId="4AA6FB24" w:rsidR="005C5404" w:rsidRPr="006D5E1A" w:rsidRDefault="00EC461F">
      <w:pPr>
        <w:numPr>
          <w:ilvl w:val="0"/>
          <w:numId w:val="1"/>
        </w:numPr>
        <w:ind w:right="-9"/>
      </w:pPr>
      <w:r>
        <w:t xml:space="preserve">Para que el PNUD pueda alinear sus costos con sus marcos de resultados y las fuentes de financiación relacionadas, se debe permitir la financiación flexible de posiciones por parte de fuentes de financiación múltiples. El Presupuesto Integrado (DP/2013/41) refleja una estrategia para la financiación de posiciones que reconoce la variedad, la multiplicidad y la complejidad de las varias vías de financiación del PNUD. Además, la política de determinación de los Costos Directos del Proyecto permite que los costos organizacionales calificados se carguen directamente a los programas y los proyectos. Este enfoque da lugar a un uso más estratégico y eficiente de las asignaciones de recursos básicos y a un vínculo más preciso entre los costos y las fuentes de financiación subyacentes. Por consiguiente, las posiciones financiadas con recursos básicos ya no se gestionan en una «base de posición completa» </w:t>
      </w:r>
    </w:p>
    <w:p w14:paraId="482D4465" w14:textId="77777777" w:rsidR="005C5404" w:rsidRPr="006D5E1A" w:rsidRDefault="00EC461F">
      <w:pPr>
        <w:spacing w:after="33" w:line="259" w:lineRule="auto"/>
        <w:ind w:left="720" w:right="0" w:firstLine="0"/>
        <w:jc w:val="left"/>
      </w:pPr>
      <w:r>
        <w:t xml:space="preserve"> </w:t>
      </w:r>
    </w:p>
    <w:p w14:paraId="0BA5B122" w14:textId="02FD69CD" w:rsidR="005C5404" w:rsidRPr="006D5E1A" w:rsidRDefault="00EC461F">
      <w:pPr>
        <w:numPr>
          <w:ilvl w:val="0"/>
          <w:numId w:val="1"/>
        </w:numPr>
        <w:ind w:right="-9"/>
      </w:pPr>
      <w:r>
        <w:t xml:space="preserve">A partir del 1 de enero de 2014, todas las posiciones son admisibles para la financiación por varias fuentes, </w:t>
      </w:r>
      <w:r>
        <w:rPr>
          <w:b/>
          <w:u w:val="single"/>
        </w:rPr>
        <w:t>excepto</w:t>
      </w:r>
      <w:r>
        <w:t xml:space="preserve"> las posiciones en el nivel D1 y niveles superiores. En otras palabras, todas las posiciones en el nivel P5 y niveles inferiores pueden ser financiadas por varias fuentes.  </w:t>
      </w:r>
    </w:p>
    <w:p w14:paraId="6E89220A" w14:textId="77777777" w:rsidR="005C5404" w:rsidRPr="006D5E1A" w:rsidRDefault="00EC461F">
      <w:pPr>
        <w:spacing w:after="33" w:line="259" w:lineRule="auto"/>
        <w:ind w:left="720" w:right="0" w:firstLine="0"/>
        <w:jc w:val="left"/>
      </w:pPr>
      <w:r>
        <w:t xml:space="preserve"> </w:t>
      </w:r>
    </w:p>
    <w:p w14:paraId="2D18DF5C" w14:textId="77777777" w:rsidR="00367592" w:rsidRPr="006C2C91" w:rsidRDefault="00DC4DC7" w:rsidP="00367592">
      <w:pPr>
        <w:numPr>
          <w:ilvl w:val="0"/>
          <w:numId w:val="1"/>
        </w:numPr>
        <w:ind w:right="-9"/>
        <w:rPr>
          <w:lang w:val="en-NL"/>
        </w:rPr>
      </w:pPr>
      <w:r>
        <w:t>El</w:t>
      </w:r>
      <w:r w:rsidR="000C34D8">
        <w:t xml:space="preserve"> </w:t>
      </w:r>
      <w:r>
        <w:t>cargo de</w:t>
      </w:r>
      <w:r w:rsidR="00EC461F">
        <w:t xml:space="preserve"> posiciones a líneas de financiación múltiples deberá vincularse con los planes de trabajo de la oficina y las capacidades necesarias. Debe haber un vínculo directo legítimo y demostrable entre la fuente de financiación y los resultados de desarrollo relacionados y las actividades de trabajo del miembro del personal: consultar </w:t>
      </w:r>
      <w:hyperlink r:id="rId12" w:history="1">
        <w:proofErr w:type="spellStart"/>
        <w:r w:rsidR="00367592" w:rsidRPr="006C2C91">
          <w:rPr>
            <w:rStyle w:val="Hyperlink"/>
          </w:rPr>
          <w:t>Planning</w:t>
        </w:r>
        <w:proofErr w:type="spellEnd"/>
        <w:r w:rsidR="00367592" w:rsidRPr="006C2C91">
          <w:rPr>
            <w:rStyle w:val="Hyperlink"/>
          </w:rPr>
          <w:t xml:space="preserve"> and </w:t>
        </w:r>
        <w:proofErr w:type="spellStart"/>
        <w:r w:rsidR="00367592" w:rsidRPr="006C2C91">
          <w:rPr>
            <w:rStyle w:val="Hyperlink"/>
          </w:rPr>
          <w:t>Paying</w:t>
        </w:r>
        <w:proofErr w:type="spellEnd"/>
        <w:r w:rsidR="00367592" w:rsidRPr="006C2C91">
          <w:rPr>
            <w:rStyle w:val="Hyperlink"/>
          </w:rPr>
          <w:t xml:space="preserve"> </w:t>
        </w:r>
        <w:proofErr w:type="spellStart"/>
        <w:r w:rsidR="00367592" w:rsidRPr="006C2C91">
          <w:rPr>
            <w:rStyle w:val="Hyperlink"/>
          </w:rPr>
          <w:t>for</w:t>
        </w:r>
        <w:proofErr w:type="spellEnd"/>
        <w:r w:rsidR="00367592" w:rsidRPr="006C2C91">
          <w:rPr>
            <w:rStyle w:val="Hyperlink"/>
          </w:rPr>
          <w:t xml:space="preserve"> </w:t>
        </w:r>
        <w:proofErr w:type="spellStart"/>
        <w:r w:rsidR="00367592" w:rsidRPr="006C2C91">
          <w:rPr>
            <w:rStyle w:val="Hyperlink"/>
          </w:rPr>
          <w:t>Delivery</w:t>
        </w:r>
        <w:proofErr w:type="spellEnd"/>
        <w:r w:rsidR="00367592" w:rsidRPr="006C2C91">
          <w:rPr>
            <w:rStyle w:val="Hyperlink"/>
          </w:rPr>
          <w:t xml:space="preserve"> </w:t>
        </w:r>
        <w:proofErr w:type="spellStart"/>
        <w:r w:rsidR="00367592" w:rsidRPr="006C2C91">
          <w:rPr>
            <w:rStyle w:val="Hyperlink"/>
          </w:rPr>
          <w:t>Enabling</w:t>
        </w:r>
        <w:proofErr w:type="spellEnd"/>
        <w:r w:rsidR="00367592" w:rsidRPr="006C2C91">
          <w:rPr>
            <w:rStyle w:val="Hyperlink"/>
          </w:rPr>
          <w:t xml:space="preserve"> </w:t>
        </w:r>
        <w:proofErr w:type="spellStart"/>
        <w:r w:rsidR="00367592" w:rsidRPr="006C2C91">
          <w:rPr>
            <w:rStyle w:val="Hyperlink"/>
          </w:rPr>
          <w:t>Services</w:t>
        </w:r>
        <w:proofErr w:type="spellEnd"/>
        <w:r w:rsidR="00367592" w:rsidRPr="006C2C91">
          <w:rPr>
            <w:rStyle w:val="Hyperlink"/>
          </w:rPr>
          <w:t xml:space="preserve"> </w:t>
        </w:r>
        <w:proofErr w:type="spellStart"/>
        <w:r w:rsidR="00367592" w:rsidRPr="006C2C91">
          <w:rPr>
            <w:rStyle w:val="Hyperlink"/>
          </w:rPr>
          <w:t>to</w:t>
        </w:r>
        <w:proofErr w:type="spellEnd"/>
        <w:r w:rsidR="00367592" w:rsidRPr="006C2C91">
          <w:rPr>
            <w:rStyle w:val="Hyperlink"/>
          </w:rPr>
          <w:t xml:space="preserve"> Projects</w:t>
        </w:r>
      </w:hyperlink>
      <w:r w:rsidR="00367592" w:rsidRPr="006C2C91">
        <w:t xml:space="preserve">  y a los procedimientos </w:t>
      </w:r>
      <w:r w:rsidR="00367592" w:rsidRPr="00367592">
        <w:t xml:space="preserve">POPP </w:t>
      </w:r>
      <w:hyperlink r:id="rId13" w:tgtFrame="_blank" w:history="1">
        <w:r w:rsidR="00367592" w:rsidRPr="00367592">
          <w:rPr>
            <w:rStyle w:val="Hyperlink"/>
          </w:rPr>
          <w:t>Formular Proyectos de Desarrollo</w:t>
        </w:r>
      </w:hyperlink>
      <w:r w:rsidR="00367592" w:rsidRPr="00367592">
        <w:t xml:space="preserve"> - paso 3.2 - Preparar los presupuestos de los proyectos con todos los costes</w:t>
      </w:r>
      <w:r w:rsidR="00367592" w:rsidRPr="00367592" w:rsidDel="00037635">
        <w:t xml:space="preserve"> </w:t>
      </w:r>
      <w:r w:rsidR="00367592" w:rsidRPr="00367592">
        <w:t xml:space="preserve">. </w:t>
      </w:r>
      <w:r w:rsidR="00367592" w:rsidRPr="006C2C91">
        <w:rPr>
          <w:lang w:val="en-NL"/>
        </w:rPr>
        <w:t xml:space="preserve">Los </w:t>
      </w:r>
      <w:proofErr w:type="spellStart"/>
      <w:r w:rsidR="00367592" w:rsidRPr="006C2C91">
        <w:rPr>
          <w:lang w:val="en-NL"/>
        </w:rPr>
        <w:t>requisitos</w:t>
      </w:r>
      <w:proofErr w:type="spellEnd"/>
      <w:r w:rsidR="00367592" w:rsidRPr="006C2C91">
        <w:rPr>
          <w:lang w:val="en-NL"/>
        </w:rPr>
        <w:t xml:space="preserve"> para </w:t>
      </w:r>
      <w:proofErr w:type="spellStart"/>
      <w:r w:rsidR="00367592" w:rsidRPr="006C2C91">
        <w:rPr>
          <w:lang w:val="en-NL"/>
        </w:rPr>
        <w:t>elaborar</w:t>
      </w:r>
      <w:proofErr w:type="spellEnd"/>
      <w:r w:rsidR="00367592" w:rsidRPr="006C2C91">
        <w:rPr>
          <w:lang w:val="en-NL"/>
        </w:rPr>
        <w:t xml:space="preserve"> </w:t>
      </w:r>
      <w:proofErr w:type="spellStart"/>
      <w:r w:rsidR="00367592" w:rsidRPr="006C2C91">
        <w:rPr>
          <w:lang w:val="en-NL"/>
        </w:rPr>
        <w:t>el</w:t>
      </w:r>
      <w:proofErr w:type="spellEnd"/>
      <w:r w:rsidR="00367592" w:rsidRPr="006C2C91">
        <w:rPr>
          <w:lang w:val="en-NL"/>
        </w:rPr>
        <w:t xml:space="preserve"> </w:t>
      </w:r>
      <w:proofErr w:type="spellStart"/>
      <w:r w:rsidR="00367592" w:rsidRPr="006C2C91">
        <w:rPr>
          <w:lang w:val="en-NL"/>
        </w:rPr>
        <w:t>presupuesto</w:t>
      </w:r>
      <w:proofErr w:type="spellEnd"/>
      <w:r w:rsidR="00367592" w:rsidRPr="006C2C91">
        <w:rPr>
          <w:lang w:val="en-NL"/>
        </w:rPr>
        <w:t xml:space="preserve"> de un </w:t>
      </w:r>
      <w:proofErr w:type="spellStart"/>
      <w:r w:rsidR="00367592" w:rsidRPr="006C2C91">
        <w:rPr>
          <w:lang w:val="en-NL"/>
        </w:rPr>
        <w:t>proyecto</w:t>
      </w:r>
      <w:proofErr w:type="spellEnd"/>
      <w:r w:rsidR="00367592" w:rsidRPr="006C2C91">
        <w:rPr>
          <w:lang w:val="en-NL"/>
        </w:rPr>
        <w:t xml:space="preserve"> se </w:t>
      </w:r>
      <w:proofErr w:type="spellStart"/>
      <w:r w:rsidR="00367592" w:rsidRPr="006C2C91">
        <w:rPr>
          <w:lang w:val="en-NL"/>
        </w:rPr>
        <w:t>describen</w:t>
      </w:r>
      <w:proofErr w:type="spellEnd"/>
      <w:r w:rsidR="00367592" w:rsidRPr="006C2C91">
        <w:rPr>
          <w:lang w:val="en-NL"/>
        </w:rPr>
        <w:t xml:space="preserve"> </w:t>
      </w:r>
      <w:proofErr w:type="spellStart"/>
      <w:r w:rsidR="00367592" w:rsidRPr="006C2C91">
        <w:rPr>
          <w:lang w:val="en-NL"/>
        </w:rPr>
        <w:t>en</w:t>
      </w:r>
      <w:proofErr w:type="spellEnd"/>
      <w:r w:rsidR="00367592" w:rsidRPr="006C2C91">
        <w:rPr>
          <w:lang w:val="en-NL"/>
        </w:rPr>
        <w:t> </w:t>
      </w:r>
      <w:proofErr w:type="spellStart"/>
      <w:r w:rsidR="00367592" w:rsidRPr="006C2C91">
        <w:rPr>
          <w:lang w:val="en-NL"/>
        </w:rPr>
        <w:fldChar w:fldCharType="begin"/>
      </w:r>
      <w:r w:rsidR="00367592" w:rsidRPr="006C2C91">
        <w:rPr>
          <w:lang w:val="en-NL"/>
        </w:rPr>
        <w:instrText xml:space="preserve"> HYPERLINK "https://popp.undp.org/node/1706" \t "_blank" </w:instrText>
      </w:r>
      <w:r w:rsidR="00367592" w:rsidRPr="006C2C91">
        <w:rPr>
          <w:lang w:val="en-NL"/>
        </w:rPr>
      </w:r>
      <w:r w:rsidR="00367592" w:rsidRPr="006C2C91">
        <w:rPr>
          <w:lang w:val="en-NL"/>
        </w:rPr>
        <w:fldChar w:fldCharType="separate"/>
      </w:r>
      <w:r w:rsidR="00367592" w:rsidRPr="006C2C91">
        <w:rPr>
          <w:rStyle w:val="Hyperlink"/>
          <w:lang w:val="en-NL"/>
        </w:rPr>
        <w:t>Preparación</w:t>
      </w:r>
      <w:proofErr w:type="spellEnd"/>
      <w:r w:rsidR="00367592" w:rsidRPr="006C2C91">
        <w:rPr>
          <w:rStyle w:val="Hyperlink"/>
          <w:lang w:val="en-NL"/>
        </w:rPr>
        <w:t xml:space="preserve"> de </w:t>
      </w:r>
      <w:proofErr w:type="spellStart"/>
      <w:r w:rsidR="00367592" w:rsidRPr="006C2C91">
        <w:rPr>
          <w:rStyle w:val="Hyperlink"/>
          <w:lang w:val="en-NL"/>
        </w:rPr>
        <w:t>presupuestos</w:t>
      </w:r>
      <w:proofErr w:type="spellEnd"/>
      <w:r w:rsidR="00367592" w:rsidRPr="006C2C91">
        <w:rPr>
          <w:rStyle w:val="Hyperlink"/>
          <w:lang w:val="en-NL"/>
        </w:rPr>
        <w:t xml:space="preserve"> </w:t>
      </w:r>
      <w:proofErr w:type="spellStart"/>
      <w:r w:rsidR="00367592" w:rsidRPr="006C2C91">
        <w:rPr>
          <w:rStyle w:val="Hyperlink"/>
          <w:lang w:val="en-NL"/>
        </w:rPr>
        <w:t>totalmente</w:t>
      </w:r>
      <w:proofErr w:type="spellEnd"/>
      <w:r w:rsidR="00367592" w:rsidRPr="006C2C91">
        <w:rPr>
          <w:rStyle w:val="Hyperlink"/>
          <w:lang w:val="en-NL"/>
        </w:rPr>
        <w:t xml:space="preserve"> </w:t>
      </w:r>
      <w:proofErr w:type="spellStart"/>
      <w:r w:rsidR="00367592" w:rsidRPr="006C2C91">
        <w:rPr>
          <w:rStyle w:val="Hyperlink"/>
          <w:lang w:val="en-NL"/>
        </w:rPr>
        <w:t>calculados</w:t>
      </w:r>
      <w:proofErr w:type="spellEnd"/>
      <w:r w:rsidR="00367592" w:rsidRPr="006C2C91">
        <w:rPr>
          <w:rStyle w:val="Hyperlink"/>
          <w:lang w:val="en-NL"/>
        </w:rPr>
        <w:t xml:space="preserve"> para </w:t>
      </w:r>
      <w:proofErr w:type="spellStart"/>
      <w:r w:rsidR="00367592" w:rsidRPr="006C2C91">
        <w:rPr>
          <w:rStyle w:val="Hyperlink"/>
          <w:lang w:val="en-NL"/>
        </w:rPr>
        <w:t>proyectos</w:t>
      </w:r>
      <w:proofErr w:type="spellEnd"/>
      <w:r w:rsidR="00367592" w:rsidRPr="006C2C91">
        <w:rPr>
          <w:lang w:val="en-GB"/>
        </w:rPr>
        <w:fldChar w:fldCharType="end"/>
      </w:r>
      <w:r w:rsidR="00367592" w:rsidRPr="006C2C91">
        <w:rPr>
          <w:lang w:val="en-NL"/>
        </w:rPr>
        <w:t>.</w:t>
      </w:r>
    </w:p>
    <w:p w14:paraId="2E3D8E5C" w14:textId="77777777" w:rsidR="00367592" w:rsidRPr="006C2C91" w:rsidRDefault="00367592" w:rsidP="00367592">
      <w:pPr>
        <w:ind w:left="0" w:right="-9" w:firstLine="0"/>
        <w:rPr>
          <w:lang w:val="en-NL"/>
        </w:rPr>
      </w:pPr>
      <w:r w:rsidRPr="006C2C91">
        <w:rPr>
          <w:lang w:val="en-NL"/>
        </w:rPr>
        <w:br/>
      </w:r>
      <w:proofErr w:type="spellStart"/>
      <w:r w:rsidRPr="006C2C91">
        <w:rPr>
          <w:lang w:val="en-NL"/>
        </w:rPr>
        <w:t>Consulte</w:t>
      </w:r>
      <w:proofErr w:type="spellEnd"/>
      <w:r w:rsidRPr="006C2C91">
        <w:rPr>
          <w:lang w:val="en-NL"/>
        </w:rPr>
        <w:t xml:space="preserve"> </w:t>
      </w:r>
      <w:proofErr w:type="spellStart"/>
      <w:r w:rsidRPr="006C2C91">
        <w:rPr>
          <w:lang w:val="en-NL"/>
        </w:rPr>
        <w:t>los</w:t>
      </w:r>
      <w:proofErr w:type="spellEnd"/>
      <w:r w:rsidRPr="006C2C91">
        <w:rPr>
          <w:lang w:val="en-NL"/>
        </w:rPr>
        <w:t xml:space="preserve"> </w:t>
      </w:r>
      <w:proofErr w:type="spellStart"/>
      <w:r w:rsidRPr="006C2C91">
        <w:rPr>
          <w:lang w:val="en-NL"/>
        </w:rPr>
        <w:t>procedimientos</w:t>
      </w:r>
      <w:proofErr w:type="spellEnd"/>
      <w:r w:rsidRPr="006C2C91">
        <w:rPr>
          <w:lang w:val="en-NL"/>
        </w:rPr>
        <w:t xml:space="preserve"> </w:t>
      </w:r>
      <w:proofErr w:type="spellStart"/>
      <w:r w:rsidRPr="006C2C91">
        <w:rPr>
          <w:lang w:val="en-NL"/>
        </w:rPr>
        <w:t>detallados</w:t>
      </w:r>
      <w:proofErr w:type="spellEnd"/>
      <w:r w:rsidRPr="006C2C91">
        <w:rPr>
          <w:lang w:val="en-NL"/>
        </w:rPr>
        <w:t xml:space="preserve"> para </w:t>
      </w:r>
      <w:proofErr w:type="spellStart"/>
      <w:r w:rsidRPr="006C2C91">
        <w:rPr>
          <w:lang w:val="en-NL"/>
        </w:rPr>
        <w:t>el</w:t>
      </w:r>
      <w:proofErr w:type="spellEnd"/>
      <w:r w:rsidRPr="006C2C91">
        <w:rPr>
          <w:lang w:val="en-NL"/>
        </w:rPr>
        <w:t xml:space="preserve"> </w:t>
      </w:r>
      <w:proofErr w:type="spellStart"/>
      <w:r w:rsidRPr="006C2C91">
        <w:rPr>
          <w:lang w:val="en-NL"/>
        </w:rPr>
        <w:t>cálculo</w:t>
      </w:r>
      <w:proofErr w:type="spellEnd"/>
      <w:r w:rsidRPr="006C2C91">
        <w:rPr>
          <w:lang w:val="en-NL"/>
        </w:rPr>
        <w:t xml:space="preserve"> de </w:t>
      </w:r>
      <w:proofErr w:type="spellStart"/>
      <w:r w:rsidRPr="006C2C91">
        <w:rPr>
          <w:lang w:val="en-NL"/>
        </w:rPr>
        <w:t>costes</w:t>
      </w:r>
      <w:proofErr w:type="spellEnd"/>
      <w:r w:rsidRPr="006C2C91">
        <w:rPr>
          <w:lang w:val="en-NL"/>
        </w:rPr>
        <w:t xml:space="preserve"> y </w:t>
      </w:r>
      <w:proofErr w:type="spellStart"/>
      <w:r w:rsidRPr="006C2C91">
        <w:rPr>
          <w:lang w:val="en-NL"/>
        </w:rPr>
        <w:t>presupuestos</w:t>
      </w:r>
      <w:proofErr w:type="spellEnd"/>
      <w:r w:rsidRPr="006C2C91">
        <w:rPr>
          <w:lang w:val="en-NL"/>
        </w:rPr>
        <w:t xml:space="preserve"> de </w:t>
      </w:r>
      <w:proofErr w:type="spellStart"/>
      <w:r w:rsidRPr="006C2C91">
        <w:rPr>
          <w:lang w:val="en-NL"/>
        </w:rPr>
        <w:t>los</w:t>
      </w:r>
      <w:proofErr w:type="spellEnd"/>
      <w:r w:rsidRPr="006C2C91">
        <w:rPr>
          <w:lang w:val="en-NL"/>
        </w:rPr>
        <w:t xml:space="preserve"> </w:t>
      </w:r>
      <w:proofErr w:type="spellStart"/>
      <w:r w:rsidRPr="006C2C91">
        <w:rPr>
          <w:lang w:val="en-NL"/>
        </w:rPr>
        <w:t>proyectos</w:t>
      </w:r>
      <w:proofErr w:type="spellEnd"/>
      <w:r w:rsidRPr="006C2C91">
        <w:rPr>
          <w:lang w:val="en-NL"/>
        </w:rPr>
        <w:t xml:space="preserve"> </w:t>
      </w:r>
      <w:proofErr w:type="spellStart"/>
      <w:r w:rsidRPr="006C2C91">
        <w:rPr>
          <w:lang w:val="en-NL"/>
        </w:rPr>
        <w:t>financiados</w:t>
      </w:r>
      <w:proofErr w:type="spellEnd"/>
      <w:r w:rsidRPr="006C2C91">
        <w:rPr>
          <w:lang w:val="en-NL"/>
        </w:rPr>
        <w:t xml:space="preserve"> </w:t>
      </w:r>
      <w:proofErr w:type="spellStart"/>
      <w:r w:rsidRPr="006C2C91">
        <w:rPr>
          <w:lang w:val="en-NL"/>
        </w:rPr>
        <w:t>por</w:t>
      </w:r>
      <w:proofErr w:type="spellEnd"/>
      <w:r w:rsidRPr="006C2C91">
        <w:rPr>
          <w:lang w:val="en-NL"/>
        </w:rPr>
        <w:t xml:space="preserve"> </w:t>
      </w:r>
      <w:proofErr w:type="spellStart"/>
      <w:r w:rsidRPr="006C2C91">
        <w:rPr>
          <w:lang w:val="en-NL"/>
        </w:rPr>
        <w:t>los</w:t>
      </w:r>
      <w:proofErr w:type="spellEnd"/>
      <w:r w:rsidRPr="006C2C91">
        <w:rPr>
          <w:lang w:val="en-NL"/>
        </w:rPr>
        <w:t xml:space="preserve"> </w:t>
      </w:r>
      <w:proofErr w:type="spellStart"/>
      <w:r w:rsidRPr="006C2C91">
        <w:rPr>
          <w:lang w:val="en-NL"/>
        </w:rPr>
        <w:t>siguientes</w:t>
      </w:r>
      <w:proofErr w:type="spellEnd"/>
      <w:r w:rsidRPr="006C2C91">
        <w:rPr>
          <w:lang w:val="en-NL"/>
        </w:rPr>
        <w:t xml:space="preserve"> </w:t>
      </w:r>
      <w:proofErr w:type="spellStart"/>
      <w:r w:rsidRPr="006C2C91">
        <w:rPr>
          <w:lang w:val="en-NL"/>
        </w:rPr>
        <w:t>socios</w:t>
      </w:r>
      <w:proofErr w:type="spellEnd"/>
      <w:r w:rsidRPr="006C2C91">
        <w:rPr>
          <w:lang w:val="en-NL"/>
        </w:rPr>
        <w:t>:</w:t>
      </w:r>
    </w:p>
    <w:p w14:paraId="0A8B3345" w14:textId="77777777" w:rsidR="00367592" w:rsidRPr="006C2C91" w:rsidRDefault="00000000" w:rsidP="00367592">
      <w:pPr>
        <w:numPr>
          <w:ilvl w:val="1"/>
          <w:numId w:val="1"/>
        </w:numPr>
        <w:ind w:right="-9"/>
        <w:rPr>
          <w:lang w:val="en-NL"/>
        </w:rPr>
      </w:pPr>
      <w:hyperlink r:id="rId14" w:tgtFrame="_blank" w:history="1">
        <w:r w:rsidR="00367592" w:rsidRPr="006C2C91">
          <w:rPr>
            <w:rStyle w:val="Hyperlink"/>
            <w:lang w:val="en-NL"/>
          </w:rPr>
          <w:t xml:space="preserve">Unión </w:t>
        </w:r>
        <w:proofErr w:type="spellStart"/>
        <w:r w:rsidR="00367592" w:rsidRPr="006C2C91">
          <w:rPr>
            <w:rStyle w:val="Hyperlink"/>
            <w:lang w:val="en-NL"/>
          </w:rPr>
          <w:t>Europea</w:t>
        </w:r>
        <w:proofErr w:type="spellEnd"/>
        <w:r w:rsidR="00367592" w:rsidRPr="006C2C91">
          <w:rPr>
            <w:rStyle w:val="Hyperlink"/>
            <w:lang w:val="en-NL"/>
          </w:rPr>
          <w:t xml:space="preserve"> (UE)</w:t>
        </w:r>
      </w:hyperlink>
    </w:p>
    <w:p w14:paraId="193A9B5C" w14:textId="77777777" w:rsidR="00367592" w:rsidRPr="006C2C91" w:rsidRDefault="00000000" w:rsidP="00367592">
      <w:pPr>
        <w:numPr>
          <w:ilvl w:val="1"/>
          <w:numId w:val="1"/>
        </w:numPr>
        <w:ind w:right="-9"/>
        <w:rPr>
          <w:lang w:val="en-NL"/>
        </w:rPr>
      </w:pPr>
      <w:hyperlink r:id="rId15" w:tgtFrame="_blank" w:history="1">
        <w:proofErr w:type="spellStart"/>
        <w:r w:rsidR="00367592" w:rsidRPr="006C2C91">
          <w:rPr>
            <w:rStyle w:val="Hyperlink"/>
            <w:lang w:val="en-NL"/>
          </w:rPr>
          <w:t>Financiados</w:t>
        </w:r>
        <w:proofErr w:type="spellEnd"/>
        <w:r w:rsidR="00367592" w:rsidRPr="006C2C91">
          <w:rPr>
            <w:rStyle w:val="Hyperlink"/>
            <w:lang w:val="en-NL"/>
          </w:rPr>
          <w:t xml:space="preserve"> </w:t>
        </w:r>
        <w:proofErr w:type="spellStart"/>
        <w:r w:rsidR="00367592" w:rsidRPr="006C2C91">
          <w:rPr>
            <w:rStyle w:val="Hyperlink"/>
            <w:lang w:val="en-NL"/>
          </w:rPr>
          <w:t>por</w:t>
        </w:r>
        <w:proofErr w:type="spellEnd"/>
        <w:r w:rsidR="00367592" w:rsidRPr="006C2C91">
          <w:rPr>
            <w:rStyle w:val="Hyperlink"/>
            <w:lang w:val="en-NL"/>
          </w:rPr>
          <w:t xml:space="preserve"> </w:t>
        </w:r>
        <w:proofErr w:type="spellStart"/>
        <w:r w:rsidR="00367592" w:rsidRPr="006C2C91">
          <w:rPr>
            <w:rStyle w:val="Hyperlink"/>
            <w:lang w:val="en-NL"/>
          </w:rPr>
          <w:t>el</w:t>
        </w:r>
        <w:proofErr w:type="spellEnd"/>
        <w:r w:rsidR="00367592" w:rsidRPr="006C2C91">
          <w:rPr>
            <w:rStyle w:val="Hyperlink"/>
            <w:lang w:val="en-NL"/>
          </w:rPr>
          <w:t xml:space="preserve"> FMAM</w:t>
        </w:r>
      </w:hyperlink>
    </w:p>
    <w:p w14:paraId="7866E239" w14:textId="77777777" w:rsidR="00367592" w:rsidRPr="006C2C91" w:rsidRDefault="00367592" w:rsidP="00367592">
      <w:pPr>
        <w:numPr>
          <w:ilvl w:val="1"/>
          <w:numId w:val="1"/>
        </w:numPr>
        <w:ind w:right="-9"/>
        <w:rPr>
          <w:rStyle w:val="Hyperlink"/>
          <w:lang w:val="en-NL"/>
        </w:rPr>
      </w:pPr>
      <w:r w:rsidRPr="006C2C91">
        <w:rPr>
          <w:lang w:val="en-NL"/>
        </w:rPr>
        <w:fldChar w:fldCharType="begin"/>
      </w:r>
      <w:r w:rsidRPr="006C2C91">
        <w:rPr>
          <w:lang w:val="en-NL"/>
        </w:rPr>
        <w:instrText xml:space="preserve"> HYPERLINK "https://popp.undp.org/node/1706" \t "_blank" </w:instrText>
      </w:r>
      <w:r w:rsidRPr="006C2C91">
        <w:rPr>
          <w:lang w:val="en-NL"/>
        </w:rPr>
      </w:r>
      <w:r w:rsidRPr="006C2C91">
        <w:rPr>
          <w:lang w:val="en-NL"/>
        </w:rPr>
        <w:fldChar w:fldCharType="separate"/>
      </w:r>
      <w:r w:rsidRPr="006C2C91">
        <w:rPr>
          <w:rStyle w:val="Hyperlink"/>
          <w:lang w:val="en-NL"/>
        </w:rPr>
        <w:t>Fondo Mundial (FM)</w:t>
      </w:r>
    </w:p>
    <w:p w14:paraId="1DEBDEC8" w14:textId="522DE9C1" w:rsidR="005C5404" w:rsidRPr="00EC004A" w:rsidRDefault="00367592" w:rsidP="00367592">
      <w:pPr>
        <w:ind w:left="0" w:right="-9" w:firstLine="0"/>
        <w:rPr>
          <w:lang w:val="en-GB"/>
        </w:rPr>
      </w:pPr>
      <w:r w:rsidRPr="006C2C91">
        <w:rPr>
          <w:lang w:val="en-GB"/>
        </w:rPr>
        <w:fldChar w:fldCharType="end"/>
      </w:r>
    </w:p>
    <w:p w14:paraId="7CCE6FF3" w14:textId="77777777" w:rsidR="005C5404" w:rsidRPr="00EC004A" w:rsidRDefault="00EC461F">
      <w:pPr>
        <w:spacing w:after="33" w:line="259" w:lineRule="auto"/>
        <w:ind w:left="720" w:right="0" w:firstLine="0"/>
        <w:jc w:val="left"/>
        <w:rPr>
          <w:lang w:val="en-GB"/>
        </w:rPr>
      </w:pPr>
      <w:r w:rsidRPr="00EC004A">
        <w:rPr>
          <w:lang w:val="en-GB"/>
        </w:rPr>
        <w:t xml:space="preserve"> </w:t>
      </w:r>
    </w:p>
    <w:p w14:paraId="16A9C08E" w14:textId="7A7EBAF7" w:rsidR="005C5404" w:rsidRPr="006D5E1A" w:rsidRDefault="00EC461F">
      <w:pPr>
        <w:numPr>
          <w:ilvl w:val="0"/>
          <w:numId w:val="1"/>
        </w:numPr>
        <w:ind w:right="-9"/>
      </w:pPr>
      <w:r>
        <w:t xml:space="preserve">El objetivo es que la asignación de los recursos básicos del presupuesto institucional de la oficina para posiciones se asigne como una partida presupuestaria para costos de personal, con un número fijo de posiciones. La oficina realiza la determinación sobre cuánto usar de la asignación de recursos básicos del personal para financiar posiciones múltiples en combinación con otros recursos. Como guía para tomar esta decisión, las oficinas en el país pueden utilizar las directrices para el estudio sobre el volumen de </w:t>
      </w:r>
      <w:r>
        <w:lastRenderedPageBreak/>
        <w:t xml:space="preserve">trabajo de las oficinas </w:t>
      </w:r>
      <w:r w:rsidR="0077593C">
        <w:t xml:space="preserve">de </w:t>
      </w:r>
      <w:r>
        <w:t>país</w:t>
      </w:r>
      <w:r w:rsidR="0077593C">
        <w:t xml:space="preserve"> WLS</w:t>
      </w:r>
      <w:r>
        <w:t xml:space="preserve">, </w:t>
      </w:r>
      <w:r w:rsidR="0032283C">
        <w:t xml:space="preserve">consultar el paso 2 de los procedimientos de la política sobre </w:t>
      </w:r>
      <w:hyperlink r:id="rId16" w:history="1">
        <w:r w:rsidR="0032283C" w:rsidRPr="00777EE6">
          <w:rPr>
            <w:rStyle w:val="Hyperlink"/>
            <w:color w:val="0070C0"/>
          </w:rPr>
          <w:t>Uso de  Múltiples Líneas de Financiación para Posiciones</w:t>
        </w:r>
      </w:hyperlink>
      <w:r w:rsidR="0032283C">
        <w:t xml:space="preserve">. </w:t>
      </w:r>
    </w:p>
    <w:p w14:paraId="094CC40F" w14:textId="77777777" w:rsidR="005C5404" w:rsidRPr="006D5E1A" w:rsidRDefault="00EC461F">
      <w:pPr>
        <w:spacing w:after="33" w:line="259" w:lineRule="auto"/>
        <w:ind w:left="720" w:right="0" w:firstLine="0"/>
        <w:jc w:val="left"/>
      </w:pPr>
      <w:r>
        <w:t xml:space="preserve"> </w:t>
      </w:r>
    </w:p>
    <w:p w14:paraId="610A16F7" w14:textId="312A9967" w:rsidR="005C5404" w:rsidRPr="006D5E1A" w:rsidRDefault="00EC461F">
      <w:pPr>
        <w:numPr>
          <w:ilvl w:val="0"/>
          <w:numId w:val="1"/>
        </w:numPr>
        <w:ind w:right="-9"/>
      </w:pPr>
      <w:r>
        <w:t xml:space="preserve">El uso de fuentes de financiación múltiples es un mecanismo de financiación, no una estrategia de Recursos Humanos. No deberá aplicarse para subir de categoría las posiciones existentes o para aumentar el número de posiciones, sino solo como medio para mantener las capacidades del personal en los niveles necesarios mientras se establece un vínculo directo entre las funciones del personal y los recursos de financiación del personal. Aumentar o subir de categoría las posiciones existentes generaría costos más altos en los proyectos de desarrollo sin el impacto de desarrollo correspondiente.  </w:t>
      </w:r>
    </w:p>
    <w:p w14:paraId="5B1FDF51" w14:textId="77777777" w:rsidR="005C5404" w:rsidRPr="006D5E1A" w:rsidRDefault="00EC461F">
      <w:pPr>
        <w:spacing w:after="31" w:line="259" w:lineRule="auto"/>
        <w:ind w:left="720" w:right="0" w:firstLine="0"/>
        <w:jc w:val="left"/>
      </w:pPr>
      <w:r>
        <w:t xml:space="preserve"> </w:t>
      </w:r>
    </w:p>
    <w:p w14:paraId="70C6FB3E" w14:textId="77777777" w:rsidR="005C5404" w:rsidRPr="006D5E1A" w:rsidRDefault="00EC461F">
      <w:pPr>
        <w:numPr>
          <w:ilvl w:val="0"/>
          <w:numId w:val="1"/>
        </w:numPr>
        <w:ind w:right="-9"/>
      </w:pPr>
      <w:r>
        <w:t xml:space="preserve">Si bien no hay una restricción </w:t>
      </w:r>
      <w:r>
        <w:rPr>
          <w:i/>
        </w:rPr>
        <w:t>ex ante</w:t>
      </w:r>
      <w:r>
        <w:t xml:space="preserve"> prevista del número de las diferentes fuentes de financiación múltiples para una posición, la rendición de cuentas de los responsables del presupuesto por la disponibilidad de recursos no cambia. Por lo tanto, en función de la práctica vigente, las oficinas deberán trabajar en estrecha colaboración con los responsables del presupuesto, quienes deberán confirmar la disponibilidad de recursos con respecto a todas las fuentes de financiación relevantes para la financiación de posiciones.  </w:t>
      </w:r>
    </w:p>
    <w:p w14:paraId="1CA16B0B" w14:textId="77777777" w:rsidR="005C5404" w:rsidRPr="006D5E1A" w:rsidRDefault="00EC461F">
      <w:pPr>
        <w:spacing w:after="34" w:line="259" w:lineRule="auto"/>
        <w:ind w:left="720" w:right="0" w:firstLine="0"/>
        <w:jc w:val="left"/>
      </w:pPr>
      <w:r>
        <w:t xml:space="preserve"> </w:t>
      </w:r>
    </w:p>
    <w:p w14:paraId="77943FA9" w14:textId="77777777" w:rsidR="005C5404" w:rsidRPr="006D5E1A" w:rsidRDefault="00EC461F">
      <w:pPr>
        <w:numPr>
          <w:ilvl w:val="0"/>
          <w:numId w:val="1"/>
        </w:numPr>
        <w:ind w:right="-9"/>
      </w:pPr>
      <w:r>
        <w:t xml:space="preserve">Si bien se permiten combinaciones de fuentes de financiación múltiples para financiar una posición, esto no cambia la categoría de clasificación de costos principal de dicha posición. En otras palabras, las categorías de clasificación de costos de las posiciones no se deben cambiar, independientemente de la composición de financiación de una posición. El siguiente ejemplo ilustra este punto: </w:t>
      </w:r>
    </w:p>
    <w:p w14:paraId="0D5B3F38" w14:textId="77777777" w:rsidR="005C5404" w:rsidRPr="006D5E1A" w:rsidRDefault="00EC461F">
      <w:pPr>
        <w:spacing w:after="33" w:line="259" w:lineRule="auto"/>
        <w:ind w:left="720" w:right="0" w:firstLine="0"/>
        <w:jc w:val="left"/>
      </w:pPr>
      <w:r>
        <w:t xml:space="preserve"> </w:t>
      </w:r>
    </w:p>
    <w:p w14:paraId="0094EE89" w14:textId="4509BB47" w:rsidR="005C5404" w:rsidRPr="006D5E1A" w:rsidRDefault="00EC461F">
      <w:pPr>
        <w:numPr>
          <w:ilvl w:val="1"/>
          <w:numId w:val="1"/>
        </w:numPr>
        <w:spacing w:after="35"/>
        <w:ind w:right="-9" w:hanging="360"/>
      </w:pPr>
      <w:r>
        <w:t xml:space="preserve">Las posiciones de las dependencias de programas pueden ser cofinanciadas con una combinación de Eficacia del Desarrollo (es decir, código de fondo «02550» ), y recursos de programas (códigos de fondo 04000, 30000 y códigos de fondo fiduciario).  </w:t>
      </w:r>
    </w:p>
    <w:p w14:paraId="6C8FB12B" w14:textId="2CB224D1" w:rsidR="005C5404" w:rsidRPr="006D5E1A" w:rsidRDefault="00EC461F">
      <w:pPr>
        <w:numPr>
          <w:ilvl w:val="1"/>
          <w:numId w:val="1"/>
        </w:numPr>
        <w:ind w:right="-9" w:hanging="360"/>
      </w:pPr>
      <w:r>
        <w:t xml:space="preserve">Las posiciones de </w:t>
      </w:r>
      <w:r w:rsidR="0077593C">
        <w:t xml:space="preserve"> Gerencia y </w:t>
      </w:r>
      <w:r>
        <w:t>de</w:t>
      </w:r>
      <w:r w:rsidR="0077593C">
        <w:t xml:space="preserve"> la Unidad de</w:t>
      </w:r>
      <w:r>
        <w:t xml:space="preserve"> Operaciones que proporcionan servicios de apoyo a la ejecución pueden ser cofinanciadas con asignaciones de presupuesto institucional</w:t>
      </w:r>
      <w:r w:rsidR="0077593C">
        <w:t xml:space="preserve"> de recursos</w:t>
      </w:r>
      <w:r>
        <w:t xml:space="preserve"> básic</w:t>
      </w:r>
      <w:r w:rsidR="0077593C">
        <w:t>o</w:t>
      </w:r>
      <w:r>
        <w:t xml:space="preserve">s (código de fondo 02300), ingresos RE (extrapresupuestarios) (como el fondo 11300) y recursos de programas (códigos de fondo 04000, 30000 y fondos fiduciarios).  </w:t>
      </w:r>
    </w:p>
    <w:p w14:paraId="5F8CAFB0" w14:textId="77777777" w:rsidR="005C5404" w:rsidRPr="006D5E1A" w:rsidRDefault="00EC461F">
      <w:pPr>
        <w:spacing w:after="33" w:line="259" w:lineRule="auto"/>
        <w:ind w:left="720" w:right="0" w:firstLine="0"/>
        <w:jc w:val="left"/>
      </w:pPr>
      <w:r>
        <w:t xml:space="preserve"> </w:t>
      </w:r>
    </w:p>
    <w:p w14:paraId="333CDC10" w14:textId="77777777" w:rsidR="005C5404" w:rsidRPr="006D5E1A" w:rsidRDefault="00EC461F">
      <w:pPr>
        <w:numPr>
          <w:ilvl w:val="0"/>
          <w:numId w:val="1"/>
        </w:numPr>
        <w:ind w:right="-9"/>
      </w:pPr>
      <w:r>
        <w:t xml:space="preserve">El ejemplo a continuación ilustra el cambio de la práctica vigente, y permite una mayor flexibilidad para que las oficinas gestionen sus asignaciones institucionales básicas de la manera que crean mejor y combinen sus asignaciones básicas con otros recursos disponibles para financiar las posiciones:  </w:t>
      </w:r>
    </w:p>
    <w:p w14:paraId="40D32595" w14:textId="77777777" w:rsidR="005C5404" w:rsidRPr="006D5E1A" w:rsidRDefault="00EC461F">
      <w:pPr>
        <w:spacing w:after="33" w:line="259" w:lineRule="auto"/>
        <w:ind w:left="720" w:right="0" w:firstLine="0"/>
        <w:jc w:val="left"/>
      </w:pPr>
      <w:r>
        <w:t xml:space="preserve"> </w:t>
      </w:r>
    </w:p>
    <w:p w14:paraId="7F55A1D0" w14:textId="4A4BD50A" w:rsidR="005C5404" w:rsidRPr="006D5E1A" w:rsidRDefault="0018340C">
      <w:pPr>
        <w:numPr>
          <w:ilvl w:val="1"/>
          <w:numId w:val="1"/>
        </w:numPr>
        <w:spacing w:after="35"/>
        <w:ind w:right="-9" w:hanging="360"/>
      </w:pPr>
      <w:r>
        <w:t>Antes de 2014, el llamado de los presupuestos institucionales bienales para que una posición de Representante Residente Auxiliar de Programas (</w:t>
      </w:r>
      <w:proofErr w:type="spellStart"/>
      <w:r>
        <w:t>RRAuP</w:t>
      </w:r>
      <w:proofErr w:type="spellEnd"/>
      <w:r>
        <w:t xml:space="preserve">) sea financiada plenamente con recursos básicos incluso si el </w:t>
      </w:r>
      <w:proofErr w:type="spellStart"/>
      <w:r>
        <w:t>RRAuP</w:t>
      </w:r>
      <w:proofErr w:type="spellEnd"/>
      <w:r>
        <w:t xml:space="preserve"> tiene responsabilidades que cubran una cartera de programas básicos y complementarios. Además, incluso si la cartera de programas cambia de un período de programas de un país al siguiente, la posición sigue </w:t>
      </w:r>
      <w:r>
        <w:lastRenderedPageBreak/>
        <w:t xml:space="preserve">siendo financiada con la misma asignación básica dentro del bienio del ejercicio presupuestario.  </w:t>
      </w:r>
    </w:p>
    <w:p w14:paraId="132D9CDB" w14:textId="77777777" w:rsidR="005C5404" w:rsidRPr="006D5E1A" w:rsidRDefault="00EC461F">
      <w:pPr>
        <w:numPr>
          <w:ilvl w:val="1"/>
          <w:numId w:val="1"/>
        </w:numPr>
        <w:ind w:right="-9" w:hanging="360"/>
      </w:pPr>
      <w:r>
        <w:t xml:space="preserve">Según la estrategia de presupuesto integrado para 2014/2017, la misma posición podría, por ejemplo, en base a la naturaleza del trabajo llevado a cabo por el titular según se informa en los resultados del estudio del volumen de trabajo, ser financiada por una combinación de presupuesto institucional y otros recursos como fondos de desarrollo.  </w:t>
      </w:r>
    </w:p>
    <w:p w14:paraId="57E72D70" w14:textId="77777777" w:rsidR="005C5404" w:rsidRPr="006D5E1A" w:rsidRDefault="00EC461F">
      <w:pPr>
        <w:spacing w:after="33" w:line="259" w:lineRule="auto"/>
        <w:ind w:left="720" w:right="0" w:firstLine="0"/>
        <w:jc w:val="left"/>
      </w:pPr>
      <w:r>
        <w:t xml:space="preserve"> </w:t>
      </w:r>
    </w:p>
    <w:p w14:paraId="1F10D731" w14:textId="75076E31" w:rsidR="00B47E56" w:rsidRPr="00DA1550" w:rsidRDefault="00817CAC" w:rsidP="00686C35">
      <w:pPr>
        <w:numPr>
          <w:ilvl w:val="0"/>
          <w:numId w:val="1"/>
        </w:numPr>
        <w:ind w:right="-9"/>
        <w:rPr>
          <w:rFonts w:ascii="Arial" w:hAnsi="Arial" w:cs="Arial"/>
          <w:u w:color="333333"/>
        </w:rPr>
      </w:pPr>
      <w:r>
        <w:t>Un tipo de posición «</w:t>
      </w:r>
      <w:proofErr w:type="spellStart"/>
      <w:r>
        <w:t>Structure</w:t>
      </w:r>
      <w:proofErr w:type="spellEnd"/>
      <w:r>
        <w:t xml:space="preserve"> Post (SP): DPC» o «SP-DPC» (Puesto de estructura de DPC) está disponible para registrar las posiciones que prestan servicios de DPC. Todas las posiciones que prestan servicios de apoyo a la ejecución de proyectos (en base a Listas Universales de Precios [UPL] o Listas Locales de Precios [LPL]) de manera habitual o servicios de asesoramiento de eficacia del desarrollo (DE) se categorizan como posiciones de DPC en </w:t>
      </w:r>
      <w:r w:rsidR="00A273A5">
        <w:t>Quantum</w:t>
      </w:r>
      <w:r>
        <w:t xml:space="preserve">.  Se puede encontrar una nota orientativa del tipo de posición en </w:t>
      </w:r>
      <w:r w:rsidR="00A273A5">
        <w:t>Quantum estarán disponibles próximamente.</w:t>
      </w:r>
      <w:r>
        <w:t xml:space="preserve"> </w:t>
      </w:r>
    </w:p>
    <w:p w14:paraId="39BD0CDB" w14:textId="77777777" w:rsidR="00DA1550" w:rsidRPr="00DA1550" w:rsidRDefault="00DA1550" w:rsidP="00DA1550">
      <w:pPr>
        <w:ind w:left="0" w:right="-9" w:firstLine="0"/>
        <w:rPr>
          <w:rFonts w:ascii="Arial" w:hAnsi="Arial" w:cs="Arial"/>
          <w:u w:color="333333"/>
        </w:rPr>
      </w:pPr>
    </w:p>
    <w:p w14:paraId="641C2F0B" w14:textId="1B739E19" w:rsidR="00B47E56" w:rsidRPr="00BC3E2B" w:rsidRDefault="00B47E56" w:rsidP="008E3060">
      <w:pPr>
        <w:numPr>
          <w:ilvl w:val="0"/>
          <w:numId w:val="1"/>
        </w:numPr>
        <w:ind w:right="-9"/>
        <w:rPr>
          <w:lang w:val="en-GB"/>
        </w:rPr>
      </w:pPr>
      <w:r>
        <w:t>Cuando sea posible, las posiciones de DPC deben cobrarse directamente a los proyectos de desarrollo a través de planes de cuentas múltiples o a un proyecto de DPC independiente en situaciones complejas</w:t>
      </w:r>
      <w:r w:rsidR="00BC3E2B">
        <w:t xml:space="preserve">. </w:t>
      </w:r>
      <w:r w:rsidRPr="00BC3E2B">
        <w:rPr>
          <w:lang w:val="en-GB"/>
        </w:rPr>
        <w:t>(</w:t>
      </w:r>
      <w:proofErr w:type="spellStart"/>
      <w:r w:rsidRPr="00BC3E2B">
        <w:rPr>
          <w:lang w:val="en-GB"/>
        </w:rPr>
        <w:t>consultar</w:t>
      </w:r>
      <w:proofErr w:type="spellEnd"/>
      <w:r w:rsidR="00BC3E2B" w:rsidRPr="00BC3E2B">
        <w:rPr>
          <w:lang w:val="en-GB"/>
        </w:rPr>
        <w:t xml:space="preserve"> </w:t>
      </w:r>
      <w:hyperlink r:id="rId17" w:history="1">
        <w:r w:rsidR="00BC3E2B" w:rsidRPr="00777EE6">
          <w:rPr>
            <w:rStyle w:val="Hyperlink"/>
            <w:lang w:val="en-US"/>
          </w:rPr>
          <w:t>Planning and Paying for Delivery Enabling Services to Projects</w:t>
        </w:r>
      </w:hyperlink>
      <w:r w:rsidRPr="00BC3E2B">
        <w:rPr>
          <w:lang w:val="en-GB"/>
        </w:rPr>
        <w:t>).</w:t>
      </w:r>
    </w:p>
    <w:p w14:paraId="67D1D2B4" w14:textId="77777777" w:rsidR="00E44E77" w:rsidRPr="00BC3E2B" w:rsidRDefault="00E44E77" w:rsidP="00E44E77">
      <w:pPr>
        <w:ind w:left="715" w:right="-9" w:firstLine="0"/>
        <w:rPr>
          <w:lang w:val="en-GB"/>
        </w:rPr>
      </w:pPr>
    </w:p>
    <w:p w14:paraId="778D3BDF" w14:textId="77777777" w:rsidR="00E44E77" w:rsidRPr="008E3060" w:rsidRDefault="00E44E77" w:rsidP="00E44E77">
      <w:pPr>
        <w:numPr>
          <w:ilvl w:val="0"/>
          <w:numId w:val="1"/>
        </w:numPr>
        <w:ind w:right="-9"/>
      </w:pPr>
      <w:r>
        <w:t>Las posiciones de DPC pueden ser cofinanciadas con las siguientes fuentes de financiación:</w:t>
      </w:r>
    </w:p>
    <w:p w14:paraId="003EDD37" w14:textId="77777777" w:rsidR="00E44E77" w:rsidRPr="008E3060" w:rsidRDefault="00E44E77" w:rsidP="00E44E77">
      <w:pPr>
        <w:numPr>
          <w:ilvl w:val="0"/>
          <w:numId w:val="5"/>
        </w:numPr>
        <w:ind w:right="-9"/>
      </w:pPr>
      <w:r>
        <w:t>El presupuesto institucional para actividades de gestión (básico y RE)</w:t>
      </w:r>
    </w:p>
    <w:p w14:paraId="06B93C8F" w14:textId="77777777" w:rsidR="00E44E77" w:rsidRPr="008E3060" w:rsidRDefault="00E44E77" w:rsidP="00E44E77">
      <w:pPr>
        <w:numPr>
          <w:ilvl w:val="0"/>
          <w:numId w:val="5"/>
        </w:numPr>
        <w:ind w:right="-9"/>
      </w:pPr>
      <w:r>
        <w:t xml:space="preserve">Proyectos de desarrollo para servicios de asesoramiento de </w:t>
      </w:r>
      <w:proofErr w:type="spellStart"/>
      <w:r>
        <w:t>DE</w:t>
      </w:r>
      <w:proofErr w:type="spellEnd"/>
      <w:r>
        <w:t xml:space="preserve"> y actividades de apoyo a la ejecución</w:t>
      </w:r>
    </w:p>
    <w:p w14:paraId="0B54E88F" w14:textId="77777777" w:rsidR="00E44E77" w:rsidRPr="008E3060" w:rsidRDefault="00E44E77" w:rsidP="00E44E77">
      <w:pPr>
        <w:numPr>
          <w:ilvl w:val="0"/>
          <w:numId w:val="5"/>
        </w:numPr>
        <w:ind w:right="-9"/>
      </w:pPr>
      <w:r>
        <w:t xml:space="preserve">Un proyecto de DPC independiente </w:t>
      </w:r>
    </w:p>
    <w:p w14:paraId="536A770D" w14:textId="77777777" w:rsidR="00E44E77" w:rsidRDefault="00E44E77" w:rsidP="00E44E77">
      <w:pPr>
        <w:ind w:left="715" w:right="-9" w:firstLine="0"/>
      </w:pPr>
    </w:p>
    <w:p w14:paraId="28459456" w14:textId="38A9D632" w:rsidR="00B47E56" w:rsidRDefault="00723668" w:rsidP="008E3060">
      <w:pPr>
        <w:numPr>
          <w:ilvl w:val="0"/>
          <w:numId w:val="1"/>
        </w:numPr>
        <w:ind w:right="-9"/>
      </w:pPr>
      <w:r>
        <w:t xml:space="preserve">Una posición financiada previamente con presupuesto institucional no debe ser financiada plenamente con programas/proyectos, dado que cada una de estas posiciones en una oficina en el país está involucrada en actividades de gestión y coordinación de la ONU en cierta medida. Por ejemplo, el oficial de programa nacional podría estar involucrado plenamente en servicios de </w:t>
      </w:r>
      <w:proofErr w:type="spellStart"/>
      <w:r>
        <w:t>DE</w:t>
      </w:r>
      <w:proofErr w:type="spellEnd"/>
      <w:r>
        <w:t>, y además contribuir a la gestión general de la oficina, las comunicaciones de la oficina y las actividades de difusión, enseñanza y coordinación de la ONU. Por lo tanto, las asignaciones de presupuesto institucionales deben utilizarse para financiar una cierta parte del personal que cubra su tiempo en actividades de gestión en base a los estudios de volumen de trabajo (WLS). Esto solo rige para las posiciones de presupuesto institucional según lo aprobado en el plan de trabajo integrado (y no rige para posiciones de proyectos, contratos de servicios ni contratos individuales).</w:t>
      </w:r>
    </w:p>
    <w:p w14:paraId="1554FD0B" w14:textId="77777777" w:rsidR="00594A4C" w:rsidRDefault="00594A4C" w:rsidP="00F44404">
      <w:pPr>
        <w:ind w:left="0" w:right="-9" w:firstLine="0"/>
      </w:pPr>
    </w:p>
    <w:p w14:paraId="2E2EC56D" w14:textId="5B3C0E5B" w:rsidR="005C5404" w:rsidRPr="006D5E1A" w:rsidRDefault="00EC461F">
      <w:pPr>
        <w:numPr>
          <w:ilvl w:val="0"/>
          <w:numId w:val="1"/>
        </w:numPr>
        <w:ind w:right="-9"/>
      </w:pPr>
      <w:r>
        <w:t xml:space="preserve">La líneas de financiación múltiples para posiciones deberán ser ejecutadas en el módulo de Recursos Humanos de </w:t>
      </w:r>
      <w:r w:rsidR="00A273A5">
        <w:t>Quantum</w:t>
      </w:r>
      <w:r>
        <w:t xml:space="preserve"> (no por ajustes de asientos en el libro mayor) para minimizar los costos de transacción. La distribución de la línea de financiación de posiciones (plan de cuentas) se realiza solo una vez al inicio de cada año, y luego la nómina mensual cobra automáticamente a las fuentes de financiación relevantes (p. ej., el plan de cuentas) según los porcentajes en la distribución de financiación de posiciones en el módulo de Recursos Humanos de </w:t>
      </w:r>
      <w:r w:rsidR="00A273A5">
        <w:t>Quantum</w:t>
      </w:r>
      <w:r>
        <w:t xml:space="preserve">. El proceso de establecimiento de las líneas de financiación se realiza una vez y se mantiene en vigencia por el resto del año, salvo que se realicen cambios </w:t>
      </w:r>
      <w:r>
        <w:lastRenderedPageBreak/>
        <w:t xml:space="preserve">en el plan de cuentas y/o los porcentajes como resultado de un estudio del volumen de trabajo (WLS) actualizado llevado a cabo por la oficina. Si ocurren cambios significativos en la dotación de personal durante el año, debe considerarse un estudio del volumen de trabajo revisado.  </w:t>
      </w:r>
    </w:p>
    <w:p w14:paraId="5358A0F7" w14:textId="77777777" w:rsidR="005C5404" w:rsidRPr="006D5E1A" w:rsidRDefault="00EC461F">
      <w:pPr>
        <w:spacing w:after="33" w:line="259" w:lineRule="auto"/>
        <w:ind w:left="720" w:right="0" w:firstLine="0"/>
        <w:jc w:val="left"/>
      </w:pPr>
      <w:r>
        <w:t xml:space="preserve"> </w:t>
      </w:r>
    </w:p>
    <w:p w14:paraId="0A2410AE" w14:textId="77777777" w:rsidR="005C5404" w:rsidRPr="006D5E1A" w:rsidRDefault="00EC461F">
      <w:pPr>
        <w:numPr>
          <w:ilvl w:val="0"/>
          <w:numId w:val="1"/>
        </w:numPr>
        <w:ind w:right="-9"/>
      </w:pPr>
      <w:r>
        <w:t xml:space="preserve">Las oficinas deben usar su criterio para revisar la practicidad y la carga transaccional de tener más de 10 planes de cuentas por posición. Mientras que la oficina se encarga de la flexibilidad del número máximo de planes de cuentas según el tamaño y el alcance de sus carteras de programas, el número de líneas de planes de cuentas por posición debe poder manejarse y supervisarse fácilmente. Preferentemente, el número de líneas de plan de cuentas por posición no deberá exceder las 10 líneas. Las oficinas, por lo tanto, necesitarían incluir la estimación de costos directamente imputables para los proyectos durante la etapa de planificación de programas o durante la preparación de las revisiones de presupuestos con cambios significativos. Si los proyectos de programas tienen resultados múltiples que son respaldados por las oficinas del PNUD, puede ser más fácil asignar los costos directos del proyecto a un resultado, en vez de dividirlos entre varios resultados dentro del mismo proyecto.  </w:t>
      </w:r>
    </w:p>
    <w:p w14:paraId="24A09ABC" w14:textId="77777777" w:rsidR="005C5404" w:rsidRPr="006D5E1A" w:rsidRDefault="00EC461F">
      <w:pPr>
        <w:spacing w:after="33" w:line="259" w:lineRule="auto"/>
        <w:ind w:left="720" w:right="0" w:firstLine="0"/>
        <w:jc w:val="left"/>
      </w:pPr>
      <w:r>
        <w:t xml:space="preserve"> </w:t>
      </w:r>
    </w:p>
    <w:p w14:paraId="405CE8A0" w14:textId="513C4D81" w:rsidR="005C5404" w:rsidRPr="006D5E1A" w:rsidRDefault="00EC461F">
      <w:pPr>
        <w:numPr>
          <w:ilvl w:val="0"/>
          <w:numId w:val="1"/>
        </w:numPr>
        <w:ind w:right="-9"/>
      </w:pPr>
      <w:r>
        <w:t xml:space="preserve">Se pueden establecer gráficos de velocidad en el módulo de finanzas de </w:t>
      </w:r>
      <w:r w:rsidR="00A273A5">
        <w:t>Quantum</w:t>
      </w:r>
      <w:r>
        <w:t xml:space="preserve">, y se pueden utilizar para cargar los gastos generales de funcionamiento que se atribuyen directamente a la función de personal (facturas de la oficina, como los cargos de electricidad, renta, teléfono e Internet) en la misma proporción en que están financiadas las posiciones de personal. Por ejemplo, si los costos de personal (total) están financiados en un 35 % con 02300, en un 25 % con 02550, en un 30 % con 11300 y en un 20 % con fondos de programas (30000), se puede establecer la misma plantilla como plantilla de contabilidad que puede utilizarse cada vez que se pague una factura de la oficina. (En el Anexo 1 se puede consultar una demostración ilustrativa de la determinación de costos de personal y gastos generales de funcionamiento en los presupuestos de proyectos de desarrollo).  </w:t>
      </w:r>
    </w:p>
    <w:p w14:paraId="47552328" w14:textId="77777777" w:rsidR="005C5404" w:rsidRPr="006D5E1A" w:rsidRDefault="00EC461F">
      <w:pPr>
        <w:spacing w:after="0" w:line="259" w:lineRule="auto"/>
        <w:ind w:left="720" w:right="0" w:firstLine="0"/>
        <w:jc w:val="left"/>
      </w:pPr>
      <w:r>
        <w:t xml:space="preserve"> </w:t>
      </w:r>
    </w:p>
    <w:p w14:paraId="283297FD" w14:textId="4BD71E08" w:rsidR="005C5404" w:rsidRPr="006D5E1A" w:rsidRDefault="00000000">
      <w:pPr>
        <w:spacing w:after="0" w:line="259" w:lineRule="auto"/>
        <w:ind w:left="720" w:right="0" w:firstLine="0"/>
        <w:jc w:val="left"/>
      </w:pPr>
      <w:hyperlink r:id="rId18" w:history="1">
        <w:r w:rsidR="00046ADF" w:rsidRPr="00FD4DB2">
          <w:rPr>
            <w:rStyle w:val="Hyperlink"/>
            <w:u w:color="0563C1"/>
          </w:rPr>
          <w:t>Anexo 1 Ilustración de un estudio del Volumen de Trabajo</w:t>
        </w:r>
        <w:r w:rsidR="00046ADF" w:rsidRPr="00FD4DB2">
          <w:rPr>
            <w:rStyle w:val="Hyperlink"/>
          </w:rPr>
          <w:t xml:space="preserve"> </w:t>
        </w:r>
      </w:hyperlink>
      <w:r w:rsidR="00046ADF">
        <w:t xml:space="preserve"> </w:t>
      </w:r>
    </w:p>
    <w:sectPr w:rsidR="005C5404" w:rsidRPr="006D5E1A">
      <w:headerReference w:type="even" r:id="rId19"/>
      <w:headerReference w:type="default" r:id="rId20"/>
      <w:footerReference w:type="even" r:id="rId21"/>
      <w:footerReference w:type="default" r:id="rId22"/>
      <w:headerReference w:type="first" r:id="rId23"/>
      <w:footerReference w:type="first" r:id="rId24"/>
      <w:pgSz w:w="12240" w:h="15840"/>
      <w:pgMar w:top="1481" w:right="1435" w:bottom="1669"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40817" w14:textId="77777777" w:rsidR="00980049" w:rsidRDefault="00980049">
      <w:pPr>
        <w:spacing w:after="0" w:line="240" w:lineRule="auto"/>
      </w:pPr>
      <w:r>
        <w:separator/>
      </w:r>
    </w:p>
  </w:endnote>
  <w:endnote w:type="continuationSeparator" w:id="0">
    <w:p w14:paraId="4F8650CE" w14:textId="77777777" w:rsidR="00980049" w:rsidRDefault="00980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74266" w14:textId="77777777" w:rsidR="005C5404" w:rsidRDefault="00EC461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673B27FB" w14:textId="77777777" w:rsidR="005C5404" w:rsidRDefault="00EC461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857E" w14:textId="50D9DF18" w:rsidR="005C5404" w:rsidRDefault="006D5E1A">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D5035A">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D5035A">
      <w:rPr>
        <w:b/>
        <w:noProof/>
      </w:rPr>
      <w:t>4</w:t>
    </w:r>
    <w:r>
      <w:rPr>
        <w:b/>
      </w:rPr>
      <w:fldChar w:fldCharType="end"/>
    </w:r>
    <w:r>
      <w:ptab w:relativeTo="margin" w:alignment="center" w:leader="none"/>
    </w:r>
    <w:r>
      <w:t xml:space="preserve">Fecha de entrada en vigor: </w:t>
    </w:r>
    <w:r w:rsidR="00AB1D70" w:rsidRPr="00AB1D70">
      <w:t>29/11/2022</w:t>
    </w:r>
    <w:r w:rsidR="00AB1D70" w:rsidRPr="00AB1D70">
      <w:t xml:space="preserve"> </w:t>
    </w:r>
    <w:r>
      <w:ptab w:relativeTo="margin" w:alignment="right" w:leader="none"/>
    </w:r>
    <w:r>
      <w:t xml:space="preserve">Versión </w:t>
    </w:r>
    <w:proofErr w:type="spellStart"/>
    <w:r>
      <w:t>n.°</w:t>
    </w:r>
    <w:proofErr w:type="spellEnd"/>
    <w:r>
      <w:t xml:space="preserve">: </w:t>
    </w:r>
    <w:sdt>
      <w:sdtPr>
        <w:alias w:val="POPPRefItemVersion"/>
        <w:tag w:val="UNDP_POPP_REFITEM_VERSION"/>
        <w:id w:val="-1703320421"/>
        <w:placeholder>
          <w:docPart w:val="14402B2F62E74B68B4478CF1565D0DB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568CA150-0001-4C2C-8ECF-98DAA4F67769}"/>
        <w:text/>
      </w:sdtPr>
      <w:sdtContent>
        <w:r w:rsidR="00C25082">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8B45" w14:textId="77777777" w:rsidR="005C5404" w:rsidRDefault="00EC461F">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7C128F3C" w14:textId="77777777" w:rsidR="005C5404" w:rsidRDefault="00EC461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A1B72" w14:textId="77777777" w:rsidR="00980049" w:rsidRDefault="00980049">
      <w:pPr>
        <w:spacing w:after="0" w:line="240" w:lineRule="auto"/>
      </w:pPr>
      <w:r>
        <w:separator/>
      </w:r>
    </w:p>
  </w:footnote>
  <w:footnote w:type="continuationSeparator" w:id="0">
    <w:p w14:paraId="39B1B534" w14:textId="77777777" w:rsidR="00980049" w:rsidRDefault="00980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D71D" w14:textId="77777777" w:rsidR="002A6AB3" w:rsidRDefault="002A6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C347" w14:textId="08E8384F" w:rsidR="00E54643" w:rsidRDefault="002A6AB3" w:rsidP="002A6AB3">
    <w:pPr>
      <w:pStyle w:val="Header"/>
      <w:spacing w:before="100" w:beforeAutospacing="1" w:after="100" w:afterAutospacing="1"/>
      <w:ind w:left="9730" w:right="43"/>
    </w:pPr>
    <w:r>
      <w:rPr>
        <w:noProof/>
      </w:rPr>
      <w:drawing>
        <wp:inline distT="0" distB="0" distL="0" distR="0" wp14:anchorId="53B126B0" wp14:editId="4E261484">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E0B67" w14:textId="77777777" w:rsidR="002A6AB3" w:rsidRDefault="002A6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C06B1"/>
    <w:multiLevelType w:val="hybridMultilevel"/>
    <w:tmpl w:val="CC90318A"/>
    <w:lvl w:ilvl="0" w:tplc="FA844674">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EDA3E3E"/>
    <w:multiLevelType w:val="multilevel"/>
    <w:tmpl w:val="46301ACA"/>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C6F3752"/>
    <w:multiLevelType w:val="hybridMultilevel"/>
    <w:tmpl w:val="F3BCFE6C"/>
    <w:lvl w:ilvl="0" w:tplc="04090001">
      <w:start w:val="1"/>
      <w:numFmt w:val="bullet"/>
      <w:lvlText w:val=""/>
      <w:lvlJc w:val="left"/>
      <w:pPr>
        <w:ind w:left="71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1756E66"/>
    <w:multiLevelType w:val="hybridMultilevel"/>
    <w:tmpl w:val="23C6B760"/>
    <w:lvl w:ilvl="0" w:tplc="A7588FAA">
      <w:start w:val="3"/>
      <w:numFmt w:val="bullet"/>
      <w:lvlText w:val="-"/>
      <w:lvlJc w:val="left"/>
      <w:pPr>
        <w:ind w:left="108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BB40CBE">
      <w:start w:val="1"/>
      <w:numFmt w:val="lowerLetter"/>
      <w:lvlText w:val="%2."/>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C5694">
      <w:start w:val="1"/>
      <w:numFmt w:val="lowerRoman"/>
      <w:lvlText w:val="%3"/>
      <w:lvlJc w:val="left"/>
      <w:pPr>
        <w:ind w:left="2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EC2B3C">
      <w:start w:val="1"/>
      <w:numFmt w:val="decimal"/>
      <w:lvlText w:val="%4"/>
      <w:lvlJc w:val="left"/>
      <w:pPr>
        <w:ind w:left="2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102A2A">
      <w:start w:val="1"/>
      <w:numFmt w:val="lowerLetter"/>
      <w:lvlText w:val="%5"/>
      <w:lvlJc w:val="left"/>
      <w:pPr>
        <w:ind w:left="3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544E04">
      <w:start w:val="1"/>
      <w:numFmt w:val="lowerRoman"/>
      <w:lvlText w:val="%6"/>
      <w:lvlJc w:val="left"/>
      <w:pPr>
        <w:ind w:left="4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AEAADE">
      <w:start w:val="1"/>
      <w:numFmt w:val="decimal"/>
      <w:lvlText w:val="%7"/>
      <w:lvlJc w:val="left"/>
      <w:pPr>
        <w:ind w:left="50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8DABA">
      <w:start w:val="1"/>
      <w:numFmt w:val="lowerLetter"/>
      <w:lvlText w:val="%8"/>
      <w:lvlJc w:val="left"/>
      <w:pPr>
        <w:ind w:left="57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6AEDB8">
      <w:start w:val="1"/>
      <w:numFmt w:val="lowerRoman"/>
      <w:lvlText w:val="%9"/>
      <w:lvlJc w:val="left"/>
      <w:pPr>
        <w:ind w:left="64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F692864"/>
    <w:multiLevelType w:val="hybridMultilevel"/>
    <w:tmpl w:val="9B907200"/>
    <w:lvl w:ilvl="0" w:tplc="A7588FAA">
      <w:start w:val="3"/>
      <w:numFmt w:val="bullet"/>
      <w:lvlText w:val="-"/>
      <w:lvlJc w:val="left"/>
      <w:pPr>
        <w:ind w:left="3168" w:hanging="360"/>
      </w:pPr>
      <w:rPr>
        <w:rFonts w:ascii="Arial" w:eastAsia="Calibri" w:hAnsi="Arial" w:cs="Arial" w:hint="default"/>
      </w:rPr>
    </w:lvl>
    <w:lvl w:ilvl="1" w:tplc="04090003">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num w:numId="1" w16cid:durableId="1278636843">
    <w:abstractNumId w:val="0"/>
  </w:num>
  <w:num w:numId="2" w16cid:durableId="1062676675">
    <w:abstractNumId w:val="1"/>
  </w:num>
  <w:num w:numId="3" w16cid:durableId="1463032802">
    <w:abstractNumId w:val="4"/>
  </w:num>
  <w:num w:numId="4" w16cid:durableId="325595299">
    <w:abstractNumId w:val="2"/>
  </w:num>
  <w:num w:numId="5" w16cid:durableId="69654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404"/>
    <w:rsid w:val="00046ADF"/>
    <w:rsid w:val="000C34D8"/>
    <w:rsid w:val="000E61DE"/>
    <w:rsid w:val="00107ACD"/>
    <w:rsid w:val="0016753B"/>
    <w:rsid w:val="0018340C"/>
    <w:rsid w:val="00222FF3"/>
    <w:rsid w:val="00235714"/>
    <w:rsid w:val="00287B04"/>
    <w:rsid w:val="0029244F"/>
    <w:rsid w:val="002A6AB3"/>
    <w:rsid w:val="002E05AA"/>
    <w:rsid w:val="002E3BA2"/>
    <w:rsid w:val="00300206"/>
    <w:rsid w:val="0032283C"/>
    <w:rsid w:val="00365291"/>
    <w:rsid w:val="00367592"/>
    <w:rsid w:val="003C4EE1"/>
    <w:rsid w:val="0041737E"/>
    <w:rsid w:val="004211DC"/>
    <w:rsid w:val="004271DE"/>
    <w:rsid w:val="00431984"/>
    <w:rsid w:val="00464A53"/>
    <w:rsid w:val="00490919"/>
    <w:rsid w:val="0049093F"/>
    <w:rsid w:val="004A3478"/>
    <w:rsid w:val="005205B5"/>
    <w:rsid w:val="0052126F"/>
    <w:rsid w:val="00546B62"/>
    <w:rsid w:val="00554525"/>
    <w:rsid w:val="00594A4C"/>
    <w:rsid w:val="005C5404"/>
    <w:rsid w:val="005F3268"/>
    <w:rsid w:val="00600FBE"/>
    <w:rsid w:val="006322CC"/>
    <w:rsid w:val="00637E6C"/>
    <w:rsid w:val="00650993"/>
    <w:rsid w:val="00683EDD"/>
    <w:rsid w:val="00686C35"/>
    <w:rsid w:val="00696B34"/>
    <w:rsid w:val="006D5E1A"/>
    <w:rsid w:val="006E4D52"/>
    <w:rsid w:val="006E69FB"/>
    <w:rsid w:val="00717AB2"/>
    <w:rsid w:val="00722470"/>
    <w:rsid w:val="00723668"/>
    <w:rsid w:val="00751D08"/>
    <w:rsid w:val="00770049"/>
    <w:rsid w:val="0077593C"/>
    <w:rsid w:val="00777EE6"/>
    <w:rsid w:val="007E1A65"/>
    <w:rsid w:val="007E5D77"/>
    <w:rsid w:val="007F74B0"/>
    <w:rsid w:val="00813A3D"/>
    <w:rsid w:val="00817CAC"/>
    <w:rsid w:val="0083032F"/>
    <w:rsid w:val="0083057D"/>
    <w:rsid w:val="008426B5"/>
    <w:rsid w:val="00862D7B"/>
    <w:rsid w:val="008B2874"/>
    <w:rsid w:val="008D3B14"/>
    <w:rsid w:val="008E3060"/>
    <w:rsid w:val="00980049"/>
    <w:rsid w:val="00A273A5"/>
    <w:rsid w:val="00AB1D70"/>
    <w:rsid w:val="00AB56DF"/>
    <w:rsid w:val="00B14F81"/>
    <w:rsid w:val="00B47E56"/>
    <w:rsid w:val="00B81964"/>
    <w:rsid w:val="00BC3E2B"/>
    <w:rsid w:val="00BF7729"/>
    <w:rsid w:val="00C25082"/>
    <w:rsid w:val="00C471BB"/>
    <w:rsid w:val="00CC0ACF"/>
    <w:rsid w:val="00CC739A"/>
    <w:rsid w:val="00CF13FE"/>
    <w:rsid w:val="00D02169"/>
    <w:rsid w:val="00D5035A"/>
    <w:rsid w:val="00DA1550"/>
    <w:rsid w:val="00DC4DC7"/>
    <w:rsid w:val="00DD123D"/>
    <w:rsid w:val="00DF6589"/>
    <w:rsid w:val="00E23BA9"/>
    <w:rsid w:val="00E3682B"/>
    <w:rsid w:val="00E44E77"/>
    <w:rsid w:val="00E54643"/>
    <w:rsid w:val="00EC004A"/>
    <w:rsid w:val="00EC461F"/>
    <w:rsid w:val="00EE0F47"/>
    <w:rsid w:val="00F3544A"/>
    <w:rsid w:val="00F44404"/>
    <w:rsid w:val="00F6372E"/>
    <w:rsid w:val="00F84251"/>
    <w:rsid w:val="00FA299F"/>
    <w:rsid w:val="00FD4DB2"/>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E9CC"/>
  <w15:docId w15:val="{76B737CF-E86E-4A6D-8905-C4939106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643"/>
    <w:rPr>
      <w:rFonts w:ascii="Calibri" w:eastAsia="Calibri" w:hAnsi="Calibri" w:cs="Calibri"/>
      <w:color w:val="000000"/>
    </w:rPr>
  </w:style>
  <w:style w:type="character" w:styleId="PlaceholderText">
    <w:name w:val="Placeholder Text"/>
    <w:basedOn w:val="DefaultParagraphFont"/>
    <w:uiPriority w:val="99"/>
    <w:semiHidden/>
    <w:rsid w:val="00E54643"/>
    <w:rPr>
      <w:color w:val="808080"/>
    </w:rPr>
  </w:style>
  <w:style w:type="paragraph" w:styleId="BalloonText">
    <w:name w:val="Balloon Text"/>
    <w:basedOn w:val="Normal"/>
    <w:link w:val="BalloonTextChar"/>
    <w:uiPriority w:val="99"/>
    <w:semiHidden/>
    <w:unhideWhenUsed/>
    <w:rsid w:val="006D5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E1A"/>
    <w:rPr>
      <w:rFonts w:ascii="Tahoma" w:eastAsia="Calibri" w:hAnsi="Tahoma" w:cs="Tahoma"/>
      <w:color w:val="000000"/>
      <w:sz w:val="16"/>
      <w:szCs w:val="16"/>
    </w:rPr>
  </w:style>
  <w:style w:type="paragraph" w:styleId="ListParagraph">
    <w:name w:val="List Paragraph"/>
    <w:aliases w:val="List Paragraph (numbered (a)),Bullets,List Paragraph1,WB Para,Lapis Bulleted List,Dot pt,F5 List Paragraph,No Spacing1,List Paragraph Char Char Char,Indicator Text,Numbered Para 1,Bullet 1,List Paragraph12,Bullet Points,MAIN CONTENT,L"/>
    <w:link w:val="ListParagraphChar"/>
    <w:uiPriority w:val="34"/>
    <w:qFormat/>
    <w:rsid w:val="00817CAC"/>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rPr>
  </w:style>
  <w:style w:type="character" w:customStyle="1" w:styleId="ListParagraphChar">
    <w:name w:val="List Paragraph Char"/>
    <w:aliases w:val="List Paragraph (numbered (a)) Char,Bullets Char,List Paragraph1 Char,WB Para Char,Lapis Bulleted List Char,Dot pt Char,F5 List Paragraph Char,No Spacing1 Char,List Paragraph Char Char Char Char,Indicator Text Char,Bullet 1 Char"/>
    <w:basedOn w:val="DefaultParagraphFont"/>
    <w:link w:val="ListParagraph"/>
    <w:uiPriority w:val="34"/>
    <w:locked/>
    <w:rsid w:val="00817CAC"/>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862D7B"/>
    <w:rPr>
      <w:sz w:val="16"/>
      <w:szCs w:val="16"/>
    </w:rPr>
  </w:style>
  <w:style w:type="paragraph" w:styleId="CommentText">
    <w:name w:val="annotation text"/>
    <w:basedOn w:val="Normal"/>
    <w:link w:val="CommentTextChar"/>
    <w:uiPriority w:val="99"/>
    <w:semiHidden/>
    <w:unhideWhenUsed/>
    <w:rsid w:val="00862D7B"/>
    <w:pPr>
      <w:spacing w:line="240" w:lineRule="auto"/>
    </w:pPr>
    <w:rPr>
      <w:sz w:val="20"/>
      <w:szCs w:val="20"/>
    </w:rPr>
  </w:style>
  <w:style w:type="character" w:customStyle="1" w:styleId="CommentTextChar">
    <w:name w:val="Comment Text Char"/>
    <w:basedOn w:val="DefaultParagraphFont"/>
    <w:link w:val="CommentText"/>
    <w:uiPriority w:val="99"/>
    <w:semiHidden/>
    <w:rsid w:val="00862D7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62D7B"/>
    <w:rPr>
      <w:b/>
      <w:bCs/>
    </w:rPr>
  </w:style>
  <w:style w:type="character" w:customStyle="1" w:styleId="CommentSubjectChar">
    <w:name w:val="Comment Subject Char"/>
    <w:basedOn w:val="CommentTextChar"/>
    <w:link w:val="CommentSubject"/>
    <w:uiPriority w:val="99"/>
    <w:semiHidden/>
    <w:rsid w:val="00862D7B"/>
    <w:rPr>
      <w:rFonts w:ascii="Calibri" w:eastAsia="Calibri" w:hAnsi="Calibri" w:cs="Calibri"/>
      <w:b/>
      <w:bCs/>
      <w:color w:val="000000"/>
      <w:sz w:val="20"/>
      <w:szCs w:val="20"/>
    </w:rPr>
  </w:style>
  <w:style w:type="paragraph" w:styleId="Revision">
    <w:name w:val="Revision"/>
    <w:hidden/>
    <w:uiPriority w:val="99"/>
    <w:semiHidden/>
    <w:rsid w:val="00FA299F"/>
    <w:pPr>
      <w:spacing w:after="0" w:line="240" w:lineRule="auto"/>
    </w:pPr>
    <w:rPr>
      <w:rFonts w:ascii="Calibri" w:eastAsia="Calibri" w:hAnsi="Calibri" w:cs="Calibri"/>
      <w:color w:val="000000"/>
    </w:rPr>
  </w:style>
  <w:style w:type="character" w:styleId="Hyperlink">
    <w:name w:val="Hyperlink"/>
    <w:basedOn w:val="DefaultParagraphFont"/>
    <w:uiPriority w:val="99"/>
    <w:unhideWhenUsed/>
    <w:rsid w:val="00235714"/>
    <w:rPr>
      <w:color w:val="0000FF" w:themeColor="hyperlink"/>
      <w:u w:val="single"/>
    </w:rPr>
  </w:style>
  <w:style w:type="character" w:styleId="FollowedHyperlink">
    <w:name w:val="FollowedHyperlink"/>
    <w:basedOn w:val="DefaultParagraphFont"/>
    <w:uiPriority w:val="99"/>
    <w:semiHidden/>
    <w:unhideWhenUsed/>
    <w:rsid w:val="00696B34"/>
    <w:rPr>
      <w:color w:val="800080" w:themeColor="followedHyperlink"/>
      <w:u w:val="single"/>
    </w:rPr>
  </w:style>
  <w:style w:type="character" w:styleId="UnresolvedMention">
    <w:name w:val="Unresolved Mention"/>
    <w:basedOn w:val="DefaultParagraphFont"/>
    <w:uiPriority w:val="99"/>
    <w:semiHidden/>
    <w:unhideWhenUsed/>
    <w:rsid w:val="00EC0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0826" TargetMode="External"/><Relationship Id="rId18" Type="http://schemas.openxmlformats.org/officeDocument/2006/relationships/hyperlink" Target="https://popp.undp.org/node/536"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popp.undp.org/node/11271" TargetMode="External"/><Relationship Id="rId17" Type="http://schemas.openxmlformats.org/officeDocument/2006/relationships/hyperlink" Target="https://popp.undp.org/node/299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es/node/1113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popp.undp.org/node/1456"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701"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4402B2F62E74B68B4478CF1565D0DB3"/>
        <w:category>
          <w:name w:val="General"/>
          <w:gallery w:val="placeholder"/>
        </w:category>
        <w:types>
          <w:type w:val="bbPlcHdr"/>
        </w:types>
        <w:behaviors>
          <w:behavior w:val="content"/>
        </w:behaviors>
        <w:guid w:val="{A04C8962-9479-459C-BCA4-C9394F8648F8}"/>
      </w:docPartPr>
      <w:docPartBody>
        <w:p w:rsidR="00F80190" w:rsidRDefault="00F32EF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435"/>
    <w:rsid w:val="00215326"/>
    <w:rsid w:val="00273BD9"/>
    <w:rsid w:val="003626B6"/>
    <w:rsid w:val="00383435"/>
    <w:rsid w:val="003D05A3"/>
    <w:rsid w:val="004D6518"/>
    <w:rsid w:val="005E38EA"/>
    <w:rsid w:val="00634CF6"/>
    <w:rsid w:val="006E223A"/>
    <w:rsid w:val="009529D1"/>
    <w:rsid w:val="00965BC1"/>
    <w:rsid w:val="009D2F42"/>
    <w:rsid w:val="009F42E1"/>
    <w:rsid w:val="00DB280A"/>
    <w:rsid w:val="00E43E9C"/>
    <w:rsid w:val="00F32EFF"/>
    <w:rsid w:val="00F80190"/>
    <w:rsid w:val="00F84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CC93B4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2E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POPP-11-2590</_dlc_DocId>
    <_dlc_DocIdUrl xmlns="8264c5cc-ec60-4b56-8111-ce635d3d139a">
      <Url>https://popp.undp.org/_layouts/15/DocIdRedir.aspx?ID=POPP-11-2590</Url>
      <Description>POPP-11-2590</Description>
    </_dlc_DocIdUrl>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29/11/2022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2022-11-28T23:00:00+00:00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Uso de Líneas de Financiación Múltiples para Posiciones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1536</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29/11/2022                                                Version #: 6</DLCPolicyLabelValue>
    <POPPIsArchived xmlns="e560140e-7b2f-4392-90df-e7567e3021a3">false</POPPIsArchive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10AF1-0C09-4864-8C55-F01A56A9E4D6}">
  <ds:schemaRefs>
    <ds:schemaRef ds:uri="http://schemas.microsoft.com/sharepoint/v3/contenttype/forms"/>
  </ds:schemaRefs>
</ds:datastoreItem>
</file>

<file path=customXml/itemProps2.xml><?xml version="1.0" encoding="utf-8"?>
<ds:datastoreItem xmlns:ds="http://schemas.openxmlformats.org/officeDocument/2006/customXml" ds:itemID="{2B6F5669-13BF-4302-9033-41A51DE46DE2}">
  <ds:schemaRefs>
    <ds:schemaRef ds:uri="office.server.policy"/>
  </ds:schemaRefs>
</ds:datastoreItem>
</file>

<file path=customXml/itemProps3.xml><?xml version="1.0" encoding="utf-8"?>
<ds:datastoreItem xmlns:ds="http://schemas.openxmlformats.org/officeDocument/2006/customXml" ds:itemID="{568CA150-0001-4C2C-8ECF-98DAA4F6776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AF13F599-F438-4232-99BE-0F7998BDFD4E}">
  <ds:schemaRefs>
    <ds:schemaRef ds:uri="http://schemas.microsoft.com/sharepoint/events"/>
  </ds:schemaRefs>
</ds:datastoreItem>
</file>

<file path=customXml/itemProps5.xml><?xml version="1.0" encoding="utf-8"?>
<ds:datastoreItem xmlns:ds="http://schemas.openxmlformats.org/officeDocument/2006/customXml" ds:itemID="{CDB6E978-B1F7-4BE5-A7CE-B88B9D468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1808</Words>
  <Characters>10309</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lastModifiedBy>Pablo Morete</cp:lastModifiedBy>
  <cp:revision>4</cp:revision>
  <cp:lastPrinted>2017-05-01T15:52:00Z</cp:lastPrinted>
  <dcterms:created xsi:type="dcterms:W3CDTF">2023-01-27T21:43:00Z</dcterms:created>
  <dcterms:modified xsi:type="dcterms:W3CDTF">2024-06-06T15:06:00Z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e8840474-23d1-46ef-a216-74effd038b1f</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ies>
</file>