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0F57BB" w14:textId="77777777" w:rsidR="00613E9D" w:rsidRPr="00FE1094" w:rsidRDefault="00C55850" w:rsidP="00613E9D">
      <w:pPr>
        <w:pStyle w:val="Title"/>
        <w:spacing w:after="0"/>
        <w:rPr>
          <w:rFonts w:cs="Arial"/>
        </w:rPr>
      </w:pPr>
      <w:r>
        <w:rPr>
          <w:rFonts w:cs="Arial"/>
          <w:noProof/>
          <w:sz w:val="20"/>
          <w:lang w:val="en-US"/>
        </w:rPr>
        <w:t xml:space="preserve"> </w:t>
      </w:r>
      <w:r w:rsidR="00613E9D">
        <w:rPr>
          <w:rFonts w:cs="Arial"/>
          <w:noProof/>
          <w:sz w:val="20"/>
          <w:lang w:val="en-US"/>
        </w:rPr>
        <w:drawing>
          <wp:inline distT="0" distB="0" distL="0" distR="0" wp14:anchorId="1F1FE538" wp14:editId="25A95C9A">
            <wp:extent cx="638175" cy="11525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8175" cy="1152525"/>
                    </a:xfrm>
                    <a:prstGeom prst="rect">
                      <a:avLst/>
                    </a:prstGeom>
                    <a:noFill/>
                  </pic:spPr>
                </pic:pic>
              </a:graphicData>
            </a:graphic>
          </wp:inline>
        </w:drawing>
      </w:r>
    </w:p>
    <w:p w14:paraId="59A55F6C" w14:textId="77777777" w:rsidR="00EF2ACB" w:rsidRDefault="00EF2ACB" w:rsidP="00613E9D">
      <w:pPr>
        <w:pStyle w:val="Title"/>
        <w:spacing w:after="0"/>
        <w:rPr>
          <w:rFonts w:ascii="Cambria" w:hAnsi="Cambria"/>
          <w:b w:val="0"/>
        </w:rPr>
      </w:pPr>
    </w:p>
    <w:p w14:paraId="384A9ECE" w14:textId="77777777" w:rsidR="00EF2ACB" w:rsidRDefault="00EF2ACB" w:rsidP="00613E9D">
      <w:pPr>
        <w:pStyle w:val="Title"/>
        <w:spacing w:after="0"/>
        <w:rPr>
          <w:rFonts w:ascii="Cambria" w:hAnsi="Cambria"/>
          <w:b w:val="0"/>
        </w:rPr>
      </w:pPr>
    </w:p>
    <w:p w14:paraId="21BB263F" w14:textId="77777777" w:rsidR="00EF2ACB" w:rsidRDefault="00EF2ACB" w:rsidP="00613E9D">
      <w:pPr>
        <w:pStyle w:val="Title"/>
        <w:spacing w:after="0"/>
        <w:rPr>
          <w:rFonts w:ascii="Cambria" w:hAnsi="Cambria"/>
          <w:b w:val="0"/>
        </w:rPr>
      </w:pPr>
    </w:p>
    <w:p w14:paraId="23B6F776" w14:textId="77777777" w:rsidR="00EF2ACB" w:rsidRDefault="00EF2ACB" w:rsidP="00613E9D">
      <w:pPr>
        <w:pStyle w:val="Title"/>
        <w:spacing w:after="0"/>
        <w:rPr>
          <w:rFonts w:ascii="Cambria" w:hAnsi="Cambria"/>
          <w:b w:val="0"/>
        </w:rPr>
      </w:pPr>
    </w:p>
    <w:p w14:paraId="3D4022AA" w14:textId="77777777" w:rsidR="00613E9D" w:rsidRPr="00027AB1" w:rsidRDefault="0075103F" w:rsidP="00613E9D">
      <w:pPr>
        <w:pStyle w:val="Title"/>
        <w:spacing w:after="0"/>
        <w:rPr>
          <w:rFonts w:ascii="Cambria" w:hAnsi="Cambria"/>
        </w:rPr>
      </w:pPr>
      <w:r>
        <w:rPr>
          <w:rFonts w:ascii="Cambria" w:hAnsi="Cambria"/>
        </w:rPr>
        <w:t>Operational guidelines</w:t>
      </w:r>
    </w:p>
    <w:p w14:paraId="607EA175" w14:textId="77777777" w:rsidR="00613E9D" w:rsidRPr="00027AB1" w:rsidRDefault="00613E9D" w:rsidP="00613E9D">
      <w:pPr>
        <w:pStyle w:val="Title"/>
        <w:spacing w:after="0"/>
      </w:pPr>
    </w:p>
    <w:p w14:paraId="7504ED34" w14:textId="77777777" w:rsidR="00613E9D" w:rsidRPr="00027AB1" w:rsidRDefault="00CD4345" w:rsidP="00613E9D">
      <w:pPr>
        <w:pStyle w:val="Title"/>
        <w:spacing w:after="0"/>
        <w:rPr>
          <w:rFonts w:ascii="Cambria" w:hAnsi="Cambria"/>
        </w:rPr>
      </w:pPr>
      <w:r>
        <w:rPr>
          <w:rFonts w:ascii="Cambria" w:hAnsi="Cambria"/>
        </w:rPr>
        <w:t xml:space="preserve">financial </w:t>
      </w:r>
      <w:r w:rsidR="00242BF4" w:rsidRPr="00027AB1">
        <w:rPr>
          <w:rFonts w:ascii="Cambria" w:hAnsi="Cambria"/>
        </w:rPr>
        <w:t>closure of projects</w:t>
      </w:r>
    </w:p>
    <w:p w14:paraId="590CCCB7" w14:textId="77777777" w:rsidR="00613E9D" w:rsidRPr="00027AB1" w:rsidRDefault="00613E9D" w:rsidP="00613E9D">
      <w:pPr>
        <w:pStyle w:val="Title"/>
        <w:spacing w:after="0"/>
      </w:pPr>
    </w:p>
    <w:p w14:paraId="5B1666D0" w14:textId="77777777" w:rsidR="00613E9D" w:rsidRPr="00027AB1" w:rsidRDefault="00613E9D" w:rsidP="00613E9D">
      <w:pPr>
        <w:pStyle w:val="Title"/>
        <w:spacing w:after="0"/>
        <w:rPr>
          <w:rFonts w:ascii="Cambria" w:hAnsi="Cambria"/>
          <w:sz w:val="28"/>
        </w:rPr>
      </w:pPr>
    </w:p>
    <w:p w14:paraId="05732DB5" w14:textId="569B173D" w:rsidR="00596650" w:rsidRDefault="00596650" w:rsidP="00613E9D">
      <w:pPr>
        <w:pStyle w:val="Title"/>
        <w:spacing w:after="0"/>
        <w:rPr>
          <w:b w:val="0"/>
          <w:sz w:val="28"/>
        </w:rPr>
      </w:pPr>
    </w:p>
    <w:p w14:paraId="16D7666A" w14:textId="2F460CE6" w:rsidR="00E5285F" w:rsidRDefault="00E5285F" w:rsidP="00613E9D">
      <w:pPr>
        <w:pStyle w:val="Title"/>
        <w:spacing w:after="0"/>
        <w:rPr>
          <w:b w:val="0"/>
          <w:sz w:val="28"/>
        </w:rPr>
      </w:pPr>
    </w:p>
    <w:p w14:paraId="2D698EC0" w14:textId="45962242" w:rsidR="00E5285F" w:rsidRDefault="00E5285F" w:rsidP="00613E9D">
      <w:pPr>
        <w:pStyle w:val="Title"/>
        <w:spacing w:after="0"/>
        <w:rPr>
          <w:b w:val="0"/>
          <w:sz w:val="28"/>
        </w:rPr>
      </w:pPr>
    </w:p>
    <w:p w14:paraId="2BAD14E5" w14:textId="2A0763A5" w:rsidR="00E5285F" w:rsidRDefault="00E5285F" w:rsidP="00613E9D">
      <w:pPr>
        <w:pStyle w:val="Title"/>
        <w:spacing w:after="0"/>
        <w:rPr>
          <w:b w:val="0"/>
          <w:sz w:val="28"/>
        </w:rPr>
      </w:pPr>
    </w:p>
    <w:p w14:paraId="78866B3C" w14:textId="57CCC2C6" w:rsidR="00E5285F" w:rsidRDefault="00E5285F" w:rsidP="00613E9D">
      <w:pPr>
        <w:pStyle w:val="Title"/>
        <w:spacing w:after="0"/>
        <w:rPr>
          <w:b w:val="0"/>
          <w:sz w:val="28"/>
        </w:rPr>
      </w:pPr>
    </w:p>
    <w:p w14:paraId="65590802" w14:textId="23952C04" w:rsidR="00E5285F" w:rsidRDefault="00E5285F" w:rsidP="00613E9D">
      <w:pPr>
        <w:pStyle w:val="Title"/>
        <w:spacing w:after="0"/>
        <w:rPr>
          <w:b w:val="0"/>
          <w:sz w:val="28"/>
        </w:rPr>
      </w:pPr>
    </w:p>
    <w:p w14:paraId="2CC64F86" w14:textId="77777777" w:rsidR="00E5285F" w:rsidRDefault="00E5285F" w:rsidP="00613E9D">
      <w:pPr>
        <w:pStyle w:val="Title"/>
        <w:spacing w:after="0"/>
        <w:rPr>
          <w:b w:val="0"/>
          <w:sz w:val="28"/>
        </w:rPr>
      </w:pPr>
    </w:p>
    <w:p w14:paraId="2EAD1AB3" w14:textId="77777777" w:rsidR="00596650" w:rsidRDefault="00596650" w:rsidP="00613E9D">
      <w:pPr>
        <w:pStyle w:val="Title"/>
        <w:spacing w:after="0"/>
        <w:rPr>
          <w:b w:val="0"/>
          <w:sz w:val="28"/>
        </w:rPr>
      </w:pPr>
    </w:p>
    <w:p w14:paraId="41E6035E" w14:textId="77777777" w:rsidR="00273581" w:rsidRDefault="00273581" w:rsidP="00613E9D">
      <w:pPr>
        <w:pStyle w:val="Title"/>
        <w:spacing w:after="0"/>
        <w:rPr>
          <w:b w:val="0"/>
          <w:sz w:val="28"/>
        </w:rPr>
      </w:pPr>
    </w:p>
    <w:p w14:paraId="301C0BC9" w14:textId="77777777" w:rsidR="00273581" w:rsidRDefault="00273581" w:rsidP="00613E9D">
      <w:pPr>
        <w:pStyle w:val="Title"/>
        <w:spacing w:after="0"/>
        <w:rPr>
          <w:b w:val="0"/>
          <w:sz w:val="28"/>
        </w:rPr>
      </w:pPr>
    </w:p>
    <w:p w14:paraId="3EFCE14E" w14:textId="77777777" w:rsidR="00273581" w:rsidRDefault="00273581" w:rsidP="00613E9D">
      <w:pPr>
        <w:pStyle w:val="Title"/>
        <w:spacing w:after="0"/>
        <w:rPr>
          <w:b w:val="0"/>
          <w:sz w:val="28"/>
        </w:rPr>
      </w:pPr>
    </w:p>
    <w:tbl>
      <w:tblPr>
        <w:tblW w:w="4974"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269"/>
        <w:gridCol w:w="2925"/>
        <w:gridCol w:w="3114"/>
        <w:gridCol w:w="1332"/>
      </w:tblGrid>
      <w:tr w:rsidR="00596650" w:rsidRPr="00EF2ACB" w14:paraId="26DE50FD" w14:textId="77777777" w:rsidTr="0017743A">
        <w:trPr>
          <w:trHeight w:hRule="exact" w:val="737"/>
        </w:trPr>
        <w:tc>
          <w:tcPr>
            <w:tcW w:w="1177" w:type="pct"/>
            <w:vAlign w:val="center"/>
          </w:tcPr>
          <w:p w14:paraId="065C4B86" w14:textId="77777777" w:rsidR="00596650" w:rsidRPr="00EF2ACB" w:rsidRDefault="00596650" w:rsidP="00596650">
            <w:pPr>
              <w:tabs>
                <w:tab w:val="center" w:pos="4153"/>
                <w:tab w:val="right" w:pos="8306"/>
              </w:tabs>
              <w:spacing w:after="0" w:line="240" w:lineRule="auto"/>
              <w:rPr>
                <w:rFonts w:ascii="Cambria" w:eastAsia="Times New Roman" w:hAnsi="Cambria" w:cs="Arial"/>
                <w:b/>
                <w:bCs/>
                <w:snapToGrid w:val="0"/>
                <w:sz w:val="24"/>
                <w:szCs w:val="24"/>
                <w:lang w:val="en-GB"/>
              </w:rPr>
            </w:pPr>
          </w:p>
        </w:tc>
        <w:tc>
          <w:tcPr>
            <w:tcW w:w="1517" w:type="pct"/>
            <w:vAlign w:val="center"/>
          </w:tcPr>
          <w:p w14:paraId="1DCA1385" w14:textId="77777777" w:rsidR="00596650" w:rsidRPr="00EF2ACB" w:rsidRDefault="00596650" w:rsidP="00596650">
            <w:pPr>
              <w:tabs>
                <w:tab w:val="center" w:pos="4153"/>
                <w:tab w:val="right" w:pos="8306"/>
              </w:tabs>
              <w:spacing w:after="0" w:line="240" w:lineRule="auto"/>
              <w:rPr>
                <w:rFonts w:ascii="Cambria" w:eastAsia="Times New Roman" w:hAnsi="Cambria" w:cs="Arial"/>
                <w:b/>
                <w:bCs/>
                <w:snapToGrid w:val="0"/>
                <w:sz w:val="24"/>
                <w:szCs w:val="24"/>
                <w:lang w:val="en-GB"/>
              </w:rPr>
            </w:pPr>
            <w:r w:rsidRPr="00EF2ACB">
              <w:rPr>
                <w:rFonts w:ascii="Cambria" w:eastAsia="Times New Roman" w:hAnsi="Cambria" w:cs="Arial"/>
                <w:b/>
                <w:bCs/>
                <w:snapToGrid w:val="0"/>
                <w:sz w:val="24"/>
                <w:szCs w:val="24"/>
                <w:lang w:val="en-GB"/>
              </w:rPr>
              <w:t>NAME</w:t>
            </w:r>
          </w:p>
        </w:tc>
        <w:tc>
          <w:tcPr>
            <w:tcW w:w="1615" w:type="pct"/>
            <w:vAlign w:val="center"/>
          </w:tcPr>
          <w:p w14:paraId="6C5BA5DD" w14:textId="77777777" w:rsidR="00596650" w:rsidRPr="00EF2ACB" w:rsidRDefault="00596650" w:rsidP="00596650">
            <w:pPr>
              <w:tabs>
                <w:tab w:val="center" w:pos="4153"/>
                <w:tab w:val="right" w:pos="8306"/>
              </w:tabs>
              <w:spacing w:after="0" w:line="240" w:lineRule="auto"/>
              <w:rPr>
                <w:rFonts w:ascii="Cambria" w:eastAsia="Times New Roman" w:hAnsi="Cambria" w:cs="Arial"/>
                <w:b/>
                <w:bCs/>
                <w:snapToGrid w:val="0"/>
                <w:sz w:val="24"/>
                <w:szCs w:val="24"/>
                <w:lang w:val="en-GB"/>
              </w:rPr>
            </w:pPr>
            <w:r w:rsidRPr="00EF2ACB">
              <w:rPr>
                <w:rFonts w:ascii="Cambria" w:eastAsia="Times New Roman" w:hAnsi="Cambria" w:cs="Arial"/>
                <w:b/>
                <w:bCs/>
                <w:snapToGrid w:val="0"/>
                <w:sz w:val="24"/>
                <w:szCs w:val="24"/>
                <w:lang w:val="en-GB"/>
              </w:rPr>
              <w:t>TITLE</w:t>
            </w:r>
          </w:p>
        </w:tc>
        <w:tc>
          <w:tcPr>
            <w:tcW w:w="691" w:type="pct"/>
            <w:vAlign w:val="center"/>
          </w:tcPr>
          <w:p w14:paraId="12F6F33E" w14:textId="77777777" w:rsidR="00596650" w:rsidRPr="00EF2ACB" w:rsidRDefault="00596650" w:rsidP="00596650">
            <w:pPr>
              <w:tabs>
                <w:tab w:val="center" w:pos="4153"/>
                <w:tab w:val="right" w:pos="8306"/>
              </w:tabs>
              <w:spacing w:after="0" w:line="240" w:lineRule="auto"/>
              <w:rPr>
                <w:rFonts w:ascii="Cambria" w:eastAsia="Times New Roman" w:hAnsi="Cambria" w:cs="Arial"/>
                <w:b/>
                <w:bCs/>
                <w:snapToGrid w:val="0"/>
                <w:sz w:val="24"/>
                <w:szCs w:val="24"/>
                <w:lang w:val="en-GB"/>
              </w:rPr>
            </w:pPr>
            <w:r w:rsidRPr="00EF2ACB">
              <w:rPr>
                <w:rFonts w:ascii="Cambria" w:eastAsia="Times New Roman" w:hAnsi="Cambria" w:cs="Arial"/>
                <w:b/>
                <w:bCs/>
                <w:snapToGrid w:val="0"/>
                <w:sz w:val="24"/>
                <w:szCs w:val="24"/>
                <w:lang w:val="en-GB"/>
              </w:rPr>
              <w:t>DATE</w:t>
            </w:r>
          </w:p>
        </w:tc>
      </w:tr>
      <w:tr w:rsidR="00AD00E0" w:rsidRPr="00EF2ACB" w14:paraId="39B7A709" w14:textId="77777777" w:rsidTr="0017743A">
        <w:trPr>
          <w:trHeight w:hRule="exact" w:val="1432"/>
        </w:trPr>
        <w:tc>
          <w:tcPr>
            <w:tcW w:w="1177" w:type="pct"/>
            <w:vAlign w:val="center"/>
          </w:tcPr>
          <w:p w14:paraId="39D5CDFB" w14:textId="77777777" w:rsidR="00AD00E0" w:rsidRPr="00EF2ACB" w:rsidRDefault="00AD00E0" w:rsidP="00596650">
            <w:pPr>
              <w:tabs>
                <w:tab w:val="center" w:pos="4153"/>
                <w:tab w:val="right" w:pos="8306"/>
              </w:tabs>
              <w:spacing w:after="0" w:line="240" w:lineRule="auto"/>
              <w:rPr>
                <w:rFonts w:ascii="Cambria" w:eastAsia="Times New Roman" w:hAnsi="Cambria" w:cs="Arial"/>
                <w:b/>
                <w:bCs/>
                <w:snapToGrid w:val="0"/>
                <w:sz w:val="24"/>
                <w:szCs w:val="24"/>
                <w:lang w:val="en-GB"/>
              </w:rPr>
            </w:pPr>
            <w:r w:rsidRPr="00EF2ACB">
              <w:rPr>
                <w:rFonts w:ascii="Cambria" w:eastAsia="Times New Roman" w:hAnsi="Cambria" w:cs="Arial"/>
                <w:b/>
                <w:bCs/>
                <w:snapToGrid w:val="0"/>
                <w:sz w:val="24"/>
                <w:szCs w:val="24"/>
                <w:lang w:val="en-GB"/>
              </w:rPr>
              <w:t>Author:</w:t>
            </w:r>
          </w:p>
        </w:tc>
        <w:tc>
          <w:tcPr>
            <w:tcW w:w="1517" w:type="pct"/>
            <w:vAlign w:val="center"/>
          </w:tcPr>
          <w:p w14:paraId="5A4BE861" w14:textId="77777777" w:rsidR="00AD00E0" w:rsidRPr="00EF2ACB" w:rsidRDefault="00242BF4" w:rsidP="00150CDA">
            <w:pPr>
              <w:tabs>
                <w:tab w:val="center" w:pos="4153"/>
                <w:tab w:val="right" w:pos="8306"/>
              </w:tabs>
              <w:spacing w:after="0" w:line="240" w:lineRule="auto"/>
              <w:rPr>
                <w:rFonts w:ascii="Cambria" w:eastAsia="Times New Roman" w:hAnsi="Cambria" w:cs="Arial"/>
                <w:bCs/>
                <w:snapToGrid w:val="0"/>
                <w:sz w:val="24"/>
                <w:szCs w:val="24"/>
                <w:highlight w:val="yellow"/>
                <w:lang w:val="en-GB"/>
              </w:rPr>
            </w:pPr>
            <w:r w:rsidRPr="00EF2ACB">
              <w:rPr>
                <w:rFonts w:ascii="Cambria" w:eastAsia="Times New Roman" w:hAnsi="Cambria" w:cs="Arial"/>
                <w:bCs/>
                <w:snapToGrid w:val="0"/>
                <w:sz w:val="24"/>
                <w:szCs w:val="24"/>
                <w:lang w:val="en-GB"/>
              </w:rPr>
              <w:t>Dale</w:t>
            </w:r>
            <w:r w:rsidR="00ED524B">
              <w:rPr>
                <w:rFonts w:ascii="Cambria" w:eastAsia="Times New Roman" w:hAnsi="Cambria" w:cs="Arial"/>
                <w:bCs/>
                <w:snapToGrid w:val="0"/>
                <w:sz w:val="24"/>
                <w:szCs w:val="24"/>
                <w:lang w:val="en-GB"/>
              </w:rPr>
              <w:t xml:space="preserve"> Leach</w:t>
            </w:r>
          </w:p>
        </w:tc>
        <w:tc>
          <w:tcPr>
            <w:tcW w:w="1615" w:type="pct"/>
            <w:vAlign w:val="center"/>
          </w:tcPr>
          <w:p w14:paraId="2D1EB50B" w14:textId="77777777" w:rsidR="00AD00E0" w:rsidRPr="00EF2ACB" w:rsidRDefault="00ED524B" w:rsidP="00596650">
            <w:pPr>
              <w:tabs>
                <w:tab w:val="center" w:pos="4153"/>
                <w:tab w:val="right" w:pos="8306"/>
              </w:tabs>
              <w:spacing w:after="0" w:line="240" w:lineRule="auto"/>
              <w:rPr>
                <w:rFonts w:ascii="Cambria" w:eastAsia="Times New Roman" w:hAnsi="Cambria" w:cs="Arial"/>
                <w:bCs/>
                <w:snapToGrid w:val="0"/>
                <w:sz w:val="24"/>
                <w:szCs w:val="24"/>
                <w:lang w:val="en-GB"/>
              </w:rPr>
            </w:pPr>
            <w:r>
              <w:rPr>
                <w:rFonts w:ascii="Cambria" w:eastAsia="Times New Roman" w:hAnsi="Cambria" w:cs="Arial"/>
                <w:bCs/>
                <w:snapToGrid w:val="0"/>
                <w:sz w:val="24"/>
                <w:szCs w:val="24"/>
                <w:lang w:val="en-GB"/>
              </w:rPr>
              <w:t>Consultant</w:t>
            </w:r>
          </w:p>
        </w:tc>
        <w:tc>
          <w:tcPr>
            <w:tcW w:w="691" w:type="pct"/>
            <w:vAlign w:val="center"/>
          </w:tcPr>
          <w:p w14:paraId="0E143EBE" w14:textId="77777777" w:rsidR="00AD00E0" w:rsidRPr="00EF2ACB" w:rsidRDefault="00917E05" w:rsidP="00596650">
            <w:pPr>
              <w:tabs>
                <w:tab w:val="center" w:pos="4153"/>
                <w:tab w:val="right" w:pos="8306"/>
              </w:tabs>
              <w:spacing w:after="0" w:line="240" w:lineRule="auto"/>
              <w:rPr>
                <w:rFonts w:ascii="Cambria" w:eastAsia="Times New Roman" w:hAnsi="Cambria" w:cs="Arial"/>
                <w:snapToGrid w:val="0"/>
                <w:sz w:val="24"/>
                <w:szCs w:val="24"/>
                <w:lang w:val="en-GB"/>
              </w:rPr>
            </w:pPr>
            <w:r>
              <w:rPr>
                <w:rFonts w:ascii="Cambria" w:eastAsia="Times New Roman" w:hAnsi="Cambria" w:cs="Arial"/>
                <w:snapToGrid w:val="0"/>
                <w:sz w:val="24"/>
                <w:szCs w:val="24"/>
                <w:lang w:val="en-GB"/>
              </w:rPr>
              <w:t>28</w:t>
            </w:r>
            <w:r w:rsidR="00CD4345">
              <w:rPr>
                <w:rFonts w:ascii="Cambria" w:eastAsia="Times New Roman" w:hAnsi="Cambria" w:cs="Arial"/>
                <w:snapToGrid w:val="0"/>
                <w:sz w:val="24"/>
                <w:szCs w:val="24"/>
                <w:lang w:val="en-GB"/>
              </w:rPr>
              <w:t xml:space="preserve"> Feb</w:t>
            </w:r>
            <w:r w:rsidR="00DE6114">
              <w:rPr>
                <w:rFonts w:ascii="Cambria" w:eastAsia="Times New Roman" w:hAnsi="Cambria" w:cs="Arial"/>
                <w:snapToGrid w:val="0"/>
                <w:sz w:val="24"/>
                <w:szCs w:val="24"/>
                <w:lang w:val="en-GB"/>
              </w:rPr>
              <w:t xml:space="preserve"> 2017</w:t>
            </w:r>
          </w:p>
        </w:tc>
      </w:tr>
      <w:tr w:rsidR="00596650" w:rsidRPr="00EF2ACB" w14:paraId="416438D2" w14:textId="77777777" w:rsidTr="0017743A">
        <w:trPr>
          <w:trHeight w:hRule="exact" w:val="1432"/>
        </w:trPr>
        <w:tc>
          <w:tcPr>
            <w:tcW w:w="1177" w:type="pct"/>
            <w:vAlign w:val="center"/>
          </w:tcPr>
          <w:p w14:paraId="0290CD78" w14:textId="77777777" w:rsidR="00596650" w:rsidRDefault="00596650" w:rsidP="00596650">
            <w:pPr>
              <w:tabs>
                <w:tab w:val="center" w:pos="4153"/>
                <w:tab w:val="right" w:pos="8306"/>
              </w:tabs>
              <w:spacing w:after="0" w:line="240" w:lineRule="auto"/>
              <w:rPr>
                <w:rFonts w:ascii="Cambria" w:eastAsia="Times New Roman" w:hAnsi="Cambria" w:cs="Arial"/>
                <w:b/>
                <w:bCs/>
                <w:snapToGrid w:val="0"/>
                <w:sz w:val="24"/>
                <w:szCs w:val="24"/>
                <w:lang w:val="en-GB"/>
              </w:rPr>
            </w:pPr>
            <w:r w:rsidRPr="00EF2ACB">
              <w:rPr>
                <w:rFonts w:ascii="Cambria" w:eastAsia="Times New Roman" w:hAnsi="Cambria" w:cs="Arial"/>
                <w:b/>
                <w:bCs/>
                <w:snapToGrid w:val="0"/>
                <w:sz w:val="24"/>
                <w:szCs w:val="24"/>
                <w:lang w:val="en-GB"/>
              </w:rPr>
              <w:t>Update</w:t>
            </w:r>
            <w:r w:rsidR="00680001">
              <w:rPr>
                <w:rFonts w:ascii="Cambria" w:eastAsia="Times New Roman" w:hAnsi="Cambria" w:cs="Arial"/>
                <w:b/>
                <w:bCs/>
                <w:snapToGrid w:val="0"/>
                <w:sz w:val="24"/>
                <w:szCs w:val="24"/>
                <w:lang w:val="en-GB"/>
              </w:rPr>
              <w:t>d:</w:t>
            </w:r>
          </w:p>
          <w:p w14:paraId="558FDDF5" w14:textId="2B316FD9" w:rsidR="006C57B0" w:rsidRPr="006C57B0" w:rsidRDefault="006C57B0" w:rsidP="00596650">
            <w:pPr>
              <w:tabs>
                <w:tab w:val="center" w:pos="4153"/>
                <w:tab w:val="right" w:pos="8306"/>
              </w:tabs>
              <w:spacing w:after="0" w:line="240" w:lineRule="auto"/>
              <w:rPr>
                <w:rFonts w:ascii="Cambria" w:eastAsia="Times New Roman" w:hAnsi="Cambria" w:cs="Arial"/>
                <w:snapToGrid w:val="0"/>
                <w:sz w:val="24"/>
                <w:szCs w:val="24"/>
                <w:lang w:val="en-GB"/>
              </w:rPr>
            </w:pPr>
            <w:r w:rsidRPr="006C57B0">
              <w:rPr>
                <w:rFonts w:ascii="Cambria" w:eastAsia="Times New Roman" w:hAnsi="Cambria" w:cs="Arial"/>
                <w:snapToGrid w:val="0"/>
                <w:sz w:val="24"/>
                <w:szCs w:val="24"/>
                <w:lang w:val="en-GB"/>
              </w:rPr>
              <w:t>(Added GFATM/Global Fund Project Closure Guide)</w:t>
            </w:r>
          </w:p>
        </w:tc>
        <w:tc>
          <w:tcPr>
            <w:tcW w:w="1517" w:type="pct"/>
            <w:vAlign w:val="center"/>
          </w:tcPr>
          <w:p w14:paraId="3B2E0E30" w14:textId="77777777" w:rsidR="00680001" w:rsidRPr="00A7439F" w:rsidRDefault="00680001" w:rsidP="00680001">
            <w:pPr>
              <w:tabs>
                <w:tab w:val="center" w:pos="4153"/>
                <w:tab w:val="right" w:pos="8306"/>
              </w:tabs>
              <w:spacing w:after="0" w:line="240" w:lineRule="auto"/>
              <w:rPr>
                <w:rFonts w:ascii="Cambria" w:eastAsia="Times New Roman" w:hAnsi="Cambria" w:cs="Arial"/>
                <w:bCs/>
                <w:snapToGrid w:val="0"/>
                <w:sz w:val="24"/>
                <w:szCs w:val="24"/>
                <w:lang w:val="en-GB"/>
              </w:rPr>
            </w:pPr>
            <w:r w:rsidRPr="00A7439F">
              <w:rPr>
                <w:rFonts w:ascii="Cambria" w:eastAsia="Times New Roman" w:hAnsi="Cambria" w:cs="Arial"/>
                <w:bCs/>
                <w:snapToGrid w:val="0"/>
                <w:sz w:val="24"/>
                <w:szCs w:val="24"/>
                <w:lang w:val="en-GB"/>
              </w:rPr>
              <w:t>Dale Leach</w:t>
            </w:r>
          </w:p>
          <w:p w14:paraId="0B42EA1B" w14:textId="70E30D1E" w:rsidR="00596650" w:rsidRPr="00EF2ACB" w:rsidRDefault="00680001" w:rsidP="00680001">
            <w:pPr>
              <w:tabs>
                <w:tab w:val="center" w:pos="4153"/>
                <w:tab w:val="right" w:pos="8306"/>
              </w:tabs>
              <w:spacing w:after="0" w:line="240" w:lineRule="auto"/>
              <w:rPr>
                <w:rFonts w:ascii="Cambria" w:eastAsia="Times New Roman" w:hAnsi="Cambria" w:cs="Arial"/>
                <w:bCs/>
                <w:snapToGrid w:val="0"/>
                <w:sz w:val="24"/>
                <w:szCs w:val="24"/>
                <w:highlight w:val="yellow"/>
                <w:lang w:val="en-GB"/>
              </w:rPr>
            </w:pPr>
            <w:r w:rsidRPr="00A7439F">
              <w:rPr>
                <w:rFonts w:ascii="Cambria" w:eastAsia="Times New Roman" w:hAnsi="Cambria" w:cs="Arial"/>
                <w:bCs/>
                <w:snapToGrid w:val="0"/>
                <w:sz w:val="24"/>
                <w:szCs w:val="24"/>
                <w:lang w:val="en-GB"/>
              </w:rPr>
              <w:t>Nadda Chotiwichit</w:t>
            </w:r>
          </w:p>
        </w:tc>
        <w:tc>
          <w:tcPr>
            <w:tcW w:w="1615" w:type="pct"/>
            <w:vAlign w:val="center"/>
          </w:tcPr>
          <w:p w14:paraId="17CA264C" w14:textId="77777777" w:rsidR="00680001" w:rsidRPr="00A7439F" w:rsidRDefault="00680001" w:rsidP="00680001">
            <w:pPr>
              <w:tabs>
                <w:tab w:val="center" w:pos="4153"/>
                <w:tab w:val="right" w:pos="8306"/>
              </w:tabs>
              <w:spacing w:after="0" w:line="240" w:lineRule="auto"/>
              <w:rPr>
                <w:rFonts w:ascii="Cambria" w:eastAsia="Times New Roman" w:hAnsi="Cambria" w:cs="Arial"/>
                <w:bCs/>
                <w:snapToGrid w:val="0"/>
                <w:sz w:val="24"/>
                <w:szCs w:val="24"/>
                <w:lang w:val="en-GB"/>
              </w:rPr>
            </w:pPr>
            <w:r w:rsidRPr="00A7439F">
              <w:rPr>
                <w:rFonts w:ascii="Cambria" w:eastAsia="Times New Roman" w:hAnsi="Cambria" w:cs="Arial"/>
                <w:bCs/>
                <w:snapToGrid w:val="0"/>
                <w:sz w:val="24"/>
                <w:szCs w:val="24"/>
                <w:lang w:val="en-GB"/>
              </w:rPr>
              <w:t>Consultant</w:t>
            </w:r>
          </w:p>
          <w:p w14:paraId="211BC914" w14:textId="221C3337" w:rsidR="00596650" w:rsidRPr="00EF2ACB" w:rsidRDefault="00680001" w:rsidP="00680001">
            <w:pPr>
              <w:tabs>
                <w:tab w:val="center" w:pos="4153"/>
                <w:tab w:val="right" w:pos="8306"/>
              </w:tabs>
              <w:spacing w:after="0" w:line="240" w:lineRule="auto"/>
              <w:rPr>
                <w:rFonts w:ascii="Cambria" w:eastAsia="Times New Roman" w:hAnsi="Cambria" w:cs="Times New Roman"/>
                <w:snapToGrid w:val="0"/>
                <w:sz w:val="24"/>
                <w:szCs w:val="24"/>
                <w:lang w:val="en-GB"/>
              </w:rPr>
            </w:pPr>
            <w:r w:rsidRPr="00A7439F">
              <w:rPr>
                <w:rFonts w:ascii="Cambria" w:eastAsia="Times New Roman" w:hAnsi="Cambria" w:cs="Arial"/>
                <w:bCs/>
                <w:snapToGrid w:val="0"/>
                <w:sz w:val="24"/>
                <w:szCs w:val="24"/>
                <w:lang w:val="en-GB"/>
              </w:rPr>
              <w:t>Financial Business Advisor, Office of Financ</w:t>
            </w:r>
            <w:r w:rsidR="006262B5">
              <w:rPr>
                <w:rFonts w:ascii="Cambria" w:eastAsia="Times New Roman" w:hAnsi="Cambria" w:cs="Arial"/>
                <w:bCs/>
                <w:snapToGrid w:val="0"/>
                <w:sz w:val="24"/>
                <w:szCs w:val="24"/>
                <w:lang w:val="en-GB"/>
              </w:rPr>
              <w:t xml:space="preserve">ial </w:t>
            </w:r>
            <w:r w:rsidRPr="00A7439F">
              <w:rPr>
                <w:rFonts w:ascii="Cambria" w:eastAsia="Times New Roman" w:hAnsi="Cambria" w:cs="Arial"/>
                <w:bCs/>
                <w:snapToGrid w:val="0"/>
                <w:sz w:val="24"/>
                <w:szCs w:val="24"/>
                <w:lang w:val="en-GB"/>
              </w:rPr>
              <w:t>Management</w:t>
            </w:r>
          </w:p>
        </w:tc>
        <w:tc>
          <w:tcPr>
            <w:tcW w:w="691" w:type="pct"/>
            <w:vAlign w:val="center"/>
          </w:tcPr>
          <w:p w14:paraId="41FDD1BE" w14:textId="6D1A510A" w:rsidR="00596650" w:rsidRPr="00EF2ACB" w:rsidRDefault="00CA6017" w:rsidP="00596650">
            <w:pPr>
              <w:tabs>
                <w:tab w:val="center" w:pos="4153"/>
                <w:tab w:val="right" w:pos="8306"/>
              </w:tabs>
              <w:spacing w:after="0" w:line="240" w:lineRule="auto"/>
              <w:rPr>
                <w:rFonts w:ascii="Cambria" w:eastAsia="Times New Roman" w:hAnsi="Cambria" w:cs="Arial"/>
                <w:snapToGrid w:val="0"/>
                <w:sz w:val="24"/>
                <w:szCs w:val="24"/>
                <w:lang w:val="en-GB"/>
              </w:rPr>
            </w:pPr>
            <w:r>
              <w:rPr>
                <w:rFonts w:ascii="Cambria" w:eastAsia="Times New Roman" w:hAnsi="Cambria" w:cs="Arial"/>
                <w:snapToGrid w:val="0"/>
                <w:sz w:val="24"/>
                <w:szCs w:val="24"/>
                <w:lang w:val="en-GB"/>
              </w:rPr>
              <w:t>29 January 2021</w:t>
            </w:r>
          </w:p>
        </w:tc>
      </w:tr>
      <w:tr w:rsidR="00596650" w:rsidRPr="00EF2ACB" w14:paraId="75BACF65" w14:textId="77777777" w:rsidTr="0017743A">
        <w:trPr>
          <w:trHeight w:hRule="exact" w:val="1432"/>
        </w:trPr>
        <w:tc>
          <w:tcPr>
            <w:tcW w:w="1177" w:type="pct"/>
            <w:vAlign w:val="center"/>
          </w:tcPr>
          <w:p w14:paraId="3CE49F1D" w14:textId="77777777" w:rsidR="00596650" w:rsidRPr="00EF2ACB" w:rsidRDefault="00596650" w:rsidP="00596650">
            <w:pPr>
              <w:tabs>
                <w:tab w:val="center" w:pos="4153"/>
                <w:tab w:val="right" w:pos="8306"/>
              </w:tabs>
              <w:spacing w:after="0" w:line="240" w:lineRule="auto"/>
              <w:rPr>
                <w:rFonts w:ascii="Cambria" w:eastAsia="Times New Roman" w:hAnsi="Cambria" w:cs="Arial"/>
                <w:b/>
                <w:bCs/>
                <w:snapToGrid w:val="0"/>
                <w:sz w:val="24"/>
                <w:szCs w:val="24"/>
                <w:lang w:val="en-GB"/>
              </w:rPr>
            </w:pPr>
            <w:r w:rsidRPr="00EF2ACB">
              <w:rPr>
                <w:rFonts w:ascii="Cambria" w:eastAsia="Times New Roman" w:hAnsi="Cambria" w:cs="Arial"/>
                <w:b/>
                <w:bCs/>
                <w:snapToGrid w:val="0"/>
                <w:sz w:val="24"/>
                <w:szCs w:val="24"/>
                <w:lang w:val="en-GB"/>
              </w:rPr>
              <w:t>Review:</w:t>
            </w:r>
          </w:p>
        </w:tc>
        <w:tc>
          <w:tcPr>
            <w:tcW w:w="1517" w:type="pct"/>
            <w:vAlign w:val="center"/>
          </w:tcPr>
          <w:p w14:paraId="29B8F8AC" w14:textId="77777777" w:rsidR="00596650" w:rsidRPr="00EF2ACB" w:rsidRDefault="00242BF4" w:rsidP="00596650">
            <w:pPr>
              <w:tabs>
                <w:tab w:val="center" w:pos="4153"/>
                <w:tab w:val="right" w:pos="8306"/>
              </w:tabs>
              <w:spacing w:after="0" w:line="240" w:lineRule="auto"/>
              <w:rPr>
                <w:rFonts w:ascii="Cambria" w:eastAsia="Times New Roman" w:hAnsi="Cambria" w:cs="Arial"/>
                <w:bCs/>
                <w:snapToGrid w:val="0"/>
                <w:sz w:val="24"/>
                <w:szCs w:val="24"/>
                <w:lang w:val="en-GB"/>
              </w:rPr>
            </w:pPr>
            <w:proofErr w:type="spellStart"/>
            <w:r w:rsidRPr="00EF2ACB">
              <w:rPr>
                <w:rFonts w:ascii="Cambria" w:eastAsia="Times New Roman" w:hAnsi="Cambria" w:cs="Arial"/>
                <w:bCs/>
                <w:snapToGrid w:val="0"/>
                <w:sz w:val="24"/>
                <w:szCs w:val="24"/>
                <w:lang w:val="en-GB"/>
              </w:rPr>
              <w:t>Amat</w:t>
            </w:r>
            <w:proofErr w:type="spellEnd"/>
            <w:r w:rsidRPr="00EF2ACB">
              <w:rPr>
                <w:rFonts w:ascii="Cambria" w:eastAsia="Times New Roman" w:hAnsi="Cambria" w:cs="Arial"/>
                <w:bCs/>
                <w:snapToGrid w:val="0"/>
                <w:sz w:val="24"/>
                <w:szCs w:val="24"/>
                <w:lang w:val="en-GB"/>
              </w:rPr>
              <w:t xml:space="preserve"> </w:t>
            </w:r>
            <w:r w:rsidR="00ED524B">
              <w:rPr>
                <w:rFonts w:ascii="Cambria" w:eastAsia="Times New Roman" w:hAnsi="Cambria" w:cs="Arial"/>
                <w:bCs/>
                <w:snapToGrid w:val="0"/>
                <w:sz w:val="24"/>
                <w:szCs w:val="24"/>
                <w:lang w:val="en-GB"/>
              </w:rPr>
              <w:t xml:space="preserve">O. </w:t>
            </w:r>
            <w:proofErr w:type="spellStart"/>
            <w:r w:rsidRPr="00EF2ACB">
              <w:rPr>
                <w:rFonts w:ascii="Cambria" w:eastAsia="Times New Roman" w:hAnsi="Cambria" w:cs="Arial"/>
                <w:bCs/>
                <w:snapToGrid w:val="0"/>
                <w:sz w:val="24"/>
                <w:szCs w:val="24"/>
                <w:lang w:val="en-GB"/>
              </w:rPr>
              <w:t>Kebbeh</w:t>
            </w:r>
            <w:proofErr w:type="spellEnd"/>
          </w:p>
        </w:tc>
        <w:tc>
          <w:tcPr>
            <w:tcW w:w="1615" w:type="pct"/>
            <w:vAlign w:val="center"/>
          </w:tcPr>
          <w:p w14:paraId="3828AFDB" w14:textId="1FE07DB7" w:rsidR="00596650" w:rsidRPr="00EF2ACB" w:rsidRDefault="00ED524B" w:rsidP="009A53D6">
            <w:pPr>
              <w:tabs>
                <w:tab w:val="center" w:pos="4153"/>
                <w:tab w:val="right" w:pos="8306"/>
              </w:tabs>
              <w:spacing w:after="0" w:line="240" w:lineRule="auto"/>
              <w:rPr>
                <w:rFonts w:ascii="Cambria" w:eastAsia="Times New Roman" w:hAnsi="Cambria" w:cs="Arial"/>
                <w:bCs/>
                <w:snapToGrid w:val="0"/>
                <w:sz w:val="24"/>
                <w:szCs w:val="24"/>
                <w:lang w:val="en-GB"/>
              </w:rPr>
            </w:pPr>
            <w:r w:rsidRPr="00ED524B">
              <w:rPr>
                <w:rFonts w:ascii="Cambria" w:eastAsia="Times New Roman" w:hAnsi="Cambria" w:cs="Times New Roman"/>
                <w:snapToGrid w:val="0"/>
                <w:sz w:val="24"/>
                <w:szCs w:val="24"/>
                <w:lang w:val="en-GB"/>
              </w:rPr>
              <w:t>Financial Resources Advisor, O</w:t>
            </w:r>
            <w:r w:rsidR="009A53D6">
              <w:rPr>
                <w:rFonts w:ascii="Cambria" w:eastAsia="Times New Roman" w:hAnsi="Cambria" w:cs="Times New Roman"/>
                <w:snapToGrid w:val="0"/>
                <w:sz w:val="24"/>
                <w:szCs w:val="24"/>
                <w:lang w:val="en-GB"/>
              </w:rPr>
              <w:t xml:space="preserve">ffice of </w:t>
            </w:r>
            <w:r w:rsidRPr="00ED524B">
              <w:rPr>
                <w:rFonts w:ascii="Cambria" w:eastAsia="Times New Roman" w:hAnsi="Cambria" w:cs="Times New Roman"/>
                <w:snapToGrid w:val="0"/>
                <w:sz w:val="24"/>
                <w:szCs w:val="24"/>
                <w:lang w:val="en-GB"/>
              </w:rPr>
              <w:t>F</w:t>
            </w:r>
            <w:r w:rsidR="009A53D6">
              <w:rPr>
                <w:rFonts w:ascii="Cambria" w:eastAsia="Times New Roman" w:hAnsi="Cambria" w:cs="Times New Roman"/>
                <w:snapToGrid w:val="0"/>
                <w:sz w:val="24"/>
                <w:szCs w:val="24"/>
                <w:lang w:val="en-GB"/>
              </w:rPr>
              <w:t xml:space="preserve">inancial  </w:t>
            </w:r>
            <w:r w:rsidRPr="00ED524B">
              <w:rPr>
                <w:rFonts w:ascii="Cambria" w:eastAsia="Times New Roman" w:hAnsi="Cambria" w:cs="Times New Roman"/>
                <w:snapToGrid w:val="0"/>
                <w:sz w:val="24"/>
                <w:szCs w:val="24"/>
                <w:lang w:val="en-GB"/>
              </w:rPr>
              <w:t>M</w:t>
            </w:r>
            <w:r w:rsidR="009A53D6">
              <w:rPr>
                <w:rFonts w:ascii="Cambria" w:eastAsia="Times New Roman" w:hAnsi="Cambria" w:cs="Times New Roman"/>
                <w:snapToGrid w:val="0"/>
                <w:sz w:val="24"/>
                <w:szCs w:val="24"/>
                <w:lang w:val="en-GB"/>
              </w:rPr>
              <w:t xml:space="preserve">anagement, </w:t>
            </w:r>
            <w:r w:rsidRPr="00ED524B">
              <w:rPr>
                <w:rFonts w:ascii="Cambria" w:eastAsia="Times New Roman" w:hAnsi="Cambria" w:cs="Times New Roman"/>
                <w:snapToGrid w:val="0"/>
                <w:sz w:val="24"/>
                <w:szCs w:val="24"/>
                <w:lang w:val="en-GB"/>
              </w:rPr>
              <w:t>B</w:t>
            </w:r>
            <w:r w:rsidR="009A53D6">
              <w:rPr>
                <w:rFonts w:ascii="Cambria" w:eastAsia="Times New Roman" w:hAnsi="Cambria" w:cs="Times New Roman"/>
                <w:snapToGrid w:val="0"/>
                <w:sz w:val="24"/>
                <w:szCs w:val="24"/>
                <w:lang w:val="en-GB"/>
              </w:rPr>
              <w:t xml:space="preserve">ureau of Management </w:t>
            </w:r>
            <w:r w:rsidRPr="00ED524B">
              <w:rPr>
                <w:rFonts w:ascii="Cambria" w:eastAsia="Times New Roman" w:hAnsi="Cambria" w:cs="Times New Roman"/>
                <w:snapToGrid w:val="0"/>
                <w:sz w:val="24"/>
                <w:szCs w:val="24"/>
                <w:lang w:val="en-GB"/>
              </w:rPr>
              <w:t>S</w:t>
            </w:r>
            <w:r w:rsidR="009A53D6">
              <w:rPr>
                <w:rFonts w:ascii="Cambria" w:eastAsia="Times New Roman" w:hAnsi="Cambria" w:cs="Times New Roman"/>
                <w:snapToGrid w:val="0"/>
                <w:sz w:val="24"/>
                <w:szCs w:val="24"/>
                <w:lang w:val="en-GB"/>
              </w:rPr>
              <w:t>ervices</w:t>
            </w:r>
          </w:p>
        </w:tc>
        <w:tc>
          <w:tcPr>
            <w:tcW w:w="691" w:type="pct"/>
            <w:vAlign w:val="center"/>
          </w:tcPr>
          <w:p w14:paraId="0BEF4871" w14:textId="6653A189" w:rsidR="00596650" w:rsidRPr="00EF2ACB" w:rsidRDefault="005A2AB6" w:rsidP="00596650">
            <w:pPr>
              <w:tabs>
                <w:tab w:val="center" w:pos="4153"/>
                <w:tab w:val="right" w:pos="8306"/>
              </w:tabs>
              <w:spacing w:after="0" w:line="240" w:lineRule="auto"/>
              <w:rPr>
                <w:rFonts w:ascii="Cambria" w:eastAsia="Times New Roman" w:hAnsi="Cambria" w:cs="Arial"/>
                <w:snapToGrid w:val="0"/>
                <w:sz w:val="24"/>
                <w:szCs w:val="24"/>
                <w:lang w:val="en-GB"/>
              </w:rPr>
            </w:pPr>
            <w:r>
              <w:rPr>
                <w:rFonts w:ascii="Cambria" w:eastAsia="Times New Roman" w:hAnsi="Cambria" w:cs="Arial"/>
                <w:snapToGrid w:val="0"/>
                <w:sz w:val="24"/>
                <w:szCs w:val="24"/>
                <w:lang w:val="en-GB"/>
              </w:rPr>
              <w:t>23 February 2021</w:t>
            </w:r>
          </w:p>
        </w:tc>
      </w:tr>
      <w:tr w:rsidR="00596650" w:rsidRPr="00EF2ACB" w14:paraId="457F78B4" w14:textId="77777777" w:rsidTr="0017743A">
        <w:trPr>
          <w:trHeight w:hRule="exact" w:val="1432"/>
        </w:trPr>
        <w:tc>
          <w:tcPr>
            <w:tcW w:w="1177" w:type="pct"/>
            <w:vAlign w:val="center"/>
          </w:tcPr>
          <w:p w14:paraId="02A720D8" w14:textId="50CAF006" w:rsidR="00596650" w:rsidRPr="00EF2ACB" w:rsidRDefault="00596650" w:rsidP="00596650">
            <w:pPr>
              <w:tabs>
                <w:tab w:val="center" w:pos="4153"/>
                <w:tab w:val="right" w:pos="8306"/>
              </w:tabs>
              <w:spacing w:after="0" w:line="240" w:lineRule="auto"/>
              <w:rPr>
                <w:rFonts w:ascii="Cambria" w:eastAsia="Times New Roman" w:hAnsi="Cambria" w:cs="Arial"/>
                <w:b/>
                <w:bCs/>
                <w:snapToGrid w:val="0"/>
                <w:sz w:val="24"/>
                <w:szCs w:val="24"/>
                <w:lang w:val="en-GB"/>
              </w:rPr>
            </w:pPr>
            <w:r w:rsidRPr="00EF2ACB">
              <w:rPr>
                <w:rFonts w:ascii="Cambria" w:eastAsia="Times New Roman" w:hAnsi="Cambria" w:cs="Times New Roman"/>
                <w:b/>
                <w:snapToGrid w:val="0"/>
                <w:sz w:val="24"/>
                <w:szCs w:val="24"/>
                <w:lang w:val="en-GB"/>
              </w:rPr>
              <w:t>Approved by:</w:t>
            </w:r>
          </w:p>
        </w:tc>
        <w:tc>
          <w:tcPr>
            <w:tcW w:w="1517" w:type="pct"/>
            <w:vAlign w:val="center"/>
          </w:tcPr>
          <w:p w14:paraId="60A39E63" w14:textId="77777777" w:rsidR="00596650" w:rsidRPr="00EF2ACB" w:rsidRDefault="00596650" w:rsidP="00596650">
            <w:pPr>
              <w:tabs>
                <w:tab w:val="center" w:pos="4153"/>
                <w:tab w:val="right" w:pos="8306"/>
              </w:tabs>
              <w:spacing w:after="0" w:line="240" w:lineRule="auto"/>
              <w:rPr>
                <w:rFonts w:ascii="Cambria" w:eastAsia="Times New Roman" w:hAnsi="Cambria" w:cs="Arial"/>
                <w:bCs/>
                <w:snapToGrid w:val="0"/>
                <w:sz w:val="24"/>
                <w:szCs w:val="24"/>
                <w:lang w:val="en-GB"/>
              </w:rPr>
            </w:pPr>
            <w:r w:rsidRPr="00EF2ACB">
              <w:rPr>
                <w:rFonts w:ascii="Cambria" w:eastAsia="Times New Roman" w:hAnsi="Cambria" w:cs="Arial"/>
                <w:bCs/>
                <w:snapToGrid w:val="0"/>
                <w:sz w:val="24"/>
                <w:szCs w:val="24"/>
                <w:lang w:val="en-GB"/>
              </w:rPr>
              <w:t>George K</w:t>
            </w:r>
            <w:proofErr w:type="spellStart"/>
            <w:r w:rsidRPr="00EF2ACB">
              <w:rPr>
                <w:rFonts w:ascii="Cambria" w:eastAsia="Times New Roman" w:hAnsi="Cambria" w:cs="Tahoma"/>
                <w:snapToGrid w:val="0"/>
                <w:sz w:val="24"/>
                <w:szCs w:val="24"/>
              </w:rPr>
              <w:t>yriacou</w:t>
            </w:r>
            <w:proofErr w:type="spellEnd"/>
          </w:p>
        </w:tc>
        <w:tc>
          <w:tcPr>
            <w:tcW w:w="1615" w:type="pct"/>
            <w:vAlign w:val="center"/>
          </w:tcPr>
          <w:p w14:paraId="00002459" w14:textId="77777777" w:rsidR="00596650" w:rsidRPr="00EF2ACB" w:rsidRDefault="00C310E2" w:rsidP="00596650">
            <w:pPr>
              <w:tabs>
                <w:tab w:val="center" w:pos="4153"/>
                <w:tab w:val="right" w:pos="8306"/>
              </w:tabs>
              <w:spacing w:after="0" w:line="240" w:lineRule="auto"/>
              <w:rPr>
                <w:rFonts w:ascii="Cambria" w:eastAsia="Times New Roman" w:hAnsi="Cambria" w:cs="Arial"/>
                <w:bCs/>
                <w:snapToGrid w:val="0"/>
                <w:sz w:val="24"/>
                <w:szCs w:val="24"/>
                <w:lang w:val="en-GB"/>
              </w:rPr>
            </w:pPr>
            <w:r w:rsidRPr="005E69C0">
              <w:rPr>
                <w:rFonts w:ascii="Cambria" w:eastAsia="Times New Roman" w:hAnsi="Cambria" w:cs="Arial"/>
                <w:bCs/>
                <w:snapToGrid w:val="0"/>
                <w:sz w:val="24"/>
                <w:szCs w:val="24"/>
                <w:lang w:val="en-GB"/>
              </w:rPr>
              <w:t>Deputy CFO &amp; Financial Business Partnering</w:t>
            </w:r>
          </w:p>
        </w:tc>
        <w:tc>
          <w:tcPr>
            <w:tcW w:w="691" w:type="pct"/>
            <w:vAlign w:val="center"/>
          </w:tcPr>
          <w:p w14:paraId="207F0F6C" w14:textId="626173F8" w:rsidR="00596650" w:rsidRPr="00EF2ACB" w:rsidRDefault="005A2AB6" w:rsidP="00596650">
            <w:pPr>
              <w:tabs>
                <w:tab w:val="center" w:pos="4153"/>
                <w:tab w:val="right" w:pos="8306"/>
              </w:tabs>
              <w:spacing w:after="0" w:line="240" w:lineRule="auto"/>
              <w:rPr>
                <w:rFonts w:ascii="Cambria" w:eastAsia="Times New Roman" w:hAnsi="Cambria" w:cs="Arial"/>
                <w:snapToGrid w:val="0"/>
                <w:sz w:val="24"/>
                <w:szCs w:val="24"/>
                <w:lang w:val="en-GB"/>
              </w:rPr>
            </w:pPr>
            <w:r>
              <w:rPr>
                <w:rFonts w:ascii="Cambria" w:eastAsia="Times New Roman" w:hAnsi="Cambria" w:cs="Arial"/>
                <w:snapToGrid w:val="0"/>
                <w:sz w:val="24"/>
                <w:szCs w:val="24"/>
                <w:lang w:val="en-GB"/>
              </w:rPr>
              <w:t>23 February 2021</w:t>
            </w:r>
          </w:p>
        </w:tc>
      </w:tr>
    </w:tbl>
    <w:p w14:paraId="46466A2E" w14:textId="77777777" w:rsidR="00613E9D" w:rsidRPr="00EF2ACB" w:rsidRDefault="00613E9D" w:rsidP="00613E9D">
      <w:pPr>
        <w:spacing w:after="0"/>
        <w:rPr>
          <w:rFonts w:ascii="Cambria" w:hAnsi="Cambria" w:cs="Arial"/>
          <w:sz w:val="24"/>
          <w:szCs w:val="24"/>
        </w:rPr>
      </w:pPr>
    </w:p>
    <w:p w14:paraId="050ACFB4" w14:textId="5809379B" w:rsidR="00CA6017" w:rsidRDefault="00275230" w:rsidP="001962FD">
      <w:pPr>
        <w:spacing w:after="0"/>
        <w:rPr>
          <w:rFonts w:ascii="Cambria" w:hAnsi="Cambria"/>
          <w:b/>
          <w:sz w:val="24"/>
          <w:szCs w:val="24"/>
        </w:rPr>
      </w:pPr>
      <w:r>
        <w:rPr>
          <w:rFonts w:ascii="Cambria" w:hAnsi="Cambria"/>
          <w:b/>
          <w:sz w:val="24"/>
          <w:szCs w:val="24"/>
        </w:rPr>
        <w:t xml:space="preserve">   </w:t>
      </w:r>
    </w:p>
    <w:p w14:paraId="74A70BA0" w14:textId="77777777" w:rsidR="00CA6017" w:rsidRDefault="00CA6017">
      <w:pPr>
        <w:rPr>
          <w:rFonts w:ascii="Cambria" w:hAnsi="Cambria"/>
          <w:b/>
          <w:sz w:val="24"/>
          <w:szCs w:val="24"/>
        </w:rPr>
      </w:pPr>
      <w:r>
        <w:rPr>
          <w:rFonts w:ascii="Cambria" w:hAnsi="Cambria"/>
          <w:b/>
          <w:sz w:val="24"/>
          <w:szCs w:val="24"/>
        </w:rPr>
        <w:br w:type="page"/>
      </w:r>
    </w:p>
    <w:p w14:paraId="33E44A75" w14:textId="77777777" w:rsidR="008133C3" w:rsidRDefault="008133C3" w:rsidP="001962FD">
      <w:pPr>
        <w:spacing w:after="0"/>
        <w:rPr>
          <w:rFonts w:ascii="Cambria" w:hAnsi="Cambria"/>
          <w:b/>
          <w:sz w:val="24"/>
          <w:szCs w:val="24"/>
        </w:rPr>
      </w:pPr>
    </w:p>
    <w:sdt>
      <w:sdtPr>
        <w:rPr>
          <w:rFonts w:asciiTheme="minorHAnsi" w:eastAsiaTheme="minorHAnsi" w:hAnsiTheme="minorHAnsi" w:cstheme="minorBidi"/>
          <w:color w:val="auto"/>
          <w:sz w:val="22"/>
          <w:szCs w:val="22"/>
        </w:rPr>
        <w:id w:val="1769276419"/>
        <w:docPartObj>
          <w:docPartGallery w:val="Table of Contents"/>
          <w:docPartUnique/>
        </w:docPartObj>
      </w:sdtPr>
      <w:sdtEndPr>
        <w:rPr>
          <w:b/>
          <w:bCs/>
          <w:noProof/>
        </w:rPr>
      </w:sdtEndPr>
      <w:sdtContent>
        <w:p w14:paraId="0ACEE5F0" w14:textId="77777777" w:rsidR="008133C3" w:rsidRDefault="008133C3">
          <w:pPr>
            <w:pStyle w:val="TOCHeading"/>
          </w:pPr>
          <w:r>
            <w:t>Contents</w:t>
          </w:r>
        </w:p>
        <w:p w14:paraId="6AAC3C22" w14:textId="38B1132C" w:rsidR="00761F0D" w:rsidRDefault="008133C3">
          <w:pPr>
            <w:pStyle w:val="TOC1"/>
            <w:rPr>
              <w:rFonts w:asciiTheme="minorHAnsi" w:eastAsiaTheme="minorEastAsia" w:hAnsiTheme="minorHAnsi" w:cstheme="minorBidi"/>
              <w:b w:val="0"/>
              <w:caps w:val="0"/>
              <w:noProof/>
              <w:lang w:val="en-US"/>
            </w:rPr>
          </w:pPr>
          <w:r>
            <w:fldChar w:fldCharType="begin"/>
          </w:r>
          <w:r>
            <w:instrText xml:space="preserve"> TOC \o "1-3" \h \z \u </w:instrText>
          </w:r>
          <w:r>
            <w:fldChar w:fldCharType="separate"/>
          </w:r>
          <w:hyperlink w:anchor="_Toc51944968" w:history="1">
            <w:r w:rsidR="00761F0D" w:rsidRPr="00766767">
              <w:rPr>
                <w:rStyle w:val="Hyperlink"/>
                <w:rFonts w:eastAsia="Calibri" w:cs="Arial"/>
                <w:noProof/>
              </w:rPr>
              <w:t>1.0     Overview</w:t>
            </w:r>
            <w:r w:rsidR="00761F0D">
              <w:rPr>
                <w:noProof/>
                <w:webHidden/>
              </w:rPr>
              <w:tab/>
            </w:r>
            <w:r w:rsidR="00761F0D">
              <w:rPr>
                <w:noProof/>
                <w:webHidden/>
              </w:rPr>
              <w:fldChar w:fldCharType="begin"/>
            </w:r>
            <w:r w:rsidR="00761F0D">
              <w:rPr>
                <w:noProof/>
                <w:webHidden/>
              </w:rPr>
              <w:instrText xml:space="preserve"> PAGEREF _Toc51944968 \h </w:instrText>
            </w:r>
            <w:r w:rsidR="00761F0D">
              <w:rPr>
                <w:noProof/>
                <w:webHidden/>
              </w:rPr>
            </w:r>
            <w:r w:rsidR="00761F0D">
              <w:rPr>
                <w:noProof/>
                <w:webHidden/>
              </w:rPr>
              <w:fldChar w:fldCharType="separate"/>
            </w:r>
            <w:r w:rsidR="00766767">
              <w:rPr>
                <w:noProof/>
                <w:webHidden/>
              </w:rPr>
              <w:t>4</w:t>
            </w:r>
            <w:r w:rsidR="00761F0D">
              <w:rPr>
                <w:noProof/>
                <w:webHidden/>
              </w:rPr>
              <w:fldChar w:fldCharType="end"/>
            </w:r>
          </w:hyperlink>
        </w:p>
        <w:p w14:paraId="6C8BE6F3" w14:textId="6B8EF44F" w:rsidR="00761F0D" w:rsidRDefault="00B22B96">
          <w:pPr>
            <w:pStyle w:val="TOC1"/>
            <w:rPr>
              <w:rFonts w:asciiTheme="minorHAnsi" w:eastAsiaTheme="minorEastAsia" w:hAnsiTheme="minorHAnsi" w:cstheme="minorBidi"/>
              <w:b w:val="0"/>
              <w:caps w:val="0"/>
              <w:noProof/>
              <w:lang w:val="en-US"/>
            </w:rPr>
          </w:pPr>
          <w:hyperlink w:anchor="_Toc51944969" w:history="1">
            <w:r w:rsidR="00761F0D" w:rsidRPr="00E23B8A">
              <w:rPr>
                <w:rStyle w:val="Hyperlink"/>
                <w:rFonts w:eastAsia="Calibri"/>
                <w:noProof/>
              </w:rPr>
              <w:t>2.0</w:t>
            </w:r>
            <w:r w:rsidR="00761F0D">
              <w:rPr>
                <w:rFonts w:asciiTheme="minorHAnsi" w:eastAsiaTheme="minorEastAsia" w:hAnsiTheme="minorHAnsi" w:cstheme="minorBidi"/>
                <w:b w:val="0"/>
                <w:caps w:val="0"/>
                <w:noProof/>
                <w:lang w:val="en-US"/>
              </w:rPr>
              <w:tab/>
            </w:r>
            <w:r w:rsidR="005F64E5">
              <w:rPr>
                <w:rFonts w:asciiTheme="minorHAnsi" w:eastAsiaTheme="minorEastAsia" w:hAnsiTheme="minorHAnsi" w:cstheme="minorBidi"/>
                <w:b w:val="0"/>
                <w:caps w:val="0"/>
                <w:noProof/>
                <w:lang w:val="en-US"/>
              </w:rPr>
              <w:t xml:space="preserve">   </w:t>
            </w:r>
            <w:r w:rsidR="00761F0D" w:rsidRPr="00E23B8A">
              <w:rPr>
                <w:rStyle w:val="Hyperlink"/>
                <w:rFonts w:eastAsia="Calibri"/>
                <w:noProof/>
              </w:rPr>
              <w:t>business process</w:t>
            </w:r>
            <w:r w:rsidR="00761F0D">
              <w:rPr>
                <w:noProof/>
                <w:webHidden/>
              </w:rPr>
              <w:tab/>
            </w:r>
            <w:r w:rsidR="00761F0D">
              <w:rPr>
                <w:noProof/>
                <w:webHidden/>
              </w:rPr>
              <w:fldChar w:fldCharType="begin"/>
            </w:r>
            <w:r w:rsidR="00761F0D">
              <w:rPr>
                <w:noProof/>
                <w:webHidden/>
              </w:rPr>
              <w:instrText xml:space="preserve"> PAGEREF _Toc51944969 \h </w:instrText>
            </w:r>
            <w:r w:rsidR="00761F0D">
              <w:rPr>
                <w:noProof/>
                <w:webHidden/>
              </w:rPr>
            </w:r>
            <w:r w:rsidR="00761F0D">
              <w:rPr>
                <w:noProof/>
                <w:webHidden/>
              </w:rPr>
              <w:fldChar w:fldCharType="separate"/>
            </w:r>
            <w:r w:rsidR="00766767">
              <w:rPr>
                <w:noProof/>
                <w:webHidden/>
              </w:rPr>
              <w:t>4</w:t>
            </w:r>
            <w:r w:rsidR="00761F0D">
              <w:rPr>
                <w:noProof/>
                <w:webHidden/>
              </w:rPr>
              <w:fldChar w:fldCharType="end"/>
            </w:r>
          </w:hyperlink>
        </w:p>
        <w:p w14:paraId="4E27E91E" w14:textId="0D8F851D" w:rsidR="00761F0D" w:rsidRDefault="00B22B96">
          <w:pPr>
            <w:pStyle w:val="TOC1"/>
            <w:rPr>
              <w:rFonts w:asciiTheme="minorHAnsi" w:eastAsiaTheme="minorEastAsia" w:hAnsiTheme="minorHAnsi" w:cstheme="minorBidi"/>
              <w:b w:val="0"/>
              <w:caps w:val="0"/>
              <w:noProof/>
              <w:lang w:val="en-US"/>
            </w:rPr>
          </w:pPr>
          <w:hyperlink w:anchor="_Toc51944970" w:history="1">
            <w:r w:rsidR="00761F0D" w:rsidRPr="00E23B8A">
              <w:rPr>
                <w:rStyle w:val="Hyperlink"/>
                <w:rFonts w:eastAsia="Calibri"/>
                <w:noProof/>
              </w:rPr>
              <w:t>2.1</w:t>
            </w:r>
            <w:r w:rsidR="00761F0D">
              <w:rPr>
                <w:rFonts w:asciiTheme="minorHAnsi" w:eastAsiaTheme="minorEastAsia" w:hAnsiTheme="minorHAnsi" w:cstheme="minorBidi"/>
                <w:b w:val="0"/>
                <w:caps w:val="0"/>
                <w:noProof/>
                <w:lang w:val="en-US"/>
              </w:rPr>
              <w:tab/>
            </w:r>
            <w:r w:rsidR="005F64E5">
              <w:rPr>
                <w:rFonts w:asciiTheme="minorHAnsi" w:eastAsiaTheme="minorEastAsia" w:hAnsiTheme="minorHAnsi" w:cstheme="minorBidi"/>
                <w:b w:val="0"/>
                <w:caps w:val="0"/>
                <w:noProof/>
                <w:lang w:val="en-US"/>
              </w:rPr>
              <w:t xml:space="preserve">   </w:t>
            </w:r>
            <w:r w:rsidR="00761F0D" w:rsidRPr="00E23B8A">
              <w:rPr>
                <w:rStyle w:val="Hyperlink"/>
                <w:rFonts w:eastAsia="Calibri"/>
                <w:noProof/>
              </w:rPr>
              <w:t>Summary</w:t>
            </w:r>
            <w:r w:rsidR="00761F0D">
              <w:rPr>
                <w:noProof/>
                <w:webHidden/>
              </w:rPr>
              <w:tab/>
            </w:r>
            <w:r w:rsidR="00761F0D">
              <w:rPr>
                <w:noProof/>
                <w:webHidden/>
              </w:rPr>
              <w:fldChar w:fldCharType="begin"/>
            </w:r>
            <w:r w:rsidR="00761F0D">
              <w:rPr>
                <w:noProof/>
                <w:webHidden/>
              </w:rPr>
              <w:instrText xml:space="preserve"> PAGEREF _Toc51944970 \h </w:instrText>
            </w:r>
            <w:r w:rsidR="00761F0D">
              <w:rPr>
                <w:noProof/>
                <w:webHidden/>
              </w:rPr>
            </w:r>
            <w:r w:rsidR="00761F0D">
              <w:rPr>
                <w:noProof/>
                <w:webHidden/>
              </w:rPr>
              <w:fldChar w:fldCharType="separate"/>
            </w:r>
            <w:r w:rsidR="00766767">
              <w:rPr>
                <w:noProof/>
                <w:webHidden/>
              </w:rPr>
              <w:t>4</w:t>
            </w:r>
            <w:r w:rsidR="00761F0D">
              <w:rPr>
                <w:noProof/>
                <w:webHidden/>
              </w:rPr>
              <w:fldChar w:fldCharType="end"/>
            </w:r>
          </w:hyperlink>
        </w:p>
        <w:p w14:paraId="6C271304" w14:textId="27E3C435" w:rsidR="00761F0D" w:rsidRDefault="00B22B96">
          <w:pPr>
            <w:pStyle w:val="TOC1"/>
            <w:rPr>
              <w:rFonts w:asciiTheme="minorHAnsi" w:eastAsiaTheme="minorEastAsia" w:hAnsiTheme="minorHAnsi" w:cstheme="minorBidi"/>
              <w:b w:val="0"/>
              <w:caps w:val="0"/>
              <w:noProof/>
              <w:lang w:val="en-US"/>
            </w:rPr>
          </w:pPr>
          <w:hyperlink w:anchor="_Toc51944971" w:history="1">
            <w:r w:rsidR="00761F0D" w:rsidRPr="00E23B8A">
              <w:rPr>
                <w:rStyle w:val="Hyperlink"/>
                <w:rFonts w:eastAsia="Calibri"/>
                <w:noProof/>
              </w:rPr>
              <w:t>3.0</w:t>
            </w:r>
            <w:r w:rsidR="00761F0D">
              <w:rPr>
                <w:rFonts w:asciiTheme="minorHAnsi" w:eastAsiaTheme="minorEastAsia" w:hAnsiTheme="minorHAnsi" w:cstheme="minorBidi"/>
                <w:b w:val="0"/>
                <w:caps w:val="0"/>
                <w:noProof/>
                <w:lang w:val="en-US"/>
              </w:rPr>
              <w:tab/>
            </w:r>
            <w:r w:rsidR="005F64E5">
              <w:rPr>
                <w:rFonts w:asciiTheme="minorHAnsi" w:eastAsiaTheme="minorEastAsia" w:hAnsiTheme="minorHAnsi" w:cstheme="minorBidi"/>
                <w:b w:val="0"/>
                <w:caps w:val="0"/>
                <w:noProof/>
                <w:lang w:val="en-US"/>
              </w:rPr>
              <w:t xml:space="preserve">   </w:t>
            </w:r>
            <w:r w:rsidR="00761F0D" w:rsidRPr="00E23B8A">
              <w:rPr>
                <w:rStyle w:val="Hyperlink"/>
                <w:rFonts w:eastAsia="Calibri"/>
                <w:noProof/>
              </w:rPr>
              <w:t>CLOSURE OF PROJECTS</w:t>
            </w:r>
            <w:r w:rsidR="00761F0D">
              <w:rPr>
                <w:noProof/>
                <w:webHidden/>
              </w:rPr>
              <w:tab/>
            </w:r>
            <w:r w:rsidR="00761F0D">
              <w:rPr>
                <w:noProof/>
                <w:webHidden/>
              </w:rPr>
              <w:fldChar w:fldCharType="begin"/>
            </w:r>
            <w:r w:rsidR="00761F0D">
              <w:rPr>
                <w:noProof/>
                <w:webHidden/>
              </w:rPr>
              <w:instrText xml:space="preserve"> PAGEREF _Toc51944971 \h </w:instrText>
            </w:r>
            <w:r w:rsidR="00761F0D">
              <w:rPr>
                <w:noProof/>
                <w:webHidden/>
              </w:rPr>
            </w:r>
            <w:r w:rsidR="00761F0D">
              <w:rPr>
                <w:noProof/>
                <w:webHidden/>
              </w:rPr>
              <w:fldChar w:fldCharType="separate"/>
            </w:r>
            <w:r w:rsidR="00766767">
              <w:rPr>
                <w:noProof/>
                <w:webHidden/>
              </w:rPr>
              <w:t>6</w:t>
            </w:r>
            <w:r w:rsidR="00761F0D">
              <w:rPr>
                <w:noProof/>
                <w:webHidden/>
              </w:rPr>
              <w:fldChar w:fldCharType="end"/>
            </w:r>
          </w:hyperlink>
        </w:p>
        <w:p w14:paraId="3211689B" w14:textId="5ABA286A" w:rsidR="00761F0D" w:rsidRDefault="00B22B96">
          <w:pPr>
            <w:pStyle w:val="TOC1"/>
            <w:rPr>
              <w:rFonts w:asciiTheme="minorHAnsi" w:eastAsiaTheme="minorEastAsia" w:hAnsiTheme="minorHAnsi" w:cstheme="minorBidi"/>
              <w:b w:val="0"/>
              <w:caps w:val="0"/>
              <w:noProof/>
              <w:lang w:val="en-US"/>
            </w:rPr>
          </w:pPr>
          <w:hyperlink w:anchor="_Toc51944972" w:history="1">
            <w:r w:rsidR="00761F0D" w:rsidRPr="00E23B8A">
              <w:rPr>
                <w:rStyle w:val="Hyperlink"/>
                <w:noProof/>
              </w:rPr>
              <w:t xml:space="preserve">4.0 </w:t>
            </w:r>
            <w:r w:rsidR="005F64E5">
              <w:rPr>
                <w:rStyle w:val="Hyperlink"/>
                <w:noProof/>
              </w:rPr>
              <w:t xml:space="preserve">    </w:t>
            </w:r>
            <w:r w:rsidR="00761F0D" w:rsidRPr="00E23B8A">
              <w:rPr>
                <w:rStyle w:val="Hyperlink"/>
                <w:noProof/>
              </w:rPr>
              <w:t>OPERATIONAL Closure</w:t>
            </w:r>
            <w:r w:rsidR="00761F0D">
              <w:rPr>
                <w:noProof/>
                <w:webHidden/>
              </w:rPr>
              <w:tab/>
            </w:r>
            <w:r w:rsidR="00761F0D">
              <w:rPr>
                <w:noProof/>
                <w:webHidden/>
              </w:rPr>
              <w:fldChar w:fldCharType="begin"/>
            </w:r>
            <w:r w:rsidR="00761F0D">
              <w:rPr>
                <w:noProof/>
                <w:webHidden/>
              </w:rPr>
              <w:instrText xml:space="preserve"> PAGEREF _Toc51944972 \h </w:instrText>
            </w:r>
            <w:r w:rsidR="00761F0D">
              <w:rPr>
                <w:noProof/>
                <w:webHidden/>
              </w:rPr>
            </w:r>
            <w:r w:rsidR="00761F0D">
              <w:rPr>
                <w:noProof/>
                <w:webHidden/>
              </w:rPr>
              <w:fldChar w:fldCharType="separate"/>
            </w:r>
            <w:r w:rsidR="00766767">
              <w:rPr>
                <w:noProof/>
                <w:webHidden/>
              </w:rPr>
              <w:t>7</w:t>
            </w:r>
            <w:r w:rsidR="00761F0D">
              <w:rPr>
                <w:noProof/>
                <w:webHidden/>
              </w:rPr>
              <w:fldChar w:fldCharType="end"/>
            </w:r>
          </w:hyperlink>
        </w:p>
        <w:p w14:paraId="60E6C85D" w14:textId="2F03C923" w:rsidR="00761F0D" w:rsidRDefault="00B22B96">
          <w:pPr>
            <w:pStyle w:val="TOC1"/>
            <w:rPr>
              <w:rFonts w:asciiTheme="minorHAnsi" w:eastAsiaTheme="minorEastAsia" w:hAnsiTheme="minorHAnsi" w:cstheme="minorBidi"/>
              <w:b w:val="0"/>
              <w:caps w:val="0"/>
              <w:noProof/>
              <w:lang w:val="en-US"/>
            </w:rPr>
          </w:pPr>
          <w:hyperlink w:anchor="_Toc51944973" w:history="1">
            <w:r w:rsidR="00761F0D" w:rsidRPr="00E23B8A">
              <w:rPr>
                <w:rStyle w:val="Hyperlink"/>
                <w:noProof/>
              </w:rPr>
              <w:t xml:space="preserve">5.0 </w:t>
            </w:r>
            <w:r w:rsidR="005F64E5">
              <w:rPr>
                <w:rStyle w:val="Hyperlink"/>
                <w:noProof/>
              </w:rPr>
              <w:t xml:space="preserve">    </w:t>
            </w:r>
            <w:r w:rsidR="00761F0D" w:rsidRPr="00E23B8A">
              <w:rPr>
                <w:rStyle w:val="Hyperlink"/>
                <w:noProof/>
              </w:rPr>
              <w:t>FINANCIAL Closure</w:t>
            </w:r>
            <w:r w:rsidR="00761F0D">
              <w:rPr>
                <w:noProof/>
                <w:webHidden/>
              </w:rPr>
              <w:tab/>
            </w:r>
            <w:r w:rsidR="00761F0D">
              <w:rPr>
                <w:noProof/>
                <w:webHidden/>
              </w:rPr>
              <w:fldChar w:fldCharType="begin"/>
            </w:r>
            <w:r w:rsidR="00761F0D">
              <w:rPr>
                <w:noProof/>
                <w:webHidden/>
              </w:rPr>
              <w:instrText xml:space="preserve"> PAGEREF _Toc51944973 \h </w:instrText>
            </w:r>
            <w:r w:rsidR="00761F0D">
              <w:rPr>
                <w:noProof/>
                <w:webHidden/>
              </w:rPr>
            </w:r>
            <w:r w:rsidR="00761F0D">
              <w:rPr>
                <w:noProof/>
                <w:webHidden/>
              </w:rPr>
              <w:fldChar w:fldCharType="separate"/>
            </w:r>
            <w:r w:rsidR="00766767">
              <w:rPr>
                <w:noProof/>
                <w:webHidden/>
              </w:rPr>
              <w:t>8</w:t>
            </w:r>
            <w:r w:rsidR="00761F0D">
              <w:rPr>
                <w:noProof/>
                <w:webHidden/>
              </w:rPr>
              <w:fldChar w:fldCharType="end"/>
            </w:r>
          </w:hyperlink>
        </w:p>
        <w:p w14:paraId="10A1919F" w14:textId="1CAE92C9" w:rsidR="00761F0D" w:rsidRDefault="00B22B96">
          <w:pPr>
            <w:pStyle w:val="TOC1"/>
            <w:rPr>
              <w:rFonts w:asciiTheme="minorHAnsi" w:eastAsiaTheme="minorEastAsia" w:hAnsiTheme="minorHAnsi" w:cstheme="minorBidi"/>
              <w:b w:val="0"/>
              <w:caps w:val="0"/>
              <w:noProof/>
              <w:lang w:val="en-US"/>
            </w:rPr>
          </w:pPr>
          <w:hyperlink w:anchor="_Toc51944974" w:history="1">
            <w:r w:rsidR="00761F0D" w:rsidRPr="00E23B8A">
              <w:rPr>
                <w:rStyle w:val="Hyperlink"/>
                <w:noProof/>
              </w:rPr>
              <w:t xml:space="preserve">6.0 </w:t>
            </w:r>
            <w:r w:rsidR="005F64E5">
              <w:rPr>
                <w:rStyle w:val="Hyperlink"/>
                <w:noProof/>
              </w:rPr>
              <w:t xml:space="preserve">    </w:t>
            </w:r>
            <w:r w:rsidR="00761F0D" w:rsidRPr="00E23B8A">
              <w:rPr>
                <w:rStyle w:val="Hyperlink"/>
                <w:noProof/>
              </w:rPr>
              <w:t>PROCEDURAL Steps for Financial Closure</w:t>
            </w:r>
            <w:r w:rsidR="00761F0D">
              <w:rPr>
                <w:noProof/>
                <w:webHidden/>
              </w:rPr>
              <w:tab/>
            </w:r>
            <w:r w:rsidR="00761F0D">
              <w:rPr>
                <w:noProof/>
                <w:webHidden/>
              </w:rPr>
              <w:fldChar w:fldCharType="begin"/>
            </w:r>
            <w:r w:rsidR="00761F0D">
              <w:rPr>
                <w:noProof/>
                <w:webHidden/>
              </w:rPr>
              <w:instrText xml:space="preserve"> PAGEREF _Toc51944974 \h </w:instrText>
            </w:r>
            <w:r w:rsidR="00761F0D">
              <w:rPr>
                <w:noProof/>
                <w:webHidden/>
              </w:rPr>
            </w:r>
            <w:r w:rsidR="00761F0D">
              <w:rPr>
                <w:noProof/>
                <w:webHidden/>
              </w:rPr>
              <w:fldChar w:fldCharType="separate"/>
            </w:r>
            <w:r w:rsidR="00766767">
              <w:rPr>
                <w:noProof/>
                <w:webHidden/>
              </w:rPr>
              <w:t>10</w:t>
            </w:r>
            <w:r w:rsidR="00761F0D">
              <w:rPr>
                <w:noProof/>
                <w:webHidden/>
              </w:rPr>
              <w:fldChar w:fldCharType="end"/>
            </w:r>
          </w:hyperlink>
        </w:p>
        <w:p w14:paraId="215C4194" w14:textId="2D04BFA9" w:rsidR="00761F0D" w:rsidRDefault="00B22B96">
          <w:pPr>
            <w:pStyle w:val="TOC1"/>
            <w:rPr>
              <w:rFonts w:asciiTheme="minorHAnsi" w:eastAsiaTheme="minorEastAsia" w:hAnsiTheme="minorHAnsi" w:cstheme="minorBidi"/>
              <w:b w:val="0"/>
              <w:caps w:val="0"/>
              <w:noProof/>
              <w:lang w:val="en-US"/>
            </w:rPr>
          </w:pPr>
          <w:hyperlink w:anchor="_Toc51944975" w:history="1">
            <w:r w:rsidR="00761F0D" w:rsidRPr="00E23B8A">
              <w:rPr>
                <w:rStyle w:val="Hyperlink"/>
                <w:rFonts w:eastAsia="Calibri"/>
                <w:noProof/>
              </w:rPr>
              <w:t xml:space="preserve">7.0   </w:t>
            </w:r>
            <w:r w:rsidR="005F64E5">
              <w:rPr>
                <w:rStyle w:val="Hyperlink"/>
                <w:rFonts w:eastAsia="Calibri"/>
                <w:noProof/>
              </w:rPr>
              <w:t xml:space="preserve">  </w:t>
            </w:r>
            <w:r w:rsidR="00761F0D" w:rsidRPr="00E23B8A">
              <w:rPr>
                <w:rStyle w:val="Hyperlink"/>
                <w:rFonts w:eastAsia="Calibri"/>
                <w:noProof/>
              </w:rPr>
              <w:t>Other Issues impeding Project Closure</w:t>
            </w:r>
            <w:r w:rsidR="00761F0D">
              <w:rPr>
                <w:noProof/>
                <w:webHidden/>
              </w:rPr>
              <w:tab/>
            </w:r>
            <w:r w:rsidR="00761F0D">
              <w:rPr>
                <w:noProof/>
                <w:webHidden/>
              </w:rPr>
              <w:fldChar w:fldCharType="begin"/>
            </w:r>
            <w:r w:rsidR="00761F0D">
              <w:rPr>
                <w:noProof/>
                <w:webHidden/>
              </w:rPr>
              <w:instrText xml:space="preserve"> PAGEREF _Toc51944975 \h </w:instrText>
            </w:r>
            <w:r w:rsidR="00761F0D">
              <w:rPr>
                <w:noProof/>
                <w:webHidden/>
              </w:rPr>
            </w:r>
            <w:r w:rsidR="00761F0D">
              <w:rPr>
                <w:noProof/>
                <w:webHidden/>
              </w:rPr>
              <w:fldChar w:fldCharType="separate"/>
            </w:r>
            <w:r w:rsidR="00766767">
              <w:rPr>
                <w:noProof/>
                <w:webHidden/>
              </w:rPr>
              <w:t>41</w:t>
            </w:r>
            <w:r w:rsidR="00761F0D">
              <w:rPr>
                <w:noProof/>
                <w:webHidden/>
              </w:rPr>
              <w:fldChar w:fldCharType="end"/>
            </w:r>
          </w:hyperlink>
        </w:p>
        <w:p w14:paraId="6B4C82CF" w14:textId="0ECF0321" w:rsidR="00761F0D" w:rsidRDefault="00B22B96">
          <w:pPr>
            <w:pStyle w:val="TOC1"/>
            <w:rPr>
              <w:rFonts w:asciiTheme="minorHAnsi" w:eastAsiaTheme="minorEastAsia" w:hAnsiTheme="minorHAnsi" w:cstheme="minorBidi"/>
              <w:b w:val="0"/>
              <w:caps w:val="0"/>
              <w:noProof/>
              <w:lang w:val="en-US"/>
            </w:rPr>
          </w:pPr>
          <w:hyperlink w:anchor="_Toc51944976" w:history="1">
            <w:r w:rsidR="00761F0D" w:rsidRPr="00E23B8A">
              <w:rPr>
                <w:rStyle w:val="Hyperlink"/>
                <w:noProof/>
              </w:rPr>
              <w:t xml:space="preserve">8.0 </w:t>
            </w:r>
            <w:r w:rsidR="005F64E5">
              <w:rPr>
                <w:rStyle w:val="Hyperlink"/>
                <w:noProof/>
              </w:rPr>
              <w:t xml:space="preserve">   </w:t>
            </w:r>
            <w:r w:rsidR="00761F0D" w:rsidRPr="00E23B8A">
              <w:rPr>
                <w:rStyle w:val="Hyperlink"/>
                <w:noProof/>
              </w:rPr>
              <w:t>Managing exceptions THROUGH ALTERNATIVE Procedures</w:t>
            </w:r>
            <w:r w:rsidR="00761F0D">
              <w:rPr>
                <w:noProof/>
                <w:webHidden/>
              </w:rPr>
              <w:tab/>
            </w:r>
            <w:r w:rsidR="00761F0D">
              <w:rPr>
                <w:noProof/>
                <w:webHidden/>
              </w:rPr>
              <w:fldChar w:fldCharType="begin"/>
            </w:r>
            <w:r w:rsidR="00761F0D">
              <w:rPr>
                <w:noProof/>
                <w:webHidden/>
              </w:rPr>
              <w:instrText xml:space="preserve"> PAGEREF _Toc51944976 \h </w:instrText>
            </w:r>
            <w:r w:rsidR="00761F0D">
              <w:rPr>
                <w:noProof/>
                <w:webHidden/>
              </w:rPr>
            </w:r>
            <w:r w:rsidR="00761F0D">
              <w:rPr>
                <w:noProof/>
                <w:webHidden/>
              </w:rPr>
              <w:fldChar w:fldCharType="separate"/>
            </w:r>
            <w:r w:rsidR="00766767">
              <w:rPr>
                <w:noProof/>
                <w:webHidden/>
              </w:rPr>
              <w:t>41</w:t>
            </w:r>
            <w:r w:rsidR="00761F0D">
              <w:rPr>
                <w:noProof/>
                <w:webHidden/>
              </w:rPr>
              <w:fldChar w:fldCharType="end"/>
            </w:r>
          </w:hyperlink>
        </w:p>
        <w:p w14:paraId="71433A4E" w14:textId="2E9F65F0" w:rsidR="00761F0D" w:rsidRDefault="00B22B96">
          <w:pPr>
            <w:pStyle w:val="TOC1"/>
            <w:rPr>
              <w:rFonts w:asciiTheme="minorHAnsi" w:eastAsiaTheme="minorEastAsia" w:hAnsiTheme="minorHAnsi" w:cstheme="minorBidi"/>
              <w:b w:val="0"/>
              <w:caps w:val="0"/>
              <w:noProof/>
              <w:lang w:val="en-US"/>
            </w:rPr>
          </w:pPr>
          <w:hyperlink w:anchor="_Toc51944977" w:history="1">
            <w:r w:rsidR="00761F0D" w:rsidRPr="00E23B8A">
              <w:rPr>
                <w:rStyle w:val="Hyperlink"/>
                <w:noProof/>
              </w:rPr>
              <w:t xml:space="preserve">9.0 </w:t>
            </w:r>
            <w:r w:rsidR="005F64E5">
              <w:rPr>
                <w:rStyle w:val="Hyperlink"/>
                <w:noProof/>
              </w:rPr>
              <w:t xml:space="preserve">   </w:t>
            </w:r>
            <w:r w:rsidR="00761F0D" w:rsidRPr="00E23B8A">
              <w:rPr>
                <w:rStyle w:val="Hyperlink"/>
                <w:noProof/>
              </w:rPr>
              <w:t>BEST Practices in Closing Projects</w:t>
            </w:r>
            <w:r w:rsidR="00761F0D">
              <w:rPr>
                <w:noProof/>
                <w:webHidden/>
              </w:rPr>
              <w:tab/>
            </w:r>
            <w:r w:rsidR="00761F0D">
              <w:rPr>
                <w:noProof/>
                <w:webHidden/>
              </w:rPr>
              <w:fldChar w:fldCharType="begin"/>
            </w:r>
            <w:r w:rsidR="00761F0D">
              <w:rPr>
                <w:noProof/>
                <w:webHidden/>
              </w:rPr>
              <w:instrText xml:space="preserve"> PAGEREF _Toc51944977 \h </w:instrText>
            </w:r>
            <w:r w:rsidR="00761F0D">
              <w:rPr>
                <w:noProof/>
                <w:webHidden/>
              </w:rPr>
            </w:r>
            <w:r w:rsidR="00761F0D">
              <w:rPr>
                <w:noProof/>
                <w:webHidden/>
              </w:rPr>
              <w:fldChar w:fldCharType="separate"/>
            </w:r>
            <w:r w:rsidR="00766767">
              <w:rPr>
                <w:noProof/>
                <w:webHidden/>
              </w:rPr>
              <w:t>44</w:t>
            </w:r>
            <w:r w:rsidR="00761F0D">
              <w:rPr>
                <w:noProof/>
                <w:webHidden/>
              </w:rPr>
              <w:fldChar w:fldCharType="end"/>
            </w:r>
          </w:hyperlink>
        </w:p>
        <w:p w14:paraId="3B20ACF6" w14:textId="34167703" w:rsidR="00761F0D" w:rsidRDefault="00B22B96">
          <w:pPr>
            <w:pStyle w:val="TOC1"/>
            <w:rPr>
              <w:rFonts w:asciiTheme="minorHAnsi" w:eastAsiaTheme="minorEastAsia" w:hAnsiTheme="minorHAnsi" w:cstheme="minorBidi"/>
              <w:b w:val="0"/>
              <w:caps w:val="0"/>
              <w:noProof/>
              <w:lang w:val="en-US"/>
            </w:rPr>
          </w:pPr>
          <w:hyperlink w:anchor="_Toc51944978" w:history="1">
            <w:r w:rsidR="00761F0D" w:rsidRPr="00E23B8A">
              <w:rPr>
                <w:rStyle w:val="Hyperlink"/>
                <w:noProof/>
              </w:rPr>
              <w:t>ANNEX 1 -</w:t>
            </w:r>
            <w:r w:rsidR="005F64E5">
              <w:rPr>
                <w:rStyle w:val="Hyperlink"/>
                <w:noProof/>
              </w:rPr>
              <w:t xml:space="preserve"> </w:t>
            </w:r>
            <w:r w:rsidR="00761F0D" w:rsidRPr="00E23B8A">
              <w:rPr>
                <w:rStyle w:val="Hyperlink"/>
                <w:noProof/>
              </w:rPr>
              <w:t>ANNOTATED Project Completion Check List (POPP)</w:t>
            </w:r>
            <w:r w:rsidR="00761F0D">
              <w:rPr>
                <w:noProof/>
                <w:webHidden/>
              </w:rPr>
              <w:tab/>
            </w:r>
            <w:r w:rsidR="00761F0D">
              <w:rPr>
                <w:noProof/>
                <w:webHidden/>
              </w:rPr>
              <w:fldChar w:fldCharType="begin"/>
            </w:r>
            <w:r w:rsidR="00761F0D">
              <w:rPr>
                <w:noProof/>
                <w:webHidden/>
              </w:rPr>
              <w:instrText xml:space="preserve"> PAGEREF _Toc51944978 \h </w:instrText>
            </w:r>
            <w:r w:rsidR="00761F0D">
              <w:rPr>
                <w:noProof/>
                <w:webHidden/>
              </w:rPr>
            </w:r>
            <w:r w:rsidR="00761F0D">
              <w:rPr>
                <w:noProof/>
                <w:webHidden/>
              </w:rPr>
              <w:fldChar w:fldCharType="separate"/>
            </w:r>
            <w:r w:rsidR="00766767">
              <w:rPr>
                <w:noProof/>
                <w:webHidden/>
              </w:rPr>
              <w:t>45</w:t>
            </w:r>
            <w:r w:rsidR="00761F0D">
              <w:rPr>
                <w:noProof/>
                <w:webHidden/>
              </w:rPr>
              <w:fldChar w:fldCharType="end"/>
            </w:r>
          </w:hyperlink>
        </w:p>
        <w:p w14:paraId="6F981F1F" w14:textId="585A203F" w:rsidR="00761F0D" w:rsidRDefault="00B22B96">
          <w:pPr>
            <w:pStyle w:val="TOC1"/>
            <w:rPr>
              <w:rFonts w:asciiTheme="minorHAnsi" w:eastAsiaTheme="minorEastAsia" w:hAnsiTheme="minorHAnsi" w:cstheme="minorBidi"/>
              <w:b w:val="0"/>
              <w:caps w:val="0"/>
              <w:noProof/>
              <w:lang w:val="en-US"/>
            </w:rPr>
          </w:pPr>
          <w:hyperlink w:anchor="_Toc51944979" w:history="1">
            <w:r w:rsidR="00761F0D" w:rsidRPr="00E23B8A">
              <w:rPr>
                <w:rStyle w:val="Hyperlink"/>
                <w:noProof/>
              </w:rPr>
              <w:t>ANNEX 2</w:t>
            </w:r>
            <w:r w:rsidR="00761F0D">
              <w:rPr>
                <w:noProof/>
                <w:webHidden/>
              </w:rPr>
              <w:tab/>
            </w:r>
            <w:r w:rsidR="00761F0D">
              <w:rPr>
                <w:noProof/>
                <w:webHidden/>
              </w:rPr>
              <w:fldChar w:fldCharType="begin"/>
            </w:r>
            <w:r w:rsidR="00761F0D">
              <w:rPr>
                <w:noProof/>
                <w:webHidden/>
              </w:rPr>
              <w:instrText xml:space="preserve"> PAGEREF _Toc51944979 \h </w:instrText>
            </w:r>
            <w:r w:rsidR="00761F0D">
              <w:rPr>
                <w:noProof/>
                <w:webHidden/>
              </w:rPr>
            </w:r>
            <w:r w:rsidR="00761F0D">
              <w:rPr>
                <w:noProof/>
                <w:webHidden/>
              </w:rPr>
              <w:fldChar w:fldCharType="separate"/>
            </w:r>
            <w:r w:rsidR="00766767">
              <w:rPr>
                <w:noProof/>
                <w:webHidden/>
              </w:rPr>
              <w:t>47</w:t>
            </w:r>
            <w:r w:rsidR="00761F0D">
              <w:rPr>
                <w:noProof/>
                <w:webHidden/>
              </w:rPr>
              <w:fldChar w:fldCharType="end"/>
            </w:r>
          </w:hyperlink>
        </w:p>
        <w:p w14:paraId="39EEEC96" w14:textId="1C693C5E" w:rsidR="00761F0D" w:rsidRDefault="00B22B96">
          <w:pPr>
            <w:pStyle w:val="TOC2"/>
            <w:tabs>
              <w:tab w:val="left" w:pos="1134"/>
            </w:tabs>
            <w:rPr>
              <w:rFonts w:asciiTheme="minorHAnsi" w:eastAsiaTheme="minorEastAsia" w:hAnsiTheme="minorHAnsi" w:cstheme="minorBidi"/>
              <w:noProof/>
              <w:szCs w:val="22"/>
              <w:lang w:val="en-US"/>
            </w:rPr>
          </w:pPr>
          <w:hyperlink w:anchor="_Toc51944980" w:history="1">
            <w:r w:rsidR="00761F0D" w:rsidRPr="00E23B8A">
              <w:rPr>
                <w:rStyle w:val="Hyperlink"/>
                <w:noProof/>
              </w:rPr>
              <w:t>a)</w:t>
            </w:r>
            <w:r w:rsidR="00761F0D">
              <w:rPr>
                <w:rFonts w:asciiTheme="minorHAnsi" w:eastAsiaTheme="minorEastAsia" w:hAnsiTheme="minorHAnsi" w:cstheme="minorBidi"/>
                <w:noProof/>
                <w:szCs w:val="22"/>
                <w:lang w:val="en-US"/>
              </w:rPr>
              <w:tab/>
            </w:r>
            <w:r w:rsidR="00761F0D" w:rsidRPr="00E23B8A">
              <w:rPr>
                <w:rStyle w:val="Hyperlink"/>
                <w:noProof/>
              </w:rPr>
              <w:t>Annotated Listing of Active, Inactive and Restricted Balance Sheet Accounts</w:t>
            </w:r>
            <w:r w:rsidR="00761F0D">
              <w:rPr>
                <w:noProof/>
                <w:webHidden/>
              </w:rPr>
              <w:tab/>
            </w:r>
            <w:r w:rsidR="00761F0D">
              <w:rPr>
                <w:noProof/>
                <w:webHidden/>
              </w:rPr>
              <w:fldChar w:fldCharType="begin"/>
            </w:r>
            <w:r w:rsidR="00761F0D">
              <w:rPr>
                <w:noProof/>
                <w:webHidden/>
              </w:rPr>
              <w:instrText xml:space="preserve"> PAGEREF _Toc51944980 \h </w:instrText>
            </w:r>
            <w:r w:rsidR="00761F0D">
              <w:rPr>
                <w:noProof/>
                <w:webHidden/>
              </w:rPr>
            </w:r>
            <w:r w:rsidR="00761F0D">
              <w:rPr>
                <w:noProof/>
                <w:webHidden/>
              </w:rPr>
              <w:fldChar w:fldCharType="separate"/>
            </w:r>
            <w:r w:rsidR="00766767">
              <w:rPr>
                <w:noProof/>
                <w:webHidden/>
              </w:rPr>
              <w:t>47</w:t>
            </w:r>
            <w:r w:rsidR="00761F0D">
              <w:rPr>
                <w:noProof/>
                <w:webHidden/>
              </w:rPr>
              <w:fldChar w:fldCharType="end"/>
            </w:r>
          </w:hyperlink>
        </w:p>
        <w:p w14:paraId="1DF707F1" w14:textId="391829BC" w:rsidR="00761F0D" w:rsidRDefault="00B22B96">
          <w:pPr>
            <w:pStyle w:val="TOC2"/>
            <w:tabs>
              <w:tab w:val="left" w:pos="1134"/>
            </w:tabs>
            <w:rPr>
              <w:rFonts w:asciiTheme="minorHAnsi" w:eastAsiaTheme="minorEastAsia" w:hAnsiTheme="minorHAnsi" w:cstheme="minorBidi"/>
              <w:noProof/>
              <w:szCs w:val="22"/>
              <w:lang w:val="en-US"/>
            </w:rPr>
          </w:pPr>
          <w:hyperlink w:anchor="_Toc51944981" w:history="1">
            <w:r w:rsidR="00761F0D" w:rsidRPr="00E23B8A">
              <w:rPr>
                <w:rStyle w:val="Hyperlink"/>
                <w:noProof/>
              </w:rPr>
              <w:t>b)</w:t>
            </w:r>
            <w:r w:rsidR="00761F0D">
              <w:rPr>
                <w:rFonts w:asciiTheme="minorHAnsi" w:eastAsiaTheme="minorEastAsia" w:hAnsiTheme="minorHAnsi" w:cstheme="minorBidi"/>
                <w:noProof/>
                <w:szCs w:val="22"/>
                <w:lang w:val="en-US"/>
              </w:rPr>
              <w:tab/>
            </w:r>
            <w:r w:rsidR="00761F0D" w:rsidRPr="00E23B8A">
              <w:rPr>
                <w:rStyle w:val="Hyperlink"/>
                <w:noProof/>
              </w:rPr>
              <w:t>Balance Sheet Accounts -Clean-up guidance for fund and project closures</w:t>
            </w:r>
            <w:r w:rsidR="00761F0D">
              <w:rPr>
                <w:noProof/>
                <w:webHidden/>
              </w:rPr>
              <w:tab/>
            </w:r>
            <w:r w:rsidR="00761F0D">
              <w:rPr>
                <w:noProof/>
                <w:webHidden/>
              </w:rPr>
              <w:fldChar w:fldCharType="begin"/>
            </w:r>
            <w:r w:rsidR="00761F0D">
              <w:rPr>
                <w:noProof/>
                <w:webHidden/>
              </w:rPr>
              <w:instrText xml:space="preserve"> PAGEREF _Toc51944981 \h </w:instrText>
            </w:r>
            <w:r w:rsidR="00761F0D">
              <w:rPr>
                <w:noProof/>
                <w:webHidden/>
              </w:rPr>
            </w:r>
            <w:r w:rsidR="00761F0D">
              <w:rPr>
                <w:noProof/>
                <w:webHidden/>
              </w:rPr>
              <w:fldChar w:fldCharType="separate"/>
            </w:r>
            <w:r w:rsidR="00766767">
              <w:rPr>
                <w:noProof/>
                <w:webHidden/>
              </w:rPr>
              <w:t>48</w:t>
            </w:r>
            <w:r w:rsidR="00761F0D">
              <w:rPr>
                <w:noProof/>
                <w:webHidden/>
              </w:rPr>
              <w:fldChar w:fldCharType="end"/>
            </w:r>
          </w:hyperlink>
        </w:p>
        <w:p w14:paraId="28F86D09" w14:textId="4798D077" w:rsidR="00761F0D" w:rsidRDefault="00B22B96">
          <w:pPr>
            <w:pStyle w:val="TOC2"/>
            <w:tabs>
              <w:tab w:val="left" w:pos="1134"/>
            </w:tabs>
            <w:rPr>
              <w:rFonts w:asciiTheme="minorHAnsi" w:eastAsiaTheme="minorEastAsia" w:hAnsiTheme="minorHAnsi" w:cstheme="minorBidi"/>
              <w:noProof/>
              <w:szCs w:val="22"/>
              <w:lang w:val="en-US"/>
            </w:rPr>
          </w:pPr>
          <w:hyperlink w:anchor="_Toc51944982" w:history="1">
            <w:r w:rsidR="00761F0D" w:rsidRPr="00E23B8A">
              <w:rPr>
                <w:rStyle w:val="Hyperlink"/>
                <w:noProof/>
              </w:rPr>
              <w:t>c)</w:t>
            </w:r>
            <w:r w:rsidR="00761F0D">
              <w:rPr>
                <w:rFonts w:asciiTheme="minorHAnsi" w:eastAsiaTheme="minorEastAsia" w:hAnsiTheme="minorHAnsi" w:cstheme="minorBidi"/>
                <w:noProof/>
                <w:szCs w:val="22"/>
                <w:lang w:val="en-US"/>
              </w:rPr>
              <w:tab/>
            </w:r>
            <w:r w:rsidR="00761F0D" w:rsidRPr="00E23B8A">
              <w:rPr>
                <w:rStyle w:val="Hyperlink"/>
                <w:noProof/>
              </w:rPr>
              <w:t>Revalued Account List</w:t>
            </w:r>
            <w:r w:rsidR="00761F0D">
              <w:rPr>
                <w:noProof/>
                <w:webHidden/>
              </w:rPr>
              <w:tab/>
            </w:r>
            <w:r w:rsidR="00761F0D">
              <w:rPr>
                <w:noProof/>
                <w:webHidden/>
              </w:rPr>
              <w:fldChar w:fldCharType="begin"/>
            </w:r>
            <w:r w:rsidR="00761F0D">
              <w:rPr>
                <w:noProof/>
                <w:webHidden/>
              </w:rPr>
              <w:instrText xml:space="preserve"> PAGEREF _Toc51944982 \h </w:instrText>
            </w:r>
            <w:r w:rsidR="00761F0D">
              <w:rPr>
                <w:noProof/>
                <w:webHidden/>
              </w:rPr>
            </w:r>
            <w:r w:rsidR="00761F0D">
              <w:rPr>
                <w:noProof/>
                <w:webHidden/>
              </w:rPr>
              <w:fldChar w:fldCharType="separate"/>
            </w:r>
            <w:r w:rsidR="00766767">
              <w:rPr>
                <w:noProof/>
                <w:webHidden/>
              </w:rPr>
              <w:t>50</w:t>
            </w:r>
            <w:r w:rsidR="00761F0D">
              <w:rPr>
                <w:noProof/>
                <w:webHidden/>
              </w:rPr>
              <w:fldChar w:fldCharType="end"/>
            </w:r>
          </w:hyperlink>
        </w:p>
        <w:p w14:paraId="5D7BCCDB" w14:textId="2D4A0172" w:rsidR="00761F0D" w:rsidRDefault="00B22B96">
          <w:pPr>
            <w:pStyle w:val="TOC1"/>
            <w:rPr>
              <w:rFonts w:asciiTheme="minorHAnsi" w:eastAsiaTheme="minorEastAsia" w:hAnsiTheme="minorHAnsi" w:cstheme="minorBidi"/>
              <w:b w:val="0"/>
              <w:caps w:val="0"/>
              <w:noProof/>
              <w:lang w:val="en-US"/>
            </w:rPr>
          </w:pPr>
          <w:hyperlink w:anchor="_Toc51944983" w:history="1">
            <w:r w:rsidR="00761F0D" w:rsidRPr="00E23B8A">
              <w:rPr>
                <w:rStyle w:val="Hyperlink"/>
                <w:noProof/>
              </w:rPr>
              <w:t xml:space="preserve">Annex 3 </w:t>
            </w:r>
            <w:r w:rsidR="005F64E5">
              <w:rPr>
                <w:rStyle w:val="Hyperlink"/>
                <w:noProof/>
              </w:rPr>
              <w:t>-</w:t>
            </w:r>
            <w:r w:rsidR="00761F0D" w:rsidRPr="00E23B8A">
              <w:rPr>
                <w:rStyle w:val="Hyperlink"/>
                <w:noProof/>
              </w:rPr>
              <w:t xml:space="preserve"> Operating guidelines for MPTF Projects</w:t>
            </w:r>
            <w:r w:rsidR="00761F0D">
              <w:rPr>
                <w:noProof/>
                <w:webHidden/>
              </w:rPr>
              <w:tab/>
            </w:r>
            <w:r w:rsidR="00761F0D">
              <w:rPr>
                <w:noProof/>
                <w:webHidden/>
              </w:rPr>
              <w:fldChar w:fldCharType="begin"/>
            </w:r>
            <w:r w:rsidR="00761F0D">
              <w:rPr>
                <w:noProof/>
                <w:webHidden/>
              </w:rPr>
              <w:instrText xml:space="preserve"> PAGEREF _Toc51944983 \h </w:instrText>
            </w:r>
            <w:r w:rsidR="00761F0D">
              <w:rPr>
                <w:noProof/>
                <w:webHidden/>
              </w:rPr>
            </w:r>
            <w:r w:rsidR="00761F0D">
              <w:rPr>
                <w:noProof/>
                <w:webHidden/>
              </w:rPr>
              <w:fldChar w:fldCharType="separate"/>
            </w:r>
            <w:r w:rsidR="00766767">
              <w:rPr>
                <w:noProof/>
                <w:webHidden/>
              </w:rPr>
              <w:t>51</w:t>
            </w:r>
            <w:r w:rsidR="00761F0D">
              <w:rPr>
                <w:noProof/>
                <w:webHidden/>
              </w:rPr>
              <w:fldChar w:fldCharType="end"/>
            </w:r>
          </w:hyperlink>
        </w:p>
        <w:p w14:paraId="716EDE8C" w14:textId="1732DCF9" w:rsidR="00761F0D" w:rsidRDefault="00B22B96">
          <w:pPr>
            <w:pStyle w:val="TOC1"/>
            <w:rPr>
              <w:rFonts w:asciiTheme="minorHAnsi" w:eastAsiaTheme="minorEastAsia" w:hAnsiTheme="minorHAnsi" w:cstheme="minorBidi"/>
              <w:b w:val="0"/>
              <w:caps w:val="0"/>
              <w:noProof/>
              <w:lang w:val="en-US"/>
            </w:rPr>
          </w:pPr>
          <w:hyperlink w:anchor="_Toc51944984" w:history="1">
            <w:r w:rsidR="00761F0D" w:rsidRPr="00E23B8A">
              <w:rPr>
                <w:rStyle w:val="Hyperlink"/>
                <w:noProof/>
              </w:rPr>
              <w:t xml:space="preserve">Annex 4 </w:t>
            </w:r>
            <w:r w:rsidR="005F64E5">
              <w:rPr>
                <w:rStyle w:val="Hyperlink"/>
                <w:noProof/>
              </w:rPr>
              <w:t>-</w:t>
            </w:r>
            <w:r w:rsidR="00761F0D" w:rsidRPr="00E23B8A">
              <w:rPr>
                <w:rStyle w:val="Hyperlink"/>
                <w:noProof/>
              </w:rPr>
              <w:t xml:space="preserve"> KK vs GL Balance Reconciliation Steps</w:t>
            </w:r>
            <w:r w:rsidR="00761F0D">
              <w:rPr>
                <w:noProof/>
                <w:webHidden/>
              </w:rPr>
              <w:tab/>
            </w:r>
            <w:r w:rsidR="00761F0D">
              <w:rPr>
                <w:noProof/>
                <w:webHidden/>
              </w:rPr>
              <w:fldChar w:fldCharType="begin"/>
            </w:r>
            <w:r w:rsidR="00761F0D">
              <w:rPr>
                <w:noProof/>
                <w:webHidden/>
              </w:rPr>
              <w:instrText xml:space="preserve"> PAGEREF _Toc51944984 \h </w:instrText>
            </w:r>
            <w:r w:rsidR="00761F0D">
              <w:rPr>
                <w:noProof/>
                <w:webHidden/>
              </w:rPr>
            </w:r>
            <w:r w:rsidR="00761F0D">
              <w:rPr>
                <w:noProof/>
                <w:webHidden/>
              </w:rPr>
              <w:fldChar w:fldCharType="separate"/>
            </w:r>
            <w:r w:rsidR="00766767">
              <w:rPr>
                <w:noProof/>
                <w:webHidden/>
              </w:rPr>
              <w:t>52</w:t>
            </w:r>
            <w:r w:rsidR="00761F0D">
              <w:rPr>
                <w:noProof/>
                <w:webHidden/>
              </w:rPr>
              <w:fldChar w:fldCharType="end"/>
            </w:r>
          </w:hyperlink>
        </w:p>
        <w:p w14:paraId="7BF9972C" w14:textId="376731FB" w:rsidR="008133C3" w:rsidRDefault="008133C3">
          <w:r>
            <w:rPr>
              <w:b/>
              <w:bCs/>
              <w:noProof/>
            </w:rPr>
            <w:fldChar w:fldCharType="end"/>
          </w:r>
        </w:p>
      </w:sdtContent>
    </w:sdt>
    <w:p w14:paraId="5921EC1E" w14:textId="77777777" w:rsidR="00E5285F" w:rsidRDefault="00275230" w:rsidP="001962FD">
      <w:pPr>
        <w:spacing w:after="0"/>
        <w:rPr>
          <w:rFonts w:ascii="Cambria" w:hAnsi="Cambria"/>
          <w:b/>
          <w:sz w:val="24"/>
          <w:szCs w:val="24"/>
        </w:rPr>
      </w:pPr>
      <w:r>
        <w:rPr>
          <w:rFonts w:ascii="Cambria" w:hAnsi="Cambria"/>
          <w:b/>
          <w:sz w:val="24"/>
          <w:szCs w:val="24"/>
        </w:rPr>
        <w:t xml:space="preserve">          </w:t>
      </w:r>
    </w:p>
    <w:p w14:paraId="2197A37A" w14:textId="77777777" w:rsidR="00E5285F" w:rsidRDefault="00E5285F" w:rsidP="001962FD">
      <w:pPr>
        <w:spacing w:after="0"/>
        <w:rPr>
          <w:rFonts w:ascii="Cambria" w:hAnsi="Cambria"/>
          <w:b/>
          <w:sz w:val="24"/>
          <w:szCs w:val="24"/>
        </w:rPr>
      </w:pPr>
    </w:p>
    <w:p w14:paraId="01399516" w14:textId="77777777" w:rsidR="00E5285F" w:rsidRDefault="00E5285F" w:rsidP="001962FD">
      <w:pPr>
        <w:spacing w:after="0"/>
        <w:rPr>
          <w:rFonts w:ascii="Cambria" w:hAnsi="Cambria"/>
          <w:b/>
          <w:sz w:val="24"/>
          <w:szCs w:val="24"/>
        </w:rPr>
      </w:pPr>
    </w:p>
    <w:p w14:paraId="70F47050" w14:textId="77777777" w:rsidR="00E5285F" w:rsidRDefault="00E5285F" w:rsidP="001962FD">
      <w:pPr>
        <w:spacing w:after="0"/>
        <w:rPr>
          <w:rFonts w:ascii="Cambria" w:hAnsi="Cambria"/>
          <w:b/>
          <w:sz w:val="24"/>
          <w:szCs w:val="24"/>
        </w:rPr>
      </w:pPr>
    </w:p>
    <w:p w14:paraId="5BE0F32E" w14:textId="77777777" w:rsidR="00E5285F" w:rsidRDefault="00E5285F" w:rsidP="001962FD">
      <w:pPr>
        <w:spacing w:after="0"/>
        <w:rPr>
          <w:rFonts w:ascii="Cambria" w:hAnsi="Cambria"/>
          <w:b/>
          <w:sz w:val="24"/>
          <w:szCs w:val="24"/>
        </w:rPr>
      </w:pPr>
    </w:p>
    <w:p w14:paraId="642E7C64" w14:textId="77777777" w:rsidR="00E5285F" w:rsidRDefault="00E5285F" w:rsidP="001962FD">
      <w:pPr>
        <w:spacing w:after="0"/>
        <w:rPr>
          <w:rFonts w:ascii="Cambria" w:hAnsi="Cambria"/>
          <w:b/>
          <w:sz w:val="24"/>
          <w:szCs w:val="24"/>
        </w:rPr>
      </w:pPr>
    </w:p>
    <w:p w14:paraId="185AAB1E" w14:textId="77777777" w:rsidR="00E5285F" w:rsidRDefault="00E5285F" w:rsidP="001962FD">
      <w:pPr>
        <w:spacing w:after="0"/>
        <w:rPr>
          <w:rFonts w:ascii="Cambria" w:hAnsi="Cambria"/>
          <w:b/>
          <w:sz w:val="24"/>
          <w:szCs w:val="24"/>
        </w:rPr>
      </w:pPr>
    </w:p>
    <w:p w14:paraId="23FBCD1E" w14:textId="77777777" w:rsidR="00E5285F" w:rsidRDefault="00E5285F" w:rsidP="001962FD">
      <w:pPr>
        <w:spacing w:after="0"/>
        <w:rPr>
          <w:rFonts w:ascii="Cambria" w:hAnsi="Cambria"/>
          <w:b/>
          <w:sz w:val="24"/>
          <w:szCs w:val="24"/>
        </w:rPr>
      </w:pPr>
    </w:p>
    <w:p w14:paraId="31296B9F" w14:textId="0DF8ABFA" w:rsidR="00275230" w:rsidRDefault="00275230" w:rsidP="001962FD">
      <w:pPr>
        <w:spacing w:after="0"/>
        <w:rPr>
          <w:rFonts w:ascii="Cambria" w:hAnsi="Cambria"/>
          <w:b/>
          <w:sz w:val="24"/>
          <w:szCs w:val="24"/>
        </w:rPr>
      </w:pPr>
      <w:r>
        <w:rPr>
          <w:rFonts w:ascii="Cambria" w:hAnsi="Cambria"/>
          <w:b/>
          <w:sz w:val="24"/>
          <w:szCs w:val="24"/>
        </w:rPr>
        <w:t xml:space="preserve">                           </w:t>
      </w:r>
    </w:p>
    <w:p w14:paraId="1D127753" w14:textId="77777777" w:rsidR="00613E9D" w:rsidRPr="00766767" w:rsidRDefault="00F93C02" w:rsidP="004D3983">
      <w:pPr>
        <w:pStyle w:val="Heading1"/>
        <w:rPr>
          <w:rFonts w:eastAsia="Calibri" w:cs="Arial"/>
        </w:rPr>
      </w:pPr>
      <w:bookmarkStart w:id="0" w:name="_Toc319074681"/>
      <w:bookmarkStart w:id="1" w:name="_Toc319074684"/>
      <w:bookmarkStart w:id="2" w:name="_Toc319074686"/>
      <w:bookmarkStart w:id="3" w:name="_Toc319074687"/>
      <w:bookmarkStart w:id="4" w:name="_Toc319074688"/>
      <w:bookmarkStart w:id="5" w:name="_Toc319074690"/>
      <w:bookmarkStart w:id="6" w:name="_Toc319074691"/>
      <w:bookmarkStart w:id="7" w:name="_Toc51944968"/>
      <w:bookmarkEnd w:id="0"/>
      <w:bookmarkEnd w:id="1"/>
      <w:bookmarkEnd w:id="2"/>
      <w:bookmarkEnd w:id="3"/>
      <w:bookmarkEnd w:id="4"/>
      <w:bookmarkEnd w:id="5"/>
      <w:bookmarkEnd w:id="6"/>
      <w:r w:rsidRPr="00766767">
        <w:rPr>
          <w:rFonts w:eastAsia="Calibri" w:cs="Arial"/>
        </w:rPr>
        <w:lastRenderedPageBreak/>
        <w:t>1.</w:t>
      </w:r>
      <w:r w:rsidR="00E14D40" w:rsidRPr="00766767">
        <w:rPr>
          <w:rFonts w:eastAsia="Calibri" w:cs="Arial"/>
        </w:rPr>
        <w:t>0</w:t>
      </w:r>
      <w:r w:rsidR="00B40351" w:rsidRPr="00766767">
        <w:rPr>
          <w:rFonts w:eastAsia="Calibri" w:cs="Arial"/>
        </w:rPr>
        <w:t xml:space="preserve">     </w:t>
      </w:r>
      <w:r w:rsidRPr="00766767">
        <w:rPr>
          <w:rStyle w:val="TitleChar"/>
          <w:rFonts w:eastAsia="Calibri" w:cs="Arial"/>
          <w:b/>
          <w:sz w:val="22"/>
          <w:szCs w:val="22"/>
        </w:rPr>
        <w:t>Overview</w:t>
      </w:r>
      <w:bookmarkEnd w:id="7"/>
    </w:p>
    <w:p w14:paraId="68786658" w14:textId="77777777" w:rsidR="00B47422" w:rsidRDefault="00B47422" w:rsidP="00A73BAD">
      <w:pPr>
        <w:jc w:val="both"/>
        <w:rPr>
          <w:rFonts w:ascii="Cambria" w:hAnsi="Cambria"/>
          <w:sz w:val="24"/>
          <w:szCs w:val="24"/>
        </w:rPr>
      </w:pPr>
    </w:p>
    <w:p w14:paraId="6DFB2AD6" w14:textId="1835797F" w:rsidR="007856E0" w:rsidRPr="00B237C3" w:rsidRDefault="002F2CF3" w:rsidP="00A73BAD">
      <w:pPr>
        <w:jc w:val="both"/>
        <w:rPr>
          <w:rFonts w:ascii="Cambria" w:hAnsi="Cambria"/>
          <w:sz w:val="24"/>
          <w:szCs w:val="24"/>
        </w:rPr>
      </w:pPr>
      <w:r w:rsidRPr="00B237C3">
        <w:rPr>
          <w:rFonts w:ascii="Cambria" w:hAnsi="Cambria"/>
          <w:sz w:val="24"/>
          <w:szCs w:val="24"/>
        </w:rPr>
        <w:t>Historically, the finan</w:t>
      </w:r>
      <w:r w:rsidR="007856E0" w:rsidRPr="00B237C3">
        <w:rPr>
          <w:rFonts w:ascii="Cambria" w:hAnsi="Cambria"/>
          <w:sz w:val="24"/>
          <w:szCs w:val="24"/>
        </w:rPr>
        <w:t>cial closure of project</w:t>
      </w:r>
      <w:r w:rsidR="002D0957">
        <w:rPr>
          <w:rFonts w:ascii="Cambria" w:hAnsi="Cambria"/>
          <w:sz w:val="24"/>
          <w:szCs w:val="24"/>
        </w:rPr>
        <w:t>s</w:t>
      </w:r>
      <w:r w:rsidR="007856E0" w:rsidRPr="00B237C3">
        <w:rPr>
          <w:rFonts w:ascii="Cambria" w:hAnsi="Cambria"/>
          <w:sz w:val="24"/>
          <w:szCs w:val="24"/>
        </w:rPr>
        <w:t xml:space="preserve"> </w:t>
      </w:r>
      <w:r w:rsidRPr="00B237C3">
        <w:rPr>
          <w:rFonts w:ascii="Cambria" w:hAnsi="Cambria"/>
          <w:sz w:val="24"/>
          <w:szCs w:val="24"/>
        </w:rPr>
        <w:t>has been a difficult</w:t>
      </w:r>
      <w:r w:rsidR="007856E0" w:rsidRPr="00B237C3">
        <w:rPr>
          <w:rFonts w:ascii="Cambria" w:hAnsi="Cambria"/>
          <w:sz w:val="24"/>
          <w:szCs w:val="24"/>
        </w:rPr>
        <w:t xml:space="preserve"> p</w:t>
      </w:r>
      <w:r w:rsidR="00B40351">
        <w:rPr>
          <w:rFonts w:ascii="Cambria" w:hAnsi="Cambria"/>
          <w:sz w:val="24"/>
          <w:szCs w:val="24"/>
        </w:rPr>
        <w:t>rocess with many projects</w:t>
      </w:r>
      <w:r w:rsidR="007856E0" w:rsidRPr="00B237C3">
        <w:rPr>
          <w:rFonts w:ascii="Cambria" w:hAnsi="Cambria"/>
          <w:sz w:val="24"/>
          <w:szCs w:val="24"/>
        </w:rPr>
        <w:t xml:space="preserve"> remaining</w:t>
      </w:r>
      <w:r w:rsidRPr="00B237C3">
        <w:rPr>
          <w:rFonts w:ascii="Cambria" w:hAnsi="Cambria"/>
          <w:sz w:val="24"/>
          <w:szCs w:val="24"/>
        </w:rPr>
        <w:t xml:space="preserve"> open even though project </w:t>
      </w:r>
      <w:r w:rsidR="00B40351">
        <w:rPr>
          <w:rFonts w:ascii="Cambria" w:hAnsi="Cambria"/>
          <w:sz w:val="24"/>
          <w:szCs w:val="24"/>
        </w:rPr>
        <w:t>activities</w:t>
      </w:r>
      <w:r w:rsidR="007856E0" w:rsidRPr="00B237C3">
        <w:rPr>
          <w:rFonts w:ascii="Cambria" w:hAnsi="Cambria"/>
          <w:sz w:val="24"/>
          <w:szCs w:val="24"/>
        </w:rPr>
        <w:t xml:space="preserve"> cea</w:t>
      </w:r>
      <w:r w:rsidR="00945B6D">
        <w:rPr>
          <w:rFonts w:ascii="Cambria" w:hAnsi="Cambria"/>
          <w:sz w:val="24"/>
          <w:szCs w:val="24"/>
        </w:rPr>
        <w:t>sed long ago.</w:t>
      </w:r>
      <w:r w:rsidR="00A73BAD" w:rsidRPr="00B237C3">
        <w:rPr>
          <w:rFonts w:ascii="Cambria" w:hAnsi="Cambria"/>
          <w:sz w:val="24"/>
          <w:szCs w:val="24"/>
        </w:rPr>
        <w:t xml:space="preserve">  Although</w:t>
      </w:r>
      <w:r w:rsidR="009615C0" w:rsidRPr="00B237C3">
        <w:rPr>
          <w:rFonts w:ascii="Cambria" w:hAnsi="Cambria"/>
          <w:sz w:val="24"/>
          <w:szCs w:val="24"/>
        </w:rPr>
        <w:t xml:space="preserve"> the </w:t>
      </w:r>
      <w:r w:rsidR="000945DB" w:rsidRPr="00B237C3">
        <w:rPr>
          <w:rFonts w:ascii="Cambria" w:hAnsi="Cambria"/>
          <w:sz w:val="24"/>
          <w:szCs w:val="24"/>
        </w:rPr>
        <w:t xml:space="preserve">material in the </w:t>
      </w:r>
      <w:proofErr w:type="spellStart"/>
      <w:r w:rsidR="009615C0" w:rsidRPr="00B237C3">
        <w:rPr>
          <w:rFonts w:ascii="Cambria" w:hAnsi="Cambria"/>
          <w:sz w:val="24"/>
          <w:szCs w:val="24"/>
        </w:rPr>
        <w:t>P</w:t>
      </w:r>
      <w:r w:rsidRPr="00B237C3">
        <w:rPr>
          <w:rFonts w:ascii="Cambria" w:hAnsi="Cambria"/>
          <w:sz w:val="24"/>
          <w:szCs w:val="24"/>
        </w:rPr>
        <w:t>rogramme</w:t>
      </w:r>
      <w:proofErr w:type="spellEnd"/>
      <w:r w:rsidRPr="00B237C3">
        <w:rPr>
          <w:rFonts w:ascii="Cambria" w:hAnsi="Cambria"/>
          <w:sz w:val="24"/>
          <w:szCs w:val="24"/>
        </w:rPr>
        <w:t xml:space="preserve"> and Operations Policies and Procedures (POPP)</w:t>
      </w:r>
      <w:r w:rsidR="00334A6B" w:rsidRPr="00B237C3">
        <w:rPr>
          <w:rFonts w:ascii="Cambria" w:hAnsi="Cambria"/>
          <w:sz w:val="24"/>
          <w:szCs w:val="24"/>
        </w:rPr>
        <w:t xml:space="preserve"> </w:t>
      </w:r>
      <w:r w:rsidRPr="00B237C3">
        <w:rPr>
          <w:rFonts w:ascii="Cambria" w:hAnsi="Cambria"/>
          <w:sz w:val="24"/>
          <w:szCs w:val="24"/>
        </w:rPr>
        <w:t xml:space="preserve">and </w:t>
      </w:r>
      <w:r w:rsidR="007856E0" w:rsidRPr="00B237C3">
        <w:rPr>
          <w:rFonts w:ascii="Cambria" w:hAnsi="Cambria"/>
          <w:sz w:val="24"/>
          <w:szCs w:val="24"/>
        </w:rPr>
        <w:t xml:space="preserve">the Project Closure </w:t>
      </w:r>
      <w:r w:rsidR="00334A6B" w:rsidRPr="00B237C3">
        <w:rPr>
          <w:rFonts w:ascii="Cambria" w:hAnsi="Cambria"/>
          <w:sz w:val="24"/>
          <w:szCs w:val="24"/>
        </w:rPr>
        <w:t>Workbench</w:t>
      </w:r>
      <w:r w:rsidR="000945DB" w:rsidRPr="00B237C3">
        <w:rPr>
          <w:rFonts w:ascii="Cambria" w:hAnsi="Cambria"/>
          <w:sz w:val="24"/>
          <w:szCs w:val="24"/>
        </w:rPr>
        <w:t xml:space="preserve"> in Atlas</w:t>
      </w:r>
      <w:r w:rsidR="00A73BAD" w:rsidRPr="00B237C3">
        <w:rPr>
          <w:rFonts w:ascii="Cambria" w:hAnsi="Cambria"/>
          <w:sz w:val="24"/>
          <w:szCs w:val="24"/>
        </w:rPr>
        <w:t xml:space="preserve"> </w:t>
      </w:r>
      <w:r w:rsidRPr="00B237C3">
        <w:rPr>
          <w:rFonts w:ascii="Cambria" w:hAnsi="Cambria"/>
          <w:sz w:val="24"/>
          <w:szCs w:val="24"/>
        </w:rPr>
        <w:t>ha</w:t>
      </w:r>
      <w:r w:rsidR="00334A6B" w:rsidRPr="00B237C3">
        <w:rPr>
          <w:rFonts w:ascii="Cambria" w:hAnsi="Cambria"/>
          <w:sz w:val="24"/>
          <w:szCs w:val="24"/>
        </w:rPr>
        <w:t>ve</w:t>
      </w:r>
      <w:r w:rsidR="007856E0" w:rsidRPr="00B237C3">
        <w:rPr>
          <w:rFonts w:ascii="Cambria" w:hAnsi="Cambria"/>
          <w:sz w:val="24"/>
          <w:szCs w:val="24"/>
        </w:rPr>
        <w:t xml:space="preserve"> proven helpful</w:t>
      </w:r>
      <w:r w:rsidR="00334A6B" w:rsidRPr="00B237C3">
        <w:rPr>
          <w:rFonts w:ascii="Cambria" w:hAnsi="Cambria"/>
          <w:sz w:val="24"/>
          <w:szCs w:val="24"/>
        </w:rPr>
        <w:t>,</w:t>
      </w:r>
      <w:r w:rsidR="007856E0" w:rsidRPr="00B237C3">
        <w:rPr>
          <w:rFonts w:ascii="Cambria" w:hAnsi="Cambria"/>
          <w:sz w:val="24"/>
          <w:szCs w:val="24"/>
        </w:rPr>
        <w:t xml:space="preserve"> </w:t>
      </w:r>
      <w:r w:rsidR="00334A6B" w:rsidRPr="00B237C3">
        <w:rPr>
          <w:rFonts w:ascii="Cambria" w:hAnsi="Cambria"/>
          <w:sz w:val="24"/>
          <w:szCs w:val="24"/>
        </w:rPr>
        <w:t>the</w:t>
      </w:r>
      <w:r w:rsidRPr="00B237C3">
        <w:rPr>
          <w:rFonts w:ascii="Cambria" w:hAnsi="Cambria"/>
          <w:sz w:val="24"/>
          <w:szCs w:val="24"/>
        </w:rPr>
        <w:t xml:space="preserve"> financial closure of </w:t>
      </w:r>
      <w:r w:rsidR="00334A6B" w:rsidRPr="00B237C3">
        <w:rPr>
          <w:rFonts w:ascii="Cambria" w:hAnsi="Cambria"/>
          <w:sz w:val="24"/>
          <w:szCs w:val="24"/>
        </w:rPr>
        <w:t>projects</w:t>
      </w:r>
      <w:r w:rsidRPr="00B237C3">
        <w:rPr>
          <w:rFonts w:ascii="Cambria" w:hAnsi="Cambria"/>
          <w:sz w:val="24"/>
          <w:szCs w:val="24"/>
        </w:rPr>
        <w:t xml:space="preserve"> can still be frustrating and elusive.</w:t>
      </w:r>
      <w:r w:rsidR="007856E0" w:rsidRPr="00B237C3">
        <w:rPr>
          <w:rFonts w:ascii="Cambria" w:hAnsi="Cambria"/>
          <w:sz w:val="24"/>
          <w:szCs w:val="24"/>
        </w:rPr>
        <w:t xml:space="preserve">  </w:t>
      </w:r>
    </w:p>
    <w:p w14:paraId="57A75105" w14:textId="0DB636AE" w:rsidR="002C0E61" w:rsidRPr="00B237C3" w:rsidRDefault="00B237C3" w:rsidP="00A73BAD">
      <w:pPr>
        <w:jc w:val="both"/>
        <w:rPr>
          <w:rFonts w:ascii="Cambria" w:hAnsi="Cambria"/>
          <w:sz w:val="24"/>
          <w:szCs w:val="24"/>
        </w:rPr>
      </w:pPr>
      <w:r>
        <w:rPr>
          <w:rFonts w:ascii="Cambria" w:hAnsi="Cambria"/>
          <w:sz w:val="24"/>
          <w:szCs w:val="24"/>
        </w:rPr>
        <w:t>T</w:t>
      </w:r>
      <w:r w:rsidR="00DB7AA8">
        <w:rPr>
          <w:rFonts w:ascii="Cambria" w:hAnsi="Cambria"/>
          <w:sz w:val="24"/>
          <w:szCs w:val="24"/>
        </w:rPr>
        <w:t>his Operational Guideline</w:t>
      </w:r>
      <w:r w:rsidR="00C6142B">
        <w:rPr>
          <w:rFonts w:ascii="Cambria" w:hAnsi="Cambria"/>
          <w:sz w:val="24"/>
          <w:szCs w:val="24"/>
        </w:rPr>
        <w:t>s</w:t>
      </w:r>
      <w:r>
        <w:rPr>
          <w:rFonts w:ascii="Cambria" w:hAnsi="Cambria"/>
          <w:sz w:val="24"/>
          <w:szCs w:val="24"/>
        </w:rPr>
        <w:t xml:space="preserve"> document</w:t>
      </w:r>
      <w:r w:rsidR="002F2CF3" w:rsidRPr="00B237C3">
        <w:rPr>
          <w:rFonts w:ascii="Cambria" w:hAnsi="Cambria"/>
          <w:sz w:val="24"/>
          <w:szCs w:val="24"/>
        </w:rPr>
        <w:t xml:space="preserve"> details the proc</w:t>
      </w:r>
      <w:r w:rsidR="00334A6B" w:rsidRPr="00B237C3">
        <w:rPr>
          <w:rFonts w:ascii="Cambria" w:hAnsi="Cambria"/>
          <w:sz w:val="24"/>
          <w:szCs w:val="24"/>
        </w:rPr>
        <w:t xml:space="preserve">ess of </w:t>
      </w:r>
      <w:r w:rsidR="00334A6B" w:rsidRPr="008F516E">
        <w:rPr>
          <w:rFonts w:ascii="Cambria" w:hAnsi="Cambria"/>
          <w:b/>
          <w:i/>
          <w:sz w:val="24"/>
          <w:szCs w:val="24"/>
        </w:rPr>
        <w:t>financially closing</w:t>
      </w:r>
      <w:r w:rsidR="00334A6B" w:rsidRPr="00B237C3">
        <w:rPr>
          <w:rFonts w:ascii="Cambria" w:hAnsi="Cambria"/>
          <w:sz w:val="24"/>
          <w:szCs w:val="24"/>
        </w:rPr>
        <w:t xml:space="preserve"> a project</w:t>
      </w:r>
      <w:r w:rsidR="000D0087" w:rsidRPr="00B237C3">
        <w:rPr>
          <w:rFonts w:ascii="Cambria" w:hAnsi="Cambria"/>
          <w:sz w:val="24"/>
          <w:szCs w:val="24"/>
        </w:rPr>
        <w:t xml:space="preserve"> but does not repeat what</w:t>
      </w:r>
      <w:r w:rsidR="00334A6B" w:rsidRPr="00B237C3">
        <w:rPr>
          <w:rFonts w:ascii="Cambria" w:hAnsi="Cambria"/>
          <w:sz w:val="24"/>
          <w:szCs w:val="24"/>
        </w:rPr>
        <w:t xml:space="preserve"> is already written in the POPP</w:t>
      </w:r>
      <w:r>
        <w:rPr>
          <w:rFonts w:ascii="Cambria" w:hAnsi="Cambria"/>
          <w:sz w:val="24"/>
          <w:szCs w:val="24"/>
        </w:rPr>
        <w:t>;</w:t>
      </w:r>
      <w:r w:rsidR="00334A6B" w:rsidRPr="00B237C3">
        <w:rPr>
          <w:rFonts w:ascii="Cambria" w:hAnsi="Cambria"/>
          <w:sz w:val="24"/>
          <w:szCs w:val="24"/>
        </w:rPr>
        <w:t xml:space="preserve"> the Project Workbench or elsewhere.</w:t>
      </w:r>
      <w:r w:rsidR="000D0087" w:rsidRPr="00B237C3">
        <w:rPr>
          <w:rFonts w:ascii="Cambria" w:hAnsi="Cambria"/>
          <w:sz w:val="24"/>
          <w:szCs w:val="24"/>
        </w:rPr>
        <w:t xml:space="preserve">  </w:t>
      </w:r>
      <w:r w:rsidR="00DB7AA8">
        <w:rPr>
          <w:rFonts w:ascii="Cambria" w:hAnsi="Cambria"/>
          <w:sz w:val="24"/>
          <w:szCs w:val="24"/>
        </w:rPr>
        <w:t>Rather, the</w:t>
      </w:r>
      <w:r w:rsidR="002957AF">
        <w:rPr>
          <w:rFonts w:ascii="Cambria" w:hAnsi="Cambria"/>
          <w:sz w:val="24"/>
          <w:szCs w:val="24"/>
        </w:rPr>
        <w:t>se</w:t>
      </w:r>
      <w:r w:rsidR="00DB7AA8">
        <w:rPr>
          <w:rFonts w:ascii="Cambria" w:hAnsi="Cambria"/>
          <w:sz w:val="24"/>
          <w:szCs w:val="24"/>
        </w:rPr>
        <w:t xml:space="preserve"> Guideline</w:t>
      </w:r>
      <w:r w:rsidR="00C6142B">
        <w:rPr>
          <w:rFonts w:ascii="Cambria" w:hAnsi="Cambria"/>
          <w:sz w:val="24"/>
          <w:szCs w:val="24"/>
        </w:rPr>
        <w:t>s bring</w:t>
      </w:r>
      <w:r w:rsidR="00334A6B" w:rsidRPr="00B237C3">
        <w:rPr>
          <w:rFonts w:ascii="Cambria" w:hAnsi="Cambria"/>
          <w:sz w:val="24"/>
          <w:szCs w:val="24"/>
        </w:rPr>
        <w:t xml:space="preserve"> </w:t>
      </w:r>
      <w:r w:rsidR="00945B6D">
        <w:rPr>
          <w:rFonts w:ascii="Cambria" w:hAnsi="Cambria"/>
          <w:sz w:val="24"/>
          <w:szCs w:val="24"/>
        </w:rPr>
        <w:t xml:space="preserve">information from </w:t>
      </w:r>
      <w:r w:rsidR="00334A6B" w:rsidRPr="00B237C3">
        <w:rPr>
          <w:rFonts w:ascii="Cambria" w:hAnsi="Cambria"/>
          <w:sz w:val="24"/>
          <w:szCs w:val="24"/>
        </w:rPr>
        <w:t>the existi</w:t>
      </w:r>
      <w:r w:rsidR="002C0E61" w:rsidRPr="00B237C3">
        <w:rPr>
          <w:rFonts w:ascii="Cambria" w:hAnsi="Cambria"/>
          <w:sz w:val="24"/>
          <w:szCs w:val="24"/>
        </w:rPr>
        <w:t>ng tools together</w:t>
      </w:r>
      <w:r>
        <w:rPr>
          <w:rFonts w:ascii="Cambria" w:hAnsi="Cambria"/>
          <w:sz w:val="24"/>
          <w:szCs w:val="24"/>
        </w:rPr>
        <w:t xml:space="preserve"> in one document</w:t>
      </w:r>
      <w:r w:rsidR="00945B6D">
        <w:rPr>
          <w:rFonts w:ascii="Cambria" w:hAnsi="Cambria"/>
          <w:sz w:val="24"/>
          <w:szCs w:val="24"/>
        </w:rPr>
        <w:t xml:space="preserve"> in order to focus</w:t>
      </w:r>
      <w:r w:rsidR="000D0087" w:rsidRPr="00B237C3">
        <w:rPr>
          <w:rFonts w:ascii="Cambria" w:hAnsi="Cambria"/>
          <w:sz w:val="24"/>
          <w:szCs w:val="24"/>
        </w:rPr>
        <w:t xml:space="preserve"> on key points that often are stum</w:t>
      </w:r>
      <w:r w:rsidR="00334A6B" w:rsidRPr="00B237C3">
        <w:rPr>
          <w:rFonts w:ascii="Cambria" w:hAnsi="Cambria"/>
          <w:sz w:val="24"/>
          <w:szCs w:val="24"/>
        </w:rPr>
        <w:t>bling blocks that prevent the project</w:t>
      </w:r>
      <w:r w:rsidR="000D0087" w:rsidRPr="00B237C3">
        <w:rPr>
          <w:rFonts w:ascii="Cambria" w:hAnsi="Cambria"/>
          <w:sz w:val="24"/>
          <w:szCs w:val="24"/>
        </w:rPr>
        <w:t xml:space="preserve"> from being fi</w:t>
      </w:r>
      <w:r w:rsidR="00334A6B" w:rsidRPr="00B237C3">
        <w:rPr>
          <w:rFonts w:ascii="Cambria" w:hAnsi="Cambria"/>
          <w:sz w:val="24"/>
          <w:szCs w:val="24"/>
        </w:rPr>
        <w:t>nancially closed</w:t>
      </w:r>
      <w:r w:rsidR="000D0087" w:rsidRPr="00B237C3">
        <w:rPr>
          <w:rFonts w:ascii="Cambria" w:hAnsi="Cambria"/>
          <w:sz w:val="24"/>
          <w:szCs w:val="24"/>
        </w:rPr>
        <w:t>.</w:t>
      </w:r>
      <w:r w:rsidR="002F2CF3" w:rsidRPr="00B237C3">
        <w:rPr>
          <w:rFonts w:ascii="Cambria" w:hAnsi="Cambria"/>
          <w:sz w:val="24"/>
          <w:szCs w:val="24"/>
        </w:rPr>
        <w:t xml:space="preserve">  </w:t>
      </w:r>
    </w:p>
    <w:p w14:paraId="48DC21A1" w14:textId="77777777" w:rsidR="00B92A4E" w:rsidRPr="004D3983" w:rsidRDefault="008E4A80" w:rsidP="004D3983">
      <w:pPr>
        <w:pStyle w:val="Heading1"/>
        <w:rPr>
          <w:rFonts w:eastAsia="Calibri"/>
        </w:rPr>
      </w:pPr>
      <w:bookmarkStart w:id="8" w:name="_Toc401928600"/>
      <w:bookmarkStart w:id="9" w:name="_Toc51944969"/>
      <w:r w:rsidRPr="004D3983">
        <w:rPr>
          <w:rFonts w:eastAsia="Calibri"/>
        </w:rPr>
        <w:t>2.</w:t>
      </w:r>
      <w:r w:rsidR="00E14D40" w:rsidRPr="004D3983">
        <w:rPr>
          <w:rFonts w:eastAsia="Calibri"/>
        </w:rPr>
        <w:t>0</w:t>
      </w:r>
      <w:r w:rsidRPr="004D3983">
        <w:rPr>
          <w:rFonts w:eastAsia="Calibri"/>
        </w:rPr>
        <w:tab/>
      </w:r>
      <w:r w:rsidR="00B92A4E" w:rsidRPr="004D3983">
        <w:rPr>
          <w:rFonts w:eastAsia="Calibri"/>
        </w:rPr>
        <w:t>business process</w:t>
      </w:r>
      <w:bookmarkEnd w:id="8"/>
      <w:bookmarkEnd w:id="9"/>
      <w:r w:rsidR="00B92A4E" w:rsidRPr="004D3983">
        <w:rPr>
          <w:rFonts w:eastAsia="Calibri"/>
        </w:rPr>
        <w:t xml:space="preserve"> </w:t>
      </w:r>
    </w:p>
    <w:p w14:paraId="4002FE25" w14:textId="77777777" w:rsidR="008E4A80" w:rsidRPr="008E4A80" w:rsidRDefault="008E4A80" w:rsidP="008E4A80">
      <w:pPr>
        <w:pStyle w:val="NoSpacing"/>
        <w:rPr>
          <w:lang w:val="en-GB"/>
        </w:rPr>
      </w:pPr>
    </w:p>
    <w:p w14:paraId="4DDCB76B" w14:textId="77777777" w:rsidR="00B92A4E" w:rsidRPr="00F25ABA" w:rsidRDefault="00B92A4E" w:rsidP="008133C3">
      <w:pPr>
        <w:pStyle w:val="Heading1"/>
        <w:rPr>
          <w:rFonts w:eastAsia="Calibri"/>
        </w:rPr>
      </w:pPr>
      <w:bookmarkStart w:id="10" w:name="_Toc401928601"/>
      <w:bookmarkStart w:id="11" w:name="_Toc51944970"/>
      <w:r w:rsidRPr="00F25ABA">
        <w:rPr>
          <w:rFonts w:eastAsia="Calibri"/>
          <w:szCs w:val="28"/>
        </w:rPr>
        <w:t>2.1</w:t>
      </w:r>
      <w:r w:rsidRPr="008E4A80">
        <w:rPr>
          <w:rFonts w:asciiTheme="minorHAnsi" w:eastAsia="Calibri" w:hAnsiTheme="minorHAnsi"/>
        </w:rPr>
        <w:tab/>
      </w:r>
      <w:r w:rsidRPr="00F25ABA">
        <w:rPr>
          <w:rFonts w:eastAsia="Calibri"/>
        </w:rPr>
        <w:t>Summary</w:t>
      </w:r>
      <w:bookmarkEnd w:id="10"/>
      <w:bookmarkEnd w:id="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6"/>
        <w:gridCol w:w="5830"/>
      </w:tblGrid>
      <w:tr w:rsidR="00B92A4E" w:rsidRPr="00F25ABA" w14:paraId="63EF94DA" w14:textId="77777777" w:rsidTr="00413C92">
        <w:trPr>
          <w:tblHeader/>
        </w:trPr>
        <w:tc>
          <w:tcPr>
            <w:tcW w:w="3746" w:type="dxa"/>
            <w:shd w:val="clear" w:color="auto" w:fill="DAEEF3" w:themeFill="accent5" w:themeFillTint="33"/>
          </w:tcPr>
          <w:p w14:paraId="277565E1" w14:textId="77777777" w:rsidR="00B92A4E" w:rsidRPr="00F25ABA" w:rsidRDefault="00B92A4E" w:rsidP="009C2883">
            <w:pPr>
              <w:spacing w:after="0"/>
              <w:rPr>
                <w:rFonts w:ascii="Cambria" w:eastAsia="Calibri" w:hAnsi="Cambria"/>
                <w:b/>
                <w:sz w:val="24"/>
                <w:szCs w:val="24"/>
              </w:rPr>
            </w:pPr>
            <w:r w:rsidRPr="00F25ABA">
              <w:rPr>
                <w:rFonts w:ascii="Cambria" w:eastAsia="Calibri" w:hAnsi="Cambria"/>
                <w:b/>
                <w:sz w:val="24"/>
                <w:szCs w:val="24"/>
              </w:rPr>
              <w:t>Items</w:t>
            </w:r>
          </w:p>
        </w:tc>
        <w:tc>
          <w:tcPr>
            <w:tcW w:w="5830" w:type="dxa"/>
            <w:shd w:val="clear" w:color="auto" w:fill="DAEEF3" w:themeFill="accent5" w:themeFillTint="33"/>
          </w:tcPr>
          <w:p w14:paraId="5DD232B1" w14:textId="77777777" w:rsidR="00B92A4E" w:rsidRPr="00F25ABA" w:rsidRDefault="00B92A4E" w:rsidP="009C2883">
            <w:pPr>
              <w:spacing w:after="0"/>
              <w:rPr>
                <w:rFonts w:ascii="Cambria" w:eastAsia="Calibri" w:hAnsi="Cambria"/>
                <w:b/>
                <w:sz w:val="24"/>
                <w:szCs w:val="24"/>
              </w:rPr>
            </w:pPr>
            <w:r w:rsidRPr="00F25ABA">
              <w:rPr>
                <w:rFonts w:ascii="Cambria" w:eastAsia="Calibri" w:hAnsi="Cambria"/>
                <w:b/>
                <w:sz w:val="24"/>
                <w:szCs w:val="24"/>
              </w:rPr>
              <w:t>Description</w:t>
            </w:r>
          </w:p>
        </w:tc>
      </w:tr>
      <w:tr w:rsidR="00B92A4E" w:rsidRPr="00F25ABA" w14:paraId="5113DB4C" w14:textId="77777777" w:rsidTr="003918F3">
        <w:tc>
          <w:tcPr>
            <w:tcW w:w="3746" w:type="dxa"/>
            <w:shd w:val="clear" w:color="auto" w:fill="auto"/>
          </w:tcPr>
          <w:p w14:paraId="792E6641" w14:textId="77777777" w:rsidR="00B92A4E" w:rsidRPr="00F25ABA" w:rsidRDefault="00B92A4E" w:rsidP="009C2883">
            <w:pPr>
              <w:spacing w:after="0"/>
              <w:rPr>
                <w:rFonts w:ascii="Cambria" w:eastAsia="Calibri" w:hAnsi="Cambria"/>
                <w:b/>
                <w:sz w:val="24"/>
                <w:szCs w:val="24"/>
              </w:rPr>
            </w:pPr>
            <w:r w:rsidRPr="00F25ABA">
              <w:rPr>
                <w:rFonts w:ascii="Cambria" w:eastAsia="Calibri" w:hAnsi="Cambria"/>
                <w:b/>
                <w:sz w:val="24"/>
                <w:szCs w:val="24"/>
              </w:rPr>
              <w:t>System</w:t>
            </w:r>
          </w:p>
        </w:tc>
        <w:tc>
          <w:tcPr>
            <w:tcW w:w="5830" w:type="dxa"/>
            <w:shd w:val="clear" w:color="auto" w:fill="auto"/>
          </w:tcPr>
          <w:p w14:paraId="0415BD82" w14:textId="77777777" w:rsidR="00B92A4E" w:rsidRPr="00F25ABA" w:rsidRDefault="00B92A4E" w:rsidP="009C2883">
            <w:pPr>
              <w:spacing w:after="0"/>
              <w:rPr>
                <w:rFonts w:ascii="Cambria" w:eastAsia="Calibri" w:hAnsi="Cambria"/>
                <w:sz w:val="24"/>
                <w:szCs w:val="24"/>
              </w:rPr>
            </w:pPr>
            <w:r w:rsidRPr="00F25ABA">
              <w:rPr>
                <w:rFonts w:ascii="Cambria" w:eastAsia="Calibri" w:hAnsi="Cambria"/>
                <w:sz w:val="24"/>
                <w:szCs w:val="24"/>
              </w:rPr>
              <w:t>Atlas Finance</w:t>
            </w:r>
          </w:p>
        </w:tc>
      </w:tr>
      <w:tr w:rsidR="00B92A4E" w:rsidRPr="00F25ABA" w14:paraId="7766A934" w14:textId="77777777" w:rsidTr="003918F3">
        <w:tc>
          <w:tcPr>
            <w:tcW w:w="3746" w:type="dxa"/>
            <w:shd w:val="clear" w:color="auto" w:fill="auto"/>
          </w:tcPr>
          <w:p w14:paraId="01D0DFDC" w14:textId="77777777" w:rsidR="00B92A4E" w:rsidRPr="00F25ABA" w:rsidRDefault="00B92A4E" w:rsidP="009C2883">
            <w:pPr>
              <w:spacing w:after="0"/>
              <w:rPr>
                <w:rFonts w:ascii="Cambria" w:eastAsia="Calibri" w:hAnsi="Cambria"/>
                <w:b/>
                <w:sz w:val="24"/>
                <w:szCs w:val="24"/>
              </w:rPr>
            </w:pPr>
            <w:r w:rsidRPr="00F25ABA">
              <w:rPr>
                <w:rFonts w:ascii="Cambria" w:eastAsia="Calibri" w:hAnsi="Cambria"/>
                <w:b/>
                <w:sz w:val="24"/>
                <w:szCs w:val="24"/>
              </w:rPr>
              <w:t>Information providers</w:t>
            </w:r>
          </w:p>
        </w:tc>
        <w:tc>
          <w:tcPr>
            <w:tcW w:w="5830" w:type="dxa"/>
            <w:shd w:val="clear" w:color="auto" w:fill="auto"/>
          </w:tcPr>
          <w:p w14:paraId="43C01BDA" w14:textId="384EA9F1" w:rsidR="00525F29" w:rsidRPr="00BD0334" w:rsidRDefault="00945B6D" w:rsidP="002D0957">
            <w:pPr>
              <w:pStyle w:val="ListParagraph"/>
              <w:numPr>
                <w:ilvl w:val="0"/>
                <w:numId w:val="1"/>
              </w:numPr>
              <w:spacing w:after="0"/>
              <w:rPr>
                <w:rFonts w:ascii="Cambria" w:eastAsia="Calibri" w:hAnsi="Cambria"/>
                <w:sz w:val="24"/>
                <w:szCs w:val="24"/>
              </w:rPr>
            </w:pPr>
            <w:r w:rsidRPr="00BD0334">
              <w:rPr>
                <w:rFonts w:ascii="Cambria" w:eastAsia="Calibri" w:hAnsi="Cambria"/>
                <w:sz w:val="24"/>
                <w:szCs w:val="24"/>
              </w:rPr>
              <w:t xml:space="preserve">Country Offices  </w:t>
            </w:r>
          </w:p>
          <w:p w14:paraId="3BF94D5E" w14:textId="6EA4A0EF" w:rsidR="00B560BD" w:rsidRPr="00BD0334" w:rsidRDefault="00200F7E" w:rsidP="00A2250F">
            <w:pPr>
              <w:pStyle w:val="ListParagraph"/>
              <w:numPr>
                <w:ilvl w:val="0"/>
                <w:numId w:val="1"/>
              </w:numPr>
              <w:spacing w:after="0"/>
              <w:rPr>
                <w:rFonts w:ascii="Cambria" w:eastAsia="Calibri" w:hAnsi="Cambria"/>
                <w:sz w:val="24"/>
                <w:szCs w:val="24"/>
              </w:rPr>
            </w:pPr>
            <w:r>
              <w:rPr>
                <w:rFonts w:ascii="Cambria" w:eastAsia="Calibri" w:hAnsi="Cambria"/>
                <w:sz w:val="24"/>
                <w:szCs w:val="24"/>
              </w:rPr>
              <w:t>Office of Financial Management (</w:t>
            </w:r>
            <w:r w:rsidR="00B560BD" w:rsidRPr="00BD0334">
              <w:rPr>
                <w:rFonts w:ascii="Cambria" w:eastAsia="Calibri" w:hAnsi="Cambria"/>
                <w:sz w:val="24"/>
                <w:szCs w:val="24"/>
              </w:rPr>
              <w:t>OFM</w:t>
            </w:r>
            <w:r>
              <w:rPr>
                <w:rFonts w:ascii="Cambria" w:eastAsia="Calibri" w:hAnsi="Cambria"/>
                <w:sz w:val="24"/>
                <w:szCs w:val="24"/>
              </w:rPr>
              <w:t>)</w:t>
            </w:r>
            <w:r w:rsidR="00B560BD" w:rsidRPr="00BD0334">
              <w:rPr>
                <w:rFonts w:ascii="Cambria" w:eastAsia="Calibri" w:hAnsi="Cambria"/>
                <w:sz w:val="24"/>
                <w:szCs w:val="24"/>
              </w:rPr>
              <w:t>, Business Analytics</w:t>
            </w:r>
          </w:p>
          <w:p w14:paraId="6619DA73" w14:textId="0BA7AC3D" w:rsidR="00525F29" w:rsidRPr="00BD0334" w:rsidRDefault="00C310E2" w:rsidP="00A2250F">
            <w:pPr>
              <w:pStyle w:val="ListParagraph"/>
              <w:numPr>
                <w:ilvl w:val="0"/>
                <w:numId w:val="1"/>
              </w:numPr>
              <w:spacing w:after="0"/>
              <w:rPr>
                <w:rFonts w:ascii="Cambria" w:eastAsia="Calibri" w:hAnsi="Cambria"/>
                <w:sz w:val="24"/>
                <w:szCs w:val="24"/>
              </w:rPr>
            </w:pPr>
            <w:r w:rsidRPr="00BD0334">
              <w:rPr>
                <w:rFonts w:ascii="Cambria" w:eastAsia="Calibri" w:hAnsi="Cambria"/>
                <w:sz w:val="24"/>
                <w:szCs w:val="24"/>
              </w:rPr>
              <w:t>OFM, Financial Business Advisory Services</w:t>
            </w:r>
          </w:p>
          <w:p w14:paraId="08DE5CAD" w14:textId="77777777" w:rsidR="00525F29" w:rsidRPr="00BD0334" w:rsidRDefault="00525F29" w:rsidP="00A2250F">
            <w:pPr>
              <w:pStyle w:val="ListParagraph"/>
              <w:numPr>
                <w:ilvl w:val="0"/>
                <w:numId w:val="1"/>
              </w:numPr>
              <w:spacing w:after="0"/>
              <w:rPr>
                <w:rFonts w:ascii="Cambria" w:eastAsia="Calibri" w:hAnsi="Cambria"/>
                <w:sz w:val="24"/>
                <w:szCs w:val="24"/>
              </w:rPr>
            </w:pPr>
            <w:r w:rsidRPr="00BD0334">
              <w:rPr>
                <w:rFonts w:ascii="Cambria" w:eastAsia="Calibri" w:hAnsi="Cambria"/>
                <w:sz w:val="24"/>
                <w:szCs w:val="24"/>
              </w:rPr>
              <w:t>Treasury</w:t>
            </w:r>
          </w:p>
          <w:p w14:paraId="559605BB" w14:textId="77777777" w:rsidR="00525F29" w:rsidRPr="00BD0334" w:rsidRDefault="00525F29" w:rsidP="009C2883">
            <w:pPr>
              <w:spacing w:after="0"/>
              <w:rPr>
                <w:rFonts w:ascii="Cambria" w:eastAsia="Calibri" w:hAnsi="Cambria"/>
                <w:sz w:val="24"/>
                <w:szCs w:val="24"/>
              </w:rPr>
            </w:pPr>
          </w:p>
        </w:tc>
      </w:tr>
      <w:tr w:rsidR="00B92A4E" w:rsidRPr="00F25ABA" w14:paraId="780B1785" w14:textId="77777777" w:rsidTr="003918F3">
        <w:tc>
          <w:tcPr>
            <w:tcW w:w="3746" w:type="dxa"/>
            <w:shd w:val="clear" w:color="auto" w:fill="auto"/>
          </w:tcPr>
          <w:p w14:paraId="38761AAA" w14:textId="77777777" w:rsidR="00B92A4E" w:rsidRPr="00F25ABA" w:rsidRDefault="00B92A4E" w:rsidP="009C2883">
            <w:pPr>
              <w:spacing w:after="0"/>
              <w:rPr>
                <w:rFonts w:ascii="Cambria" w:eastAsia="Calibri" w:hAnsi="Cambria"/>
                <w:b/>
                <w:sz w:val="24"/>
                <w:szCs w:val="24"/>
              </w:rPr>
            </w:pPr>
            <w:r w:rsidRPr="00F25ABA">
              <w:rPr>
                <w:rFonts w:ascii="Cambria" w:eastAsia="Calibri" w:hAnsi="Cambria"/>
                <w:b/>
                <w:sz w:val="24"/>
                <w:szCs w:val="24"/>
              </w:rPr>
              <w:t>Input</w:t>
            </w:r>
          </w:p>
        </w:tc>
        <w:tc>
          <w:tcPr>
            <w:tcW w:w="5830" w:type="dxa"/>
            <w:shd w:val="clear" w:color="auto" w:fill="auto"/>
          </w:tcPr>
          <w:p w14:paraId="25E9BF74" w14:textId="77777777" w:rsidR="00B92A4E" w:rsidRDefault="004E2D78" w:rsidP="00A2250F">
            <w:pPr>
              <w:pStyle w:val="ListParagraph"/>
              <w:numPr>
                <w:ilvl w:val="0"/>
                <w:numId w:val="2"/>
              </w:numPr>
              <w:spacing w:after="0"/>
              <w:rPr>
                <w:rFonts w:ascii="Cambria" w:eastAsia="Calibri" w:hAnsi="Cambria"/>
                <w:sz w:val="24"/>
                <w:szCs w:val="24"/>
              </w:rPr>
            </w:pPr>
            <w:r w:rsidRPr="00F25ABA">
              <w:rPr>
                <w:rFonts w:ascii="Cambria" w:eastAsia="Calibri" w:hAnsi="Cambria"/>
                <w:sz w:val="24"/>
                <w:szCs w:val="24"/>
              </w:rPr>
              <w:t>Project Closure Workbench (Atlas)</w:t>
            </w:r>
          </w:p>
          <w:p w14:paraId="13629ADD" w14:textId="77777777" w:rsidR="00B560BD" w:rsidRDefault="00B560BD" w:rsidP="00A2250F">
            <w:pPr>
              <w:pStyle w:val="ListParagraph"/>
              <w:numPr>
                <w:ilvl w:val="0"/>
                <w:numId w:val="2"/>
              </w:numPr>
              <w:spacing w:after="0"/>
              <w:rPr>
                <w:rFonts w:ascii="Cambria" w:eastAsia="Calibri" w:hAnsi="Cambria"/>
                <w:sz w:val="24"/>
                <w:szCs w:val="24"/>
              </w:rPr>
            </w:pPr>
            <w:r>
              <w:rPr>
                <w:rFonts w:ascii="Cambria" w:eastAsia="Calibri" w:hAnsi="Cambria"/>
                <w:sz w:val="24"/>
                <w:szCs w:val="24"/>
              </w:rPr>
              <w:t>General Ledger (Atlas)</w:t>
            </w:r>
          </w:p>
          <w:p w14:paraId="1A20D153" w14:textId="09636C3E" w:rsidR="00525F29" w:rsidRPr="00413C92" w:rsidRDefault="00B761A1" w:rsidP="00413C92">
            <w:pPr>
              <w:pStyle w:val="ListParagraph"/>
              <w:numPr>
                <w:ilvl w:val="0"/>
                <w:numId w:val="2"/>
              </w:numPr>
              <w:spacing w:after="0"/>
              <w:rPr>
                <w:rFonts w:ascii="Cambria" w:eastAsia="Calibri" w:hAnsi="Cambria"/>
                <w:sz w:val="24"/>
                <w:szCs w:val="24"/>
              </w:rPr>
            </w:pPr>
            <w:r>
              <w:rPr>
                <w:rFonts w:ascii="Cambria" w:eastAsia="Calibri" w:hAnsi="Cambria"/>
                <w:sz w:val="24"/>
                <w:szCs w:val="24"/>
              </w:rPr>
              <w:t>PPM</w:t>
            </w:r>
          </w:p>
        </w:tc>
      </w:tr>
      <w:tr w:rsidR="00B92A4E" w:rsidRPr="00F25ABA" w14:paraId="599D0198" w14:textId="77777777" w:rsidTr="003918F3">
        <w:tc>
          <w:tcPr>
            <w:tcW w:w="3746" w:type="dxa"/>
            <w:shd w:val="clear" w:color="auto" w:fill="auto"/>
          </w:tcPr>
          <w:p w14:paraId="5C923643" w14:textId="77777777" w:rsidR="00B92A4E" w:rsidRPr="00F25ABA" w:rsidRDefault="00B92A4E" w:rsidP="009C2883">
            <w:pPr>
              <w:spacing w:after="0"/>
              <w:rPr>
                <w:rFonts w:ascii="Cambria" w:eastAsia="Calibri" w:hAnsi="Cambria"/>
                <w:b/>
                <w:sz w:val="24"/>
                <w:szCs w:val="24"/>
              </w:rPr>
            </w:pPr>
            <w:r w:rsidRPr="00F25ABA">
              <w:rPr>
                <w:rFonts w:ascii="Cambria" w:eastAsia="Calibri" w:hAnsi="Cambria"/>
                <w:b/>
                <w:sz w:val="24"/>
                <w:szCs w:val="24"/>
              </w:rPr>
              <w:t>Deliverables / Output</w:t>
            </w:r>
          </w:p>
        </w:tc>
        <w:tc>
          <w:tcPr>
            <w:tcW w:w="5830" w:type="dxa"/>
            <w:shd w:val="clear" w:color="auto" w:fill="auto"/>
          </w:tcPr>
          <w:p w14:paraId="7038865F" w14:textId="7CCB1DA1" w:rsidR="00B92A4E" w:rsidRPr="00F25ABA" w:rsidRDefault="00B761A1" w:rsidP="00A2250F">
            <w:pPr>
              <w:pStyle w:val="ListParagraph"/>
              <w:numPr>
                <w:ilvl w:val="0"/>
                <w:numId w:val="3"/>
              </w:numPr>
              <w:spacing w:after="0"/>
              <w:rPr>
                <w:rFonts w:ascii="Cambria" w:eastAsia="Calibri" w:hAnsi="Cambria"/>
                <w:sz w:val="24"/>
                <w:szCs w:val="24"/>
              </w:rPr>
            </w:pPr>
            <w:r>
              <w:rPr>
                <w:rFonts w:ascii="Cambria" w:eastAsia="Calibri" w:hAnsi="Cambria"/>
                <w:sz w:val="24"/>
                <w:szCs w:val="24"/>
              </w:rPr>
              <w:t>One stop</w:t>
            </w:r>
            <w:r w:rsidR="0009730B">
              <w:rPr>
                <w:rFonts w:ascii="Cambria" w:eastAsia="Calibri" w:hAnsi="Cambria"/>
                <w:sz w:val="24"/>
                <w:szCs w:val="24"/>
              </w:rPr>
              <w:t>-</w:t>
            </w:r>
            <w:r>
              <w:rPr>
                <w:rFonts w:ascii="Cambria" w:eastAsia="Calibri" w:hAnsi="Cambria"/>
                <w:sz w:val="24"/>
                <w:szCs w:val="24"/>
              </w:rPr>
              <w:t>shop for closing projects</w:t>
            </w:r>
            <w:r w:rsidR="009C12E8" w:rsidRPr="00F25ABA">
              <w:rPr>
                <w:rFonts w:ascii="Cambria" w:eastAsia="Calibri" w:hAnsi="Cambria"/>
                <w:sz w:val="24"/>
                <w:szCs w:val="24"/>
              </w:rPr>
              <w:t>.</w:t>
            </w:r>
          </w:p>
          <w:p w14:paraId="4387E924" w14:textId="70BDF1AF" w:rsidR="004A7760" w:rsidRPr="00F25ABA" w:rsidRDefault="00B761A1" w:rsidP="00A2250F">
            <w:pPr>
              <w:pStyle w:val="ListParagraph"/>
              <w:numPr>
                <w:ilvl w:val="0"/>
                <w:numId w:val="3"/>
              </w:numPr>
              <w:spacing w:after="0"/>
              <w:rPr>
                <w:rFonts w:ascii="Cambria" w:eastAsia="Calibri" w:hAnsi="Cambria"/>
                <w:sz w:val="24"/>
                <w:szCs w:val="24"/>
              </w:rPr>
            </w:pPr>
            <w:r>
              <w:rPr>
                <w:rFonts w:ascii="Cambria" w:eastAsia="Calibri" w:hAnsi="Cambria"/>
                <w:sz w:val="24"/>
                <w:szCs w:val="24"/>
              </w:rPr>
              <w:t>Timely a</w:t>
            </w:r>
            <w:r w:rsidR="004A7760" w:rsidRPr="00F25ABA">
              <w:rPr>
                <w:rFonts w:ascii="Cambria" w:eastAsia="Calibri" w:hAnsi="Cambria"/>
                <w:sz w:val="24"/>
                <w:szCs w:val="24"/>
              </w:rPr>
              <w:t xml:space="preserve">ction </w:t>
            </w:r>
            <w:r w:rsidR="009C12E8" w:rsidRPr="00F25ABA">
              <w:rPr>
                <w:rFonts w:ascii="Cambria" w:eastAsia="Calibri" w:hAnsi="Cambria"/>
                <w:sz w:val="24"/>
                <w:szCs w:val="24"/>
              </w:rPr>
              <w:t xml:space="preserve">by Country Offices and/or HQ units to close inactive development </w:t>
            </w:r>
            <w:r w:rsidR="002D0957">
              <w:rPr>
                <w:rFonts w:ascii="Cambria" w:eastAsia="Calibri" w:hAnsi="Cambria"/>
                <w:sz w:val="24"/>
                <w:szCs w:val="24"/>
              </w:rPr>
              <w:t xml:space="preserve">&amp; </w:t>
            </w:r>
            <w:r>
              <w:rPr>
                <w:rFonts w:ascii="Cambria" w:eastAsia="Calibri" w:hAnsi="Cambria"/>
                <w:sz w:val="24"/>
                <w:szCs w:val="24"/>
              </w:rPr>
              <w:t xml:space="preserve">management </w:t>
            </w:r>
            <w:r w:rsidR="009C12E8" w:rsidRPr="00F25ABA">
              <w:rPr>
                <w:rFonts w:ascii="Cambria" w:eastAsia="Calibri" w:hAnsi="Cambria"/>
                <w:sz w:val="24"/>
                <w:szCs w:val="24"/>
              </w:rPr>
              <w:t>projects</w:t>
            </w:r>
          </w:p>
          <w:p w14:paraId="5007E304" w14:textId="09C2E5D5" w:rsidR="004A7760" w:rsidRPr="00F25ABA" w:rsidRDefault="00581B5C" w:rsidP="00A2250F">
            <w:pPr>
              <w:pStyle w:val="ListParagraph"/>
              <w:numPr>
                <w:ilvl w:val="0"/>
                <w:numId w:val="3"/>
              </w:numPr>
              <w:spacing w:after="0"/>
              <w:rPr>
                <w:rFonts w:ascii="Cambria" w:eastAsia="Calibri" w:hAnsi="Cambria"/>
                <w:sz w:val="24"/>
                <w:szCs w:val="24"/>
              </w:rPr>
            </w:pPr>
            <w:r w:rsidRPr="00F25ABA">
              <w:rPr>
                <w:rFonts w:ascii="Cambria" w:eastAsia="Calibri" w:hAnsi="Cambria"/>
                <w:sz w:val="24"/>
                <w:szCs w:val="24"/>
              </w:rPr>
              <w:t>Reduc</w:t>
            </w:r>
            <w:r w:rsidR="002957AF">
              <w:rPr>
                <w:rFonts w:ascii="Cambria" w:eastAsia="Calibri" w:hAnsi="Cambria"/>
                <w:sz w:val="24"/>
                <w:szCs w:val="24"/>
              </w:rPr>
              <w:t xml:space="preserve">tion in </w:t>
            </w:r>
            <w:r w:rsidR="00A41A7E" w:rsidRPr="00F25ABA">
              <w:rPr>
                <w:rFonts w:ascii="Cambria" w:eastAsia="Calibri" w:hAnsi="Cambria"/>
                <w:sz w:val="24"/>
                <w:szCs w:val="24"/>
              </w:rPr>
              <w:t>the n</w:t>
            </w:r>
            <w:r w:rsidR="004E2D78" w:rsidRPr="00F25ABA">
              <w:rPr>
                <w:rFonts w:ascii="Cambria" w:eastAsia="Calibri" w:hAnsi="Cambria"/>
                <w:sz w:val="24"/>
                <w:szCs w:val="24"/>
              </w:rPr>
              <w:t>umber of inactive projects</w:t>
            </w:r>
            <w:r w:rsidR="00A41A7E" w:rsidRPr="00F25ABA">
              <w:rPr>
                <w:rFonts w:ascii="Cambria" w:eastAsia="Calibri" w:hAnsi="Cambria"/>
                <w:sz w:val="24"/>
                <w:szCs w:val="24"/>
              </w:rPr>
              <w:t xml:space="preserve"> </w:t>
            </w:r>
            <w:r w:rsidR="004E2D78" w:rsidRPr="00F25ABA">
              <w:rPr>
                <w:rFonts w:ascii="Cambria" w:eastAsia="Calibri" w:hAnsi="Cambria"/>
                <w:sz w:val="24"/>
                <w:szCs w:val="24"/>
              </w:rPr>
              <w:t xml:space="preserve">particularly those with </w:t>
            </w:r>
            <w:r w:rsidR="00A41A7E" w:rsidRPr="00F25ABA">
              <w:rPr>
                <w:rFonts w:ascii="Cambria" w:eastAsia="Calibri" w:hAnsi="Cambria"/>
                <w:sz w:val="24"/>
                <w:szCs w:val="24"/>
              </w:rPr>
              <w:t>cost sharing balan</w:t>
            </w:r>
            <w:r w:rsidR="004E2D78" w:rsidRPr="00F25ABA">
              <w:rPr>
                <w:rFonts w:ascii="Cambria" w:eastAsia="Calibri" w:hAnsi="Cambria"/>
                <w:sz w:val="24"/>
                <w:szCs w:val="24"/>
              </w:rPr>
              <w:t>ces</w:t>
            </w:r>
            <w:r w:rsidR="00A41A7E" w:rsidRPr="00F25ABA">
              <w:rPr>
                <w:rFonts w:ascii="Cambria" w:eastAsia="Calibri" w:hAnsi="Cambria"/>
                <w:sz w:val="24"/>
                <w:szCs w:val="24"/>
              </w:rPr>
              <w:t>.</w:t>
            </w:r>
          </w:p>
        </w:tc>
      </w:tr>
      <w:tr w:rsidR="00B92A4E" w:rsidRPr="00F25ABA" w14:paraId="4ECED620" w14:textId="77777777" w:rsidTr="003918F3">
        <w:tc>
          <w:tcPr>
            <w:tcW w:w="3746" w:type="dxa"/>
            <w:shd w:val="clear" w:color="auto" w:fill="auto"/>
          </w:tcPr>
          <w:p w14:paraId="775308B2" w14:textId="77777777" w:rsidR="00B92A4E" w:rsidRPr="00F25ABA" w:rsidRDefault="00B92A4E" w:rsidP="009C2883">
            <w:pPr>
              <w:spacing w:after="0"/>
              <w:rPr>
                <w:rFonts w:ascii="Cambria" w:eastAsia="Calibri" w:hAnsi="Cambria"/>
                <w:b/>
                <w:sz w:val="24"/>
                <w:szCs w:val="24"/>
              </w:rPr>
            </w:pPr>
            <w:r w:rsidRPr="00F25ABA">
              <w:rPr>
                <w:rFonts w:ascii="Cambria" w:eastAsia="Calibri" w:hAnsi="Cambria"/>
                <w:b/>
                <w:sz w:val="24"/>
                <w:szCs w:val="24"/>
              </w:rPr>
              <w:t>Duration</w:t>
            </w:r>
          </w:p>
        </w:tc>
        <w:tc>
          <w:tcPr>
            <w:tcW w:w="5830" w:type="dxa"/>
            <w:shd w:val="clear" w:color="auto" w:fill="auto"/>
          </w:tcPr>
          <w:p w14:paraId="478184C2" w14:textId="77777777" w:rsidR="00B92A4E" w:rsidRPr="00F25ABA" w:rsidRDefault="00581B5C" w:rsidP="009C2883">
            <w:pPr>
              <w:spacing w:after="0"/>
              <w:rPr>
                <w:rFonts w:ascii="Cambria" w:eastAsia="Calibri" w:hAnsi="Cambria"/>
                <w:sz w:val="24"/>
                <w:szCs w:val="24"/>
              </w:rPr>
            </w:pPr>
            <w:r w:rsidRPr="00F25ABA">
              <w:rPr>
                <w:rFonts w:ascii="Cambria" w:eastAsia="Calibri" w:hAnsi="Cambria"/>
                <w:sz w:val="24"/>
                <w:szCs w:val="24"/>
              </w:rPr>
              <w:t>Ongoing</w:t>
            </w:r>
          </w:p>
        </w:tc>
      </w:tr>
      <w:tr w:rsidR="00B92A4E" w:rsidRPr="00F25ABA" w14:paraId="6DAF49AE" w14:textId="77777777" w:rsidTr="003918F3">
        <w:tc>
          <w:tcPr>
            <w:tcW w:w="3746" w:type="dxa"/>
            <w:shd w:val="clear" w:color="auto" w:fill="auto"/>
          </w:tcPr>
          <w:p w14:paraId="6FF966AF" w14:textId="77777777" w:rsidR="00B92A4E" w:rsidRPr="00F25ABA" w:rsidRDefault="00B92A4E" w:rsidP="009C2883">
            <w:pPr>
              <w:spacing w:after="0"/>
              <w:rPr>
                <w:rFonts w:ascii="Cambria" w:eastAsia="Calibri" w:hAnsi="Cambria"/>
                <w:b/>
                <w:sz w:val="24"/>
                <w:szCs w:val="24"/>
              </w:rPr>
            </w:pPr>
            <w:r w:rsidRPr="00F25ABA">
              <w:rPr>
                <w:rFonts w:ascii="Cambria" w:eastAsia="Calibri" w:hAnsi="Cambria"/>
                <w:b/>
                <w:sz w:val="24"/>
                <w:szCs w:val="24"/>
              </w:rPr>
              <w:t>Customers / users of output</w:t>
            </w:r>
          </w:p>
        </w:tc>
        <w:tc>
          <w:tcPr>
            <w:tcW w:w="5830" w:type="dxa"/>
            <w:shd w:val="clear" w:color="auto" w:fill="auto"/>
          </w:tcPr>
          <w:p w14:paraId="4DE53857" w14:textId="714CA22F" w:rsidR="004A11B8" w:rsidRPr="00F25ABA" w:rsidRDefault="00581B5C" w:rsidP="003918F3">
            <w:pPr>
              <w:spacing w:after="0"/>
              <w:rPr>
                <w:rFonts w:ascii="Cambria" w:eastAsia="Calibri" w:hAnsi="Cambria"/>
                <w:sz w:val="24"/>
                <w:szCs w:val="24"/>
              </w:rPr>
            </w:pPr>
            <w:r w:rsidRPr="00F25ABA">
              <w:rPr>
                <w:rFonts w:ascii="Cambria" w:eastAsia="Calibri" w:hAnsi="Cambria"/>
                <w:sz w:val="24"/>
                <w:szCs w:val="24"/>
              </w:rPr>
              <w:t>Primarily Country Offices</w:t>
            </w:r>
            <w:r w:rsidR="001A4525">
              <w:rPr>
                <w:rFonts w:ascii="Cambria" w:eastAsia="Calibri" w:hAnsi="Cambria"/>
                <w:sz w:val="24"/>
                <w:szCs w:val="24"/>
              </w:rPr>
              <w:t>, Regional Hubs and</w:t>
            </w:r>
            <w:r w:rsidRPr="00F25ABA">
              <w:rPr>
                <w:rFonts w:ascii="Cambria" w:eastAsia="Calibri" w:hAnsi="Cambria"/>
                <w:sz w:val="24"/>
                <w:szCs w:val="24"/>
              </w:rPr>
              <w:t xml:space="preserve"> HQ units</w:t>
            </w:r>
            <w:r w:rsidR="001A4525">
              <w:rPr>
                <w:rFonts w:ascii="Cambria" w:eastAsia="Calibri" w:hAnsi="Cambria"/>
                <w:sz w:val="24"/>
                <w:szCs w:val="24"/>
              </w:rPr>
              <w:t xml:space="preserve"> inclusive of HQ Operational units</w:t>
            </w:r>
            <w:r w:rsidRPr="00F25ABA">
              <w:rPr>
                <w:rFonts w:ascii="Cambria" w:eastAsia="Calibri" w:hAnsi="Cambria"/>
                <w:sz w:val="24"/>
                <w:szCs w:val="24"/>
              </w:rPr>
              <w:t>.</w:t>
            </w:r>
          </w:p>
        </w:tc>
      </w:tr>
      <w:tr w:rsidR="003918F3" w:rsidRPr="00F25ABA" w14:paraId="3E8AFFFE" w14:textId="77777777" w:rsidTr="003918F3">
        <w:tc>
          <w:tcPr>
            <w:tcW w:w="3746" w:type="dxa"/>
            <w:shd w:val="clear" w:color="auto" w:fill="auto"/>
          </w:tcPr>
          <w:p w14:paraId="78AA7D83" w14:textId="77777777" w:rsidR="003918F3" w:rsidRPr="00F25ABA" w:rsidRDefault="003918F3" w:rsidP="009C2883">
            <w:pPr>
              <w:spacing w:after="0"/>
              <w:rPr>
                <w:rFonts w:ascii="Cambria" w:eastAsia="Calibri" w:hAnsi="Cambria"/>
                <w:b/>
                <w:color w:val="FF0000"/>
                <w:sz w:val="24"/>
                <w:szCs w:val="24"/>
              </w:rPr>
            </w:pPr>
            <w:r w:rsidRPr="00F25ABA">
              <w:rPr>
                <w:rFonts w:ascii="Cambria" w:eastAsia="Calibri" w:hAnsi="Cambria"/>
                <w:b/>
                <w:sz w:val="24"/>
                <w:szCs w:val="24"/>
              </w:rPr>
              <w:t>Roles</w:t>
            </w:r>
          </w:p>
        </w:tc>
        <w:tc>
          <w:tcPr>
            <w:tcW w:w="5830" w:type="dxa"/>
            <w:shd w:val="clear" w:color="auto" w:fill="auto"/>
          </w:tcPr>
          <w:p w14:paraId="3F9DFA9C" w14:textId="77777777" w:rsidR="003918F3" w:rsidRPr="00F25ABA" w:rsidRDefault="004E2D78" w:rsidP="00A2250F">
            <w:pPr>
              <w:pStyle w:val="ListParagraph"/>
              <w:numPr>
                <w:ilvl w:val="0"/>
                <w:numId w:val="4"/>
              </w:numPr>
              <w:spacing w:after="0"/>
              <w:rPr>
                <w:rFonts w:ascii="Cambria" w:eastAsia="Calibri" w:hAnsi="Cambria"/>
                <w:sz w:val="24"/>
                <w:szCs w:val="24"/>
              </w:rPr>
            </w:pPr>
            <w:proofErr w:type="spellStart"/>
            <w:r w:rsidRPr="00F25ABA">
              <w:rPr>
                <w:rFonts w:ascii="Cambria" w:eastAsia="Calibri" w:hAnsi="Cambria"/>
                <w:sz w:val="24"/>
                <w:szCs w:val="24"/>
              </w:rPr>
              <w:t>Programme</w:t>
            </w:r>
            <w:proofErr w:type="spellEnd"/>
            <w:r w:rsidRPr="00F25ABA">
              <w:rPr>
                <w:rFonts w:ascii="Cambria" w:eastAsia="Calibri" w:hAnsi="Cambria"/>
                <w:sz w:val="24"/>
                <w:szCs w:val="24"/>
              </w:rPr>
              <w:t>/Project Managers</w:t>
            </w:r>
            <w:r w:rsidR="007E6015" w:rsidRPr="00F25ABA">
              <w:rPr>
                <w:rFonts w:ascii="Cambria" w:eastAsia="Calibri" w:hAnsi="Cambria"/>
                <w:sz w:val="24"/>
                <w:szCs w:val="24"/>
              </w:rPr>
              <w:t xml:space="preserve"> (UNDP)</w:t>
            </w:r>
          </w:p>
          <w:p w14:paraId="2AA3FB6E" w14:textId="77777777" w:rsidR="003918F3" w:rsidRPr="00F25ABA" w:rsidRDefault="004E2D78" w:rsidP="00A2250F">
            <w:pPr>
              <w:pStyle w:val="ListParagraph"/>
              <w:numPr>
                <w:ilvl w:val="1"/>
                <w:numId w:val="4"/>
              </w:numPr>
              <w:spacing w:after="0"/>
              <w:rPr>
                <w:rFonts w:ascii="Cambria" w:eastAsia="Calibri" w:hAnsi="Cambria"/>
                <w:sz w:val="24"/>
                <w:szCs w:val="24"/>
              </w:rPr>
            </w:pPr>
            <w:r w:rsidRPr="00F25ABA">
              <w:rPr>
                <w:rFonts w:ascii="Cambria" w:eastAsia="Calibri" w:hAnsi="Cambria"/>
                <w:sz w:val="24"/>
                <w:szCs w:val="24"/>
              </w:rPr>
              <w:t>Oversight/Management of project(s)</w:t>
            </w:r>
          </w:p>
          <w:p w14:paraId="6FF16CBF" w14:textId="77777777" w:rsidR="003918F3" w:rsidRPr="00F25ABA" w:rsidRDefault="003918F3" w:rsidP="00A2250F">
            <w:pPr>
              <w:pStyle w:val="ListParagraph"/>
              <w:numPr>
                <w:ilvl w:val="1"/>
                <w:numId w:val="4"/>
              </w:numPr>
              <w:spacing w:after="0"/>
              <w:rPr>
                <w:rFonts w:ascii="Cambria" w:eastAsia="Calibri" w:hAnsi="Cambria"/>
                <w:sz w:val="24"/>
                <w:szCs w:val="24"/>
              </w:rPr>
            </w:pPr>
            <w:r w:rsidRPr="00F25ABA">
              <w:rPr>
                <w:rFonts w:ascii="Cambria" w:eastAsia="Calibri" w:hAnsi="Cambria"/>
                <w:sz w:val="24"/>
                <w:szCs w:val="24"/>
              </w:rPr>
              <w:lastRenderedPageBreak/>
              <w:t>Initiat</w:t>
            </w:r>
            <w:r w:rsidR="004E2D78" w:rsidRPr="00F25ABA">
              <w:rPr>
                <w:rFonts w:ascii="Cambria" w:eastAsia="Calibri" w:hAnsi="Cambria"/>
                <w:sz w:val="24"/>
                <w:szCs w:val="24"/>
              </w:rPr>
              <w:t>e closure of inactive projects</w:t>
            </w:r>
            <w:r w:rsidRPr="00F25ABA">
              <w:rPr>
                <w:rFonts w:ascii="Cambria" w:eastAsia="Calibri" w:hAnsi="Cambria"/>
                <w:sz w:val="24"/>
                <w:szCs w:val="24"/>
              </w:rPr>
              <w:t xml:space="preserve"> and trus</w:t>
            </w:r>
            <w:r w:rsidR="004E2D78" w:rsidRPr="00F25ABA">
              <w:rPr>
                <w:rFonts w:ascii="Cambria" w:eastAsia="Calibri" w:hAnsi="Cambria"/>
                <w:sz w:val="24"/>
                <w:szCs w:val="24"/>
              </w:rPr>
              <w:t xml:space="preserve">t funds </w:t>
            </w:r>
          </w:p>
          <w:p w14:paraId="1BE5C7A9" w14:textId="77777777" w:rsidR="003918F3" w:rsidRPr="00F25ABA" w:rsidRDefault="003918F3" w:rsidP="00A2250F">
            <w:pPr>
              <w:pStyle w:val="ListParagraph"/>
              <w:numPr>
                <w:ilvl w:val="1"/>
                <w:numId w:val="4"/>
              </w:numPr>
              <w:spacing w:after="0"/>
              <w:rPr>
                <w:rFonts w:ascii="Cambria" w:eastAsia="Calibri" w:hAnsi="Cambria"/>
                <w:sz w:val="24"/>
                <w:szCs w:val="24"/>
              </w:rPr>
            </w:pPr>
            <w:r w:rsidRPr="00F25ABA">
              <w:rPr>
                <w:rFonts w:ascii="Cambria" w:eastAsia="Calibri" w:hAnsi="Cambria"/>
                <w:sz w:val="24"/>
                <w:szCs w:val="24"/>
              </w:rPr>
              <w:t>Ensure all projects are financially closed</w:t>
            </w:r>
          </w:p>
          <w:p w14:paraId="59296400" w14:textId="77777777" w:rsidR="003918F3" w:rsidRPr="00F25ABA" w:rsidRDefault="003918F3" w:rsidP="00A2250F">
            <w:pPr>
              <w:pStyle w:val="ListParagraph"/>
              <w:numPr>
                <w:ilvl w:val="1"/>
                <w:numId w:val="4"/>
              </w:numPr>
              <w:spacing w:after="0"/>
              <w:rPr>
                <w:rFonts w:ascii="Cambria" w:eastAsia="Calibri" w:hAnsi="Cambria"/>
                <w:sz w:val="24"/>
                <w:szCs w:val="24"/>
              </w:rPr>
            </w:pPr>
            <w:r w:rsidRPr="00F25ABA">
              <w:rPr>
                <w:rFonts w:ascii="Cambria" w:eastAsia="Calibri" w:hAnsi="Cambria"/>
                <w:sz w:val="24"/>
                <w:szCs w:val="24"/>
              </w:rPr>
              <w:t xml:space="preserve">Ensure all GL balances </w:t>
            </w:r>
            <w:r w:rsidR="004E2D78" w:rsidRPr="00F25ABA">
              <w:rPr>
                <w:rFonts w:ascii="Cambria" w:eastAsia="Calibri" w:hAnsi="Cambria"/>
                <w:sz w:val="24"/>
                <w:szCs w:val="24"/>
              </w:rPr>
              <w:t xml:space="preserve">(Asset; Liability; and Fund) </w:t>
            </w:r>
            <w:r w:rsidRPr="00F25ABA">
              <w:rPr>
                <w:rFonts w:ascii="Cambria" w:eastAsia="Calibri" w:hAnsi="Cambria"/>
                <w:sz w:val="24"/>
                <w:szCs w:val="24"/>
              </w:rPr>
              <w:t>are zero</w:t>
            </w:r>
            <w:r w:rsidR="004E2D78" w:rsidRPr="00F25ABA">
              <w:rPr>
                <w:rFonts w:ascii="Cambria" w:eastAsia="Calibri" w:hAnsi="Cambria"/>
                <w:sz w:val="24"/>
                <w:szCs w:val="24"/>
              </w:rPr>
              <w:t>;</w:t>
            </w:r>
          </w:p>
          <w:p w14:paraId="23EE4A64" w14:textId="77777777" w:rsidR="003918F3" w:rsidRDefault="00DC2E0C" w:rsidP="00A2250F">
            <w:pPr>
              <w:pStyle w:val="ListParagraph"/>
              <w:numPr>
                <w:ilvl w:val="1"/>
                <w:numId w:val="2"/>
              </w:numPr>
              <w:spacing w:after="0"/>
              <w:rPr>
                <w:rFonts w:ascii="Cambria" w:eastAsia="Calibri" w:hAnsi="Cambria"/>
                <w:sz w:val="24"/>
                <w:szCs w:val="24"/>
              </w:rPr>
            </w:pPr>
            <w:r w:rsidRPr="00F25ABA">
              <w:rPr>
                <w:rFonts w:ascii="Cambria" w:eastAsia="Calibri" w:hAnsi="Cambria"/>
                <w:sz w:val="24"/>
                <w:szCs w:val="24"/>
              </w:rPr>
              <w:t>Complete and certify Project</w:t>
            </w:r>
            <w:r w:rsidR="003918F3" w:rsidRPr="00F25ABA">
              <w:rPr>
                <w:rFonts w:ascii="Cambria" w:eastAsia="Calibri" w:hAnsi="Cambria"/>
                <w:sz w:val="24"/>
                <w:szCs w:val="24"/>
              </w:rPr>
              <w:t xml:space="preserve"> Completion Check List</w:t>
            </w:r>
          </w:p>
          <w:p w14:paraId="47995965" w14:textId="3AABC695" w:rsidR="00573C52" w:rsidRDefault="00573C52" w:rsidP="0070562F">
            <w:pPr>
              <w:pStyle w:val="ListParagraph"/>
              <w:numPr>
                <w:ilvl w:val="0"/>
                <w:numId w:val="2"/>
              </w:numPr>
              <w:spacing w:after="0"/>
              <w:rPr>
                <w:rFonts w:ascii="Cambria" w:eastAsia="Calibri" w:hAnsi="Cambria"/>
                <w:sz w:val="24"/>
                <w:szCs w:val="24"/>
              </w:rPr>
            </w:pPr>
            <w:r>
              <w:rPr>
                <w:rFonts w:ascii="Cambria" w:eastAsia="Calibri" w:hAnsi="Cambria"/>
                <w:sz w:val="24"/>
                <w:szCs w:val="24"/>
              </w:rPr>
              <w:t>Regional Bureau/HQ unit</w:t>
            </w:r>
          </w:p>
          <w:p w14:paraId="6AEE2110" w14:textId="143FF50B" w:rsidR="00573C52" w:rsidRPr="003C0C74" w:rsidRDefault="00573C52" w:rsidP="003C0C74">
            <w:pPr>
              <w:pStyle w:val="ListParagraph"/>
              <w:numPr>
                <w:ilvl w:val="1"/>
                <w:numId w:val="2"/>
              </w:numPr>
              <w:spacing w:after="0"/>
              <w:rPr>
                <w:rFonts w:ascii="Cambria" w:eastAsia="Calibri" w:hAnsi="Cambria"/>
                <w:sz w:val="24"/>
                <w:szCs w:val="24"/>
              </w:rPr>
            </w:pPr>
            <w:r w:rsidRPr="003C0C74">
              <w:rPr>
                <w:rFonts w:ascii="Cambria" w:eastAsia="Calibri" w:hAnsi="Cambria"/>
                <w:sz w:val="24"/>
                <w:szCs w:val="24"/>
              </w:rPr>
              <w:t>Oversight on project closure for the Cost Centre (CC)</w:t>
            </w:r>
          </w:p>
          <w:p w14:paraId="74A85FA4" w14:textId="3B24742B" w:rsidR="00573C52" w:rsidRDefault="00573C52" w:rsidP="003C0C74">
            <w:pPr>
              <w:pStyle w:val="ListParagraph"/>
              <w:numPr>
                <w:ilvl w:val="1"/>
                <w:numId w:val="2"/>
              </w:numPr>
              <w:spacing w:after="0"/>
              <w:rPr>
                <w:rFonts w:ascii="Cambria" w:eastAsia="Calibri" w:hAnsi="Cambria"/>
                <w:sz w:val="24"/>
                <w:szCs w:val="24"/>
              </w:rPr>
            </w:pPr>
            <w:r>
              <w:rPr>
                <w:rFonts w:ascii="Cambria" w:eastAsia="Calibri" w:hAnsi="Cambria"/>
                <w:sz w:val="24"/>
                <w:szCs w:val="24"/>
              </w:rPr>
              <w:t>Provide technical support to COs/units</w:t>
            </w:r>
          </w:p>
          <w:p w14:paraId="00896A85" w14:textId="00DF20BA" w:rsidR="00573C52" w:rsidRDefault="00573C52" w:rsidP="003C0C74">
            <w:pPr>
              <w:pStyle w:val="ListParagraph"/>
              <w:numPr>
                <w:ilvl w:val="1"/>
                <w:numId w:val="2"/>
              </w:numPr>
              <w:spacing w:after="0"/>
              <w:rPr>
                <w:rFonts w:ascii="Cambria" w:eastAsia="Calibri" w:hAnsi="Cambria"/>
                <w:sz w:val="24"/>
                <w:szCs w:val="24"/>
              </w:rPr>
            </w:pPr>
            <w:r>
              <w:rPr>
                <w:rFonts w:ascii="Cambria" w:eastAsia="Calibri" w:hAnsi="Cambria"/>
                <w:sz w:val="24"/>
                <w:szCs w:val="24"/>
              </w:rPr>
              <w:t xml:space="preserve">Escalate complex matters to OFM </w:t>
            </w:r>
          </w:p>
          <w:p w14:paraId="41E9E1BD" w14:textId="0AF73F27" w:rsidR="00573C52" w:rsidRDefault="00573C52" w:rsidP="003C0C74">
            <w:pPr>
              <w:pStyle w:val="ListParagraph"/>
              <w:numPr>
                <w:ilvl w:val="1"/>
                <w:numId w:val="2"/>
              </w:numPr>
              <w:spacing w:after="0"/>
              <w:rPr>
                <w:rFonts w:ascii="Cambria" w:eastAsia="Calibri" w:hAnsi="Cambria"/>
                <w:sz w:val="24"/>
                <w:szCs w:val="24"/>
              </w:rPr>
            </w:pPr>
            <w:r>
              <w:rPr>
                <w:rFonts w:ascii="Cambria" w:eastAsia="Calibri" w:hAnsi="Cambria"/>
                <w:sz w:val="24"/>
                <w:szCs w:val="24"/>
              </w:rPr>
              <w:t>Manage exceptions in consultation with BMS/OFM</w:t>
            </w:r>
          </w:p>
          <w:p w14:paraId="62627DCA" w14:textId="7A9A03F3" w:rsidR="00573C52" w:rsidRPr="00F25ABA" w:rsidRDefault="00573C52" w:rsidP="003C0C74">
            <w:pPr>
              <w:pStyle w:val="ListParagraph"/>
              <w:numPr>
                <w:ilvl w:val="1"/>
                <w:numId w:val="2"/>
              </w:numPr>
              <w:spacing w:after="0"/>
              <w:rPr>
                <w:rFonts w:ascii="Cambria" w:eastAsia="Calibri" w:hAnsi="Cambria"/>
                <w:sz w:val="24"/>
                <w:szCs w:val="24"/>
              </w:rPr>
            </w:pPr>
            <w:r>
              <w:rPr>
                <w:rFonts w:ascii="Cambria" w:eastAsia="Calibri" w:hAnsi="Cambria"/>
                <w:sz w:val="24"/>
                <w:szCs w:val="24"/>
              </w:rPr>
              <w:t>Enhance capacity of COs on project closure where necessary</w:t>
            </w:r>
          </w:p>
          <w:p w14:paraId="07A89182" w14:textId="77777777" w:rsidR="003918F3" w:rsidRPr="00F25ABA" w:rsidRDefault="003918F3" w:rsidP="00D23522">
            <w:pPr>
              <w:pStyle w:val="ListParagraph"/>
              <w:spacing w:after="0"/>
              <w:ind w:left="1080"/>
              <w:rPr>
                <w:rFonts w:ascii="Cambria" w:eastAsia="Calibri" w:hAnsi="Cambria"/>
                <w:sz w:val="24"/>
                <w:szCs w:val="24"/>
              </w:rPr>
            </w:pPr>
          </w:p>
          <w:p w14:paraId="68E2DE06" w14:textId="4A3E6025" w:rsidR="003918F3" w:rsidRPr="00F25ABA" w:rsidRDefault="00A92CE0" w:rsidP="00A2250F">
            <w:pPr>
              <w:pStyle w:val="ListParagraph"/>
              <w:numPr>
                <w:ilvl w:val="0"/>
                <w:numId w:val="4"/>
              </w:numPr>
              <w:spacing w:after="0"/>
              <w:rPr>
                <w:rFonts w:ascii="Cambria" w:eastAsia="Calibri" w:hAnsi="Cambria"/>
                <w:sz w:val="24"/>
                <w:szCs w:val="24"/>
              </w:rPr>
            </w:pPr>
            <w:r w:rsidRPr="00F25ABA">
              <w:rPr>
                <w:rFonts w:ascii="Cambria" w:eastAsia="Calibri" w:hAnsi="Cambria"/>
                <w:sz w:val="24"/>
                <w:szCs w:val="24"/>
              </w:rPr>
              <w:t>OFM</w:t>
            </w:r>
            <w:r w:rsidR="00573C52">
              <w:rPr>
                <w:rFonts w:ascii="Cambria" w:eastAsia="Calibri" w:hAnsi="Cambria"/>
                <w:sz w:val="24"/>
                <w:szCs w:val="24"/>
              </w:rPr>
              <w:t xml:space="preserve"> </w:t>
            </w:r>
          </w:p>
          <w:p w14:paraId="626C760D" w14:textId="1219C505" w:rsidR="003918F3" w:rsidRPr="00F25ABA" w:rsidRDefault="00A92CE0" w:rsidP="00A2250F">
            <w:pPr>
              <w:pStyle w:val="ListParagraph"/>
              <w:numPr>
                <w:ilvl w:val="1"/>
                <w:numId w:val="4"/>
              </w:numPr>
              <w:spacing w:after="0"/>
              <w:rPr>
                <w:rFonts w:ascii="Cambria" w:eastAsia="Calibri" w:hAnsi="Cambria"/>
                <w:sz w:val="24"/>
                <w:szCs w:val="24"/>
              </w:rPr>
            </w:pPr>
            <w:r w:rsidRPr="00F25ABA">
              <w:rPr>
                <w:rFonts w:ascii="Cambria" w:eastAsia="Calibri" w:hAnsi="Cambria"/>
                <w:sz w:val="24"/>
                <w:szCs w:val="24"/>
              </w:rPr>
              <w:t xml:space="preserve">Verify </w:t>
            </w:r>
            <w:r w:rsidR="003918F3" w:rsidRPr="00F25ABA">
              <w:rPr>
                <w:rFonts w:ascii="Cambria" w:eastAsia="Calibri" w:hAnsi="Cambria"/>
                <w:sz w:val="24"/>
                <w:szCs w:val="24"/>
              </w:rPr>
              <w:t>Completion Check List</w:t>
            </w:r>
            <w:r w:rsidR="00B560BD">
              <w:rPr>
                <w:rFonts w:ascii="Cambria" w:eastAsia="Calibri" w:hAnsi="Cambria"/>
                <w:sz w:val="24"/>
                <w:szCs w:val="24"/>
              </w:rPr>
              <w:t xml:space="preserve"> for Trust Fund closure</w:t>
            </w:r>
            <w:r w:rsidR="001A4525">
              <w:rPr>
                <w:rFonts w:ascii="Cambria" w:eastAsia="Calibri" w:hAnsi="Cambria"/>
                <w:sz w:val="24"/>
                <w:szCs w:val="24"/>
              </w:rPr>
              <w:t xml:space="preserve"> based on Atlas records.</w:t>
            </w:r>
          </w:p>
          <w:p w14:paraId="09D9DC68" w14:textId="7379B86A" w:rsidR="003918F3" w:rsidRPr="00F25ABA" w:rsidRDefault="00B761A1" w:rsidP="00A2250F">
            <w:pPr>
              <w:pStyle w:val="ListParagraph"/>
              <w:numPr>
                <w:ilvl w:val="1"/>
                <w:numId w:val="4"/>
              </w:numPr>
              <w:spacing w:after="0"/>
              <w:rPr>
                <w:rFonts w:ascii="Cambria" w:eastAsia="Calibri" w:hAnsi="Cambria"/>
                <w:sz w:val="24"/>
                <w:szCs w:val="24"/>
              </w:rPr>
            </w:pPr>
            <w:r>
              <w:rPr>
                <w:rFonts w:ascii="Cambria" w:eastAsia="Calibri" w:hAnsi="Cambria"/>
                <w:sz w:val="24"/>
                <w:szCs w:val="24"/>
              </w:rPr>
              <w:t xml:space="preserve">Monitor and </w:t>
            </w:r>
            <w:r w:rsidR="008F088A" w:rsidRPr="00F25ABA">
              <w:rPr>
                <w:rFonts w:ascii="Cambria" w:eastAsia="Calibri" w:hAnsi="Cambria"/>
                <w:sz w:val="24"/>
                <w:szCs w:val="24"/>
              </w:rPr>
              <w:t>Periodically prepare</w:t>
            </w:r>
            <w:r w:rsidR="00A92CE0" w:rsidRPr="00F25ABA">
              <w:rPr>
                <w:rFonts w:ascii="Cambria" w:eastAsia="Calibri" w:hAnsi="Cambria"/>
                <w:sz w:val="24"/>
                <w:szCs w:val="24"/>
              </w:rPr>
              <w:t xml:space="preserve"> listing </w:t>
            </w:r>
            <w:r w:rsidR="008F088A" w:rsidRPr="00F25ABA">
              <w:rPr>
                <w:rFonts w:ascii="Cambria" w:eastAsia="Calibri" w:hAnsi="Cambria"/>
                <w:sz w:val="24"/>
                <w:szCs w:val="24"/>
              </w:rPr>
              <w:t>of projects</w:t>
            </w:r>
            <w:r>
              <w:rPr>
                <w:rFonts w:ascii="Cambria" w:eastAsia="Calibri" w:hAnsi="Cambria"/>
                <w:sz w:val="24"/>
                <w:szCs w:val="24"/>
              </w:rPr>
              <w:t xml:space="preserve"> to be closed</w:t>
            </w:r>
          </w:p>
          <w:p w14:paraId="08E279D7" w14:textId="71049343" w:rsidR="00573C52" w:rsidRDefault="00C6142B" w:rsidP="00A2250F">
            <w:pPr>
              <w:pStyle w:val="ListParagraph"/>
              <w:numPr>
                <w:ilvl w:val="1"/>
                <w:numId w:val="4"/>
              </w:numPr>
              <w:spacing w:after="0"/>
              <w:rPr>
                <w:rFonts w:ascii="Cambria" w:eastAsia="Calibri" w:hAnsi="Cambria"/>
                <w:sz w:val="24"/>
                <w:szCs w:val="24"/>
              </w:rPr>
            </w:pPr>
            <w:r>
              <w:rPr>
                <w:rFonts w:ascii="Cambria" w:eastAsia="Calibri" w:hAnsi="Cambria"/>
                <w:sz w:val="24"/>
                <w:szCs w:val="24"/>
              </w:rPr>
              <w:t>Advise CO</w:t>
            </w:r>
            <w:r w:rsidR="00A92CE0" w:rsidRPr="00F25ABA">
              <w:rPr>
                <w:rFonts w:ascii="Cambria" w:eastAsia="Calibri" w:hAnsi="Cambria"/>
                <w:sz w:val="24"/>
                <w:szCs w:val="24"/>
              </w:rPr>
              <w:t>s and HQ units on c</w:t>
            </w:r>
            <w:r>
              <w:rPr>
                <w:rFonts w:ascii="Cambria" w:eastAsia="Calibri" w:hAnsi="Cambria"/>
                <w:sz w:val="24"/>
                <w:szCs w:val="24"/>
              </w:rPr>
              <w:t>omplex issues that arise and</w:t>
            </w:r>
            <w:r w:rsidR="00A92CE0" w:rsidRPr="00F25ABA">
              <w:rPr>
                <w:rFonts w:ascii="Cambria" w:eastAsia="Calibri" w:hAnsi="Cambria"/>
                <w:sz w:val="24"/>
                <w:szCs w:val="24"/>
              </w:rPr>
              <w:t xml:space="preserve"> delay project </w:t>
            </w:r>
            <w:r w:rsidR="008F088A" w:rsidRPr="00F25ABA">
              <w:rPr>
                <w:rFonts w:ascii="Cambria" w:eastAsia="Calibri" w:hAnsi="Cambria"/>
                <w:sz w:val="24"/>
                <w:szCs w:val="24"/>
              </w:rPr>
              <w:t>closing.</w:t>
            </w:r>
            <w:r w:rsidR="008F088A">
              <w:rPr>
                <w:rFonts w:ascii="Cambria" w:eastAsia="Calibri" w:hAnsi="Cambria"/>
                <w:sz w:val="24"/>
                <w:szCs w:val="24"/>
              </w:rPr>
              <w:t xml:space="preserve"> Determine</w:t>
            </w:r>
            <w:r w:rsidR="00573C52">
              <w:rPr>
                <w:rFonts w:ascii="Cambria" w:eastAsia="Calibri" w:hAnsi="Cambria"/>
                <w:sz w:val="24"/>
                <w:szCs w:val="24"/>
              </w:rPr>
              <w:t xml:space="preserve"> accounts to be excluded when closing projects</w:t>
            </w:r>
          </w:p>
          <w:p w14:paraId="7368E1C7" w14:textId="02C6DAFA" w:rsidR="00573C52" w:rsidRPr="00F25ABA" w:rsidRDefault="00573C52" w:rsidP="00A2250F">
            <w:pPr>
              <w:pStyle w:val="ListParagraph"/>
              <w:numPr>
                <w:ilvl w:val="1"/>
                <w:numId w:val="4"/>
              </w:numPr>
              <w:spacing w:after="0"/>
              <w:rPr>
                <w:rFonts w:ascii="Cambria" w:eastAsia="Calibri" w:hAnsi="Cambria"/>
                <w:sz w:val="24"/>
                <w:szCs w:val="24"/>
              </w:rPr>
            </w:pPr>
            <w:r>
              <w:rPr>
                <w:rFonts w:ascii="Cambria" w:eastAsia="Calibri" w:hAnsi="Cambria"/>
                <w:sz w:val="24"/>
                <w:szCs w:val="24"/>
              </w:rPr>
              <w:t xml:space="preserve">Provide trainings on project closure where needed </w:t>
            </w:r>
          </w:p>
          <w:p w14:paraId="26CA6B81" w14:textId="57C69CB6" w:rsidR="003918F3" w:rsidRPr="00F25ABA" w:rsidRDefault="003918F3" w:rsidP="00A2250F">
            <w:pPr>
              <w:pStyle w:val="ListParagraph"/>
              <w:numPr>
                <w:ilvl w:val="1"/>
                <w:numId w:val="4"/>
              </w:numPr>
              <w:spacing w:after="0"/>
              <w:rPr>
                <w:rFonts w:ascii="Cambria" w:eastAsia="Calibri" w:hAnsi="Cambria"/>
                <w:sz w:val="24"/>
                <w:szCs w:val="24"/>
              </w:rPr>
            </w:pPr>
            <w:r w:rsidRPr="0070562F">
              <w:rPr>
                <w:rFonts w:ascii="Cambria" w:eastAsia="Calibri" w:hAnsi="Cambria"/>
                <w:sz w:val="24"/>
                <w:szCs w:val="24"/>
              </w:rPr>
              <w:t>Treasury</w:t>
            </w:r>
            <w:r w:rsidR="00573C52">
              <w:rPr>
                <w:rFonts w:ascii="Cambria" w:eastAsia="Calibri" w:hAnsi="Cambria"/>
                <w:sz w:val="24"/>
                <w:szCs w:val="24"/>
              </w:rPr>
              <w:t xml:space="preserve"> -</w:t>
            </w:r>
            <w:r w:rsidRPr="00F25ABA">
              <w:rPr>
                <w:rFonts w:ascii="Cambria" w:eastAsia="Calibri" w:hAnsi="Cambria"/>
                <w:sz w:val="24"/>
                <w:szCs w:val="24"/>
              </w:rPr>
              <w:t>Process refunds to donors if required by agreements</w:t>
            </w:r>
          </w:p>
        </w:tc>
      </w:tr>
      <w:tr w:rsidR="003918F3" w:rsidRPr="00F25ABA" w14:paraId="1167CB2A" w14:textId="77777777" w:rsidTr="003918F3">
        <w:tc>
          <w:tcPr>
            <w:tcW w:w="3746" w:type="dxa"/>
            <w:shd w:val="clear" w:color="auto" w:fill="auto"/>
          </w:tcPr>
          <w:p w14:paraId="758B7BBA" w14:textId="19AA921C" w:rsidR="003918F3" w:rsidRPr="00F25ABA" w:rsidRDefault="003918F3" w:rsidP="009C2883">
            <w:pPr>
              <w:spacing w:after="0"/>
              <w:rPr>
                <w:rFonts w:ascii="Cambria" w:eastAsia="Calibri" w:hAnsi="Cambria"/>
                <w:b/>
                <w:sz w:val="24"/>
                <w:szCs w:val="24"/>
              </w:rPr>
            </w:pPr>
            <w:r w:rsidRPr="00F25ABA">
              <w:rPr>
                <w:rFonts w:ascii="Cambria" w:eastAsia="Calibri" w:hAnsi="Cambria"/>
                <w:b/>
                <w:sz w:val="24"/>
                <w:szCs w:val="24"/>
              </w:rPr>
              <w:lastRenderedPageBreak/>
              <w:t>Reference documents</w:t>
            </w:r>
          </w:p>
        </w:tc>
        <w:tc>
          <w:tcPr>
            <w:tcW w:w="5830" w:type="dxa"/>
            <w:shd w:val="clear" w:color="auto" w:fill="auto"/>
          </w:tcPr>
          <w:p w14:paraId="3E9C03D5" w14:textId="77777777" w:rsidR="0051454F" w:rsidRPr="001A4525" w:rsidRDefault="00027AB1" w:rsidP="001A4525">
            <w:pPr>
              <w:pStyle w:val="ListParagraph"/>
              <w:numPr>
                <w:ilvl w:val="0"/>
                <w:numId w:val="4"/>
              </w:numPr>
              <w:spacing w:after="0"/>
              <w:rPr>
                <w:rFonts w:ascii="Cambria" w:eastAsia="Calibri" w:hAnsi="Cambria"/>
                <w:sz w:val="24"/>
                <w:szCs w:val="24"/>
              </w:rPr>
            </w:pPr>
            <w:r w:rsidRPr="001A4525">
              <w:rPr>
                <w:rFonts w:ascii="Cambria" w:eastAsia="Calibri" w:hAnsi="Cambria"/>
                <w:sz w:val="24"/>
                <w:szCs w:val="24"/>
              </w:rPr>
              <w:t xml:space="preserve">POPP (links provided in document); </w:t>
            </w:r>
          </w:p>
          <w:p w14:paraId="5E467F46" w14:textId="77777777" w:rsidR="0051454F" w:rsidRPr="001A4525" w:rsidRDefault="00027AB1" w:rsidP="001A4525">
            <w:pPr>
              <w:pStyle w:val="ListParagraph"/>
              <w:numPr>
                <w:ilvl w:val="0"/>
                <w:numId w:val="4"/>
              </w:numPr>
              <w:spacing w:after="0"/>
              <w:rPr>
                <w:rFonts w:ascii="Cambria" w:eastAsia="Calibri" w:hAnsi="Cambria"/>
                <w:sz w:val="24"/>
                <w:szCs w:val="24"/>
              </w:rPr>
            </w:pPr>
            <w:r w:rsidRPr="001A4525">
              <w:rPr>
                <w:rFonts w:ascii="Cambria" w:eastAsia="Calibri" w:hAnsi="Cambria"/>
                <w:sz w:val="24"/>
                <w:szCs w:val="24"/>
              </w:rPr>
              <w:t xml:space="preserve">Project Closure Workbench (links provided in document); </w:t>
            </w:r>
          </w:p>
          <w:p w14:paraId="03168137" w14:textId="1D72F5A5" w:rsidR="003918F3" w:rsidRPr="001A4525" w:rsidRDefault="00027AB1" w:rsidP="001A4525">
            <w:pPr>
              <w:pStyle w:val="ListParagraph"/>
              <w:numPr>
                <w:ilvl w:val="0"/>
                <w:numId w:val="4"/>
              </w:numPr>
              <w:spacing w:after="0"/>
              <w:rPr>
                <w:rFonts w:ascii="Cambria" w:eastAsia="Calibri" w:hAnsi="Cambria"/>
                <w:sz w:val="24"/>
                <w:szCs w:val="24"/>
              </w:rPr>
            </w:pPr>
            <w:r w:rsidRPr="001A4525">
              <w:rPr>
                <w:rFonts w:ascii="Cambria" w:eastAsia="Calibri" w:hAnsi="Cambria"/>
                <w:sz w:val="24"/>
                <w:szCs w:val="24"/>
              </w:rPr>
              <w:t>UNDP Intranet Project Closure (link provided in document).</w:t>
            </w:r>
          </w:p>
        </w:tc>
      </w:tr>
      <w:tr w:rsidR="003918F3" w:rsidRPr="00F25ABA" w14:paraId="5F435B42" w14:textId="77777777" w:rsidTr="003918F3">
        <w:tc>
          <w:tcPr>
            <w:tcW w:w="3746" w:type="dxa"/>
            <w:shd w:val="clear" w:color="auto" w:fill="auto"/>
          </w:tcPr>
          <w:p w14:paraId="55E9B5DE" w14:textId="77777777" w:rsidR="003918F3" w:rsidRPr="00F25ABA" w:rsidRDefault="003918F3" w:rsidP="009C2883">
            <w:pPr>
              <w:spacing w:after="0"/>
              <w:rPr>
                <w:rFonts w:ascii="Cambria" w:eastAsia="Calibri" w:hAnsi="Cambria"/>
                <w:b/>
                <w:sz w:val="24"/>
                <w:szCs w:val="24"/>
              </w:rPr>
            </w:pPr>
            <w:r w:rsidRPr="00F25ABA">
              <w:rPr>
                <w:rFonts w:ascii="Cambria" w:eastAsia="Calibri" w:hAnsi="Cambria"/>
                <w:b/>
                <w:sz w:val="24"/>
                <w:szCs w:val="24"/>
              </w:rPr>
              <w:t xml:space="preserve">Key things to be taken into consideration </w:t>
            </w:r>
          </w:p>
        </w:tc>
        <w:tc>
          <w:tcPr>
            <w:tcW w:w="5830" w:type="dxa"/>
            <w:shd w:val="clear" w:color="auto" w:fill="auto"/>
          </w:tcPr>
          <w:p w14:paraId="0FE338C9" w14:textId="77777777" w:rsidR="003918F3" w:rsidRDefault="00F82789" w:rsidP="009C2883">
            <w:pPr>
              <w:spacing w:after="0"/>
              <w:rPr>
                <w:rFonts w:ascii="Cambria" w:eastAsia="Calibri" w:hAnsi="Cambria"/>
                <w:sz w:val="24"/>
                <w:szCs w:val="24"/>
              </w:rPr>
            </w:pPr>
            <w:r>
              <w:rPr>
                <w:rFonts w:ascii="Cambria" w:eastAsia="Calibri" w:hAnsi="Cambria"/>
                <w:sz w:val="24"/>
                <w:szCs w:val="24"/>
              </w:rPr>
              <w:t>The longer</w:t>
            </w:r>
            <w:r w:rsidR="00B40351">
              <w:rPr>
                <w:rFonts w:ascii="Cambria" w:eastAsia="Calibri" w:hAnsi="Cambria"/>
                <w:sz w:val="24"/>
                <w:szCs w:val="24"/>
              </w:rPr>
              <w:t xml:space="preserve"> the time lapse</w:t>
            </w:r>
            <w:r>
              <w:rPr>
                <w:rFonts w:ascii="Cambria" w:eastAsia="Calibri" w:hAnsi="Cambria"/>
                <w:sz w:val="24"/>
                <w:szCs w:val="24"/>
              </w:rPr>
              <w:t xml:space="preserve"> after</w:t>
            </w:r>
            <w:r w:rsidR="00027AB1" w:rsidRPr="00F25ABA">
              <w:rPr>
                <w:rFonts w:ascii="Cambria" w:eastAsia="Calibri" w:hAnsi="Cambria"/>
                <w:sz w:val="24"/>
                <w:szCs w:val="24"/>
              </w:rPr>
              <w:t xml:space="preserve"> </w:t>
            </w:r>
            <w:r w:rsidR="00B40351">
              <w:rPr>
                <w:rFonts w:ascii="Cambria" w:eastAsia="Calibri" w:hAnsi="Cambria"/>
                <w:sz w:val="24"/>
                <w:szCs w:val="24"/>
              </w:rPr>
              <w:t xml:space="preserve">the date of </w:t>
            </w:r>
            <w:r w:rsidR="00027AB1" w:rsidRPr="00F25ABA">
              <w:rPr>
                <w:rFonts w:ascii="Cambria" w:eastAsia="Calibri" w:hAnsi="Cambria"/>
                <w:sz w:val="24"/>
                <w:szCs w:val="24"/>
              </w:rPr>
              <w:t>operational completion of</w:t>
            </w:r>
            <w:r w:rsidR="00B40351">
              <w:rPr>
                <w:rFonts w:ascii="Cambria" w:eastAsia="Calibri" w:hAnsi="Cambria"/>
                <w:sz w:val="24"/>
                <w:szCs w:val="24"/>
              </w:rPr>
              <w:t xml:space="preserve"> a project,</w:t>
            </w:r>
            <w:r w:rsidR="00027AB1" w:rsidRPr="00F25ABA">
              <w:rPr>
                <w:rFonts w:ascii="Cambria" w:eastAsia="Calibri" w:hAnsi="Cambria"/>
                <w:sz w:val="24"/>
                <w:szCs w:val="24"/>
              </w:rPr>
              <w:t xml:space="preserve"> the greater the probability that</w:t>
            </w:r>
            <w:r w:rsidR="00B40351">
              <w:rPr>
                <w:rFonts w:ascii="Cambria" w:eastAsia="Calibri" w:hAnsi="Cambria"/>
                <w:sz w:val="24"/>
                <w:szCs w:val="24"/>
              </w:rPr>
              <w:t xml:space="preserve"> the project will require additional time and</w:t>
            </w:r>
            <w:r>
              <w:rPr>
                <w:rFonts w:ascii="Cambria" w:eastAsia="Calibri" w:hAnsi="Cambria"/>
                <w:sz w:val="24"/>
                <w:szCs w:val="24"/>
              </w:rPr>
              <w:t>/or</w:t>
            </w:r>
            <w:r w:rsidR="00B40351">
              <w:rPr>
                <w:rFonts w:ascii="Cambria" w:eastAsia="Calibri" w:hAnsi="Cambria"/>
                <w:sz w:val="24"/>
                <w:szCs w:val="24"/>
              </w:rPr>
              <w:t xml:space="preserve"> </w:t>
            </w:r>
            <w:r w:rsidR="00B40351">
              <w:rPr>
                <w:rFonts w:ascii="Cambria" w:eastAsia="Calibri" w:hAnsi="Cambria"/>
                <w:sz w:val="24"/>
                <w:szCs w:val="24"/>
              </w:rPr>
              <w:lastRenderedPageBreak/>
              <w:t>resources</w:t>
            </w:r>
            <w:r w:rsidR="00D23522" w:rsidRPr="00F25ABA">
              <w:rPr>
                <w:rFonts w:ascii="Cambria" w:eastAsia="Calibri" w:hAnsi="Cambria"/>
                <w:sz w:val="24"/>
                <w:szCs w:val="24"/>
              </w:rPr>
              <w:t xml:space="preserve"> to </w:t>
            </w:r>
            <w:r>
              <w:rPr>
                <w:rFonts w:ascii="Cambria" w:eastAsia="Calibri" w:hAnsi="Cambria"/>
                <w:sz w:val="24"/>
                <w:szCs w:val="24"/>
              </w:rPr>
              <w:t xml:space="preserve">financially </w:t>
            </w:r>
            <w:r w:rsidR="00D23522" w:rsidRPr="00F25ABA">
              <w:rPr>
                <w:rFonts w:ascii="Cambria" w:eastAsia="Calibri" w:hAnsi="Cambria"/>
                <w:sz w:val="24"/>
                <w:szCs w:val="24"/>
              </w:rPr>
              <w:t>close</w:t>
            </w:r>
            <w:r w:rsidR="00027AB1" w:rsidRPr="00F25ABA">
              <w:rPr>
                <w:rFonts w:ascii="Cambria" w:eastAsia="Calibri" w:hAnsi="Cambria"/>
                <w:sz w:val="24"/>
                <w:szCs w:val="24"/>
              </w:rPr>
              <w:t xml:space="preserve"> the project</w:t>
            </w:r>
            <w:r w:rsidR="00D23522" w:rsidRPr="00F25ABA">
              <w:rPr>
                <w:rFonts w:ascii="Cambria" w:eastAsia="Calibri" w:hAnsi="Cambria"/>
                <w:sz w:val="24"/>
                <w:szCs w:val="24"/>
              </w:rPr>
              <w:t>; or that the project</w:t>
            </w:r>
            <w:r w:rsidR="00B40351">
              <w:rPr>
                <w:rFonts w:ascii="Cambria" w:eastAsia="Calibri" w:hAnsi="Cambria"/>
                <w:sz w:val="24"/>
                <w:szCs w:val="24"/>
              </w:rPr>
              <w:t xml:space="preserve"> will remain open indefinitely.</w:t>
            </w:r>
            <w:r w:rsidR="00027AB1" w:rsidRPr="00F25ABA">
              <w:rPr>
                <w:rFonts w:ascii="Cambria" w:eastAsia="Calibri" w:hAnsi="Cambria"/>
                <w:sz w:val="24"/>
                <w:szCs w:val="24"/>
              </w:rPr>
              <w:t xml:space="preserve"> </w:t>
            </w:r>
          </w:p>
          <w:p w14:paraId="01F2EB8E" w14:textId="01C12176" w:rsidR="00DB3D86" w:rsidRPr="00F25ABA" w:rsidRDefault="00DB3D86" w:rsidP="009C2883">
            <w:pPr>
              <w:spacing w:after="0"/>
              <w:rPr>
                <w:rFonts w:ascii="Cambria" w:eastAsia="Calibri" w:hAnsi="Cambria"/>
                <w:sz w:val="24"/>
                <w:szCs w:val="24"/>
              </w:rPr>
            </w:pPr>
            <w:r>
              <w:rPr>
                <w:rFonts w:ascii="Cambria" w:eastAsia="Calibri" w:hAnsi="Cambria"/>
                <w:sz w:val="24"/>
                <w:szCs w:val="24"/>
              </w:rPr>
              <w:t>The longer it takes to close projects, the more UNDP is exposed to reputation risks from donors and partners</w:t>
            </w:r>
            <w:r w:rsidR="00DE4526">
              <w:rPr>
                <w:rFonts w:ascii="Cambria" w:eastAsia="Calibri" w:hAnsi="Cambria"/>
                <w:sz w:val="24"/>
                <w:szCs w:val="24"/>
              </w:rPr>
              <w:t>.</w:t>
            </w:r>
            <w:r>
              <w:rPr>
                <w:rFonts w:ascii="Cambria" w:eastAsia="Calibri" w:hAnsi="Cambria"/>
                <w:sz w:val="24"/>
                <w:szCs w:val="24"/>
              </w:rPr>
              <w:t xml:space="preserve"> </w:t>
            </w:r>
          </w:p>
        </w:tc>
      </w:tr>
    </w:tbl>
    <w:p w14:paraId="3AD3DD96" w14:textId="77777777" w:rsidR="00665221" w:rsidRPr="00F25ABA" w:rsidRDefault="00665221" w:rsidP="00B92A4E">
      <w:pPr>
        <w:spacing w:after="0"/>
        <w:rPr>
          <w:rFonts w:ascii="Cambria" w:eastAsia="Calibri" w:hAnsi="Cambria"/>
          <w:sz w:val="24"/>
          <w:szCs w:val="24"/>
        </w:rPr>
      </w:pPr>
    </w:p>
    <w:p w14:paraId="418AC8B1" w14:textId="77777777" w:rsidR="00B92A4E" w:rsidRPr="004D0DAC" w:rsidRDefault="00CB23DB" w:rsidP="004D3983">
      <w:pPr>
        <w:pStyle w:val="Heading1"/>
        <w:rPr>
          <w:rFonts w:eastAsia="Calibri"/>
        </w:rPr>
      </w:pPr>
      <w:bookmarkStart w:id="12" w:name="_Toc401928602"/>
      <w:bookmarkStart w:id="13" w:name="_Toc51944971"/>
      <w:r w:rsidRPr="004D0DAC">
        <w:rPr>
          <w:rFonts w:eastAsia="Calibri"/>
        </w:rPr>
        <w:t>3.0</w:t>
      </w:r>
      <w:r w:rsidR="00B92A4E" w:rsidRPr="004D0DAC">
        <w:rPr>
          <w:rFonts w:eastAsia="Calibri"/>
        </w:rPr>
        <w:tab/>
      </w:r>
      <w:r w:rsidRPr="004D0DAC">
        <w:rPr>
          <w:rFonts w:eastAsia="Calibri"/>
        </w:rPr>
        <w:t>C</w:t>
      </w:r>
      <w:bookmarkEnd w:id="12"/>
      <w:r w:rsidR="004D0DAC" w:rsidRPr="004D0DAC">
        <w:rPr>
          <w:rFonts w:eastAsia="Calibri"/>
        </w:rPr>
        <w:t>LOSURE OF PROJECTS</w:t>
      </w:r>
      <w:bookmarkEnd w:id="13"/>
    </w:p>
    <w:p w14:paraId="0441F975" w14:textId="77777777" w:rsidR="00BE2CE8" w:rsidRPr="008E4A80" w:rsidRDefault="00BE2CE8" w:rsidP="00B92A4E">
      <w:pPr>
        <w:spacing w:after="0"/>
        <w:rPr>
          <w:rFonts w:eastAsia="Calibri"/>
        </w:rPr>
      </w:pPr>
    </w:p>
    <w:p w14:paraId="720BB818" w14:textId="47E8CD0C" w:rsidR="00CE1CBB" w:rsidRDefault="009C12E8" w:rsidP="00161284">
      <w:pPr>
        <w:widowControl w:val="0"/>
        <w:tabs>
          <w:tab w:val="left" w:pos="837"/>
        </w:tabs>
        <w:spacing w:after="0" w:line="240" w:lineRule="auto"/>
        <w:jc w:val="both"/>
        <w:rPr>
          <w:rFonts w:ascii="Cambria" w:hAnsi="Cambria"/>
          <w:sz w:val="24"/>
          <w:szCs w:val="24"/>
        </w:rPr>
      </w:pPr>
      <w:r w:rsidRPr="00C1144B">
        <w:rPr>
          <w:rFonts w:ascii="Cambria" w:eastAsia="Cambria" w:hAnsi="Cambria" w:cs="Arial"/>
          <w:bCs/>
          <w:sz w:val="24"/>
          <w:szCs w:val="24"/>
        </w:rPr>
        <w:t xml:space="preserve">It is highly recommended that before undertaking the steps to </w:t>
      </w:r>
      <w:r w:rsidRPr="00C1144B">
        <w:rPr>
          <w:rFonts w:ascii="Cambria" w:eastAsia="Cambria" w:hAnsi="Cambria" w:cs="Arial"/>
          <w:bCs/>
          <w:i/>
          <w:sz w:val="24"/>
          <w:szCs w:val="24"/>
        </w:rPr>
        <w:t>financially</w:t>
      </w:r>
      <w:r w:rsidRPr="00C1144B">
        <w:rPr>
          <w:rFonts w:ascii="Cambria" w:eastAsia="Cambria" w:hAnsi="Cambria" w:cs="Arial"/>
          <w:bCs/>
          <w:sz w:val="24"/>
          <w:szCs w:val="24"/>
        </w:rPr>
        <w:t xml:space="preserve"> close a project, one should strive for a wider understanding of what </w:t>
      </w:r>
      <w:r w:rsidRPr="00C1144B">
        <w:rPr>
          <w:rFonts w:ascii="Cambria" w:eastAsia="Cambria" w:hAnsi="Cambria" w:cs="Arial"/>
          <w:bCs/>
          <w:i/>
          <w:sz w:val="24"/>
          <w:szCs w:val="24"/>
        </w:rPr>
        <w:t>closing a project</w:t>
      </w:r>
      <w:r w:rsidRPr="00C1144B">
        <w:rPr>
          <w:rFonts w:ascii="Cambria" w:eastAsia="Cambria" w:hAnsi="Cambria" w:cs="Arial"/>
          <w:bCs/>
          <w:sz w:val="24"/>
          <w:szCs w:val="24"/>
        </w:rPr>
        <w:t xml:space="preserve"> entails.   </w:t>
      </w:r>
      <w:r w:rsidR="00945B6D" w:rsidRPr="00C1144B">
        <w:rPr>
          <w:rFonts w:ascii="Cambria" w:hAnsi="Cambria"/>
          <w:sz w:val="24"/>
          <w:szCs w:val="24"/>
        </w:rPr>
        <w:t>I</w:t>
      </w:r>
      <w:r w:rsidRPr="00C1144B">
        <w:rPr>
          <w:rFonts w:ascii="Cambria" w:hAnsi="Cambria"/>
          <w:sz w:val="24"/>
          <w:szCs w:val="24"/>
        </w:rPr>
        <w:t xml:space="preserve">nformation on project closing is </w:t>
      </w:r>
      <w:r w:rsidR="00945B6D" w:rsidRPr="00C1144B">
        <w:rPr>
          <w:rFonts w:ascii="Cambria" w:hAnsi="Cambria"/>
          <w:sz w:val="24"/>
          <w:szCs w:val="24"/>
        </w:rPr>
        <w:t xml:space="preserve">available in </w:t>
      </w:r>
      <w:r w:rsidRPr="00C1144B">
        <w:rPr>
          <w:rFonts w:ascii="Cambria" w:hAnsi="Cambria"/>
          <w:sz w:val="24"/>
          <w:szCs w:val="24"/>
        </w:rPr>
        <w:t>the POPP/</w:t>
      </w:r>
      <w:proofErr w:type="spellStart"/>
      <w:r w:rsidRPr="00C1144B">
        <w:rPr>
          <w:rFonts w:ascii="Cambria" w:hAnsi="Cambria"/>
          <w:i/>
          <w:sz w:val="24"/>
          <w:szCs w:val="24"/>
        </w:rPr>
        <w:t>Programme</w:t>
      </w:r>
      <w:proofErr w:type="spellEnd"/>
      <w:r w:rsidRPr="00C1144B">
        <w:rPr>
          <w:rFonts w:ascii="Cambria" w:hAnsi="Cambria"/>
          <w:i/>
          <w:sz w:val="24"/>
          <w:szCs w:val="24"/>
        </w:rPr>
        <w:t xml:space="preserve"> and Project Management</w:t>
      </w:r>
      <w:r w:rsidRPr="00C1144B">
        <w:rPr>
          <w:rFonts w:ascii="Cambria" w:hAnsi="Cambria"/>
          <w:sz w:val="24"/>
          <w:szCs w:val="24"/>
        </w:rPr>
        <w:t xml:space="preserve"> section (POPP &gt; PPM &gt; Project Management &gt; Closing) </w:t>
      </w:r>
      <w:r w:rsidR="0051454F">
        <w:rPr>
          <w:rFonts w:ascii="Cambria" w:hAnsi="Cambria"/>
          <w:sz w:val="24"/>
          <w:szCs w:val="24"/>
        </w:rPr>
        <w:t>and</w:t>
      </w:r>
      <w:r w:rsidR="0051454F" w:rsidRPr="00C1144B">
        <w:rPr>
          <w:rFonts w:ascii="Cambria" w:hAnsi="Cambria"/>
          <w:sz w:val="24"/>
          <w:szCs w:val="24"/>
        </w:rPr>
        <w:t xml:space="preserve"> </w:t>
      </w:r>
      <w:r w:rsidRPr="00C1144B">
        <w:rPr>
          <w:rFonts w:ascii="Cambria" w:hAnsi="Cambria"/>
          <w:sz w:val="24"/>
          <w:szCs w:val="24"/>
        </w:rPr>
        <w:t xml:space="preserve">contains instructions on closing projects – including non-financial tasks </w:t>
      </w:r>
      <w:r w:rsidR="00905A8C">
        <w:rPr>
          <w:rFonts w:ascii="Cambria" w:hAnsi="Cambria"/>
          <w:sz w:val="24"/>
          <w:szCs w:val="24"/>
        </w:rPr>
        <w:t>(</w:t>
      </w:r>
      <w:hyperlink r:id="rId14" w:history="1">
        <w:r w:rsidR="00905A8C" w:rsidRPr="00905A8C">
          <w:rPr>
            <w:rStyle w:val="Hyperlink"/>
            <w:rFonts w:ascii="Cambria" w:hAnsi="Cambria"/>
            <w:sz w:val="24"/>
            <w:szCs w:val="24"/>
          </w:rPr>
          <w:t>Click here</w:t>
        </w:r>
      </w:hyperlink>
      <w:r w:rsidR="00905A8C">
        <w:rPr>
          <w:rFonts w:ascii="Cambria" w:hAnsi="Cambria"/>
          <w:sz w:val="24"/>
          <w:szCs w:val="24"/>
        </w:rPr>
        <w:t>)</w:t>
      </w:r>
      <w:r w:rsidRPr="00C1144B">
        <w:rPr>
          <w:rFonts w:ascii="Cambria" w:hAnsi="Cambria"/>
          <w:sz w:val="24"/>
          <w:szCs w:val="24"/>
        </w:rPr>
        <w:t>.</w:t>
      </w:r>
      <w:r w:rsidR="00D649D6" w:rsidRPr="00C1144B">
        <w:rPr>
          <w:rFonts w:ascii="Cambria" w:hAnsi="Cambria"/>
          <w:sz w:val="24"/>
          <w:szCs w:val="24"/>
        </w:rPr>
        <w:t xml:space="preserve">  </w:t>
      </w:r>
    </w:p>
    <w:p w14:paraId="61121CA2" w14:textId="3DC5390D" w:rsidR="00CE1CBB" w:rsidRPr="00B237C3" w:rsidRDefault="00CE1CBB" w:rsidP="00CE1CBB">
      <w:pPr>
        <w:pStyle w:val="NormalWeb"/>
        <w:jc w:val="both"/>
        <w:rPr>
          <w:rFonts w:ascii="Cambria" w:hAnsi="Cambria"/>
        </w:rPr>
      </w:pPr>
      <w:r w:rsidRPr="00B237C3">
        <w:rPr>
          <w:rFonts w:ascii="Cambria" w:hAnsi="Cambria"/>
        </w:rPr>
        <w:t>Additionally, operational steps for</w:t>
      </w:r>
      <w:r>
        <w:rPr>
          <w:rFonts w:ascii="Cambria" w:hAnsi="Cambria"/>
        </w:rPr>
        <w:t xml:space="preserve"> </w:t>
      </w:r>
      <w:r w:rsidRPr="00EA3AF7">
        <w:rPr>
          <w:rFonts w:ascii="Cambria" w:hAnsi="Cambria"/>
          <w:i/>
        </w:rPr>
        <w:t>financially closing</w:t>
      </w:r>
      <w:r>
        <w:rPr>
          <w:rFonts w:ascii="Cambria" w:hAnsi="Cambria"/>
        </w:rPr>
        <w:t xml:space="preserve"> projects are</w:t>
      </w:r>
      <w:r w:rsidRPr="00B237C3">
        <w:rPr>
          <w:rFonts w:ascii="Cambria" w:hAnsi="Cambria"/>
        </w:rPr>
        <w:t xml:space="preserve"> available in the POPP in the </w:t>
      </w:r>
      <w:r w:rsidRPr="00585C29">
        <w:rPr>
          <w:rFonts w:ascii="Cambria" w:hAnsi="Cambria"/>
          <w:i/>
        </w:rPr>
        <w:t>Financial Resource Management</w:t>
      </w:r>
      <w:r w:rsidRPr="00B237C3">
        <w:rPr>
          <w:rFonts w:ascii="Cambria" w:hAnsi="Cambria"/>
        </w:rPr>
        <w:t xml:space="preserve"> section </w:t>
      </w:r>
      <w:r>
        <w:rPr>
          <w:rFonts w:ascii="Cambria" w:hAnsi="Cambria"/>
        </w:rPr>
        <w:t xml:space="preserve">(POPP &gt; Financial Resources Management &gt; </w:t>
      </w:r>
      <w:r w:rsidR="00D9395E">
        <w:rPr>
          <w:rFonts w:ascii="Cambria" w:hAnsi="Cambria"/>
        </w:rPr>
        <w:t>Financial Closure</w:t>
      </w:r>
      <w:r w:rsidR="00FB31E7">
        <w:rPr>
          <w:rFonts w:ascii="Cambria" w:hAnsi="Cambria"/>
        </w:rPr>
        <w:t xml:space="preserve"> of Development Projects and Trust Funds &gt; Financial Closure of Development Projects </w:t>
      </w:r>
      <w:r w:rsidR="00905A8C">
        <w:rPr>
          <w:rFonts w:ascii="Cambria" w:hAnsi="Cambria"/>
        </w:rPr>
        <w:t>(</w:t>
      </w:r>
      <w:hyperlink r:id="rId15" w:history="1">
        <w:r w:rsidR="00905A8C" w:rsidRPr="00905A8C">
          <w:rPr>
            <w:rStyle w:val="Hyperlink"/>
            <w:rFonts w:ascii="Cambria" w:hAnsi="Cambria"/>
          </w:rPr>
          <w:t>Click here</w:t>
        </w:r>
      </w:hyperlink>
      <w:r w:rsidR="00905A8C">
        <w:rPr>
          <w:rFonts w:ascii="Cambria" w:hAnsi="Cambria"/>
        </w:rPr>
        <w:t>)</w:t>
      </w:r>
    </w:p>
    <w:p w14:paraId="6F0045B0" w14:textId="32965BB5" w:rsidR="00FB31E7" w:rsidRPr="00FB31E7" w:rsidRDefault="00FB31E7" w:rsidP="00905A8C">
      <w:pPr>
        <w:rPr>
          <w:rStyle w:val="Hyperlink"/>
          <w:rFonts w:ascii="Cambria" w:hAnsi="Cambria"/>
          <w:color w:val="auto"/>
          <w:sz w:val="24"/>
          <w:szCs w:val="24"/>
          <w:u w:val="none"/>
        </w:rPr>
      </w:pPr>
      <w:r w:rsidRPr="00FB31E7">
        <w:rPr>
          <w:rStyle w:val="Hyperlink"/>
          <w:rFonts w:ascii="Cambria" w:hAnsi="Cambria"/>
          <w:color w:val="auto"/>
          <w:sz w:val="24"/>
          <w:szCs w:val="24"/>
          <w:u w:val="none"/>
        </w:rPr>
        <w:t xml:space="preserve">A separate Operating Procedure for </w:t>
      </w:r>
      <w:r w:rsidR="0090586A">
        <w:rPr>
          <w:rStyle w:val="Hyperlink"/>
          <w:rFonts w:ascii="Cambria" w:hAnsi="Cambria"/>
          <w:color w:val="auto"/>
          <w:sz w:val="24"/>
          <w:szCs w:val="24"/>
          <w:u w:val="none"/>
        </w:rPr>
        <w:t>Financial C</w:t>
      </w:r>
      <w:r w:rsidRPr="00FB31E7">
        <w:rPr>
          <w:rStyle w:val="Hyperlink"/>
          <w:rFonts w:ascii="Cambria" w:hAnsi="Cambria"/>
          <w:color w:val="auto"/>
          <w:sz w:val="24"/>
          <w:szCs w:val="24"/>
          <w:u w:val="none"/>
        </w:rPr>
        <w:t>los</w:t>
      </w:r>
      <w:r w:rsidR="0090586A">
        <w:rPr>
          <w:rStyle w:val="Hyperlink"/>
          <w:rFonts w:ascii="Cambria" w:hAnsi="Cambria"/>
          <w:color w:val="auto"/>
          <w:sz w:val="24"/>
          <w:szCs w:val="24"/>
          <w:u w:val="none"/>
        </w:rPr>
        <w:t>ure of</w:t>
      </w:r>
      <w:r w:rsidRPr="00FB31E7">
        <w:rPr>
          <w:rStyle w:val="Hyperlink"/>
          <w:rFonts w:ascii="Cambria" w:hAnsi="Cambria"/>
          <w:color w:val="auto"/>
          <w:sz w:val="24"/>
          <w:szCs w:val="24"/>
          <w:u w:val="none"/>
        </w:rPr>
        <w:t xml:space="preserve"> </w:t>
      </w:r>
      <w:r w:rsidR="001E057D">
        <w:rPr>
          <w:rStyle w:val="Hyperlink"/>
          <w:rFonts w:ascii="Cambria" w:hAnsi="Cambria"/>
          <w:color w:val="auto"/>
          <w:sz w:val="24"/>
          <w:szCs w:val="24"/>
          <w:u w:val="none"/>
        </w:rPr>
        <w:t xml:space="preserve">Trust Funds is also available through </w:t>
      </w:r>
      <w:r w:rsidR="0090586A">
        <w:rPr>
          <w:rStyle w:val="Hyperlink"/>
          <w:rFonts w:ascii="Cambria" w:hAnsi="Cambria"/>
          <w:color w:val="auto"/>
          <w:sz w:val="24"/>
          <w:szCs w:val="24"/>
          <w:u w:val="none"/>
        </w:rPr>
        <w:t>POPP</w:t>
      </w:r>
      <w:r w:rsidR="001E057D">
        <w:rPr>
          <w:rStyle w:val="Hyperlink"/>
          <w:rFonts w:ascii="Cambria" w:hAnsi="Cambria"/>
          <w:color w:val="auto"/>
          <w:sz w:val="24"/>
          <w:szCs w:val="24"/>
          <w:u w:val="none"/>
        </w:rPr>
        <w:t xml:space="preserve"> </w:t>
      </w:r>
      <w:r w:rsidR="00905A8C">
        <w:rPr>
          <w:rStyle w:val="Hyperlink"/>
          <w:rFonts w:ascii="Cambria" w:hAnsi="Cambria"/>
          <w:color w:val="auto"/>
          <w:sz w:val="24"/>
          <w:szCs w:val="24"/>
          <w:u w:val="none"/>
        </w:rPr>
        <w:t>(</w:t>
      </w:r>
      <w:hyperlink r:id="rId16" w:history="1">
        <w:r w:rsidR="00905A8C" w:rsidRPr="00905A8C">
          <w:rPr>
            <w:rStyle w:val="Hyperlink"/>
            <w:rFonts w:ascii="Cambria" w:hAnsi="Cambria"/>
            <w:sz w:val="24"/>
            <w:szCs w:val="24"/>
          </w:rPr>
          <w:t>Click here</w:t>
        </w:r>
      </w:hyperlink>
      <w:r w:rsidR="00905A8C">
        <w:rPr>
          <w:rStyle w:val="Hyperlink"/>
          <w:rFonts w:ascii="Cambria" w:hAnsi="Cambria"/>
          <w:color w:val="auto"/>
          <w:sz w:val="24"/>
          <w:szCs w:val="24"/>
          <w:u w:val="none"/>
        </w:rPr>
        <w:t>)</w:t>
      </w:r>
    </w:p>
    <w:p w14:paraId="276CBFB3" w14:textId="05FA2971" w:rsidR="0024453E" w:rsidRDefault="0024453E" w:rsidP="00905A8C">
      <w:pPr>
        <w:jc w:val="both"/>
        <w:rPr>
          <w:rFonts w:ascii="Cambria" w:hAnsi="Cambria"/>
          <w:sz w:val="24"/>
          <w:szCs w:val="24"/>
        </w:rPr>
      </w:pPr>
      <w:r>
        <w:rPr>
          <w:rFonts w:ascii="Cambria" w:hAnsi="Cambria"/>
          <w:sz w:val="24"/>
          <w:szCs w:val="24"/>
        </w:rPr>
        <w:t xml:space="preserve">A separate </w:t>
      </w:r>
      <w:r w:rsidRPr="00905A8C">
        <w:rPr>
          <w:rFonts w:ascii="Cambria" w:hAnsi="Cambria"/>
          <w:i/>
          <w:iCs/>
          <w:sz w:val="24"/>
          <w:szCs w:val="24"/>
        </w:rPr>
        <w:t>Standard</w:t>
      </w:r>
      <w:r>
        <w:rPr>
          <w:rFonts w:ascii="Cambria" w:hAnsi="Cambria"/>
          <w:sz w:val="24"/>
          <w:szCs w:val="24"/>
        </w:rPr>
        <w:t xml:space="preserve"> </w:t>
      </w:r>
      <w:r w:rsidRPr="00905A8C">
        <w:rPr>
          <w:rFonts w:ascii="Cambria" w:hAnsi="Cambria"/>
          <w:i/>
          <w:iCs/>
          <w:sz w:val="24"/>
          <w:szCs w:val="24"/>
        </w:rPr>
        <w:t>Operating Procedure</w:t>
      </w:r>
      <w:r>
        <w:rPr>
          <w:rFonts w:ascii="Cambria" w:hAnsi="Cambria"/>
          <w:sz w:val="24"/>
          <w:szCs w:val="24"/>
        </w:rPr>
        <w:t xml:space="preserve"> for inactive Trust Fund</w:t>
      </w:r>
      <w:r w:rsidR="00AB4012">
        <w:rPr>
          <w:rFonts w:ascii="Cambria" w:hAnsi="Cambria"/>
          <w:sz w:val="24"/>
          <w:szCs w:val="24"/>
        </w:rPr>
        <w:t>s</w:t>
      </w:r>
      <w:r>
        <w:rPr>
          <w:rFonts w:ascii="Cambria" w:hAnsi="Cambria"/>
          <w:sz w:val="24"/>
          <w:szCs w:val="24"/>
        </w:rPr>
        <w:t xml:space="preserve"> and Trust Fund Deficits is also available through Business Analytics site </w:t>
      </w:r>
      <w:r w:rsidR="00905A8C">
        <w:rPr>
          <w:rFonts w:ascii="Cambria" w:hAnsi="Cambria"/>
          <w:sz w:val="24"/>
          <w:szCs w:val="24"/>
        </w:rPr>
        <w:t>(</w:t>
      </w:r>
      <w:hyperlink r:id="rId17" w:history="1">
        <w:r w:rsidR="00905A8C" w:rsidRPr="00905A8C">
          <w:rPr>
            <w:rStyle w:val="Hyperlink"/>
            <w:rFonts w:ascii="Cambria" w:hAnsi="Cambria"/>
            <w:sz w:val="24"/>
            <w:szCs w:val="24"/>
          </w:rPr>
          <w:t>Click here</w:t>
        </w:r>
      </w:hyperlink>
      <w:r w:rsidR="00905A8C">
        <w:rPr>
          <w:rFonts w:ascii="Cambria" w:hAnsi="Cambria"/>
          <w:sz w:val="24"/>
          <w:szCs w:val="24"/>
        </w:rPr>
        <w:t>)</w:t>
      </w:r>
    </w:p>
    <w:p w14:paraId="2440556A" w14:textId="77777777" w:rsidR="00C310E2" w:rsidRDefault="00C310E2" w:rsidP="00905A8C">
      <w:pPr>
        <w:rPr>
          <w:rFonts w:ascii="Cambria" w:hAnsi="Cambria"/>
        </w:rPr>
      </w:pPr>
      <w:r>
        <w:rPr>
          <w:rFonts w:ascii="Cambria" w:hAnsi="Cambria"/>
        </w:rPr>
        <w:t>The o</w:t>
      </w:r>
      <w:r w:rsidRPr="00B237C3">
        <w:rPr>
          <w:rFonts w:ascii="Cambria" w:hAnsi="Cambria"/>
        </w:rPr>
        <w:t>perational steps for financially closing projects</w:t>
      </w:r>
      <w:r>
        <w:rPr>
          <w:rFonts w:ascii="Cambria" w:hAnsi="Cambria"/>
        </w:rPr>
        <w:t xml:space="preserve"> should be carried out</w:t>
      </w:r>
      <w:r w:rsidRPr="00B237C3">
        <w:rPr>
          <w:rFonts w:ascii="Cambria" w:hAnsi="Cambria"/>
        </w:rPr>
        <w:t xml:space="preserve"> </w:t>
      </w:r>
      <w:r>
        <w:rPr>
          <w:rFonts w:ascii="Cambria" w:hAnsi="Cambria"/>
        </w:rPr>
        <w:t xml:space="preserve">in concert with the instructions on closing projects. </w:t>
      </w:r>
    </w:p>
    <w:p w14:paraId="531994F4" w14:textId="434682F1" w:rsidR="00CE1CBB" w:rsidRDefault="00CE1CBB" w:rsidP="00CE1CBB">
      <w:pPr>
        <w:widowControl w:val="0"/>
        <w:tabs>
          <w:tab w:val="left" w:pos="837"/>
        </w:tabs>
        <w:spacing w:after="0" w:line="240" w:lineRule="auto"/>
        <w:jc w:val="both"/>
        <w:rPr>
          <w:rFonts w:ascii="Cambria" w:hAnsi="Cambria"/>
          <w:sz w:val="24"/>
          <w:szCs w:val="24"/>
        </w:rPr>
      </w:pPr>
      <w:r w:rsidRPr="00C1144B">
        <w:rPr>
          <w:rFonts w:ascii="Cambria" w:hAnsi="Cambria"/>
          <w:sz w:val="24"/>
          <w:szCs w:val="24"/>
        </w:rPr>
        <w:t>Part of the wider understanding of closing a project is knowing th</w:t>
      </w:r>
      <w:r w:rsidR="00C310E2">
        <w:rPr>
          <w:rFonts w:ascii="Cambria" w:hAnsi="Cambria"/>
          <w:sz w:val="24"/>
          <w:szCs w:val="24"/>
        </w:rPr>
        <w:t>at in the</w:t>
      </w:r>
      <w:r w:rsidRPr="00C1144B">
        <w:rPr>
          <w:rFonts w:ascii="Cambria" w:hAnsi="Cambria"/>
          <w:sz w:val="24"/>
          <w:szCs w:val="24"/>
        </w:rPr>
        <w:t xml:space="preserve"> project </w:t>
      </w:r>
      <w:r w:rsidR="007C547B">
        <w:rPr>
          <w:rFonts w:ascii="Cambria" w:hAnsi="Cambria"/>
          <w:sz w:val="24"/>
          <w:szCs w:val="24"/>
        </w:rPr>
        <w:t>life cycle the project</w:t>
      </w:r>
      <w:r w:rsidR="00C6142B">
        <w:rPr>
          <w:rFonts w:ascii="Cambria" w:hAnsi="Cambria"/>
          <w:sz w:val="24"/>
          <w:szCs w:val="24"/>
        </w:rPr>
        <w:t xml:space="preserve"> goes through</w:t>
      </w:r>
      <w:r w:rsidR="007C547B">
        <w:rPr>
          <w:rFonts w:ascii="Cambria" w:hAnsi="Cambria"/>
          <w:sz w:val="24"/>
          <w:szCs w:val="24"/>
        </w:rPr>
        <w:t xml:space="preserve"> stages</w:t>
      </w:r>
      <w:r w:rsidR="00C6142B">
        <w:rPr>
          <w:rFonts w:ascii="Cambria" w:hAnsi="Cambria"/>
          <w:sz w:val="24"/>
          <w:szCs w:val="24"/>
        </w:rPr>
        <w:t xml:space="preserve"> including</w:t>
      </w:r>
      <w:r w:rsidRPr="00C1144B">
        <w:rPr>
          <w:rFonts w:ascii="Cambria" w:hAnsi="Cambria"/>
          <w:sz w:val="24"/>
          <w:szCs w:val="24"/>
        </w:rPr>
        <w:t xml:space="preserve">: (1) ongoing; (2) operationally closed; and </w:t>
      </w:r>
      <w:r w:rsidR="00EA3AF7">
        <w:rPr>
          <w:rFonts w:ascii="Cambria" w:hAnsi="Cambria"/>
          <w:sz w:val="24"/>
          <w:szCs w:val="24"/>
        </w:rPr>
        <w:t xml:space="preserve">(3) financially closed.  To properly close a project and avoid obstacles to closure, </w:t>
      </w:r>
      <w:r w:rsidR="00581B5C">
        <w:rPr>
          <w:rFonts w:ascii="Cambria" w:hAnsi="Cambria"/>
          <w:sz w:val="24"/>
          <w:szCs w:val="24"/>
        </w:rPr>
        <w:t xml:space="preserve">prompt </w:t>
      </w:r>
      <w:r w:rsidR="00EA3AF7">
        <w:rPr>
          <w:rFonts w:ascii="Cambria" w:hAnsi="Cambria"/>
          <w:sz w:val="24"/>
          <w:szCs w:val="24"/>
        </w:rPr>
        <w:t xml:space="preserve">action needs to be taken at </w:t>
      </w:r>
      <w:r w:rsidR="00581B5C">
        <w:rPr>
          <w:rFonts w:ascii="Cambria" w:hAnsi="Cambria"/>
          <w:sz w:val="24"/>
          <w:szCs w:val="24"/>
        </w:rPr>
        <w:t xml:space="preserve">stage </w:t>
      </w:r>
      <w:r w:rsidR="00EA3AF7">
        <w:rPr>
          <w:rFonts w:ascii="Cambria" w:hAnsi="Cambria"/>
          <w:sz w:val="24"/>
          <w:szCs w:val="24"/>
        </w:rPr>
        <w:t>2</w:t>
      </w:r>
      <w:r w:rsidR="00B47422">
        <w:rPr>
          <w:rFonts w:ascii="Cambria" w:hAnsi="Cambria"/>
          <w:sz w:val="24"/>
          <w:szCs w:val="24"/>
        </w:rPr>
        <w:t xml:space="preserve"> in particular</w:t>
      </w:r>
      <w:r w:rsidR="00C6142B">
        <w:rPr>
          <w:rFonts w:ascii="Cambria" w:hAnsi="Cambria"/>
          <w:sz w:val="24"/>
          <w:szCs w:val="24"/>
        </w:rPr>
        <w:t>,</w:t>
      </w:r>
      <w:r w:rsidR="00B47422">
        <w:rPr>
          <w:rFonts w:ascii="Cambria" w:hAnsi="Cambria"/>
          <w:sz w:val="24"/>
          <w:szCs w:val="24"/>
        </w:rPr>
        <w:t xml:space="preserve"> as well as</w:t>
      </w:r>
      <w:r w:rsidR="00581B5C">
        <w:rPr>
          <w:rFonts w:ascii="Cambria" w:hAnsi="Cambria"/>
          <w:sz w:val="24"/>
          <w:szCs w:val="24"/>
        </w:rPr>
        <w:t xml:space="preserve"> </w:t>
      </w:r>
      <w:r w:rsidR="00C6142B">
        <w:rPr>
          <w:rFonts w:ascii="Cambria" w:hAnsi="Cambria"/>
          <w:sz w:val="24"/>
          <w:szCs w:val="24"/>
        </w:rPr>
        <w:t xml:space="preserve">at </w:t>
      </w:r>
      <w:r w:rsidR="00581B5C">
        <w:rPr>
          <w:rFonts w:ascii="Cambria" w:hAnsi="Cambria"/>
          <w:sz w:val="24"/>
          <w:szCs w:val="24"/>
        </w:rPr>
        <w:t>stage</w:t>
      </w:r>
      <w:r w:rsidR="00825FF3">
        <w:rPr>
          <w:rFonts w:ascii="Cambria" w:hAnsi="Cambria"/>
          <w:sz w:val="24"/>
          <w:szCs w:val="24"/>
        </w:rPr>
        <w:t xml:space="preserve"> 3.  Delays in</w:t>
      </w:r>
      <w:r w:rsidR="00EA3AF7">
        <w:rPr>
          <w:rFonts w:ascii="Cambria" w:hAnsi="Cambria"/>
          <w:sz w:val="24"/>
          <w:szCs w:val="24"/>
        </w:rPr>
        <w:t xml:space="preserve"> moving from operationally closed to financially closed is one of the major reasons that projects remain open fo</w:t>
      </w:r>
      <w:r w:rsidR="00D23522">
        <w:rPr>
          <w:rFonts w:ascii="Cambria" w:hAnsi="Cambria"/>
          <w:sz w:val="24"/>
          <w:szCs w:val="24"/>
        </w:rPr>
        <w:t>r periods longer than 12 months after project activities have ceased.</w:t>
      </w:r>
    </w:p>
    <w:p w14:paraId="031A2B1A" w14:textId="0BD3F199" w:rsidR="00ED6919" w:rsidRDefault="00ED6919" w:rsidP="00CE1CBB">
      <w:pPr>
        <w:widowControl w:val="0"/>
        <w:tabs>
          <w:tab w:val="left" w:pos="837"/>
        </w:tabs>
        <w:spacing w:after="0" w:line="240" w:lineRule="auto"/>
        <w:jc w:val="both"/>
        <w:rPr>
          <w:rFonts w:ascii="Cambria" w:hAnsi="Cambria"/>
          <w:sz w:val="24"/>
          <w:szCs w:val="24"/>
        </w:rPr>
      </w:pPr>
    </w:p>
    <w:p w14:paraId="5CE8370C" w14:textId="7FFC7B7D" w:rsidR="00ED6919" w:rsidRPr="00C1144B" w:rsidRDefault="00ED6919" w:rsidP="00CE1CBB">
      <w:pPr>
        <w:widowControl w:val="0"/>
        <w:tabs>
          <w:tab w:val="left" w:pos="837"/>
        </w:tabs>
        <w:spacing w:after="0" w:line="240" w:lineRule="auto"/>
        <w:jc w:val="both"/>
        <w:rPr>
          <w:rFonts w:ascii="Cambria" w:hAnsi="Cambria"/>
          <w:sz w:val="24"/>
          <w:szCs w:val="24"/>
        </w:rPr>
      </w:pPr>
      <w:r>
        <w:rPr>
          <w:rFonts w:ascii="Cambria" w:hAnsi="Cambria"/>
          <w:sz w:val="24"/>
          <w:szCs w:val="24"/>
        </w:rPr>
        <w:t>From the lesson learned, some project</w:t>
      </w:r>
      <w:r w:rsidR="00AB4012">
        <w:rPr>
          <w:rFonts w:ascii="Cambria" w:hAnsi="Cambria"/>
          <w:sz w:val="24"/>
          <w:szCs w:val="24"/>
        </w:rPr>
        <w:t>s</w:t>
      </w:r>
      <w:r>
        <w:rPr>
          <w:rFonts w:ascii="Cambria" w:hAnsi="Cambria"/>
          <w:sz w:val="24"/>
          <w:szCs w:val="24"/>
        </w:rPr>
        <w:t xml:space="preserve"> may require multiple outputs when it relates to multiple donor agreements </w:t>
      </w:r>
      <w:r w:rsidR="00AB4012">
        <w:rPr>
          <w:rFonts w:ascii="Cambria" w:hAnsi="Cambria"/>
          <w:sz w:val="24"/>
          <w:szCs w:val="24"/>
        </w:rPr>
        <w:t>in</w:t>
      </w:r>
      <w:r>
        <w:rPr>
          <w:rFonts w:ascii="Cambria" w:hAnsi="Cambria"/>
          <w:sz w:val="24"/>
          <w:szCs w:val="24"/>
        </w:rPr>
        <w:t xml:space="preserve"> which each donor agreement</w:t>
      </w:r>
      <w:r w:rsidR="00AB4012">
        <w:rPr>
          <w:rFonts w:ascii="Cambria" w:hAnsi="Cambria"/>
          <w:sz w:val="24"/>
          <w:szCs w:val="24"/>
        </w:rPr>
        <w:t xml:space="preserve"> has</w:t>
      </w:r>
      <w:r>
        <w:rPr>
          <w:rFonts w:ascii="Cambria" w:hAnsi="Cambria"/>
          <w:sz w:val="24"/>
          <w:szCs w:val="24"/>
        </w:rPr>
        <w:t xml:space="preserve"> </w:t>
      </w:r>
      <w:r w:rsidR="00AB4012">
        <w:rPr>
          <w:rFonts w:ascii="Cambria" w:hAnsi="Cambria"/>
          <w:sz w:val="24"/>
          <w:szCs w:val="24"/>
        </w:rPr>
        <w:t>a</w:t>
      </w:r>
      <w:r>
        <w:rPr>
          <w:rFonts w:ascii="Cambria" w:hAnsi="Cambria"/>
          <w:sz w:val="24"/>
          <w:szCs w:val="24"/>
        </w:rPr>
        <w:t xml:space="preserve"> different ‘End Date’. It is recommended to have separate Atlas Outputs (not a single Atlas Output) if the donor agreements will end with different date</w:t>
      </w:r>
      <w:r w:rsidR="00AB4012">
        <w:rPr>
          <w:rFonts w:ascii="Cambria" w:hAnsi="Cambria"/>
          <w:sz w:val="24"/>
          <w:szCs w:val="24"/>
        </w:rPr>
        <w:t>s</w:t>
      </w:r>
      <w:r>
        <w:rPr>
          <w:rFonts w:ascii="Cambria" w:hAnsi="Cambria"/>
          <w:sz w:val="24"/>
          <w:szCs w:val="24"/>
        </w:rPr>
        <w:t xml:space="preserve"> to avoid </w:t>
      </w:r>
      <w:r w:rsidR="00AB4012">
        <w:rPr>
          <w:rFonts w:ascii="Cambria" w:hAnsi="Cambria"/>
          <w:sz w:val="24"/>
          <w:szCs w:val="24"/>
        </w:rPr>
        <w:t xml:space="preserve">the </w:t>
      </w:r>
      <w:r>
        <w:rPr>
          <w:rFonts w:ascii="Cambria" w:hAnsi="Cambria"/>
          <w:sz w:val="24"/>
          <w:szCs w:val="24"/>
        </w:rPr>
        <w:t>refund process for the on-going project</w:t>
      </w:r>
      <w:r w:rsidR="006260BA">
        <w:rPr>
          <w:rFonts w:ascii="Cambria" w:hAnsi="Cambria"/>
          <w:sz w:val="24"/>
          <w:szCs w:val="24"/>
        </w:rPr>
        <w:t xml:space="preserve">  particularly if it is </w:t>
      </w:r>
      <w:r w:rsidR="00AB4012">
        <w:rPr>
          <w:rFonts w:ascii="Cambria" w:hAnsi="Cambria"/>
          <w:sz w:val="24"/>
          <w:szCs w:val="24"/>
        </w:rPr>
        <w:t xml:space="preserve">a </w:t>
      </w:r>
      <w:r w:rsidR="006260BA">
        <w:rPr>
          <w:rFonts w:ascii="Cambria" w:hAnsi="Cambria"/>
          <w:sz w:val="24"/>
          <w:szCs w:val="24"/>
        </w:rPr>
        <w:t>MPTF project</w:t>
      </w:r>
      <w:r>
        <w:rPr>
          <w:rFonts w:ascii="Cambria" w:hAnsi="Cambria"/>
          <w:sz w:val="24"/>
          <w:szCs w:val="24"/>
        </w:rPr>
        <w:t xml:space="preserve"> </w:t>
      </w:r>
      <w:r w:rsidR="006260BA">
        <w:rPr>
          <w:rFonts w:ascii="Cambria" w:hAnsi="Cambria"/>
          <w:sz w:val="24"/>
          <w:szCs w:val="24"/>
        </w:rPr>
        <w:t>because the Certified Financial Report</w:t>
      </w:r>
      <w:r w:rsidR="00AB4012">
        <w:rPr>
          <w:rFonts w:ascii="Cambria" w:hAnsi="Cambria"/>
          <w:sz w:val="24"/>
          <w:szCs w:val="24"/>
        </w:rPr>
        <w:t>s</w:t>
      </w:r>
      <w:r w:rsidR="006260BA">
        <w:rPr>
          <w:rFonts w:ascii="Cambria" w:hAnsi="Cambria"/>
          <w:sz w:val="24"/>
          <w:szCs w:val="24"/>
        </w:rPr>
        <w:t xml:space="preserve"> to donor</w:t>
      </w:r>
      <w:r w:rsidR="00AB4012">
        <w:rPr>
          <w:rFonts w:ascii="Cambria" w:hAnsi="Cambria"/>
          <w:sz w:val="24"/>
          <w:szCs w:val="24"/>
        </w:rPr>
        <w:t>s</w:t>
      </w:r>
      <w:r w:rsidR="006260BA">
        <w:rPr>
          <w:rFonts w:ascii="Cambria" w:hAnsi="Cambria"/>
          <w:sz w:val="24"/>
          <w:szCs w:val="24"/>
        </w:rPr>
        <w:t xml:space="preserve"> (CFRs) </w:t>
      </w:r>
      <w:r w:rsidR="00AB4012">
        <w:rPr>
          <w:rFonts w:ascii="Cambria" w:hAnsi="Cambria"/>
          <w:sz w:val="24"/>
          <w:szCs w:val="24"/>
        </w:rPr>
        <w:t>are</w:t>
      </w:r>
      <w:r w:rsidR="006260BA">
        <w:rPr>
          <w:rFonts w:ascii="Cambria" w:hAnsi="Cambria"/>
          <w:sz w:val="24"/>
          <w:szCs w:val="24"/>
        </w:rPr>
        <w:t xml:space="preserve"> done on </w:t>
      </w:r>
      <w:r w:rsidR="00AB4012">
        <w:rPr>
          <w:rFonts w:ascii="Cambria" w:hAnsi="Cambria"/>
          <w:sz w:val="24"/>
          <w:szCs w:val="24"/>
        </w:rPr>
        <w:t xml:space="preserve">an </w:t>
      </w:r>
      <w:r w:rsidR="006260BA">
        <w:rPr>
          <w:rFonts w:ascii="Cambria" w:hAnsi="Cambria"/>
          <w:sz w:val="24"/>
          <w:szCs w:val="24"/>
        </w:rPr>
        <w:t>annual basis. If the refund for one of the donors need</w:t>
      </w:r>
      <w:r w:rsidR="00AB4012">
        <w:rPr>
          <w:rFonts w:ascii="Cambria" w:hAnsi="Cambria"/>
          <w:sz w:val="24"/>
          <w:szCs w:val="24"/>
        </w:rPr>
        <w:t>s</w:t>
      </w:r>
      <w:r w:rsidR="006260BA">
        <w:rPr>
          <w:rFonts w:ascii="Cambria" w:hAnsi="Cambria"/>
          <w:sz w:val="24"/>
          <w:szCs w:val="24"/>
        </w:rPr>
        <w:t xml:space="preserve"> to be processed prior to financially clos</w:t>
      </w:r>
      <w:r w:rsidR="00AB4012">
        <w:rPr>
          <w:rFonts w:ascii="Cambria" w:hAnsi="Cambria"/>
          <w:sz w:val="24"/>
          <w:szCs w:val="24"/>
        </w:rPr>
        <w:t>ing</w:t>
      </w:r>
      <w:r w:rsidR="006260BA">
        <w:rPr>
          <w:rFonts w:ascii="Cambria" w:hAnsi="Cambria"/>
          <w:sz w:val="24"/>
          <w:szCs w:val="24"/>
        </w:rPr>
        <w:t xml:space="preserve"> the Output, it may cause delay in project closure and reporting to donors as ‘financially completed’ in CFRs.</w:t>
      </w:r>
    </w:p>
    <w:p w14:paraId="0008E0A7" w14:textId="77777777" w:rsidR="00665221" w:rsidRDefault="00665221" w:rsidP="00C1144B">
      <w:pPr>
        <w:widowControl w:val="0"/>
        <w:tabs>
          <w:tab w:val="left" w:pos="873"/>
        </w:tabs>
        <w:spacing w:after="0" w:line="240" w:lineRule="auto"/>
        <w:ind w:right="108"/>
        <w:jc w:val="both"/>
        <w:rPr>
          <w:rFonts w:ascii="Cambria" w:hAnsi="Cambria"/>
          <w:sz w:val="24"/>
          <w:szCs w:val="24"/>
        </w:rPr>
      </w:pPr>
    </w:p>
    <w:p w14:paraId="61B478FF" w14:textId="38E56FFD" w:rsidR="003121F6" w:rsidRPr="004D3983" w:rsidRDefault="008F088A" w:rsidP="004D3983">
      <w:pPr>
        <w:pStyle w:val="Heading1"/>
        <w:rPr>
          <w:u w:val="single"/>
        </w:rPr>
      </w:pPr>
      <w:bookmarkStart w:id="14" w:name="_Toc51944972"/>
      <w:r>
        <w:rPr>
          <w:u w:val="single"/>
        </w:rPr>
        <w:lastRenderedPageBreak/>
        <w:t>4.0 OPERATIONAL</w:t>
      </w:r>
      <w:r w:rsidR="003121F6" w:rsidRPr="004D3983">
        <w:rPr>
          <w:u w:val="single"/>
        </w:rPr>
        <w:t xml:space="preserve"> Closure</w:t>
      </w:r>
      <w:bookmarkEnd w:id="14"/>
    </w:p>
    <w:p w14:paraId="6392BFA0" w14:textId="77777777" w:rsidR="003121F6" w:rsidRDefault="003121F6" w:rsidP="00C1144B">
      <w:pPr>
        <w:widowControl w:val="0"/>
        <w:tabs>
          <w:tab w:val="left" w:pos="873"/>
        </w:tabs>
        <w:spacing w:after="0" w:line="240" w:lineRule="auto"/>
        <w:ind w:right="108"/>
        <w:jc w:val="both"/>
        <w:rPr>
          <w:rFonts w:ascii="Cambria" w:hAnsi="Cambria"/>
          <w:sz w:val="24"/>
          <w:szCs w:val="24"/>
        </w:rPr>
      </w:pPr>
    </w:p>
    <w:p w14:paraId="0FCE5A09" w14:textId="0BF5ECFE" w:rsidR="00E11A75" w:rsidRPr="00B47422" w:rsidRDefault="00B22B96" w:rsidP="00C1144B">
      <w:pPr>
        <w:widowControl w:val="0"/>
        <w:tabs>
          <w:tab w:val="left" w:pos="873"/>
        </w:tabs>
        <w:spacing w:after="0" w:line="240" w:lineRule="auto"/>
        <w:ind w:right="108"/>
        <w:jc w:val="both"/>
        <w:rPr>
          <w:rFonts w:ascii="Cambria" w:hAnsi="Cambria"/>
          <w:b/>
          <w:i/>
          <w:sz w:val="24"/>
          <w:szCs w:val="24"/>
        </w:rPr>
      </w:pPr>
      <w:hyperlink r:id="rId18" w:history="1">
        <w:r w:rsidR="00161284" w:rsidRPr="00C5627B">
          <w:rPr>
            <w:rStyle w:val="Hyperlink"/>
            <w:rFonts w:ascii="Cambria" w:hAnsi="Cambria"/>
            <w:sz w:val="24"/>
            <w:szCs w:val="24"/>
          </w:rPr>
          <w:t>Financial rule 118.08(a)</w:t>
        </w:r>
      </w:hyperlink>
      <w:r w:rsidR="00161284" w:rsidRPr="00C1144B">
        <w:rPr>
          <w:rFonts w:ascii="Cambria" w:hAnsi="Cambria"/>
          <w:sz w:val="24"/>
          <w:szCs w:val="24"/>
        </w:rPr>
        <w:t xml:space="preserve"> states </w:t>
      </w:r>
      <w:r w:rsidR="00161284" w:rsidRPr="00C1144B">
        <w:rPr>
          <w:rFonts w:ascii="Cambria" w:hAnsi="Cambria"/>
          <w:i/>
          <w:sz w:val="24"/>
          <w:szCs w:val="24"/>
        </w:rPr>
        <w:t xml:space="preserve">“As soon as UNDP </w:t>
      </w:r>
      <w:proofErr w:type="spellStart"/>
      <w:r w:rsidR="00161284" w:rsidRPr="00C1144B">
        <w:rPr>
          <w:rFonts w:ascii="Cambria" w:hAnsi="Cambria"/>
          <w:i/>
          <w:sz w:val="24"/>
          <w:szCs w:val="24"/>
        </w:rPr>
        <w:t>programme</w:t>
      </w:r>
      <w:proofErr w:type="spellEnd"/>
      <w:r w:rsidR="00161284" w:rsidRPr="00C1144B">
        <w:rPr>
          <w:rFonts w:ascii="Cambria" w:hAnsi="Cambria"/>
          <w:i/>
          <w:sz w:val="24"/>
          <w:szCs w:val="24"/>
        </w:rPr>
        <w:t xml:space="preserve"> activities have ceased, the executing entity or, under the harmonized operational modalities, implementing partner, shall declare them </w:t>
      </w:r>
      <w:r w:rsidR="00161284" w:rsidRPr="00C1144B">
        <w:rPr>
          <w:rFonts w:ascii="Cambria" w:hAnsi="Cambria"/>
          <w:b/>
          <w:i/>
          <w:sz w:val="24"/>
          <w:szCs w:val="24"/>
        </w:rPr>
        <w:t>operationally completed</w:t>
      </w:r>
      <w:r w:rsidR="00161284" w:rsidRPr="00C1144B">
        <w:rPr>
          <w:rFonts w:ascii="Cambria" w:hAnsi="Cambria"/>
          <w:i/>
          <w:sz w:val="24"/>
          <w:szCs w:val="24"/>
        </w:rPr>
        <w:t xml:space="preserve">. It shall inform UNDP of such </w:t>
      </w:r>
      <w:r w:rsidR="00161284" w:rsidRPr="00CE1CBB">
        <w:rPr>
          <w:rFonts w:ascii="Cambria" w:hAnsi="Cambria"/>
          <w:i/>
          <w:sz w:val="24"/>
          <w:szCs w:val="24"/>
        </w:rPr>
        <w:t>operational completion and submit to UNDP a budget revision, in conformity with established procedures for budget revision, reflecting actual and estimated expenses to</w:t>
      </w:r>
      <w:r w:rsidR="00161284" w:rsidRPr="00CE1CBB">
        <w:rPr>
          <w:rFonts w:ascii="Cambria" w:hAnsi="Cambria"/>
          <w:i/>
          <w:spacing w:val="-18"/>
          <w:sz w:val="24"/>
          <w:szCs w:val="24"/>
        </w:rPr>
        <w:t xml:space="preserve"> </w:t>
      </w:r>
      <w:r w:rsidR="00161284" w:rsidRPr="00CE1CBB">
        <w:rPr>
          <w:rFonts w:ascii="Cambria" w:hAnsi="Cambria"/>
          <w:i/>
          <w:sz w:val="24"/>
          <w:szCs w:val="24"/>
        </w:rPr>
        <w:t>date.</w:t>
      </w:r>
      <w:r w:rsidR="00C1144B" w:rsidRPr="00CE1CBB">
        <w:rPr>
          <w:rFonts w:ascii="Cambria" w:hAnsi="Cambria"/>
          <w:i/>
          <w:sz w:val="24"/>
          <w:szCs w:val="24"/>
        </w:rPr>
        <w:t>”</w:t>
      </w:r>
      <w:r w:rsidR="00C1144B" w:rsidRPr="00CE1CBB">
        <w:rPr>
          <w:rFonts w:ascii="Cambria" w:hAnsi="Cambria"/>
          <w:sz w:val="24"/>
          <w:szCs w:val="24"/>
        </w:rPr>
        <w:t xml:space="preserve"> </w:t>
      </w:r>
      <w:r w:rsidR="00EA3AF7">
        <w:rPr>
          <w:rFonts w:ascii="Cambria" w:hAnsi="Cambria"/>
          <w:sz w:val="24"/>
          <w:szCs w:val="24"/>
        </w:rPr>
        <w:t xml:space="preserve">  At this point, </w:t>
      </w:r>
      <w:r w:rsidR="00B47422" w:rsidRPr="00B47422">
        <w:rPr>
          <w:rFonts w:ascii="Cambria" w:hAnsi="Cambria"/>
          <w:sz w:val="24"/>
          <w:szCs w:val="24"/>
        </w:rPr>
        <w:t>the budget needs to reflect expenses to date</w:t>
      </w:r>
      <w:r w:rsidR="00B47422">
        <w:rPr>
          <w:rFonts w:ascii="Cambria" w:hAnsi="Cambria"/>
          <w:b/>
          <w:i/>
          <w:sz w:val="24"/>
          <w:szCs w:val="24"/>
        </w:rPr>
        <w:t xml:space="preserve"> and have an approved budget</w:t>
      </w:r>
      <w:r w:rsidR="00EA3AF7" w:rsidRPr="00581B5C">
        <w:rPr>
          <w:rFonts w:ascii="Cambria" w:hAnsi="Cambria"/>
          <w:b/>
          <w:i/>
          <w:sz w:val="24"/>
          <w:szCs w:val="24"/>
        </w:rPr>
        <w:t xml:space="preserve"> in place</w:t>
      </w:r>
      <w:r w:rsidR="00EA3AF7">
        <w:rPr>
          <w:rFonts w:ascii="Cambria" w:hAnsi="Cambria"/>
          <w:sz w:val="24"/>
          <w:szCs w:val="24"/>
        </w:rPr>
        <w:t xml:space="preserve"> </w:t>
      </w:r>
      <w:r w:rsidR="00EA3AF7" w:rsidRPr="00B47422">
        <w:rPr>
          <w:rFonts w:ascii="Cambria" w:hAnsi="Cambria"/>
          <w:b/>
          <w:i/>
          <w:sz w:val="24"/>
          <w:szCs w:val="24"/>
        </w:rPr>
        <w:t xml:space="preserve">to authorize </w:t>
      </w:r>
      <w:r w:rsidR="00B47422" w:rsidRPr="00B47422">
        <w:rPr>
          <w:rFonts w:ascii="Cambria" w:hAnsi="Cambria"/>
          <w:b/>
          <w:i/>
          <w:sz w:val="24"/>
          <w:szCs w:val="24"/>
        </w:rPr>
        <w:t xml:space="preserve">any additional </w:t>
      </w:r>
      <w:r w:rsidR="00EA3AF7" w:rsidRPr="00B47422">
        <w:rPr>
          <w:rFonts w:ascii="Cambria" w:hAnsi="Cambria"/>
          <w:b/>
          <w:i/>
          <w:sz w:val="24"/>
          <w:szCs w:val="24"/>
        </w:rPr>
        <w:t>expenses over the next 12 months including project closure costs such as audit, depreciation of assets, etc.</w:t>
      </w:r>
    </w:p>
    <w:p w14:paraId="7A60B6E0" w14:textId="77777777" w:rsidR="00E11A75" w:rsidRDefault="00E11A75" w:rsidP="00980518">
      <w:pPr>
        <w:widowControl w:val="0"/>
        <w:tabs>
          <w:tab w:val="left" w:pos="873"/>
        </w:tabs>
        <w:spacing w:after="0" w:line="240" w:lineRule="auto"/>
        <w:ind w:right="108"/>
        <w:jc w:val="both"/>
        <w:rPr>
          <w:rFonts w:ascii="Cambria" w:hAnsi="Cambria"/>
          <w:sz w:val="24"/>
          <w:szCs w:val="24"/>
        </w:rPr>
      </w:pPr>
    </w:p>
    <w:p w14:paraId="39EAED3F" w14:textId="49808120" w:rsidR="00D52A49" w:rsidRDefault="00D52A49" w:rsidP="00980518">
      <w:pPr>
        <w:widowControl w:val="0"/>
        <w:tabs>
          <w:tab w:val="left" w:pos="873"/>
        </w:tabs>
        <w:spacing w:after="0" w:line="240" w:lineRule="auto"/>
        <w:ind w:right="108"/>
        <w:jc w:val="both"/>
        <w:rPr>
          <w:rFonts w:ascii="Cambria" w:hAnsi="Cambria"/>
          <w:sz w:val="24"/>
          <w:szCs w:val="24"/>
        </w:rPr>
      </w:pPr>
      <w:r>
        <w:rPr>
          <w:rFonts w:ascii="Cambria" w:hAnsi="Cambria"/>
          <w:sz w:val="24"/>
          <w:szCs w:val="24"/>
        </w:rPr>
        <w:t xml:space="preserve">Financial rule 118.08(b) states </w:t>
      </w:r>
      <w:r w:rsidRPr="00C5627B">
        <w:rPr>
          <w:rFonts w:ascii="Cambria" w:hAnsi="Cambria"/>
          <w:i/>
          <w:iCs/>
          <w:sz w:val="24"/>
          <w:szCs w:val="24"/>
        </w:rPr>
        <w:t xml:space="preserve">“UNDP </w:t>
      </w:r>
      <w:proofErr w:type="spellStart"/>
      <w:r w:rsidRPr="00C5627B">
        <w:rPr>
          <w:rFonts w:ascii="Cambria" w:hAnsi="Cambria"/>
          <w:i/>
          <w:iCs/>
          <w:sz w:val="24"/>
          <w:szCs w:val="24"/>
        </w:rPr>
        <w:t>programme</w:t>
      </w:r>
      <w:proofErr w:type="spellEnd"/>
      <w:r w:rsidRPr="00C5627B">
        <w:rPr>
          <w:rFonts w:ascii="Cambria" w:hAnsi="Cambria"/>
          <w:i/>
          <w:iCs/>
          <w:sz w:val="24"/>
          <w:szCs w:val="24"/>
        </w:rPr>
        <w:t xml:space="preserve"> activities shall be considered financially completed when they have been operationally completed or terminated, and if all financial transactions have been recorded, the relevant accounts closed, and a final project budget revision approved.”</w:t>
      </w:r>
      <w:r>
        <w:rPr>
          <w:rFonts w:ascii="Cambria" w:hAnsi="Cambria"/>
          <w:sz w:val="24"/>
          <w:szCs w:val="24"/>
        </w:rPr>
        <w:t xml:space="preserve"> </w:t>
      </w:r>
    </w:p>
    <w:p w14:paraId="17B4ED8C" w14:textId="77777777" w:rsidR="00D52A49" w:rsidRDefault="00D52A49" w:rsidP="00980518">
      <w:pPr>
        <w:widowControl w:val="0"/>
        <w:tabs>
          <w:tab w:val="left" w:pos="873"/>
        </w:tabs>
        <w:spacing w:after="0" w:line="240" w:lineRule="auto"/>
        <w:ind w:right="108"/>
        <w:jc w:val="both"/>
        <w:rPr>
          <w:rFonts w:ascii="Cambria" w:hAnsi="Cambria"/>
          <w:sz w:val="24"/>
          <w:szCs w:val="24"/>
        </w:rPr>
      </w:pPr>
    </w:p>
    <w:p w14:paraId="3F305303" w14:textId="48E00336" w:rsidR="006471BF" w:rsidRDefault="015EB512" w:rsidP="00980518">
      <w:pPr>
        <w:widowControl w:val="0"/>
        <w:tabs>
          <w:tab w:val="left" w:pos="873"/>
        </w:tabs>
        <w:spacing w:after="0" w:line="240" w:lineRule="auto"/>
        <w:ind w:right="108"/>
        <w:jc w:val="both"/>
        <w:rPr>
          <w:rFonts w:ascii="Cambria" w:hAnsi="Cambria"/>
          <w:sz w:val="24"/>
          <w:szCs w:val="24"/>
        </w:rPr>
      </w:pPr>
      <w:r w:rsidRPr="015EB512">
        <w:rPr>
          <w:rFonts w:ascii="Cambria" w:hAnsi="Cambria"/>
          <w:sz w:val="24"/>
          <w:szCs w:val="24"/>
        </w:rPr>
        <w:t>Project status (representing Atlas Output Status) as reflected in the Projects module of Atlas (Awards &gt; Project &gt; Project Status) is then changed from Ongoing (O) to (</w:t>
      </w:r>
      <w:r w:rsidRPr="015EB512">
        <w:rPr>
          <w:rFonts w:ascii="Cambria" w:eastAsia="Times New Roman" w:hAnsi="Cambria" w:cs="Times New Roman"/>
          <w:sz w:val="24"/>
          <w:szCs w:val="24"/>
        </w:rPr>
        <w:t xml:space="preserve">C) = Operationally closed.  </w:t>
      </w:r>
      <w:r w:rsidRPr="015EB512">
        <w:rPr>
          <w:rFonts w:ascii="Cambria" w:hAnsi="Cambria"/>
          <w:sz w:val="24"/>
          <w:szCs w:val="24"/>
        </w:rPr>
        <w:t>When the project is declared operationally closed, financial closure must take place within 12 months of operational closure as per financial rule 118.08 (c). The terminology “project” here refers to “Atlas Output”; however, some  Atlas screens are  using the name as “Project Status” (menu Awards &gt; Project &gt; Project Status).  Additionally, some Atlas screens are using “Output Status” (menu Grants &gt; Project Management &gt; UNDP Project Closure Workbench) because there were changes in the following terminologies but not in all Atlas Modules have been customized to reflect the new terminology. Specifically:</w:t>
      </w:r>
    </w:p>
    <w:p w14:paraId="2189AF20" w14:textId="7CC5C905" w:rsidR="00C6686D" w:rsidRDefault="00C6686D" w:rsidP="00980518">
      <w:pPr>
        <w:widowControl w:val="0"/>
        <w:tabs>
          <w:tab w:val="left" w:pos="873"/>
        </w:tabs>
        <w:spacing w:after="0" w:line="240" w:lineRule="auto"/>
        <w:ind w:right="108"/>
        <w:jc w:val="both"/>
        <w:rPr>
          <w:rFonts w:ascii="Cambria" w:hAnsi="Cambria"/>
          <w:sz w:val="24"/>
          <w:szCs w:val="24"/>
        </w:rPr>
      </w:pPr>
      <w:r>
        <w:rPr>
          <w:rFonts w:ascii="Cambria" w:hAnsi="Cambria"/>
          <w:sz w:val="24"/>
          <w:szCs w:val="24"/>
        </w:rPr>
        <w:tab/>
        <w:t>From old name of “Award” to “Project”</w:t>
      </w:r>
    </w:p>
    <w:p w14:paraId="4C94B787" w14:textId="4FD87794" w:rsidR="00C6686D" w:rsidRDefault="00C6686D" w:rsidP="00980518">
      <w:pPr>
        <w:widowControl w:val="0"/>
        <w:tabs>
          <w:tab w:val="left" w:pos="873"/>
        </w:tabs>
        <w:spacing w:after="0" w:line="240" w:lineRule="auto"/>
        <w:ind w:right="108"/>
        <w:jc w:val="both"/>
        <w:rPr>
          <w:rFonts w:ascii="Cambria" w:hAnsi="Cambria"/>
          <w:sz w:val="24"/>
          <w:szCs w:val="24"/>
        </w:rPr>
      </w:pPr>
      <w:r>
        <w:rPr>
          <w:rFonts w:ascii="Cambria" w:hAnsi="Cambria"/>
          <w:sz w:val="24"/>
          <w:szCs w:val="24"/>
        </w:rPr>
        <w:tab/>
        <w:t>From old name of “Project” to “Output”</w:t>
      </w:r>
    </w:p>
    <w:p w14:paraId="543BE0CA" w14:textId="77777777" w:rsidR="00D52A49" w:rsidRDefault="00D52A49" w:rsidP="00980518">
      <w:pPr>
        <w:widowControl w:val="0"/>
        <w:tabs>
          <w:tab w:val="left" w:pos="873"/>
        </w:tabs>
        <w:spacing w:after="0" w:line="240" w:lineRule="auto"/>
        <w:ind w:right="108"/>
        <w:jc w:val="both"/>
        <w:rPr>
          <w:rFonts w:ascii="Cambria" w:hAnsi="Cambria"/>
          <w:sz w:val="24"/>
          <w:szCs w:val="24"/>
        </w:rPr>
      </w:pPr>
    </w:p>
    <w:p w14:paraId="440A15F4" w14:textId="00BBE45C" w:rsidR="00D52A49" w:rsidRDefault="00D52A49" w:rsidP="00D52A49">
      <w:pPr>
        <w:widowControl w:val="0"/>
        <w:tabs>
          <w:tab w:val="left" w:pos="873"/>
        </w:tabs>
        <w:spacing w:after="0" w:line="240" w:lineRule="auto"/>
        <w:ind w:right="108"/>
        <w:jc w:val="both"/>
        <w:rPr>
          <w:rFonts w:ascii="Cambria" w:hAnsi="Cambria"/>
          <w:sz w:val="24"/>
          <w:szCs w:val="24"/>
        </w:rPr>
      </w:pPr>
      <w:r>
        <w:rPr>
          <w:rFonts w:ascii="Cambria" w:hAnsi="Cambria"/>
          <w:sz w:val="24"/>
          <w:szCs w:val="24"/>
        </w:rPr>
        <w:t xml:space="preserve">Financial rule 118.08(c) states </w:t>
      </w:r>
      <w:r w:rsidRPr="00E547A0">
        <w:rPr>
          <w:rFonts w:ascii="Cambria" w:hAnsi="Cambria"/>
          <w:i/>
          <w:iCs/>
          <w:sz w:val="24"/>
          <w:szCs w:val="24"/>
        </w:rPr>
        <w:t xml:space="preserve">“The financial completion of UNDP </w:t>
      </w:r>
      <w:proofErr w:type="spellStart"/>
      <w:r w:rsidRPr="00E547A0">
        <w:rPr>
          <w:rFonts w:ascii="Cambria" w:hAnsi="Cambria"/>
          <w:i/>
          <w:iCs/>
          <w:sz w:val="24"/>
          <w:szCs w:val="24"/>
        </w:rPr>
        <w:t>programme</w:t>
      </w:r>
      <w:proofErr w:type="spellEnd"/>
      <w:r w:rsidRPr="00E547A0">
        <w:rPr>
          <w:rFonts w:ascii="Cambria" w:hAnsi="Cambria"/>
          <w:i/>
          <w:iCs/>
          <w:sz w:val="24"/>
          <w:szCs w:val="24"/>
        </w:rPr>
        <w:t xml:space="preserve"> activities shall be accomplished within 12 months after the month in which they are operationally completed or terminated.”</w:t>
      </w:r>
    </w:p>
    <w:p w14:paraId="293CE565" w14:textId="77777777" w:rsidR="00256C1B" w:rsidRDefault="00256C1B" w:rsidP="00980518">
      <w:pPr>
        <w:widowControl w:val="0"/>
        <w:tabs>
          <w:tab w:val="left" w:pos="873"/>
        </w:tabs>
        <w:spacing w:after="0" w:line="240" w:lineRule="auto"/>
        <w:ind w:right="108"/>
        <w:jc w:val="both"/>
        <w:rPr>
          <w:rFonts w:ascii="Cambria" w:hAnsi="Cambria"/>
          <w:sz w:val="24"/>
          <w:szCs w:val="24"/>
        </w:rPr>
      </w:pPr>
    </w:p>
    <w:p w14:paraId="203927FD" w14:textId="3E2BBE47" w:rsidR="00256C1B" w:rsidRDefault="003121F6" w:rsidP="00980518">
      <w:pPr>
        <w:pStyle w:val="ListParagraph"/>
        <w:ind w:left="0"/>
        <w:jc w:val="both"/>
        <w:rPr>
          <w:rFonts w:ascii="Cambria" w:hAnsi="Cambria"/>
          <w:sz w:val="24"/>
          <w:szCs w:val="24"/>
        </w:rPr>
      </w:pPr>
      <w:r>
        <w:rPr>
          <w:rFonts w:ascii="Cambria" w:hAnsi="Cambria"/>
          <w:sz w:val="24"/>
          <w:szCs w:val="24"/>
        </w:rPr>
        <w:t xml:space="preserve">The steps required in changing the project status from </w:t>
      </w:r>
      <w:r w:rsidR="0051454F">
        <w:rPr>
          <w:rFonts w:ascii="Cambria" w:hAnsi="Cambria"/>
          <w:sz w:val="24"/>
          <w:szCs w:val="24"/>
        </w:rPr>
        <w:t>“</w:t>
      </w:r>
      <w:r>
        <w:rPr>
          <w:rFonts w:ascii="Cambria" w:hAnsi="Cambria"/>
          <w:sz w:val="24"/>
          <w:szCs w:val="24"/>
        </w:rPr>
        <w:t>Ongoing</w:t>
      </w:r>
      <w:r w:rsidR="0051454F">
        <w:rPr>
          <w:rFonts w:ascii="Cambria" w:hAnsi="Cambria"/>
          <w:sz w:val="24"/>
          <w:szCs w:val="24"/>
        </w:rPr>
        <w:t>”</w:t>
      </w:r>
      <w:r>
        <w:rPr>
          <w:rFonts w:ascii="Cambria" w:hAnsi="Cambria"/>
          <w:sz w:val="24"/>
          <w:szCs w:val="24"/>
        </w:rPr>
        <w:t xml:space="preserve"> to </w:t>
      </w:r>
      <w:r w:rsidR="0051454F">
        <w:rPr>
          <w:rFonts w:ascii="Cambria" w:hAnsi="Cambria"/>
          <w:sz w:val="24"/>
          <w:szCs w:val="24"/>
        </w:rPr>
        <w:t>“</w:t>
      </w:r>
      <w:r>
        <w:rPr>
          <w:rFonts w:ascii="Cambria" w:hAnsi="Cambria"/>
          <w:sz w:val="24"/>
          <w:szCs w:val="24"/>
        </w:rPr>
        <w:t>Operationally Closed</w:t>
      </w:r>
      <w:r w:rsidR="0051454F">
        <w:rPr>
          <w:rFonts w:ascii="Cambria" w:hAnsi="Cambria"/>
          <w:sz w:val="24"/>
          <w:szCs w:val="24"/>
        </w:rPr>
        <w:t>”</w:t>
      </w:r>
      <w:r>
        <w:rPr>
          <w:rFonts w:ascii="Cambria" w:hAnsi="Cambria"/>
          <w:sz w:val="24"/>
          <w:szCs w:val="24"/>
        </w:rPr>
        <w:t xml:space="preserve"> can be found</w:t>
      </w:r>
      <w:r w:rsidR="00256C1B">
        <w:rPr>
          <w:rFonts w:ascii="Cambria" w:hAnsi="Cambria"/>
          <w:sz w:val="24"/>
          <w:szCs w:val="24"/>
        </w:rPr>
        <w:t xml:space="preserve"> in the </w:t>
      </w:r>
      <w:r w:rsidR="00256C1B" w:rsidRPr="00B47422">
        <w:rPr>
          <w:rFonts w:ascii="Cambria" w:hAnsi="Cambria"/>
          <w:i/>
          <w:sz w:val="24"/>
          <w:szCs w:val="24"/>
        </w:rPr>
        <w:t xml:space="preserve">“Introduction Guide – UNDP Project Closure Workbench in Atlas” </w:t>
      </w:r>
      <w:r w:rsidR="006471BF">
        <w:rPr>
          <w:rFonts w:ascii="Cambria" w:hAnsi="Cambria"/>
          <w:sz w:val="24"/>
          <w:szCs w:val="24"/>
        </w:rPr>
        <w:t xml:space="preserve">located </w:t>
      </w:r>
      <w:r w:rsidR="00256C1B" w:rsidRPr="003121F6">
        <w:rPr>
          <w:rFonts w:ascii="Cambria" w:hAnsi="Cambria"/>
          <w:sz w:val="24"/>
          <w:szCs w:val="24"/>
        </w:rPr>
        <w:t>at the Project Closure page</w:t>
      </w:r>
      <w:r>
        <w:rPr>
          <w:rFonts w:ascii="Cambria" w:hAnsi="Cambria"/>
          <w:sz w:val="24"/>
          <w:szCs w:val="24"/>
        </w:rPr>
        <w:t xml:space="preserve"> </w:t>
      </w:r>
      <w:r w:rsidR="00957162">
        <w:rPr>
          <w:rFonts w:ascii="Cambria" w:hAnsi="Cambria"/>
          <w:sz w:val="24"/>
          <w:szCs w:val="24"/>
        </w:rPr>
        <w:t>(</w:t>
      </w:r>
      <w:hyperlink r:id="rId19" w:history="1">
        <w:r w:rsidR="00957162" w:rsidRPr="00957162">
          <w:rPr>
            <w:rStyle w:val="Hyperlink"/>
            <w:rFonts w:ascii="Cambria" w:hAnsi="Cambria"/>
            <w:sz w:val="24"/>
            <w:szCs w:val="24"/>
          </w:rPr>
          <w:t>Click here</w:t>
        </w:r>
      </w:hyperlink>
      <w:r w:rsidR="00957162">
        <w:rPr>
          <w:rFonts w:ascii="Cambria" w:hAnsi="Cambria"/>
          <w:sz w:val="24"/>
          <w:szCs w:val="24"/>
        </w:rPr>
        <w:t>)</w:t>
      </w:r>
      <w:r>
        <w:rPr>
          <w:rFonts w:ascii="Cambria" w:hAnsi="Cambria"/>
          <w:sz w:val="24"/>
          <w:szCs w:val="24"/>
        </w:rPr>
        <w:t xml:space="preserve">.  </w:t>
      </w:r>
      <w:r w:rsidR="0051454F">
        <w:rPr>
          <w:rFonts w:ascii="Cambria" w:hAnsi="Cambria"/>
          <w:sz w:val="24"/>
          <w:szCs w:val="24"/>
        </w:rPr>
        <w:t xml:space="preserve">Refer </w:t>
      </w:r>
      <w:r>
        <w:rPr>
          <w:rFonts w:ascii="Cambria" w:hAnsi="Cambria"/>
          <w:sz w:val="24"/>
          <w:szCs w:val="24"/>
        </w:rPr>
        <w:t xml:space="preserve">in particular </w:t>
      </w:r>
      <w:r w:rsidR="0051454F">
        <w:rPr>
          <w:rFonts w:ascii="Cambria" w:hAnsi="Cambria"/>
          <w:sz w:val="24"/>
          <w:szCs w:val="24"/>
        </w:rPr>
        <w:t xml:space="preserve">to </w:t>
      </w:r>
      <w:r>
        <w:rPr>
          <w:rFonts w:ascii="Cambria" w:hAnsi="Cambria"/>
          <w:sz w:val="24"/>
          <w:szCs w:val="24"/>
        </w:rPr>
        <w:t>pages 4, 7-8 and Annexes 3 &amp; 4 “Operational Closure Checklist”</w:t>
      </w:r>
      <w:r w:rsidR="00957162">
        <w:rPr>
          <w:rFonts w:ascii="Cambria" w:hAnsi="Cambria"/>
          <w:sz w:val="24"/>
          <w:szCs w:val="24"/>
        </w:rPr>
        <w:t xml:space="preserve"> (</w:t>
      </w:r>
      <w:hyperlink r:id="rId20" w:history="1">
        <w:r w:rsidR="00957162" w:rsidRPr="00957162">
          <w:rPr>
            <w:rStyle w:val="Hyperlink"/>
            <w:rFonts w:ascii="Cambria" w:hAnsi="Cambria"/>
            <w:sz w:val="24"/>
            <w:szCs w:val="24"/>
          </w:rPr>
          <w:t>Click here</w:t>
        </w:r>
      </w:hyperlink>
      <w:r w:rsidR="00957162">
        <w:rPr>
          <w:rFonts w:ascii="Cambria" w:hAnsi="Cambria"/>
          <w:sz w:val="24"/>
          <w:szCs w:val="24"/>
        </w:rPr>
        <w:t>)</w:t>
      </w:r>
      <w:r>
        <w:rPr>
          <w:rFonts w:ascii="Cambria" w:hAnsi="Cambria"/>
          <w:sz w:val="24"/>
          <w:szCs w:val="24"/>
        </w:rPr>
        <w:t xml:space="preserve">.  </w:t>
      </w:r>
    </w:p>
    <w:p w14:paraId="197418C0" w14:textId="65A221AD" w:rsidR="002260C8" w:rsidRPr="002260C8" w:rsidRDefault="001A12AF" w:rsidP="00980518">
      <w:pPr>
        <w:jc w:val="both"/>
        <w:rPr>
          <w:rFonts w:ascii="Cambria" w:hAnsi="Cambria"/>
          <w:sz w:val="24"/>
          <w:szCs w:val="24"/>
        </w:rPr>
      </w:pPr>
      <w:r w:rsidRPr="002260C8">
        <w:rPr>
          <w:rFonts w:ascii="Cambria" w:hAnsi="Cambria"/>
          <w:sz w:val="24"/>
          <w:szCs w:val="24"/>
        </w:rPr>
        <w:t xml:space="preserve">The Project Closure </w:t>
      </w:r>
      <w:r w:rsidR="002260C8" w:rsidRPr="002260C8">
        <w:rPr>
          <w:rFonts w:ascii="Cambria" w:hAnsi="Cambria"/>
          <w:sz w:val="24"/>
          <w:szCs w:val="24"/>
        </w:rPr>
        <w:t xml:space="preserve">Workbench can be accessed </w:t>
      </w:r>
      <w:r w:rsidR="00DC2E0C">
        <w:rPr>
          <w:rFonts w:ascii="Cambria" w:hAnsi="Cambria"/>
          <w:sz w:val="24"/>
          <w:szCs w:val="24"/>
        </w:rPr>
        <w:t xml:space="preserve">in Atlas </w:t>
      </w:r>
      <w:r w:rsidR="002260C8" w:rsidRPr="002260C8">
        <w:rPr>
          <w:rFonts w:ascii="Cambria" w:hAnsi="Cambria"/>
          <w:sz w:val="24"/>
          <w:szCs w:val="24"/>
        </w:rPr>
        <w:t>via Grants &gt; Project Management &gt; UNDP Project Closure Workbench &gt; Project Closure Manager Page</w:t>
      </w:r>
      <w:r w:rsidR="00957162">
        <w:rPr>
          <w:rFonts w:ascii="Cambria" w:hAnsi="Cambria"/>
          <w:sz w:val="24"/>
          <w:szCs w:val="24"/>
        </w:rPr>
        <w:t xml:space="preserve"> (</w:t>
      </w:r>
      <w:hyperlink r:id="rId21" w:history="1">
        <w:r w:rsidR="00957162" w:rsidRPr="00957162">
          <w:rPr>
            <w:rStyle w:val="Hyperlink"/>
            <w:rFonts w:ascii="Cambria" w:hAnsi="Cambria"/>
            <w:sz w:val="24"/>
            <w:szCs w:val="24"/>
          </w:rPr>
          <w:t>Click here</w:t>
        </w:r>
      </w:hyperlink>
      <w:r w:rsidR="00957162">
        <w:rPr>
          <w:rFonts w:ascii="Cambria" w:hAnsi="Cambria"/>
          <w:sz w:val="24"/>
          <w:szCs w:val="24"/>
        </w:rPr>
        <w:t>)</w:t>
      </w:r>
      <w:r w:rsidR="002260C8">
        <w:rPr>
          <w:rFonts w:ascii="Cambria" w:hAnsi="Cambria"/>
          <w:sz w:val="24"/>
          <w:szCs w:val="24"/>
        </w:rPr>
        <w:t>.</w:t>
      </w:r>
    </w:p>
    <w:p w14:paraId="3AD5F16D" w14:textId="4B2C41CF" w:rsidR="003121F6" w:rsidRDefault="003121F6" w:rsidP="00980518">
      <w:pPr>
        <w:jc w:val="both"/>
        <w:rPr>
          <w:rFonts w:ascii="Cambria" w:hAnsi="Cambria"/>
          <w:sz w:val="24"/>
          <w:szCs w:val="24"/>
        </w:rPr>
      </w:pPr>
      <w:r>
        <w:rPr>
          <w:rFonts w:ascii="Cambria" w:hAnsi="Cambria"/>
          <w:sz w:val="24"/>
          <w:szCs w:val="24"/>
        </w:rPr>
        <w:t xml:space="preserve">Completion of the </w:t>
      </w:r>
      <w:hyperlink r:id="rId22" w:history="1">
        <w:r w:rsidR="00222B6D" w:rsidRPr="00BD0334">
          <w:rPr>
            <w:rStyle w:val="Hyperlink"/>
            <w:rFonts w:ascii="Cambria" w:hAnsi="Cambria"/>
            <w:sz w:val="24"/>
            <w:szCs w:val="24"/>
          </w:rPr>
          <w:t>Project Completion Check List</w:t>
        </w:r>
      </w:hyperlink>
      <w:r w:rsidR="00222B6D">
        <w:rPr>
          <w:rFonts w:ascii="Cambria" w:hAnsi="Cambria"/>
          <w:b/>
          <w:i/>
          <w:sz w:val="24"/>
          <w:szCs w:val="24"/>
        </w:rPr>
        <w:t xml:space="preserve"> and </w:t>
      </w:r>
      <w:hyperlink r:id="rId23" w:history="1">
        <w:r w:rsidR="00222B6D" w:rsidRPr="00222B6D">
          <w:rPr>
            <w:rStyle w:val="Hyperlink"/>
            <w:rFonts w:ascii="Cambria" w:hAnsi="Cambria"/>
            <w:sz w:val="24"/>
            <w:szCs w:val="24"/>
          </w:rPr>
          <w:t>Trust Fund Completion Check</w:t>
        </w:r>
        <w:r w:rsidR="00222B6D">
          <w:rPr>
            <w:rStyle w:val="Hyperlink"/>
            <w:rFonts w:ascii="Cambria" w:hAnsi="Cambria"/>
            <w:sz w:val="24"/>
            <w:szCs w:val="24"/>
          </w:rPr>
          <w:t xml:space="preserve"> L</w:t>
        </w:r>
        <w:r w:rsidR="00222B6D" w:rsidRPr="00222B6D">
          <w:rPr>
            <w:rStyle w:val="Hyperlink"/>
            <w:rFonts w:ascii="Cambria" w:hAnsi="Cambria"/>
            <w:sz w:val="24"/>
            <w:szCs w:val="24"/>
          </w:rPr>
          <w:t>ist</w:t>
        </w:r>
      </w:hyperlink>
      <w:r>
        <w:rPr>
          <w:rFonts w:ascii="Cambria" w:hAnsi="Cambria"/>
          <w:sz w:val="24"/>
          <w:szCs w:val="24"/>
        </w:rPr>
        <w:t xml:space="preserve"> lay the foundation for the Financial Closure of the project to follow.  A check of the Output Financials (Cash funds) and (Allocation Funds) is recommended at this stage </w:t>
      </w:r>
      <w:r w:rsidR="00AD3B9E">
        <w:rPr>
          <w:rFonts w:ascii="Cambria" w:hAnsi="Cambria"/>
          <w:sz w:val="24"/>
          <w:szCs w:val="24"/>
        </w:rPr>
        <w:t>to ensure that these are consistent</w:t>
      </w:r>
      <w:r>
        <w:rPr>
          <w:rFonts w:ascii="Cambria" w:hAnsi="Cambria"/>
          <w:sz w:val="24"/>
          <w:szCs w:val="24"/>
        </w:rPr>
        <w:t xml:space="preserve"> with the funding sources f</w:t>
      </w:r>
      <w:r w:rsidR="00DC2E0C">
        <w:rPr>
          <w:rFonts w:ascii="Cambria" w:hAnsi="Cambria"/>
          <w:sz w:val="24"/>
          <w:szCs w:val="24"/>
        </w:rPr>
        <w:t>or the project, e.g.</w:t>
      </w:r>
      <w:r w:rsidR="00107197">
        <w:rPr>
          <w:rFonts w:ascii="Cambria" w:hAnsi="Cambria"/>
          <w:sz w:val="24"/>
          <w:szCs w:val="24"/>
        </w:rPr>
        <w:t>, mis</w:t>
      </w:r>
      <w:r w:rsidR="002D425E">
        <w:rPr>
          <w:rFonts w:ascii="Cambria" w:hAnsi="Cambria"/>
          <w:sz w:val="24"/>
          <w:szCs w:val="24"/>
        </w:rPr>
        <w:t>coding</w:t>
      </w:r>
      <w:r w:rsidR="00DC2E0C">
        <w:rPr>
          <w:rFonts w:ascii="Cambria" w:hAnsi="Cambria"/>
          <w:sz w:val="24"/>
          <w:szCs w:val="24"/>
        </w:rPr>
        <w:t xml:space="preserve"> of funds/donors,</w:t>
      </w:r>
      <w:r w:rsidR="00107197">
        <w:rPr>
          <w:rFonts w:ascii="Cambria" w:hAnsi="Cambria"/>
          <w:sz w:val="24"/>
          <w:szCs w:val="24"/>
        </w:rPr>
        <w:t xml:space="preserve"> etc. that may need correction.  </w:t>
      </w:r>
      <w:r>
        <w:rPr>
          <w:rFonts w:ascii="Cambria" w:hAnsi="Cambria"/>
          <w:sz w:val="24"/>
          <w:szCs w:val="24"/>
        </w:rPr>
        <w:t xml:space="preserve"> </w:t>
      </w:r>
    </w:p>
    <w:p w14:paraId="3C9BA4D6" w14:textId="146963C9" w:rsidR="00256C1B" w:rsidRPr="004D3983" w:rsidRDefault="008F088A" w:rsidP="004D3983">
      <w:pPr>
        <w:pStyle w:val="Heading1"/>
        <w:rPr>
          <w:u w:val="single"/>
        </w:rPr>
      </w:pPr>
      <w:bookmarkStart w:id="15" w:name="_Toc51944973"/>
      <w:r>
        <w:rPr>
          <w:u w:val="single"/>
        </w:rPr>
        <w:lastRenderedPageBreak/>
        <w:t>5.0 FINANCIAL</w:t>
      </w:r>
      <w:r w:rsidR="003121F6" w:rsidRPr="004D3983">
        <w:rPr>
          <w:u w:val="single"/>
        </w:rPr>
        <w:t xml:space="preserve"> Closure</w:t>
      </w:r>
      <w:bookmarkEnd w:id="15"/>
    </w:p>
    <w:p w14:paraId="3A0F6F19" w14:textId="55FB5623" w:rsidR="009A643D" w:rsidRPr="00222B6D" w:rsidRDefault="00BF427B" w:rsidP="00980518">
      <w:pPr>
        <w:autoSpaceDE w:val="0"/>
        <w:autoSpaceDN w:val="0"/>
        <w:spacing w:before="100" w:beforeAutospacing="1" w:after="100" w:afterAutospacing="1"/>
        <w:jc w:val="both"/>
        <w:rPr>
          <w:rFonts w:ascii="Cambria" w:hAnsi="Cambria"/>
          <w:sz w:val="24"/>
          <w:szCs w:val="24"/>
        </w:rPr>
      </w:pPr>
      <w:r w:rsidRPr="00222B6D">
        <w:rPr>
          <w:rFonts w:ascii="Cambria" w:hAnsi="Cambria"/>
          <w:sz w:val="24"/>
          <w:szCs w:val="24"/>
        </w:rPr>
        <w:t xml:space="preserve">In </w:t>
      </w:r>
      <w:r w:rsidR="00396B24" w:rsidRPr="00222B6D">
        <w:rPr>
          <w:rFonts w:ascii="Cambria" w:hAnsi="Cambria"/>
          <w:sz w:val="24"/>
          <w:szCs w:val="24"/>
        </w:rPr>
        <w:t xml:space="preserve">financially </w:t>
      </w:r>
      <w:r w:rsidRPr="00222B6D">
        <w:rPr>
          <w:rFonts w:ascii="Cambria" w:hAnsi="Cambria"/>
          <w:sz w:val="24"/>
          <w:szCs w:val="24"/>
        </w:rPr>
        <w:t>closing a</w:t>
      </w:r>
      <w:r w:rsidR="009A643D" w:rsidRPr="00222B6D">
        <w:rPr>
          <w:rFonts w:ascii="Cambria" w:hAnsi="Cambria"/>
          <w:sz w:val="24"/>
          <w:szCs w:val="24"/>
        </w:rPr>
        <w:t xml:space="preserve"> project budget</w:t>
      </w:r>
      <w:r w:rsidRPr="00222B6D">
        <w:rPr>
          <w:rFonts w:ascii="Cambria" w:hAnsi="Cambria"/>
          <w:sz w:val="24"/>
          <w:szCs w:val="24"/>
        </w:rPr>
        <w:t xml:space="preserve"> it is important to note that the process</w:t>
      </w:r>
      <w:r w:rsidR="009A643D" w:rsidRPr="00222B6D">
        <w:rPr>
          <w:rFonts w:ascii="Cambria" w:hAnsi="Cambria"/>
          <w:sz w:val="24"/>
          <w:szCs w:val="24"/>
        </w:rPr>
        <w:t xml:space="preserve"> includes not only revenue and expense</w:t>
      </w:r>
      <w:r w:rsidRPr="00222B6D">
        <w:rPr>
          <w:rFonts w:ascii="Cambria" w:hAnsi="Cambria"/>
          <w:sz w:val="24"/>
          <w:szCs w:val="24"/>
        </w:rPr>
        <w:t xml:space="preserve"> items, but</w:t>
      </w:r>
      <w:r w:rsidR="00107197" w:rsidRPr="00222B6D">
        <w:rPr>
          <w:rFonts w:ascii="Cambria" w:hAnsi="Cambria"/>
          <w:sz w:val="24"/>
          <w:szCs w:val="24"/>
        </w:rPr>
        <w:t xml:space="preserve"> also</w:t>
      </w:r>
      <w:r w:rsidRPr="00222B6D">
        <w:rPr>
          <w:rFonts w:ascii="Cambria" w:hAnsi="Cambria"/>
          <w:sz w:val="24"/>
          <w:szCs w:val="24"/>
        </w:rPr>
        <w:t xml:space="preserve"> balance sheet</w:t>
      </w:r>
      <w:r w:rsidR="009A643D" w:rsidRPr="00222B6D">
        <w:rPr>
          <w:rFonts w:ascii="Cambria" w:hAnsi="Cambria"/>
          <w:sz w:val="24"/>
          <w:szCs w:val="24"/>
        </w:rPr>
        <w:t xml:space="preserve"> items</w:t>
      </w:r>
      <w:r w:rsidRPr="00222B6D">
        <w:rPr>
          <w:rFonts w:ascii="Cambria" w:hAnsi="Cambria"/>
          <w:sz w:val="24"/>
          <w:szCs w:val="24"/>
        </w:rPr>
        <w:t xml:space="preserve"> (</w:t>
      </w:r>
      <w:r w:rsidR="0012553B" w:rsidRPr="00222B6D">
        <w:rPr>
          <w:rFonts w:ascii="Cambria" w:hAnsi="Cambria"/>
          <w:sz w:val="24"/>
          <w:szCs w:val="24"/>
        </w:rPr>
        <w:t xml:space="preserve">i.e. </w:t>
      </w:r>
      <w:r w:rsidRPr="00222B6D">
        <w:rPr>
          <w:rFonts w:ascii="Cambria" w:hAnsi="Cambria"/>
          <w:sz w:val="24"/>
          <w:szCs w:val="24"/>
        </w:rPr>
        <w:t>assets; liabilities; and fund balance)</w:t>
      </w:r>
      <w:r w:rsidR="009A643D" w:rsidRPr="00222B6D">
        <w:rPr>
          <w:rFonts w:ascii="Cambria" w:hAnsi="Cambria"/>
          <w:sz w:val="24"/>
          <w:szCs w:val="24"/>
        </w:rPr>
        <w:t xml:space="preserve"> that must be cleared before the project can be closed.  It is </w:t>
      </w:r>
      <w:r w:rsidR="009A643D" w:rsidRPr="00222B6D">
        <w:rPr>
          <w:rFonts w:ascii="Cambria" w:hAnsi="Cambria"/>
          <w:sz w:val="24"/>
          <w:szCs w:val="24"/>
          <w:u w:val="single"/>
        </w:rPr>
        <w:t>NOT sufficient</w:t>
      </w:r>
      <w:r w:rsidR="009A643D" w:rsidRPr="00222B6D">
        <w:rPr>
          <w:rFonts w:ascii="Cambria" w:hAnsi="Cambria"/>
          <w:sz w:val="24"/>
          <w:szCs w:val="24"/>
        </w:rPr>
        <w:t xml:space="preserve"> to simply deduct the </w:t>
      </w:r>
      <w:r w:rsidRPr="00222B6D">
        <w:rPr>
          <w:rFonts w:ascii="Cambria" w:hAnsi="Cambria"/>
          <w:sz w:val="24"/>
          <w:szCs w:val="24"/>
        </w:rPr>
        <w:t xml:space="preserve">total </w:t>
      </w:r>
      <w:r w:rsidR="009A643D" w:rsidRPr="00222B6D">
        <w:rPr>
          <w:rFonts w:ascii="Cambria" w:hAnsi="Cambria"/>
          <w:sz w:val="24"/>
          <w:szCs w:val="24"/>
        </w:rPr>
        <w:t>expenses (</w:t>
      </w:r>
      <w:r w:rsidRPr="00222B6D">
        <w:rPr>
          <w:rFonts w:ascii="Cambria" w:hAnsi="Cambria"/>
          <w:sz w:val="24"/>
          <w:szCs w:val="24"/>
        </w:rPr>
        <w:t xml:space="preserve">accounts </w:t>
      </w:r>
      <w:r w:rsidR="009A643D" w:rsidRPr="00222B6D">
        <w:rPr>
          <w:rFonts w:ascii="Cambria" w:hAnsi="Cambria"/>
          <w:sz w:val="24"/>
          <w:szCs w:val="24"/>
        </w:rPr>
        <w:t xml:space="preserve">6xxxx +7xxxx) from the </w:t>
      </w:r>
      <w:r w:rsidRPr="00222B6D">
        <w:rPr>
          <w:rFonts w:ascii="Cambria" w:hAnsi="Cambria"/>
          <w:sz w:val="24"/>
          <w:szCs w:val="24"/>
        </w:rPr>
        <w:t xml:space="preserve">total </w:t>
      </w:r>
      <w:r w:rsidR="009A643D" w:rsidRPr="00222B6D">
        <w:rPr>
          <w:rFonts w:ascii="Cambria" w:hAnsi="Cambria"/>
          <w:sz w:val="24"/>
          <w:szCs w:val="24"/>
        </w:rPr>
        <w:t>revenue (</w:t>
      </w:r>
      <w:r w:rsidRPr="00222B6D">
        <w:rPr>
          <w:rFonts w:ascii="Cambria" w:hAnsi="Cambria"/>
          <w:sz w:val="24"/>
          <w:szCs w:val="24"/>
        </w:rPr>
        <w:t xml:space="preserve">accounts </w:t>
      </w:r>
      <w:r w:rsidR="009A643D" w:rsidRPr="00222B6D">
        <w:rPr>
          <w:rFonts w:ascii="Cambria" w:hAnsi="Cambria"/>
          <w:sz w:val="24"/>
          <w:szCs w:val="24"/>
        </w:rPr>
        <w:t>5xxxx) and conclude that it equals the project fund balance</w:t>
      </w:r>
      <w:r w:rsidRPr="00222B6D">
        <w:rPr>
          <w:rFonts w:ascii="Cambria" w:hAnsi="Cambria"/>
          <w:sz w:val="24"/>
          <w:szCs w:val="24"/>
        </w:rPr>
        <w:t>.  Assets (accounts</w:t>
      </w:r>
      <w:r w:rsidR="009A643D" w:rsidRPr="00222B6D">
        <w:rPr>
          <w:rFonts w:ascii="Cambria" w:hAnsi="Cambria"/>
          <w:sz w:val="24"/>
          <w:szCs w:val="24"/>
        </w:rPr>
        <w:t xml:space="preserve"> </w:t>
      </w:r>
      <w:r w:rsidRPr="00222B6D">
        <w:rPr>
          <w:rFonts w:ascii="Cambria" w:hAnsi="Cambria"/>
          <w:sz w:val="24"/>
          <w:szCs w:val="24"/>
        </w:rPr>
        <w:t xml:space="preserve">1xxxx) and </w:t>
      </w:r>
      <w:r w:rsidR="009A643D" w:rsidRPr="00222B6D">
        <w:rPr>
          <w:rFonts w:ascii="Cambria" w:hAnsi="Cambria"/>
          <w:sz w:val="24"/>
          <w:szCs w:val="24"/>
        </w:rPr>
        <w:t>Liabilities (</w:t>
      </w:r>
      <w:r w:rsidRPr="00222B6D">
        <w:rPr>
          <w:rFonts w:ascii="Cambria" w:hAnsi="Cambria"/>
          <w:sz w:val="24"/>
          <w:szCs w:val="24"/>
        </w:rPr>
        <w:t>accounts 2xxxx)</w:t>
      </w:r>
      <w:r w:rsidR="009A643D" w:rsidRPr="00222B6D">
        <w:rPr>
          <w:rFonts w:ascii="Cambria" w:hAnsi="Cambria"/>
          <w:sz w:val="24"/>
          <w:szCs w:val="24"/>
        </w:rPr>
        <w:t xml:space="preserve"> must be cleared before the </w:t>
      </w:r>
      <w:r w:rsidRPr="00222B6D">
        <w:rPr>
          <w:rFonts w:ascii="Cambria" w:hAnsi="Cambria"/>
          <w:sz w:val="24"/>
          <w:szCs w:val="24"/>
        </w:rPr>
        <w:t>fund balance</w:t>
      </w:r>
      <w:r w:rsidR="0084623B" w:rsidRPr="00222B6D">
        <w:rPr>
          <w:rFonts w:ascii="Cambria" w:hAnsi="Cambria"/>
          <w:sz w:val="24"/>
          <w:szCs w:val="24"/>
        </w:rPr>
        <w:t xml:space="preserve"> c</w:t>
      </w:r>
      <w:r w:rsidRPr="00222B6D">
        <w:rPr>
          <w:rFonts w:ascii="Cambria" w:hAnsi="Cambria"/>
          <w:sz w:val="24"/>
          <w:szCs w:val="24"/>
        </w:rPr>
        <w:t xml:space="preserve">an be disposed of and </w:t>
      </w:r>
      <w:r w:rsidR="00AD3B9E" w:rsidRPr="00222B6D">
        <w:rPr>
          <w:rFonts w:ascii="Cambria" w:hAnsi="Cambria"/>
          <w:sz w:val="24"/>
          <w:szCs w:val="24"/>
        </w:rPr>
        <w:t xml:space="preserve">the </w:t>
      </w:r>
      <w:r w:rsidRPr="00222B6D">
        <w:rPr>
          <w:rFonts w:ascii="Cambria" w:hAnsi="Cambria"/>
          <w:sz w:val="24"/>
          <w:szCs w:val="24"/>
        </w:rPr>
        <w:t xml:space="preserve">project </w:t>
      </w:r>
      <w:r w:rsidR="009A643D" w:rsidRPr="00222B6D">
        <w:rPr>
          <w:rFonts w:ascii="Cambria" w:hAnsi="Cambria"/>
          <w:sz w:val="24"/>
          <w:szCs w:val="24"/>
        </w:rPr>
        <w:t>clo</w:t>
      </w:r>
      <w:r w:rsidRPr="00222B6D">
        <w:rPr>
          <w:rFonts w:ascii="Cambria" w:hAnsi="Cambria"/>
          <w:sz w:val="24"/>
          <w:szCs w:val="24"/>
        </w:rPr>
        <w:t>sed.</w:t>
      </w:r>
      <w:r w:rsidR="00331583" w:rsidRPr="00222B6D">
        <w:rPr>
          <w:rFonts w:ascii="Cambria" w:hAnsi="Cambria"/>
          <w:sz w:val="24"/>
          <w:szCs w:val="24"/>
        </w:rPr>
        <w:t xml:space="preserve">  A</w:t>
      </w:r>
      <w:r w:rsidR="00FA2E29" w:rsidRPr="00222B6D">
        <w:rPr>
          <w:rFonts w:ascii="Cambria" w:hAnsi="Cambria"/>
          <w:sz w:val="24"/>
          <w:szCs w:val="24"/>
        </w:rPr>
        <w:t>n</w:t>
      </w:r>
      <w:r w:rsidR="00825FF3" w:rsidRPr="00222B6D">
        <w:rPr>
          <w:rFonts w:ascii="Cambria" w:hAnsi="Cambria"/>
          <w:sz w:val="24"/>
          <w:szCs w:val="24"/>
        </w:rPr>
        <w:t xml:space="preserve"> </w:t>
      </w:r>
      <w:r w:rsidR="00331583" w:rsidRPr="00222B6D">
        <w:rPr>
          <w:rFonts w:ascii="Cambria" w:hAnsi="Cambria"/>
          <w:sz w:val="24"/>
          <w:szCs w:val="24"/>
        </w:rPr>
        <w:t xml:space="preserve">annotated </w:t>
      </w:r>
      <w:r w:rsidR="00825FF3" w:rsidRPr="00222B6D">
        <w:rPr>
          <w:rFonts w:ascii="Cambria" w:hAnsi="Cambria"/>
          <w:sz w:val="24"/>
          <w:szCs w:val="24"/>
        </w:rPr>
        <w:t>list</w:t>
      </w:r>
      <w:r w:rsidR="00331583" w:rsidRPr="00222B6D">
        <w:rPr>
          <w:rFonts w:ascii="Cambria" w:hAnsi="Cambria"/>
          <w:sz w:val="24"/>
          <w:szCs w:val="24"/>
        </w:rPr>
        <w:t xml:space="preserve"> of UNDP’s accounts is attached </w:t>
      </w:r>
      <w:r w:rsidR="00FA2E29" w:rsidRPr="00222B6D">
        <w:rPr>
          <w:rFonts w:ascii="Cambria" w:hAnsi="Cambria"/>
          <w:b/>
          <w:sz w:val="24"/>
          <w:szCs w:val="24"/>
        </w:rPr>
        <w:t xml:space="preserve">(Annex </w:t>
      </w:r>
      <w:r w:rsidR="00BD0334">
        <w:rPr>
          <w:rFonts w:ascii="Cambria" w:hAnsi="Cambria"/>
          <w:b/>
          <w:sz w:val="24"/>
          <w:szCs w:val="24"/>
        </w:rPr>
        <w:t>2</w:t>
      </w:r>
      <w:r w:rsidR="00FA2E29" w:rsidRPr="00222B6D">
        <w:rPr>
          <w:rFonts w:ascii="Cambria" w:hAnsi="Cambria"/>
          <w:b/>
          <w:sz w:val="24"/>
          <w:szCs w:val="24"/>
        </w:rPr>
        <w:t>)</w:t>
      </w:r>
      <w:r w:rsidR="00FA2E29" w:rsidRPr="00222B6D">
        <w:rPr>
          <w:rFonts w:ascii="Cambria" w:hAnsi="Cambria"/>
          <w:color w:val="FF0000"/>
          <w:sz w:val="24"/>
          <w:szCs w:val="24"/>
        </w:rPr>
        <w:t xml:space="preserve"> </w:t>
      </w:r>
      <w:r w:rsidR="00331583" w:rsidRPr="00222B6D">
        <w:rPr>
          <w:rFonts w:ascii="Cambria" w:hAnsi="Cambria"/>
          <w:sz w:val="24"/>
          <w:szCs w:val="24"/>
        </w:rPr>
        <w:t>showing restricted accounts; valid</w:t>
      </w:r>
      <w:r w:rsidR="00FA2E29" w:rsidRPr="00222B6D">
        <w:rPr>
          <w:rFonts w:ascii="Cambria" w:hAnsi="Cambria"/>
          <w:sz w:val="24"/>
          <w:szCs w:val="24"/>
        </w:rPr>
        <w:t xml:space="preserve"> and</w:t>
      </w:r>
      <w:r w:rsidR="00331583" w:rsidRPr="00222B6D">
        <w:rPr>
          <w:rFonts w:ascii="Cambria" w:hAnsi="Cambria"/>
          <w:sz w:val="24"/>
          <w:szCs w:val="24"/>
        </w:rPr>
        <w:t xml:space="preserve"> invalid</w:t>
      </w:r>
      <w:r w:rsidR="00FA2E29" w:rsidRPr="00222B6D">
        <w:rPr>
          <w:rFonts w:ascii="Cambria" w:hAnsi="Cambria"/>
          <w:sz w:val="24"/>
          <w:szCs w:val="24"/>
        </w:rPr>
        <w:t xml:space="preserve"> accounts</w:t>
      </w:r>
      <w:r w:rsidR="006471BF">
        <w:rPr>
          <w:rFonts w:ascii="Cambria" w:hAnsi="Cambria"/>
          <w:sz w:val="24"/>
          <w:szCs w:val="24"/>
        </w:rPr>
        <w:t>;</w:t>
      </w:r>
      <w:r w:rsidR="00FA2E29" w:rsidRPr="00222B6D">
        <w:rPr>
          <w:rFonts w:ascii="Cambria" w:hAnsi="Cambria"/>
          <w:sz w:val="24"/>
          <w:szCs w:val="24"/>
        </w:rPr>
        <w:t xml:space="preserve"> as well as a separate annotated page of the key accounts in clearing the balance sheet. </w:t>
      </w:r>
      <w:r w:rsidR="00331583" w:rsidRPr="00222B6D">
        <w:rPr>
          <w:rFonts w:ascii="Cambria" w:hAnsi="Cambria"/>
          <w:sz w:val="24"/>
          <w:szCs w:val="24"/>
        </w:rPr>
        <w:t xml:space="preserve"> </w:t>
      </w:r>
      <w:r w:rsidR="00001854" w:rsidRPr="00222B6D">
        <w:rPr>
          <w:rFonts w:ascii="Cambria" w:hAnsi="Cambria"/>
          <w:sz w:val="24"/>
          <w:szCs w:val="24"/>
        </w:rPr>
        <w:t xml:space="preserve">This annotated list of UNDP’s accounts can be run from Atlas Query </w:t>
      </w:r>
      <w:r w:rsidR="00001854" w:rsidRPr="00222B6D">
        <w:rPr>
          <w:rFonts w:ascii="Cambria" w:hAnsi="Cambria"/>
          <w:b/>
          <w:sz w:val="24"/>
          <w:szCs w:val="24"/>
        </w:rPr>
        <w:t>UN_GL_ACCOUNT_TBL_STATUS</w:t>
      </w:r>
      <w:r w:rsidR="00001854" w:rsidRPr="00222B6D">
        <w:rPr>
          <w:rFonts w:ascii="Cambria" w:hAnsi="Cambria"/>
          <w:sz w:val="24"/>
          <w:szCs w:val="24"/>
        </w:rPr>
        <w:t>.</w:t>
      </w:r>
      <w:r w:rsidR="00825FF3" w:rsidRPr="00222B6D">
        <w:rPr>
          <w:rFonts w:ascii="Cambria" w:hAnsi="Cambria"/>
          <w:sz w:val="24"/>
          <w:szCs w:val="24"/>
        </w:rPr>
        <w:t xml:space="preserve">  Those accounts that are no longer active are labeled “I” in the “Status” column and shaded red.  </w:t>
      </w:r>
      <w:r w:rsidR="00001854" w:rsidRPr="00222B6D">
        <w:rPr>
          <w:rFonts w:ascii="Cambria" w:hAnsi="Cambria"/>
          <w:sz w:val="24"/>
          <w:szCs w:val="24"/>
        </w:rPr>
        <w:t xml:space="preserve">Account codes </w:t>
      </w:r>
      <w:r w:rsidR="00825FF3" w:rsidRPr="00222B6D">
        <w:rPr>
          <w:rFonts w:ascii="Cambria" w:hAnsi="Cambria"/>
          <w:sz w:val="24"/>
          <w:szCs w:val="24"/>
        </w:rPr>
        <w:t>that have restricted access are labeled “Y” in the “Control Flag” column and shaded red.</w:t>
      </w:r>
      <w:r w:rsidR="00C94307" w:rsidRPr="00222B6D">
        <w:rPr>
          <w:rFonts w:ascii="Cambria" w:hAnsi="Cambria"/>
          <w:sz w:val="24"/>
          <w:szCs w:val="24"/>
        </w:rPr>
        <w:t xml:space="preserve">  Business units should </w:t>
      </w:r>
      <w:r w:rsidR="00C94307" w:rsidRPr="00222B6D">
        <w:rPr>
          <w:rFonts w:ascii="Cambria" w:hAnsi="Cambria"/>
          <w:b/>
          <w:i/>
          <w:sz w:val="24"/>
          <w:szCs w:val="24"/>
          <w:u w:val="single"/>
        </w:rPr>
        <w:t>not</w:t>
      </w:r>
      <w:r w:rsidR="00C94307" w:rsidRPr="00222B6D">
        <w:rPr>
          <w:rFonts w:ascii="Cambria" w:hAnsi="Cambria"/>
          <w:sz w:val="24"/>
          <w:szCs w:val="24"/>
        </w:rPr>
        <w:t xml:space="preserve"> use any of the restricted access accounts.</w:t>
      </w:r>
      <w:r w:rsidR="00825FF3" w:rsidRPr="00222B6D">
        <w:rPr>
          <w:rFonts w:ascii="Cambria" w:hAnsi="Cambria"/>
          <w:sz w:val="24"/>
          <w:szCs w:val="24"/>
        </w:rPr>
        <w:t xml:space="preserve">  </w:t>
      </w:r>
      <w:r w:rsidR="00C94307" w:rsidRPr="00222B6D">
        <w:rPr>
          <w:rFonts w:ascii="Cambria" w:hAnsi="Cambria"/>
          <w:sz w:val="24"/>
          <w:szCs w:val="24"/>
        </w:rPr>
        <w:t>If</w:t>
      </w:r>
      <w:r w:rsidR="00825FF3" w:rsidRPr="00222B6D">
        <w:rPr>
          <w:rFonts w:ascii="Cambria" w:hAnsi="Cambria"/>
          <w:sz w:val="24"/>
          <w:szCs w:val="24"/>
        </w:rPr>
        <w:t xml:space="preserve"> the project to be closed has a balance under any of these accounts, the Business Unit should </w:t>
      </w:r>
      <w:r w:rsidR="00825FF3" w:rsidRPr="0012553B">
        <w:rPr>
          <w:rFonts w:ascii="Cambria" w:hAnsi="Cambria"/>
          <w:sz w:val="24"/>
          <w:szCs w:val="24"/>
        </w:rPr>
        <w:t xml:space="preserve">contact </w:t>
      </w:r>
      <w:r w:rsidR="00DB3D86">
        <w:rPr>
          <w:rFonts w:ascii="Cambria" w:eastAsia="Times New Roman" w:hAnsi="Cambria" w:cs="Segoe UI"/>
          <w:bCs/>
          <w:sz w:val="24"/>
          <w:szCs w:val="24"/>
        </w:rPr>
        <w:t>OFM</w:t>
      </w:r>
      <w:r w:rsidR="009727CC" w:rsidRPr="0012553B">
        <w:rPr>
          <w:rFonts w:ascii="Cambria" w:hAnsi="Cambria"/>
          <w:sz w:val="24"/>
          <w:szCs w:val="24"/>
        </w:rPr>
        <w:t xml:space="preserve"> for</w:t>
      </w:r>
      <w:r w:rsidR="009727CC" w:rsidRPr="00222B6D">
        <w:rPr>
          <w:rFonts w:ascii="Cambria" w:hAnsi="Cambria"/>
          <w:sz w:val="24"/>
          <w:szCs w:val="24"/>
        </w:rPr>
        <w:t xml:space="preserve"> assistance in clearing these items.</w:t>
      </w:r>
      <w:r w:rsidR="00C94307" w:rsidRPr="00222B6D">
        <w:rPr>
          <w:rFonts w:ascii="Cambria" w:hAnsi="Cambria"/>
          <w:sz w:val="24"/>
          <w:szCs w:val="24"/>
        </w:rPr>
        <w:t xml:space="preserve"> </w:t>
      </w:r>
      <w:r w:rsidR="009727CC" w:rsidRPr="00222B6D">
        <w:rPr>
          <w:rFonts w:ascii="Cambria" w:hAnsi="Cambria"/>
          <w:sz w:val="24"/>
          <w:szCs w:val="24"/>
        </w:rPr>
        <w:t xml:space="preserve">  </w:t>
      </w:r>
      <w:r w:rsidR="00825FF3" w:rsidRPr="00222B6D">
        <w:rPr>
          <w:rFonts w:ascii="Cambria" w:hAnsi="Cambria"/>
          <w:sz w:val="24"/>
          <w:szCs w:val="24"/>
        </w:rPr>
        <w:t xml:space="preserve"> </w:t>
      </w:r>
      <w:r w:rsidRPr="00222B6D">
        <w:rPr>
          <w:rFonts w:ascii="Cambria" w:hAnsi="Cambria"/>
          <w:sz w:val="24"/>
          <w:szCs w:val="24"/>
        </w:rPr>
        <w:t xml:space="preserve">  </w:t>
      </w:r>
    </w:p>
    <w:p w14:paraId="65DDDC0E" w14:textId="77777777" w:rsidR="007464B7" w:rsidRDefault="000D1574" w:rsidP="00980518">
      <w:pPr>
        <w:pStyle w:val="NormalWeb"/>
        <w:jc w:val="both"/>
        <w:rPr>
          <w:rFonts w:ascii="Cambria" w:hAnsi="Cambria"/>
        </w:rPr>
        <w:sectPr w:rsidR="007464B7" w:rsidSect="00E5285F">
          <w:footerReference w:type="default" r:id="rId24"/>
          <w:pgSz w:w="12240" w:h="15840"/>
          <w:pgMar w:top="1440" w:right="1440" w:bottom="1440" w:left="1080" w:header="720" w:footer="720" w:gutter="0"/>
          <w:cols w:space="720"/>
          <w:docGrid w:linePitch="360"/>
        </w:sectPr>
      </w:pPr>
      <w:r>
        <w:rPr>
          <w:rFonts w:ascii="Cambria" w:hAnsi="Cambria"/>
        </w:rPr>
        <w:t>It is important to note that resource balances may be from multiple funding sources within one project.  For examp</w:t>
      </w:r>
      <w:r w:rsidR="00AD3B9E">
        <w:rPr>
          <w:rFonts w:ascii="Cambria" w:hAnsi="Cambria"/>
        </w:rPr>
        <w:t>le, a project may be funded by Allocation Funds</w:t>
      </w:r>
      <w:r>
        <w:rPr>
          <w:rFonts w:ascii="Cambria" w:hAnsi="Cambria"/>
        </w:rPr>
        <w:t xml:space="preserve"> (non-cash) from TRAC resource</w:t>
      </w:r>
      <w:r w:rsidR="00CE475D">
        <w:rPr>
          <w:rFonts w:ascii="Cambria" w:hAnsi="Cambria"/>
        </w:rPr>
        <w:t xml:space="preserve">s and/or a Trust </w:t>
      </w:r>
      <w:r w:rsidR="00420D06">
        <w:rPr>
          <w:rFonts w:ascii="Cambria" w:hAnsi="Cambria"/>
        </w:rPr>
        <w:t>Fund as</w:t>
      </w:r>
      <w:r w:rsidR="00AD3B9E">
        <w:rPr>
          <w:rFonts w:ascii="Cambria" w:hAnsi="Cambria"/>
        </w:rPr>
        <w:t xml:space="preserve"> well as through C</w:t>
      </w:r>
      <w:r>
        <w:rPr>
          <w:rFonts w:ascii="Cambria" w:hAnsi="Cambria"/>
        </w:rPr>
        <w:t xml:space="preserve">ash based revenue (e.g., cost sharing contributions).  </w:t>
      </w:r>
      <w:r w:rsidRPr="00AD3B9E">
        <w:rPr>
          <w:rFonts w:ascii="Cambria" w:hAnsi="Cambria"/>
          <w:b/>
          <w:i/>
        </w:rPr>
        <w:t>Regardless of the funding source, balance sheet items must be cleared in order to “release” any unused amounts for other purposes</w:t>
      </w:r>
      <w:r>
        <w:rPr>
          <w:rFonts w:ascii="Cambria" w:hAnsi="Cambria"/>
        </w:rPr>
        <w:t xml:space="preserve"> – i.e., refund</w:t>
      </w:r>
      <w:r w:rsidR="0012553B">
        <w:rPr>
          <w:rFonts w:ascii="Cambria" w:hAnsi="Cambria"/>
        </w:rPr>
        <w:t>ed</w:t>
      </w:r>
      <w:r w:rsidR="00BE4721">
        <w:rPr>
          <w:rFonts w:ascii="Cambria" w:hAnsi="Cambria"/>
        </w:rPr>
        <w:t xml:space="preserve"> </w:t>
      </w:r>
      <w:r>
        <w:rPr>
          <w:rFonts w:ascii="Cambria" w:hAnsi="Cambria"/>
        </w:rPr>
        <w:t xml:space="preserve">to donor or </w:t>
      </w:r>
      <w:r w:rsidR="00D313EB">
        <w:rPr>
          <w:rFonts w:ascii="Cambria" w:hAnsi="Cambria"/>
        </w:rPr>
        <w:t>designated</w:t>
      </w:r>
      <w:r w:rsidR="0012553B">
        <w:rPr>
          <w:rFonts w:ascii="Cambria" w:hAnsi="Cambria"/>
        </w:rPr>
        <w:t xml:space="preserve"> for </w:t>
      </w:r>
      <w:r>
        <w:rPr>
          <w:rFonts w:ascii="Cambria" w:hAnsi="Cambria"/>
        </w:rPr>
        <w:t>reprogramming.</w:t>
      </w:r>
    </w:p>
    <w:p w14:paraId="7D25E540" w14:textId="30E89661" w:rsidR="000D1574" w:rsidRDefault="000D1574" w:rsidP="00980518">
      <w:pPr>
        <w:pStyle w:val="NormalWeb"/>
        <w:jc w:val="both"/>
        <w:rPr>
          <w:rFonts w:ascii="Cambria" w:hAnsi="Cambria"/>
        </w:rPr>
      </w:pPr>
    </w:p>
    <w:tbl>
      <w:tblPr>
        <w:tblW w:w="5000" w:type="pct"/>
        <w:tblLayout w:type="fixed"/>
        <w:tblLook w:val="04A0" w:firstRow="1" w:lastRow="0" w:firstColumn="1" w:lastColumn="0" w:noHBand="0" w:noVBand="1"/>
      </w:tblPr>
      <w:tblGrid>
        <w:gridCol w:w="1924"/>
        <w:gridCol w:w="1047"/>
        <w:gridCol w:w="1081"/>
        <w:gridCol w:w="1529"/>
        <w:gridCol w:w="7379"/>
      </w:tblGrid>
      <w:tr w:rsidR="00C4123D" w:rsidRPr="00C4123D" w14:paraId="626134FA" w14:textId="77777777" w:rsidTr="007464B7">
        <w:trPr>
          <w:trHeight w:val="375"/>
          <w:tblHeader/>
        </w:trPr>
        <w:tc>
          <w:tcPr>
            <w:tcW w:w="5000" w:type="pct"/>
            <w:gridSpan w:val="5"/>
            <w:tcBorders>
              <w:top w:val="nil"/>
              <w:left w:val="nil"/>
              <w:bottom w:val="single" w:sz="4" w:space="0" w:color="auto"/>
              <w:right w:val="nil"/>
            </w:tcBorders>
            <w:shd w:val="clear" w:color="000000" w:fill="FFC000"/>
            <w:noWrap/>
            <w:vAlign w:val="bottom"/>
            <w:hideMark/>
          </w:tcPr>
          <w:p w14:paraId="31D8B9EB" w14:textId="77777777" w:rsidR="00C4123D" w:rsidRPr="00C4123D" w:rsidRDefault="00C4123D" w:rsidP="00C4123D">
            <w:pPr>
              <w:spacing w:after="0" w:line="240" w:lineRule="auto"/>
              <w:jc w:val="center"/>
              <w:rPr>
                <w:rFonts w:ascii="Calibri" w:eastAsia="Times New Roman" w:hAnsi="Calibri" w:cs="Calibri"/>
                <w:b/>
                <w:bCs/>
                <w:color w:val="000000"/>
                <w:sz w:val="28"/>
                <w:szCs w:val="28"/>
              </w:rPr>
            </w:pPr>
            <w:r w:rsidRPr="00C4123D">
              <w:rPr>
                <w:rFonts w:ascii="Calibri" w:eastAsia="Times New Roman" w:hAnsi="Calibri" w:cs="Calibri"/>
                <w:b/>
                <w:bCs/>
                <w:color w:val="000000"/>
                <w:sz w:val="28"/>
                <w:szCs w:val="28"/>
              </w:rPr>
              <w:t>Action Required to Clear Balance? (Yes/No)</w:t>
            </w:r>
          </w:p>
        </w:tc>
      </w:tr>
      <w:tr w:rsidR="007464B7" w:rsidRPr="00C4123D" w14:paraId="3DC81FFF" w14:textId="77777777" w:rsidTr="007464B7">
        <w:trPr>
          <w:trHeight w:val="1260"/>
        </w:trPr>
        <w:tc>
          <w:tcPr>
            <w:tcW w:w="742" w:type="pct"/>
            <w:tcBorders>
              <w:top w:val="nil"/>
              <w:left w:val="single" w:sz="4" w:space="0" w:color="auto"/>
              <w:bottom w:val="single" w:sz="4" w:space="0" w:color="auto"/>
              <w:right w:val="single" w:sz="4" w:space="0" w:color="auto"/>
            </w:tcBorders>
            <w:shd w:val="clear" w:color="000000" w:fill="FFC000"/>
            <w:noWrap/>
            <w:vAlign w:val="center"/>
            <w:hideMark/>
          </w:tcPr>
          <w:p w14:paraId="463A3509" w14:textId="77777777" w:rsidR="00C4123D" w:rsidRPr="00C4123D" w:rsidRDefault="00C4123D" w:rsidP="00C4123D">
            <w:pPr>
              <w:spacing w:after="0" w:line="240" w:lineRule="auto"/>
              <w:jc w:val="center"/>
              <w:rPr>
                <w:rFonts w:ascii="Calibri" w:eastAsia="Times New Roman" w:hAnsi="Calibri" w:cs="Calibri"/>
                <w:b/>
                <w:bCs/>
                <w:color w:val="000000"/>
                <w:sz w:val="24"/>
                <w:szCs w:val="24"/>
              </w:rPr>
            </w:pPr>
            <w:r w:rsidRPr="00C4123D">
              <w:rPr>
                <w:rFonts w:ascii="Calibri" w:eastAsia="Times New Roman" w:hAnsi="Calibri" w:cs="Calibri"/>
                <w:b/>
                <w:bCs/>
                <w:color w:val="000000"/>
                <w:sz w:val="24"/>
                <w:szCs w:val="24"/>
              </w:rPr>
              <w:t>Funding Source</w:t>
            </w:r>
          </w:p>
        </w:tc>
        <w:tc>
          <w:tcPr>
            <w:tcW w:w="404" w:type="pct"/>
            <w:tcBorders>
              <w:top w:val="nil"/>
              <w:left w:val="nil"/>
              <w:bottom w:val="single" w:sz="4" w:space="0" w:color="auto"/>
              <w:right w:val="single" w:sz="4" w:space="0" w:color="auto"/>
            </w:tcBorders>
            <w:shd w:val="clear" w:color="000000" w:fill="FFC000"/>
            <w:vAlign w:val="center"/>
            <w:hideMark/>
          </w:tcPr>
          <w:p w14:paraId="4211686C" w14:textId="77777777" w:rsidR="00C4123D" w:rsidRPr="00C4123D" w:rsidRDefault="00C4123D" w:rsidP="00C4123D">
            <w:pPr>
              <w:spacing w:after="0" w:line="240" w:lineRule="auto"/>
              <w:jc w:val="center"/>
              <w:rPr>
                <w:rFonts w:ascii="Calibri" w:eastAsia="Times New Roman" w:hAnsi="Calibri" w:cs="Calibri"/>
                <w:b/>
                <w:bCs/>
                <w:color w:val="000000"/>
                <w:sz w:val="24"/>
                <w:szCs w:val="24"/>
              </w:rPr>
            </w:pPr>
            <w:r w:rsidRPr="00C4123D">
              <w:rPr>
                <w:rFonts w:ascii="Calibri" w:eastAsia="Times New Roman" w:hAnsi="Calibri" w:cs="Calibri"/>
                <w:b/>
                <w:bCs/>
                <w:color w:val="000000"/>
                <w:sz w:val="24"/>
                <w:szCs w:val="24"/>
              </w:rPr>
              <w:t>Asset Account (1xxxx)</w:t>
            </w:r>
          </w:p>
        </w:tc>
        <w:tc>
          <w:tcPr>
            <w:tcW w:w="417" w:type="pct"/>
            <w:tcBorders>
              <w:top w:val="nil"/>
              <w:left w:val="nil"/>
              <w:bottom w:val="single" w:sz="4" w:space="0" w:color="auto"/>
              <w:right w:val="single" w:sz="4" w:space="0" w:color="auto"/>
            </w:tcBorders>
            <w:shd w:val="clear" w:color="000000" w:fill="FFC000"/>
            <w:vAlign w:val="center"/>
            <w:hideMark/>
          </w:tcPr>
          <w:p w14:paraId="30DFBC05" w14:textId="77777777" w:rsidR="00C4123D" w:rsidRPr="00C4123D" w:rsidRDefault="00C4123D" w:rsidP="00C4123D">
            <w:pPr>
              <w:spacing w:after="0" w:line="240" w:lineRule="auto"/>
              <w:jc w:val="center"/>
              <w:rPr>
                <w:rFonts w:ascii="Calibri" w:eastAsia="Times New Roman" w:hAnsi="Calibri" w:cs="Calibri"/>
                <w:b/>
                <w:bCs/>
                <w:color w:val="000000"/>
                <w:sz w:val="24"/>
                <w:szCs w:val="24"/>
              </w:rPr>
            </w:pPr>
            <w:r w:rsidRPr="00C4123D">
              <w:rPr>
                <w:rFonts w:ascii="Calibri" w:eastAsia="Times New Roman" w:hAnsi="Calibri" w:cs="Calibri"/>
                <w:b/>
                <w:bCs/>
                <w:color w:val="000000"/>
                <w:sz w:val="24"/>
                <w:szCs w:val="24"/>
              </w:rPr>
              <w:t>Liability Account (2xxxx)</w:t>
            </w:r>
          </w:p>
        </w:tc>
        <w:tc>
          <w:tcPr>
            <w:tcW w:w="590" w:type="pct"/>
            <w:tcBorders>
              <w:top w:val="nil"/>
              <w:left w:val="nil"/>
              <w:bottom w:val="single" w:sz="4" w:space="0" w:color="auto"/>
              <w:right w:val="single" w:sz="4" w:space="0" w:color="auto"/>
            </w:tcBorders>
            <w:shd w:val="clear" w:color="000000" w:fill="FFC000"/>
            <w:vAlign w:val="center"/>
            <w:hideMark/>
          </w:tcPr>
          <w:p w14:paraId="123CDBEB" w14:textId="77777777" w:rsidR="00C4123D" w:rsidRPr="00C4123D" w:rsidRDefault="00C4123D" w:rsidP="00C4123D">
            <w:pPr>
              <w:spacing w:after="0" w:line="240" w:lineRule="auto"/>
              <w:jc w:val="center"/>
              <w:rPr>
                <w:rFonts w:ascii="Calibri" w:eastAsia="Times New Roman" w:hAnsi="Calibri" w:cs="Calibri"/>
                <w:b/>
                <w:bCs/>
                <w:color w:val="000000"/>
                <w:sz w:val="24"/>
                <w:szCs w:val="24"/>
              </w:rPr>
            </w:pPr>
            <w:r w:rsidRPr="00C4123D">
              <w:rPr>
                <w:rFonts w:ascii="Calibri" w:eastAsia="Times New Roman" w:hAnsi="Calibri" w:cs="Calibri"/>
                <w:b/>
                <w:bCs/>
                <w:color w:val="000000"/>
                <w:sz w:val="24"/>
                <w:szCs w:val="24"/>
              </w:rPr>
              <w:t>Fund Balance - Unexpended Resources (31005)</w:t>
            </w:r>
          </w:p>
        </w:tc>
        <w:tc>
          <w:tcPr>
            <w:tcW w:w="2847" w:type="pct"/>
            <w:tcBorders>
              <w:top w:val="nil"/>
              <w:left w:val="nil"/>
              <w:bottom w:val="single" w:sz="4" w:space="0" w:color="auto"/>
              <w:right w:val="single" w:sz="4" w:space="0" w:color="auto"/>
            </w:tcBorders>
            <w:shd w:val="clear" w:color="000000" w:fill="FFC000"/>
            <w:noWrap/>
            <w:vAlign w:val="center"/>
            <w:hideMark/>
          </w:tcPr>
          <w:p w14:paraId="43CD8084" w14:textId="77777777" w:rsidR="00C4123D" w:rsidRPr="00C4123D" w:rsidRDefault="00C4123D" w:rsidP="00C4123D">
            <w:pPr>
              <w:spacing w:after="0" w:line="240" w:lineRule="auto"/>
              <w:jc w:val="center"/>
              <w:rPr>
                <w:rFonts w:ascii="Calibri" w:eastAsia="Times New Roman" w:hAnsi="Calibri" w:cs="Calibri"/>
                <w:b/>
                <w:bCs/>
                <w:color w:val="000000"/>
                <w:sz w:val="24"/>
                <w:szCs w:val="24"/>
              </w:rPr>
            </w:pPr>
            <w:r w:rsidRPr="00C4123D">
              <w:rPr>
                <w:rFonts w:ascii="Calibri" w:eastAsia="Times New Roman" w:hAnsi="Calibri" w:cs="Calibri"/>
                <w:b/>
                <w:bCs/>
                <w:color w:val="000000"/>
                <w:sz w:val="24"/>
                <w:szCs w:val="24"/>
              </w:rPr>
              <w:t>Comment</w:t>
            </w:r>
          </w:p>
        </w:tc>
      </w:tr>
      <w:tr w:rsidR="007464B7" w:rsidRPr="00C4123D" w14:paraId="185B213C" w14:textId="77777777" w:rsidTr="007464B7">
        <w:trPr>
          <w:trHeight w:val="600"/>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14:paraId="41803D86" w14:textId="77777777" w:rsidR="00C4123D" w:rsidRPr="00C4123D" w:rsidRDefault="00C4123D" w:rsidP="00C4123D">
            <w:pPr>
              <w:spacing w:after="0" w:line="240" w:lineRule="auto"/>
              <w:jc w:val="center"/>
              <w:rPr>
                <w:rFonts w:ascii="Calibri" w:eastAsia="Times New Roman" w:hAnsi="Calibri" w:cs="Calibri"/>
                <w:color w:val="000000"/>
              </w:rPr>
            </w:pPr>
            <w:r w:rsidRPr="00C4123D">
              <w:rPr>
                <w:rFonts w:ascii="Calibri" w:eastAsia="Times New Roman" w:hAnsi="Calibri" w:cs="Calibri"/>
                <w:color w:val="000000"/>
              </w:rPr>
              <w:t>TRAC</w:t>
            </w:r>
          </w:p>
        </w:tc>
        <w:tc>
          <w:tcPr>
            <w:tcW w:w="404" w:type="pct"/>
            <w:tcBorders>
              <w:top w:val="nil"/>
              <w:left w:val="nil"/>
              <w:bottom w:val="single" w:sz="4" w:space="0" w:color="auto"/>
              <w:right w:val="single" w:sz="4" w:space="0" w:color="auto"/>
            </w:tcBorders>
            <w:shd w:val="clear" w:color="auto" w:fill="auto"/>
            <w:noWrap/>
            <w:vAlign w:val="bottom"/>
            <w:hideMark/>
          </w:tcPr>
          <w:p w14:paraId="6FC506E2" w14:textId="77777777" w:rsidR="00C4123D" w:rsidRPr="00C4123D" w:rsidRDefault="00C4123D" w:rsidP="00C4123D">
            <w:pPr>
              <w:spacing w:after="0" w:line="240" w:lineRule="auto"/>
              <w:jc w:val="center"/>
              <w:rPr>
                <w:rFonts w:ascii="Calibri" w:eastAsia="Times New Roman" w:hAnsi="Calibri" w:cs="Calibri"/>
                <w:color w:val="000000"/>
              </w:rPr>
            </w:pPr>
            <w:r w:rsidRPr="00C4123D">
              <w:rPr>
                <w:rFonts w:ascii="Calibri" w:eastAsia="Times New Roman" w:hAnsi="Calibri" w:cs="Calibri"/>
                <w:color w:val="000000"/>
              </w:rPr>
              <w:t>Yes</w:t>
            </w:r>
          </w:p>
        </w:tc>
        <w:tc>
          <w:tcPr>
            <w:tcW w:w="417" w:type="pct"/>
            <w:tcBorders>
              <w:top w:val="nil"/>
              <w:left w:val="nil"/>
              <w:bottom w:val="single" w:sz="4" w:space="0" w:color="auto"/>
              <w:right w:val="single" w:sz="4" w:space="0" w:color="auto"/>
            </w:tcBorders>
            <w:shd w:val="clear" w:color="auto" w:fill="auto"/>
            <w:noWrap/>
            <w:vAlign w:val="bottom"/>
            <w:hideMark/>
          </w:tcPr>
          <w:p w14:paraId="74A5F7B2" w14:textId="77777777" w:rsidR="00C4123D" w:rsidRPr="00C4123D" w:rsidRDefault="00C4123D" w:rsidP="00C4123D">
            <w:pPr>
              <w:spacing w:after="0" w:line="240" w:lineRule="auto"/>
              <w:jc w:val="center"/>
              <w:rPr>
                <w:rFonts w:ascii="Calibri" w:eastAsia="Times New Roman" w:hAnsi="Calibri" w:cs="Calibri"/>
                <w:color w:val="000000"/>
              </w:rPr>
            </w:pPr>
            <w:r w:rsidRPr="00C4123D">
              <w:rPr>
                <w:rFonts w:ascii="Calibri" w:eastAsia="Times New Roman" w:hAnsi="Calibri" w:cs="Calibri"/>
                <w:color w:val="000000"/>
              </w:rPr>
              <w:t>Yes</w:t>
            </w:r>
          </w:p>
        </w:tc>
        <w:tc>
          <w:tcPr>
            <w:tcW w:w="590" w:type="pct"/>
            <w:tcBorders>
              <w:top w:val="nil"/>
              <w:left w:val="nil"/>
              <w:bottom w:val="single" w:sz="4" w:space="0" w:color="auto"/>
              <w:right w:val="single" w:sz="4" w:space="0" w:color="auto"/>
            </w:tcBorders>
            <w:shd w:val="clear" w:color="auto" w:fill="auto"/>
            <w:noWrap/>
            <w:vAlign w:val="bottom"/>
            <w:hideMark/>
          </w:tcPr>
          <w:p w14:paraId="1E1C6193" w14:textId="77777777" w:rsidR="00C4123D" w:rsidRPr="00C4123D" w:rsidRDefault="00C4123D" w:rsidP="00C4123D">
            <w:pPr>
              <w:spacing w:after="0" w:line="240" w:lineRule="auto"/>
              <w:jc w:val="center"/>
              <w:rPr>
                <w:rFonts w:ascii="Calibri" w:eastAsia="Times New Roman" w:hAnsi="Calibri" w:cs="Calibri"/>
                <w:b/>
                <w:bCs/>
                <w:color w:val="FF0000"/>
              </w:rPr>
            </w:pPr>
            <w:r w:rsidRPr="00C4123D">
              <w:rPr>
                <w:rFonts w:ascii="Calibri" w:eastAsia="Times New Roman" w:hAnsi="Calibri" w:cs="Calibri"/>
                <w:b/>
                <w:bCs/>
                <w:color w:val="FF0000"/>
              </w:rPr>
              <w:t>NO</w:t>
            </w:r>
          </w:p>
        </w:tc>
        <w:tc>
          <w:tcPr>
            <w:tcW w:w="2847" w:type="pct"/>
            <w:tcBorders>
              <w:top w:val="nil"/>
              <w:left w:val="nil"/>
              <w:bottom w:val="single" w:sz="4" w:space="0" w:color="auto"/>
              <w:right w:val="single" w:sz="4" w:space="0" w:color="auto"/>
            </w:tcBorders>
            <w:shd w:val="clear" w:color="auto" w:fill="auto"/>
            <w:vAlign w:val="bottom"/>
            <w:hideMark/>
          </w:tcPr>
          <w:p w14:paraId="41D80C42" w14:textId="77777777" w:rsidR="00C4123D" w:rsidRPr="00C4123D" w:rsidRDefault="00C4123D" w:rsidP="00C4123D">
            <w:pPr>
              <w:spacing w:after="0" w:line="240" w:lineRule="auto"/>
              <w:jc w:val="center"/>
              <w:rPr>
                <w:rFonts w:ascii="Calibri" w:eastAsia="Times New Roman" w:hAnsi="Calibri" w:cs="Calibri"/>
                <w:color w:val="000000"/>
              </w:rPr>
            </w:pPr>
            <w:r w:rsidRPr="00C4123D">
              <w:rPr>
                <w:rFonts w:ascii="Calibri" w:eastAsia="Times New Roman" w:hAnsi="Calibri" w:cs="Calibri"/>
                <w:color w:val="000000"/>
              </w:rPr>
              <w:t>Allocation based Fund, therefore, no cash balance to dispose of.</w:t>
            </w:r>
          </w:p>
        </w:tc>
      </w:tr>
      <w:tr w:rsidR="007464B7" w:rsidRPr="00C4123D" w14:paraId="204DAD06" w14:textId="77777777" w:rsidTr="007464B7">
        <w:trPr>
          <w:trHeight w:val="300"/>
        </w:trPr>
        <w:tc>
          <w:tcPr>
            <w:tcW w:w="742" w:type="pct"/>
            <w:tcBorders>
              <w:top w:val="nil"/>
              <w:left w:val="single" w:sz="4" w:space="0" w:color="auto"/>
              <w:bottom w:val="single" w:sz="4" w:space="0" w:color="auto"/>
              <w:right w:val="single" w:sz="4" w:space="0" w:color="auto"/>
            </w:tcBorders>
            <w:shd w:val="clear" w:color="auto" w:fill="auto"/>
            <w:noWrap/>
            <w:vAlign w:val="bottom"/>
            <w:hideMark/>
          </w:tcPr>
          <w:p w14:paraId="7B16CBCB" w14:textId="77777777" w:rsidR="00C4123D" w:rsidRPr="00C4123D" w:rsidRDefault="00C4123D" w:rsidP="00C4123D">
            <w:pPr>
              <w:spacing w:after="0" w:line="240" w:lineRule="auto"/>
              <w:jc w:val="center"/>
              <w:rPr>
                <w:rFonts w:ascii="Calibri" w:eastAsia="Times New Roman" w:hAnsi="Calibri" w:cs="Calibri"/>
                <w:color w:val="000000"/>
              </w:rPr>
            </w:pPr>
            <w:r w:rsidRPr="00C4123D">
              <w:rPr>
                <w:rFonts w:ascii="Calibri" w:eastAsia="Times New Roman" w:hAnsi="Calibri" w:cs="Calibri"/>
                <w:color w:val="000000"/>
              </w:rPr>
              <w:t>Trust Fund</w:t>
            </w:r>
          </w:p>
        </w:tc>
        <w:tc>
          <w:tcPr>
            <w:tcW w:w="404" w:type="pct"/>
            <w:tcBorders>
              <w:top w:val="nil"/>
              <w:left w:val="nil"/>
              <w:bottom w:val="single" w:sz="4" w:space="0" w:color="auto"/>
              <w:right w:val="single" w:sz="4" w:space="0" w:color="auto"/>
            </w:tcBorders>
            <w:shd w:val="clear" w:color="auto" w:fill="auto"/>
            <w:noWrap/>
            <w:vAlign w:val="bottom"/>
            <w:hideMark/>
          </w:tcPr>
          <w:p w14:paraId="34951226" w14:textId="77777777" w:rsidR="00C4123D" w:rsidRPr="00C4123D" w:rsidRDefault="00C4123D" w:rsidP="00C4123D">
            <w:pPr>
              <w:spacing w:after="0" w:line="240" w:lineRule="auto"/>
              <w:jc w:val="center"/>
              <w:rPr>
                <w:rFonts w:ascii="Calibri" w:eastAsia="Times New Roman" w:hAnsi="Calibri" w:cs="Calibri"/>
                <w:color w:val="000000"/>
              </w:rPr>
            </w:pPr>
            <w:r w:rsidRPr="00C4123D">
              <w:rPr>
                <w:rFonts w:ascii="Calibri" w:eastAsia="Times New Roman" w:hAnsi="Calibri" w:cs="Calibri"/>
                <w:color w:val="000000"/>
              </w:rPr>
              <w:t>Yes</w:t>
            </w:r>
          </w:p>
        </w:tc>
        <w:tc>
          <w:tcPr>
            <w:tcW w:w="417" w:type="pct"/>
            <w:tcBorders>
              <w:top w:val="nil"/>
              <w:left w:val="nil"/>
              <w:bottom w:val="single" w:sz="4" w:space="0" w:color="auto"/>
              <w:right w:val="single" w:sz="4" w:space="0" w:color="auto"/>
            </w:tcBorders>
            <w:shd w:val="clear" w:color="auto" w:fill="auto"/>
            <w:noWrap/>
            <w:vAlign w:val="bottom"/>
            <w:hideMark/>
          </w:tcPr>
          <w:p w14:paraId="55E608C1" w14:textId="77777777" w:rsidR="00C4123D" w:rsidRPr="00C4123D" w:rsidRDefault="00C4123D" w:rsidP="00C4123D">
            <w:pPr>
              <w:spacing w:after="0" w:line="240" w:lineRule="auto"/>
              <w:jc w:val="center"/>
              <w:rPr>
                <w:rFonts w:ascii="Calibri" w:eastAsia="Times New Roman" w:hAnsi="Calibri" w:cs="Calibri"/>
                <w:color w:val="000000"/>
              </w:rPr>
            </w:pPr>
            <w:r w:rsidRPr="00C4123D">
              <w:rPr>
                <w:rFonts w:ascii="Calibri" w:eastAsia="Times New Roman" w:hAnsi="Calibri" w:cs="Calibri"/>
                <w:color w:val="000000"/>
              </w:rPr>
              <w:t>Yes</w:t>
            </w:r>
          </w:p>
        </w:tc>
        <w:tc>
          <w:tcPr>
            <w:tcW w:w="590" w:type="pct"/>
            <w:tcBorders>
              <w:top w:val="nil"/>
              <w:left w:val="nil"/>
              <w:bottom w:val="single" w:sz="4" w:space="0" w:color="auto"/>
              <w:right w:val="single" w:sz="4" w:space="0" w:color="auto"/>
            </w:tcBorders>
            <w:shd w:val="clear" w:color="auto" w:fill="auto"/>
            <w:noWrap/>
            <w:vAlign w:val="bottom"/>
            <w:hideMark/>
          </w:tcPr>
          <w:p w14:paraId="74EAC2DB" w14:textId="07BFD440" w:rsidR="00C4123D" w:rsidRPr="00C4123D" w:rsidRDefault="00C4123D" w:rsidP="00C4123D">
            <w:pPr>
              <w:spacing w:after="0" w:line="240" w:lineRule="auto"/>
              <w:jc w:val="center"/>
              <w:rPr>
                <w:rFonts w:ascii="Calibri" w:eastAsia="Times New Roman" w:hAnsi="Calibri" w:cs="Calibri"/>
                <w:color w:val="000000"/>
              </w:rPr>
            </w:pPr>
            <w:r w:rsidRPr="00C4123D">
              <w:rPr>
                <w:rFonts w:ascii="Calibri" w:eastAsia="Times New Roman" w:hAnsi="Calibri" w:cs="Calibri"/>
                <w:color w:val="000000"/>
              </w:rPr>
              <w:t xml:space="preserve">Yes or </w:t>
            </w:r>
            <w:r w:rsidRPr="00C4123D">
              <w:rPr>
                <w:rFonts w:ascii="Calibri" w:eastAsia="Times New Roman" w:hAnsi="Calibri" w:cs="Calibri"/>
                <w:b/>
                <w:bCs/>
                <w:color w:val="FF0000"/>
              </w:rPr>
              <w:t>N</w:t>
            </w:r>
            <w:r w:rsidR="0012553B">
              <w:rPr>
                <w:rFonts w:ascii="Calibri" w:eastAsia="Times New Roman" w:hAnsi="Calibri" w:cs="Calibri"/>
                <w:b/>
                <w:bCs/>
                <w:color w:val="FF0000"/>
              </w:rPr>
              <w:t>O</w:t>
            </w:r>
          </w:p>
        </w:tc>
        <w:tc>
          <w:tcPr>
            <w:tcW w:w="2847" w:type="pct"/>
            <w:tcBorders>
              <w:top w:val="nil"/>
              <w:left w:val="nil"/>
              <w:bottom w:val="single" w:sz="4" w:space="0" w:color="auto"/>
              <w:right w:val="single" w:sz="4" w:space="0" w:color="auto"/>
            </w:tcBorders>
            <w:shd w:val="clear" w:color="auto" w:fill="auto"/>
            <w:noWrap/>
            <w:vAlign w:val="bottom"/>
            <w:hideMark/>
          </w:tcPr>
          <w:p w14:paraId="6D42373A" w14:textId="16673058" w:rsidR="00C4123D" w:rsidRPr="00C4123D" w:rsidRDefault="00C4123D" w:rsidP="00CF4CA6">
            <w:pPr>
              <w:spacing w:after="0" w:line="240" w:lineRule="auto"/>
              <w:jc w:val="center"/>
              <w:rPr>
                <w:rFonts w:ascii="Calibri" w:eastAsia="Times New Roman" w:hAnsi="Calibri" w:cs="Calibri"/>
                <w:color w:val="000000"/>
              </w:rPr>
            </w:pPr>
            <w:r w:rsidRPr="00C4123D">
              <w:rPr>
                <w:rFonts w:ascii="Calibri" w:eastAsia="Times New Roman" w:hAnsi="Calibri" w:cs="Calibri"/>
                <w:color w:val="000000"/>
              </w:rPr>
              <w:t>Yes, if cash</w:t>
            </w:r>
            <w:r w:rsidR="0012553B">
              <w:rPr>
                <w:rFonts w:ascii="Calibri" w:eastAsia="Times New Roman" w:hAnsi="Calibri" w:cs="Calibri"/>
                <w:color w:val="000000"/>
              </w:rPr>
              <w:t>-</w:t>
            </w:r>
            <w:r w:rsidR="00424606" w:rsidRPr="00C4123D">
              <w:rPr>
                <w:rFonts w:ascii="Calibri" w:eastAsia="Times New Roman" w:hAnsi="Calibri" w:cs="Calibri"/>
                <w:color w:val="000000"/>
              </w:rPr>
              <w:t>based; NO</w:t>
            </w:r>
            <w:r w:rsidR="00CE475D">
              <w:rPr>
                <w:rFonts w:ascii="Calibri" w:eastAsia="Times New Roman" w:hAnsi="Calibri" w:cs="Calibri"/>
                <w:color w:val="000000"/>
              </w:rPr>
              <w:t xml:space="preserve"> if Allocation</w:t>
            </w:r>
            <w:r w:rsidR="0012553B">
              <w:rPr>
                <w:rFonts w:ascii="Calibri" w:eastAsia="Times New Roman" w:hAnsi="Calibri" w:cs="Calibri"/>
                <w:color w:val="000000"/>
              </w:rPr>
              <w:t>-</w:t>
            </w:r>
            <w:r w:rsidR="00CE475D">
              <w:rPr>
                <w:rFonts w:ascii="Calibri" w:eastAsia="Times New Roman" w:hAnsi="Calibri" w:cs="Calibri"/>
                <w:color w:val="000000"/>
              </w:rPr>
              <w:t>based</w:t>
            </w:r>
          </w:p>
        </w:tc>
      </w:tr>
      <w:tr w:rsidR="007464B7" w:rsidRPr="00C4123D" w14:paraId="4EFB3F46" w14:textId="77777777" w:rsidTr="007464B7">
        <w:trPr>
          <w:trHeight w:val="368"/>
        </w:trPr>
        <w:tc>
          <w:tcPr>
            <w:tcW w:w="7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A1F448" w14:textId="77777777" w:rsidR="00D313EB" w:rsidRDefault="00D313EB" w:rsidP="00C4123D">
            <w:pPr>
              <w:spacing w:after="0" w:line="240" w:lineRule="auto"/>
              <w:jc w:val="center"/>
              <w:rPr>
                <w:rFonts w:ascii="Calibri" w:eastAsia="Times New Roman" w:hAnsi="Calibri" w:cs="Calibri"/>
                <w:color w:val="000000"/>
              </w:rPr>
            </w:pPr>
          </w:p>
          <w:p w14:paraId="5DA5AA2C" w14:textId="377E4821" w:rsidR="00C4123D" w:rsidRDefault="00C4123D" w:rsidP="00C4123D">
            <w:pPr>
              <w:spacing w:after="0" w:line="240" w:lineRule="auto"/>
              <w:jc w:val="center"/>
              <w:rPr>
                <w:rFonts w:ascii="Calibri" w:eastAsia="Times New Roman" w:hAnsi="Calibri" w:cs="Calibri"/>
                <w:color w:val="000000"/>
              </w:rPr>
            </w:pPr>
            <w:r w:rsidRPr="00C4123D">
              <w:rPr>
                <w:rFonts w:ascii="Calibri" w:eastAsia="Times New Roman" w:hAnsi="Calibri" w:cs="Calibri"/>
                <w:color w:val="000000"/>
              </w:rPr>
              <w:t>Cost Sharing</w:t>
            </w:r>
          </w:p>
          <w:p w14:paraId="5EF389E2" w14:textId="040F6516" w:rsidR="00D313EB" w:rsidRPr="00C4123D" w:rsidRDefault="00D313EB" w:rsidP="00C4123D">
            <w:pPr>
              <w:spacing w:after="0" w:line="240" w:lineRule="auto"/>
              <w:jc w:val="center"/>
              <w:rPr>
                <w:rFonts w:ascii="Calibri" w:eastAsia="Times New Roman" w:hAnsi="Calibri" w:cs="Calibri"/>
                <w:color w:val="000000"/>
              </w:rPr>
            </w:pPr>
          </w:p>
        </w:tc>
        <w:tc>
          <w:tcPr>
            <w:tcW w:w="404" w:type="pct"/>
            <w:tcBorders>
              <w:top w:val="single" w:sz="4" w:space="0" w:color="auto"/>
              <w:left w:val="nil"/>
              <w:bottom w:val="single" w:sz="4" w:space="0" w:color="auto"/>
              <w:right w:val="single" w:sz="4" w:space="0" w:color="auto"/>
            </w:tcBorders>
            <w:shd w:val="clear" w:color="auto" w:fill="auto"/>
            <w:noWrap/>
            <w:vAlign w:val="bottom"/>
            <w:hideMark/>
          </w:tcPr>
          <w:p w14:paraId="3FFD809D" w14:textId="77777777" w:rsidR="00C4123D" w:rsidRPr="00C4123D" w:rsidRDefault="00C4123D" w:rsidP="00C4123D">
            <w:pPr>
              <w:spacing w:after="0" w:line="240" w:lineRule="auto"/>
              <w:jc w:val="center"/>
              <w:rPr>
                <w:rFonts w:ascii="Calibri" w:eastAsia="Times New Roman" w:hAnsi="Calibri" w:cs="Calibri"/>
                <w:color w:val="000000"/>
              </w:rPr>
            </w:pPr>
            <w:r w:rsidRPr="00C4123D">
              <w:rPr>
                <w:rFonts w:ascii="Calibri" w:eastAsia="Times New Roman" w:hAnsi="Calibri" w:cs="Calibri"/>
                <w:color w:val="000000"/>
              </w:rPr>
              <w:t>Yes</w:t>
            </w:r>
          </w:p>
        </w:tc>
        <w:tc>
          <w:tcPr>
            <w:tcW w:w="417" w:type="pct"/>
            <w:tcBorders>
              <w:top w:val="single" w:sz="4" w:space="0" w:color="auto"/>
              <w:left w:val="nil"/>
              <w:bottom w:val="single" w:sz="4" w:space="0" w:color="auto"/>
              <w:right w:val="single" w:sz="4" w:space="0" w:color="auto"/>
            </w:tcBorders>
            <w:shd w:val="clear" w:color="auto" w:fill="auto"/>
            <w:noWrap/>
            <w:vAlign w:val="bottom"/>
            <w:hideMark/>
          </w:tcPr>
          <w:p w14:paraId="7B3BD4E2" w14:textId="77777777" w:rsidR="00C4123D" w:rsidRPr="00C4123D" w:rsidRDefault="00C4123D" w:rsidP="00C4123D">
            <w:pPr>
              <w:spacing w:after="0" w:line="240" w:lineRule="auto"/>
              <w:jc w:val="center"/>
              <w:rPr>
                <w:rFonts w:ascii="Calibri" w:eastAsia="Times New Roman" w:hAnsi="Calibri" w:cs="Calibri"/>
                <w:color w:val="000000"/>
              </w:rPr>
            </w:pPr>
            <w:r w:rsidRPr="00C4123D">
              <w:rPr>
                <w:rFonts w:ascii="Calibri" w:eastAsia="Times New Roman" w:hAnsi="Calibri" w:cs="Calibri"/>
                <w:color w:val="000000"/>
              </w:rPr>
              <w:t>Yes</w:t>
            </w:r>
          </w:p>
        </w:tc>
        <w:tc>
          <w:tcPr>
            <w:tcW w:w="590" w:type="pct"/>
            <w:tcBorders>
              <w:top w:val="single" w:sz="4" w:space="0" w:color="auto"/>
              <w:left w:val="nil"/>
              <w:bottom w:val="single" w:sz="4" w:space="0" w:color="auto"/>
              <w:right w:val="single" w:sz="4" w:space="0" w:color="auto"/>
            </w:tcBorders>
            <w:shd w:val="clear" w:color="auto" w:fill="auto"/>
            <w:noWrap/>
            <w:vAlign w:val="bottom"/>
            <w:hideMark/>
          </w:tcPr>
          <w:p w14:paraId="4162D7BD" w14:textId="77777777" w:rsidR="00C4123D" w:rsidRPr="00C4123D" w:rsidRDefault="00C4123D" w:rsidP="00C4123D">
            <w:pPr>
              <w:spacing w:after="0" w:line="240" w:lineRule="auto"/>
              <w:jc w:val="center"/>
              <w:rPr>
                <w:rFonts w:ascii="Calibri" w:eastAsia="Times New Roman" w:hAnsi="Calibri" w:cs="Calibri"/>
                <w:color w:val="000000"/>
              </w:rPr>
            </w:pPr>
            <w:r w:rsidRPr="00C4123D">
              <w:rPr>
                <w:rFonts w:ascii="Calibri" w:eastAsia="Times New Roman" w:hAnsi="Calibri" w:cs="Calibri"/>
                <w:color w:val="000000"/>
              </w:rPr>
              <w:t>Yes</w:t>
            </w:r>
          </w:p>
        </w:tc>
        <w:tc>
          <w:tcPr>
            <w:tcW w:w="2847" w:type="pct"/>
            <w:tcBorders>
              <w:top w:val="single" w:sz="4" w:space="0" w:color="auto"/>
              <w:left w:val="nil"/>
              <w:bottom w:val="single" w:sz="4" w:space="0" w:color="auto"/>
              <w:right w:val="single" w:sz="4" w:space="0" w:color="auto"/>
            </w:tcBorders>
            <w:shd w:val="clear" w:color="auto" w:fill="auto"/>
            <w:noWrap/>
            <w:vAlign w:val="bottom"/>
            <w:hideMark/>
          </w:tcPr>
          <w:p w14:paraId="07FB4E65" w14:textId="77777777" w:rsidR="00C4123D" w:rsidRPr="00C4123D" w:rsidRDefault="00C4123D" w:rsidP="00C4123D">
            <w:pPr>
              <w:spacing w:after="0" w:line="240" w:lineRule="auto"/>
              <w:jc w:val="center"/>
              <w:rPr>
                <w:rFonts w:ascii="Calibri" w:eastAsia="Times New Roman" w:hAnsi="Calibri" w:cs="Calibri"/>
                <w:color w:val="000000"/>
              </w:rPr>
            </w:pPr>
            <w:r w:rsidRPr="00C4123D">
              <w:rPr>
                <w:rFonts w:ascii="Calibri" w:eastAsia="Times New Roman" w:hAnsi="Calibri" w:cs="Calibri"/>
                <w:color w:val="000000"/>
              </w:rPr>
              <w:t>Cash based fund</w:t>
            </w:r>
          </w:p>
        </w:tc>
      </w:tr>
      <w:tr w:rsidR="007464B7" w:rsidRPr="00C4123D" w14:paraId="6B284CB2" w14:textId="77777777" w:rsidTr="007464B7">
        <w:trPr>
          <w:trHeight w:val="300"/>
        </w:trPr>
        <w:tc>
          <w:tcPr>
            <w:tcW w:w="74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CD2FDAD" w14:textId="77777777" w:rsidR="00D313EB" w:rsidRDefault="00D313EB" w:rsidP="00C4123D">
            <w:pPr>
              <w:spacing w:after="0" w:line="240" w:lineRule="auto"/>
              <w:jc w:val="center"/>
              <w:rPr>
                <w:rFonts w:ascii="Calibri" w:eastAsia="Times New Roman" w:hAnsi="Calibri" w:cs="Calibri"/>
                <w:color w:val="000000"/>
              </w:rPr>
            </w:pPr>
          </w:p>
          <w:p w14:paraId="4C4B56C7" w14:textId="1A251CEA" w:rsidR="00DB3D86" w:rsidRPr="00C4123D" w:rsidRDefault="00DB3D86" w:rsidP="00C4123D">
            <w:pPr>
              <w:spacing w:after="0" w:line="240" w:lineRule="auto"/>
              <w:jc w:val="center"/>
              <w:rPr>
                <w:rFonts w:ascii="Calibri" w:eastAsia="Times New Roman" w:hAnsi="Calibri" w:cs="Calibri"/>
                <w:color w:val="000000"/>
              </w:rPr>
            </w:pPr>
            <w:r>
              <w:rPr>
                <w:rFonts w:ascii="Calibri" w:eastAsia="Times New Roman" w:hAnsi="Calibri" w:cs="Calibri"/>
                <w:color w:val="000000"/>
              </w:rPr>
              <w:t>Management projects</w:t>
            </w:r>
          </w:p>
        </w:tc>
        <w:tc>
          <w:tcPr>
            <w:tcW w:w="404" w:type="pct"/>
            <w:tcBorders>
              <w:top w:val="single" w:sz="4" w:space="0" w:color="auto"/>
              <w:left w:val="nil"/>
              <w:bottom w:val="single" w:sz="4" w:space="0" w:color="auto"/>
              <w:right w:val="single" w:sz="4" w:space="0" w:color="auto"/>
            </w:tcBorders>
            <w:shd w:val="clear" w:color="auto" w:fill="auto"/>
            <w:noWrap/>
            <w:vAlign w:val="bottom"/>
          </w:tcPr>
          <w:p w14:paraId="014CE68A" w14:textId="5B8E89E6" w:rsidR="00DB3D86" w:rsidRPr="00C4123D" w:rsidRDefault="00DB3D86" w:rsidP="00C4123D">
            <w:pPr>
              <w:spacing w:after="0" w:line="240" w:lineRule="auto"/>
              <w:jc w:val="center"/>
              <w:rPr>
                <w:rFonts w:ascii="Calibri" w:eastAsia="Times New Roman" w:hAnsi="Calibri" w:cs="Calibri"/>
                <w:color w:val="000000"/>
              </w:rPr>
            </w:pPr>
            <w:r>
              <w:rPr>
                <w:rFonts w:ascii="Calibri" w:eastAsia="Times New Roman" w:hAnsi="Calibri" w:cs="Calibri"/>
                <w:color w:val="000000"/>
              </w:rPr>
              <w:t>Yes</w:t>
            </w:r>
          </w:p>
        </w:tc>
        <w:tc>
          <w:tcPr>
            <w:tcW w:w="417" w:type="pct"/>
            <w:tcBorders>
              <w:top w:val="single" w:sz="4" w:space="0" w:color="auto"/>
              <w:left w:val="nil"/>
              <w:bottom w:val="single" w:sz="4" w:space="0" w:color="auto"/>
              <w:right w:val="single" w:sz="4" w:space="0" w:color="auto"/>
            </w:tcBorders>
            <w:shd w:val="clear" w:color="auto" w:fill="auto"/>
            <w:noWrap/>
            <w:vAlign w:val="bottom"/>
          </w:tcPr>
          <w:p w14:paraId="7E34F23A" w14:textId="064D289B" w:rsidR="00DB3D86" w:rsidRPr="00C4123D" w:rsidRDefault="00DB3D86" w:rsidP="00C4123D">
            <w:pPr>
              <w:spacing w:after="0" w:line="240" w:lineRule="auto"/>
              <w:jc w:val="center"/>
              <w:rPr>
                <w:rFonts w:ascii="Calibri" w:eastAsia="Times New Roman" w:hAnsi="Calibri" w:cs="Calibri"/>
                <w:color w:val="000000"/>
              </w:rPr>
            </w:pPr>
            <w:r>
              <w:rPr>
                <w:rFonts w:ascii="Calibri" w:eastAsia="Times New Roman" w:hAnsi="Calibri" w:cs="Calibri"/>
                <w:color w:val="000000"/>
              </w:rPr>
              <w:t>Yes</w:t>
            </w:r>
          </w:p>
        </w:tc>
        <w:tc>
          <w:tcPr>
            <w:tcW w:w="590" w:type="pct"/>
            <w:tcBorders>
              <w:top w:val="single" w:sz="4" w:space="0" w:color="auto"/>
              <w:left w:val="nil"/>
              <w:bottom w:val="single" w:sz="4" w:space="0" w:color="auto"/>
              <w:right w:val="single" w:sz="4" w:space="0" w:color="auto"/>
            </w:tcBorders>
            <w:shd w:val="clear" w:color="auto" w:fill="auto"/>
            <w:noWrap/>
            <w:vAlign w:val="bottom"/>
          </w:tcPr>
          <w:p w14:paraId="503DA0D1" w14:textId="591B72F0" w:rsidR="00DB3D86" w:rsidRPr="003C0C74" w:rsidRDefault="00DB3D86" w:rsidP="00C4123D">
            <w:pPr>
              <w:spacing w:after="0" w:line="240" w:lineRule="auto"/>
              <w:jc w:val="center"/>
              <w:rPr>
                <w:rFonts w:ascii="Calibri" w:eastAsia="Times New Roman" w:hAnsi="Calibri" w:cs="Calibri"/>
                <w:b/>
                <w:bCs/>
                <w:color w:val="000000"/>
              </w:rPr>
            </w:pPr>
            <w:r w:rsidRPr="003C0C74">
              <w:rPr>
                <w:rFonts w:ascii="Calibri" w:eastAsia="Times New Roman" w:hAnsi="Calibri" w:cs="Calibri"/>
                <w:b/>
                <w:bCs/>
                <w:color w:val="FF0000"/>
              </w:rPr>
              <w:t>NO</w:t>
            </w:r>
          </w:p>
        </w:tc>
        <w:tc>
          <w:tcPr>
            <w:tcW w:w="2847" w:type="pct"/>
            <w:tcBorders>
              <w:top w:val="single" w:sz="4" w:space="0" w:color="auto"/>
              <w:left w:val="nil"/>
              <w:bottom w:val="single" w:sz="4" w:space="0" w:color="auto"/>
              <w:right w:val="single" w:sz="4" w:space="0" w:color="auto"/>
            </w:tcBorders>
            <w:shd w:val="clear" w:color="auto" w:fill="auto"/>
            <w:noWrap/>
            <w:vAlign w:val="bottom"/>
          </w:tcPr>
          <w:p w14:paraId="674F6025" w14:textId="0D15369C" w:rsidR="00DB3D86" w:rsidRPr="00C4123D" w:rsidRDefault="00DB3D86" w:rsidP="00C4123D">
            <w:pPr>
              <w:spacing w:after="0" w:line="240" w:lineRule="auto"/>
              <w:jc w:val="center"/>
              <w:rPr>
                <w:rFonts w:ascii="Calibri" w:eastAsia="Times New Roman" w:hAnsi="Calibri" w:cs="Calibri"/>
                <w:color w:val="000000"/>
              </w:rPr>
            </w:pPr>
            <w:r>
              <w:rPr>
                <w:rFonts w:ascii="Calibri" w:eastAsia="Times New Roman" w:hAnsi="Calibri" w:cs="Calibri"/>
                <w:color w:val="000000"/>
              </w:rPr>
              <w:t>Inactive management projects with outstanding assets and liabilities must be reconciled and closed</w:t>
            </w:r>
          </w:p>
        </w:tc>
      </w:tr>
    </w:tbl>
    <w:p w14:paraId="17B73E51" w14:textId="42C26F4C" w:rsidR="00074E72" w:rsidRDefault="00074E72" w:rsidP="00445389">
      <w:pPr>
        <w:jc w:val="both"/>
        <w:rPr>
          <w:rFonts w:ascii="Cambria" w:hAnsi="Cambria"/>
          <w:b/>
          <w:sz w:val="24"/>
          <w:szCs w:val="24"/>
        </w:rPr>
      </w:pPr>
    </w:p>
    <w:p w14:paraId="5846572C" w14:textId="77777777" w:rsidR="00766767" w:rsidRDefault="015EB512" w:rsidP="015EB512">
      <w:pPr>
        <w:jc w:val="both"/>
        <w:rPr>
          <w:rFonts w:ascii="Cambria" w:hAnsi="Cambria"/>
          <w:sz w:val="24"/>
          <w:szCs w:val="24"/>
        </w:rPr>
        <w:sectPr w:rsidR="00766767" w:rsidSect="007464B7">
          <w:pgSz w:w="15840" w:h="12240" w:orient="landscape"/>
          <w:pgMar w:top="1080" w:right="1440" w:bottom="1440" w:left="1440" w:header="720" w:footer="720" w:gutter="0"/>
          <w:cols w:space="720"/>
          <w:docGrid w:linePitch="360"/>
        </w:sectPr>
      </w:pPr>
      <w:r w:rsidRPr="015EB512">
        <w:rPr>
          <w:rFonts w:ascii="Cambria" w:hAnsi="Cambria"/>
          <w:sz w:val="24"/>
          <w:szCs w:val="24"/>
        </w:rPr>
        <w:t>For the Certified Financial Report (CFR), it covers the calendar year, for example, any Atlas Output to be reported as ‘financially closed’ in the 20XX CFR, the financial closure date must be between 1 January 20XX and 31 December 20XX.</w:t>
      </w:r>
    </w:p>
    <w:p w14:paraId="6BDE73C1" w14:textId="37278A56" w:rsidR="009C12E8" w:rsidRPr="004D3983" w:rsidRDefault="015EB512" w:rsidP="004D3983">
      <w:pPr>
        <w:pStyle w:val="Heading1"/>
        <w:rPr>
          <w:u w:val="single"/>
        </w:rPr>
      </w:pPr>
      <w:bookmarkStart w:id="16" w:name="_Toc51944974"/>
      <w:r w:rsidRPr="015EB512">
        <w:rPr>
          <w:u w:val="single"/>
        </w:rPr>
        <w:lastRenderedPageBreak/>
        <w:t>6.0 PROCEDURAL Steps for Financial Closure</w:t>
      </w:r>
      <w:bookmarkEnd w:id="16"/>
    </w:p>
    <w:p w14:paraId="4831148D" w14:textId="0F5F013D" w:rsidR="00460E6B" w:rsidRDefault="015EB512" w:rsidP="00445389">
      <w:pPr>
        <w:jc w:val="both"/>
        <w:rPr>
          <w:rFonts w:ascii="Cambria" w:hAnsi="Cambria"/>
          <w:sz w:val="24"/>
          <w:szCs w:val="24"/>
        </w:rPr>
      </w:pPr>
      <w:r w:rsidRPr="015EB512">
        <w:rPr>
          <w:rFonts w:ascii="Cambria" w:hAnsi="Cambria"/>
          <w:sz w:val="24"/>
          <w:szCs w:val="24"/>
        </w:rPr>
        <w:t xml:space="preserve">The 37 procedural steps described in the table below follow the </w:t>
      </w:r>
      <w:r w:rsidRPr="015EB512">
        <w:rPr>
          <w:rFonts w:ascii="Cambria" w:hAnsi="Cambria"/>
          <w:b/>
          <w:bCs/>
          <w:i/>
          <w:iCs/>
          <w:sz w:val="24"/>
          <w:szCs w:val="24"/>
        </w:rPr>
        <w:t>Project Completion Check List</w:t>
      </w:r>
      <w:r w:rsidRPr="015EB512">
        <w:rPr>
          <w:rFonts w:ascii="Cambria" w:hAnsi="Cambria"/>
          <w:sz w:val="24"/>
          <w:szCs w:val="24"/>
        </w:rPr>
        <w:t xml:space="preserve"> in the POPP and should be used in conjunction with the POPP; the </w:t>
      </w:r>
      <w:r w:rsidRPr="015EB512">
        <w:rPr>
          <w:rFonts w:ascii="Cambria" w:hAnsi="Cambria"/>
          <w:b/>
          <w:bCs/>
          <w:sz w:val="24"/>
          <w:szCs w:val="24"/>
        </w:rPr>
        <w:t>Project Closure Workbench Checklist</w:t>
      </w:r>
      <w:r w:rsidRPr="015EB512">
        <w:rPr>
          <w:rFonts w:ascii="Cambria" w:hAnsi="Cambria"/>
          <w:sz w:val="24"/>
          <w:szCs w:val="24"/>
        </w:rPr>
        <w:t xml:space="preserve"> in Atlas (with links to Atlas reports/queries) and other Atlas reports/queries as identified in the table.  The numbering of the 3 checklists is cross referenced in the annotated POPP checklist below </w:t>
      </w:r>
      <w:r w:rsidRPr="015EB512">
        <w:rPr>
          <w:rFonts w:ascii="Cambria" w:hAnsi="Cambria"/>
          <w:b/>
          <w:bCs/>
          <w:sz w:val="24"/>
          <w:szCs w:val="24"/>
        </w:rPr>
        <w:t xml:space="preserve">(Annex 1) </w:t>
      </w:r>
      <w:r w:rsidRPr="015EB512">
        <w:rPr>
          <w:rFonts w:ascii="Cambria" w:hAnsi="Cambria"/>
          <w:sz w:val="24"/>
          <w:szCs w:val="24"/>
        </w:rPr>
        <w:t xml:space="preserve">as there are minor differences due to the inclusion of additional detail.  These should be checked (√) in the Project Closure Workbench in Atlas and the project status in Atlas changed to “F” – Financially Closed (step 35).  </w:t>
      </w:r>
      <w:r w:rsidRPr="015EB512">
        <w:rPr>
          <w:rFonts w:ascii="Cambria" w:hAnsi="Cambria"/>
          <w:b/>
          <w:bCs/>
          <w:i/>
          <w:iCs/>
          <w:sz w:val="24"/>
          <w:szCs w:val="24"/>
        </w:rPr>
        <w:t>The project closure checklist in the POPP should also be completed and signed.</w:t>
      </w:r>
      <w:r w:rsidRPr="015EB512">
        <w:rPr>
          <w:rFonts w:ascii="Cambria" w:hAnsi="Cambria"/>
          <w:sz w:val="24"/>
          <w:szCs w:val="24"/>
        </w:rPr>
        <w:t xml:space="preserve">  A copy should be retained in the project file.  If it is not possible to conclude any of the steps, the project manager must document the due diligence taken in consultation with the IP, government, region bureau/HQ before financially closing the project. Please make reference to Section 8.0 of this document for managing exceptions through  </w:t>
      </w:r>
      <w:r w:rsidRPr="015EB512">
        <w:rPr>
          <w:rFonts w:ascii="Cambria" w:hAnsi="Cambria"/>
          <w:b/>
          <w:bCs/>
          <w:i/>
          <w:iCs/>
          <w:sz w:val="24"/>
          <w:szCs w:val="24"/>
        </w:rPr>
        <w:t>alternative Procedures</w:t>
      </w:r>
      <w:r w:rsidRPr="015EB512">
        <w:rPr>
          <w:rFonts w:ascii="Cambria" w:hAnsi="Cambria"/>
          <w:sz w:val="24"/>
          <w:szCs w:val="24"/>
        </w:rPr>
        <w:t xml:space="preserve">.  These procedures apply on a case-by-case basis in consultation with your regional bureau/HQ and OFM.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2397"/>
        <w:gridCol w:w="2933"/>
        <w:gridCol w:w="3845"/>
      </w:tblGrid>
      <w:tr w:rsidR="00E5285F" w:rsidRPr="009534CA" w14:paraId="2DA3F266" w14:textId="77777777" w:rsidTr="007464B7">
        <w:trPr>
          <w:tblHeader/>
        </w:trPr>
        <w:tc>
          <w:tcPr>
            <w:tcW w:w="275" w:type="pct"/>
            <w:shd w:val="clear" w:color="auto" w:fill="CCFFFF"/>
          </w:tcPr>
          <w:p w14:paraId="7E6CF1D3" w14:textId="77777777" w:rsidR="008A7E9A" w:rsidRPr="007464B7" w:rsidRDefault="008A7E9A" w:rsidP="00C24A59">
            <w:pPr>
              <w:rPr>
                <w:rFonts w:asciiTheme="majorHAnsi" w:hAnsiTheme="majorHAnsi"/>
                <w:b/>
                <w:sz w:val="14"/>
                <w:szCs w:val="14"/>
              </w:rPr>
            </w:pPr>
            <w:r w:rsidRPr="007464B7">
              <w:rPr>
                <w:rFonts w:asciiTheme="majorHAnsi" w:hAnsiTheme="majorHAnsi"/>
                <w:b/>
                <w:sz w:val="14"/>
                <w:szCs w:val="14"/>
              </w:rPr>
              <w:t>No.</w:t>
            </w:r>
          </w:p>
        </w:tc>
        <w:tc>
          <w:tcPr>
            <w:tcW w:w="1234" w:type="pct"/>
            <w:shd w:val="clear" w:color="auto" w:fill="CCFFFF"/>
            <w:vAlign w:val="center"/>
          </w:tcPr>
          <w:p w14:paraId="348619B9" w14:textId="77777777" w:rsidR="008A7E9A" w:rsidRPr="00CF4CA6" w:rsidRDefault="008A7E9A" w:rsidP="00602413">
            <w:pPr>
              <w:jc w:val="center"/>
              <w:rPr>
                <w:rFonts w:asciiTheme="majorHAnsi" w:hAnsiTheme="majorHAnsi"/>
                <w:b/>
                <w:sz w:val="20"/>
                <w:szCs w:val="20"/>
              </w:rPr>
            </w:pPr>
            <w:r w:rsidRPr="00CF4CA6">
              <w:rPr>
                <w:rFonts w:asciiTheme="majorHAnsi" w:hAnsiTheme="majorHAnsi"/>
                <w:b/>
                <w:sz w:val="20"/>
                <w:szCs w:val="20"/>
              </w:rPr>
              <w:t>Project Closure Requirements as per POPP</w:t>
            </w:r>
          </w:p>
        </w:tc>
        <w:tc>
          <w:tcPr>
            <w:tcW w:w="1510" w:type="pct"/>
            <w:shd w:val="clear" w:color="auto" w:fill="CCFFFF"/>
            <w:vAlign w:val="center"/>
          </w:tcPr>
          <w:p w14:paraId="1795A19B" w14:textId="77777777" w:rsidR="008A7E9A" w:rsidRPr="00CF4CA6" w:rsidRDefault="008A7E9A" w:rsidP="00602413">
            <w:pPr>
              <w:jc w:val="center"/>
              <w:rPr>
                <w:rFonts w:asciiTheme="majorHAnsi" w:hAnsiTheme="majorHAnsi"/>
                <w:b/>
                <w:sz w:val="20"/>
                <w:szCs w:val="20"/>
              </w:rPr>
            </w:pPr>
            <w:r w:rsidRPr="00CF4CA6">
              <w:rPr>
                <w:rFonts w:asciiTheme="majorHAnsi" w:hAnsiTheme="majorHAnsi"/>
                <w:b/>
                <w:sz w:val="20"/>
                <w:szCs w:val="20"/>
              </w:rPr>
              <w:t>Verification Methodology</w:t>
            </w:r>
          </w:p>
        </w:tc>
        <w:tc>
          <w:tcPr>
            <w:tcW w:w="1980" w:type="pct"/>
            <w:shd w:val="clear" w:color="auto" w:fill="CCFFFF"/>
            <w:vAlign w:val="center"/>
          </w:tcPr>
          <w:p w14:paraId="62657127" w14:textId="77777777" w:rsidR="008A7E9A" w:rsidRPr="00CF4CA6" w:rsidRDefault="008A7E9A" w:rsidP="00602413">
            <w:pPr>
              <w:jc w:val="center"/>
              <w:rPr>
                <w:rFonts w:asciiTheme="majorHAnsi" w:hAnsiTheme="majorHAnsi"/>
                <w:b/>
                <w:sz w:val="20"/>
                <w:szCs w:val="20"/>
              </w:rPr>
            </w:pPr>
            <w:r w:rsidRPr="00CF4CA6">
              <w:rPr>
                <w:rFonts w:asciiTheme="majorHAnsi" w:hAnsiTheme="majorHAnsi"/>
                <w:b/>
                <w:sz w:val="20"/>
                <w:szCs w:val="20"/>
              </w:rPr>
              <w:t>Scenario &amp; Required Actions to clear balance</w:t>
            </w:r>
          </w:p>
        </w:tc>
      </w:tr>
      <w:tr w:rsidR="00E5285F" w:rsidRPr="009534CA" w14:paraId="1BC121A5" w14:textId="77777777" w:rsidTr="007464B7">
        <w:tc>
          <w:tcPr>
            <w:tcW w:w="275" w:type="pct"/>
            <w:vMerge w:val="restart"/>
          </w:tcPr>
          <w:p w14:paraId="0596FAC4" w14:textId="77777777" w:rsidR="008A7E9A" w:rsidRPr="009534CA" w:rsidRDefault="008A7E9A" w:rsidP="00C24A59">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1</w:t>
            </w:r>
          </w:p>
        </w:tc>
        <w:tc>
          <w:tcPr>
            <w:tcW w:w="1234" w:type="pct"/>
            <w:vMerge w:val="restart"/>
          </w:tcPr>
          <w:p w14:paraId="0C1EDE2A" w14:textId="77777777" w:rsidR="008A7E9A" w:rsidRPr="009534CA" w:rsidRDefault="008A7E9A" w:rsidP="00C24A59">
            <w:pPr>
              <w:rPr>
                <w:rFonts w:asciiTheme="majorHAnsi" w:hAnsiTheme="majorHAnsi"/>
                <w:color w:val="404040" w:themeColor="text1" w:themeTint="BF"/>
                <w:sz w:val="20"/>
                <w:szCs w:val="20"/>
              </w:rPr>
            </w:pPr>
            <w:r w:rsidRPr="009534CA">
              <w:rPr>
                <w:rFonts w:asciiTheme="majorHAnsi" w:hAnsiTheme="majorHAnsi"/>
                <w:color w:val="404040" w:themeColor="text1" w:themeTint="BF"/>
                <w:sz w:val="20"/>
                <w:szCs w:val="20"/>
              </w:rPr>
              <w:t>No outstanding NEX</w:t>
            </w:r>
            <w:r>
              <w:rPr>
                <w:rFonts w:asciiTheme="majorHAnsi" w:hAnsiTheme="majorHAnsi"/>
                <w:color w:val="404040" w:themeColor="text1" w:themeTint="BF"/>
                <w:sz w:val="20"/>
                <w:szCs w:val="20"/>
              </w:rPr>
              <w:t>/NGO</w:t>
            </w:r>
            <w:r w:rsidRPr="009534CA">
              <w:rPr>
                <w:rFonts w:asciiTheme="majorHAnsi" w:hAnsiTheme="majorHAnsi"/>
                <w:color w:val="404040" w:themeColor="text1" w:themeTint="BF"/>
                <w:sz w:val="20"/>
                <w:szCs w:val="20"/>
              </w:rPr>
              <w:t xml:space="preserve"> advances-in either local currency or USD (Account 16005)</w:t>
            </w:r>
          </w:p>
        </w:tc>
        <w:tc>
          <w:tcPr>
            <w:tcW w:w="1510" w:type="pct"/>
          </w:tcPr>
          <w:p w14:paraId="173DA423" w14:textId="77777777" w:rsidR="008A7E9A" w:rsidRPr="009534CA" w:rsidRDefault="008A7E9A" w:rsidP="00C24A59">
            <w:pPr>
              <w:rPr>
                <w:rFonts w:asciiTheme="majorHAnsi" w:hAnsiTheme="majorHAnsi"/>
                <w:color w:val="404040" w:themeColor="text1" w:themeTint="BF"/>
                <w:sz w:val="20"/>
                <w:szCs w:val="20"/>
              </w:rPr>
            </w:pPr>
            <w:r w:rsidRPr="003E4FCF">
              <w:rPr>
                <w:rFonts w:asciiTheme="majorHAnsi" w:hAnsiTheme="majorHAnsi"/>
                <w:color w:val="404040" w:themeColor="text1" w:themeTint="BF"/>
                <w:sz w:val="20"/>
                <w:szCs w:val="20"/>
              </w:rPr>
              <w:t>Check current balance in “Project closure workbench”</w:t>
            </w:r>
          </w:p>
        </w:tc>
        <w:tc>
          <w:tcPr>
            <w:tcW w:w="1980" w:type="pct"/>
          </w:tcPr>
          <w:p w14:paraId="32CE9301" w14:textId="1D4B2956" w:rsidR="008A7E9A" w:rsidRDefault="008A7E9A" w:rsidP="002378B2">
            <w:pPr>
              <w:pStyle w:val="NormalWeb"/>
              <w:spacing w:before="0" w:beforeAutospacing="0" w:after="0" w:afterAutospacing="0"/>
              <w:rPr>
                <w:rFonts w:asciiTheme="majorHAnsi" w:hAnsiTheme="majorHAnsi"/>
                <w:color w:val="404040" w:themeColor="text1" w:themeTint="BF"/>
                <w:sz w:val="20"/>
                <w:szCs w:val="20"/>
              </w:rPr>
            </w:pPr>
            <w:r w:rsidRPr="00980518">
              <w:rPr>
                <w:rFonts w:asciiTheme="majorHAnsi" w:hAnsiTheme="majorHAnsi"/>
                <w:color w:val="404040" w:themeColor="text1" w:themeTint="BF"/>
                <w:sz w:val="20"/>
                <w:szCs w:val="20"/>
              </w:rPr>
              <w:t xml:space="preserve">Generally, </w:t>
            </w:r>
            <w:r>
              <w:rPr>
                <w:rFonts w:asciiTheme="majorHAnsi" w:hAnsiTheme="majorHAnsi"/>
                <w:color w:val="404040" w:themeColor="text1" w:themeTint="BF"/>
                <w:sz w:val="20"/>
                <w:szCs w:val="20"/>
              </w:rPr>
              <w:t xml:space="preserve">the </w:t>
            </w:r>
            <w:r w:rsidRPr="00980518">
              <w:rPr>
                <w:rFonts w:asciiTheme="majorHAnsi" w:hAnsiTheme="majorHAnsi"/>
                <w:color w:val="404040" w:themeColor="text1" w:themeTint="BF"/>
                <w:sz w:val="20"/>
                <w:szCs w:val="20"/>
              </w:rPr>
              <w:t>account balance should be nil</w:t>
            </w:r>
            <w:r>
              <w:rPr>
                <w:rFonts w:asciiTheme="majorHAnsi" w:hAnsiTheme="majorHAnsi"/>
                <w:color w:val="404040" w:themeColor="text1" w:themeTint="BF"/>
                <w:sz w:val="20"/>
                <w:szCs w:val="20"/>
              </w:rPr>
              <w:t>/zero</w:t>
            </w:r>
            <w:r w:rsidRPr="00980518">
              <w:rPr>
                <w:rFonts w:asciiTheme="majorHAnsi" w:hAnsiTheme="majorHAnsi"/>
                <w:color w:val="404040" w:themeColor="text1" w:themeTint="BF"/>
                <w:sz w:val="20"/>
                <w:szCs w:val="20"/>
              </w:rPr>
              <w:t xml:space="preserve"> at full COA.</w:t>
            </w:r>
          </w:p>
          <w:p w14:paraId="39EA615C" w14:textId="77777777" w:rsidR="008A7E9A" w:rsidRDefault="008A7E9A" w:rsidP="002378B2">
            <w:pPr>
              <w:pStyle w:val="NormalWeb"/>
              <w:spacing w:before="0" w:beforeAutospacing="0" w:after="0" w:afterAutospacing="0"/>
              <w:ind w:left="360"/>
              <w:rPr>
                <w:rFonts w:asciiTheme="majorHAnsi" w:hAnsiTheme="majorHAnsi"/>
                <w:color w:val="404040" w:themeColor="text1" w:themeTint="BF"/>
                <w:sz w:val="20"/>
                <w:szCs w:val="20"/>
              </w:rPr>
            </w:pPr>
          </w:p>
          <w:p w14:paraId="6FA5D1A6" w14:textId="656A5BBF" w:rsidR="008A7E9A" w:rsidRPr="009534CA" w:rsidRDefault="008A7E9A" w:rsidP="00A2250F">
            <w:pPr>
              <w:pStyle w:val="NormalWeb"/>
              <w:numPr>
                <w:ilvl w:val="0"/>
                <w:numId w:val="5"/>
              </w:numPr>
              <w:spacing w:before="0" w:beforeAutospacing="0" w:after="0" w:afterAutospacing="0"/>
              <w:rPr>
                <w:rFonts w:asciiTheme="majorHAnsi" w:hAnsiTheme="majorHAnsi"/>
                <w:color w:val="404040" w:themeColor="text1" w:themeTint="BF"/>
                <w:sz w:val="20"/>
                <w:szCs w:val="20"/>
              </w:rPr>
            </w:pPr>
            <w:r w:rsidRPr="009534CA">
              <w:rPr>
                <w:rFonts w:asciiTheme="majorHAnsi" w:hAnsiTheme="majorHAnsi"/>
                <w:color w:val="404040" w:themeColor="text1" w:themeTint="BF"/>
                <w:sz w:val="20"/>
                <w:szCs w:val="20"/>
              </w:rPr>
              <w:t xml:space="preserve">If Transaction Currency balance is </w:t>
            </w:r>
            <w:r w:rsidRPr="00AC73C2">
              <w:rPr>
                <w:rFonts w:asciiTheme="majorHAnsi" w:hAnsiTheme="majorHAnsi"/>
                <w:b/>
                <w:i/>
                <w:color w:val="404040" w:themeColor="text1" w:themeTint="BF"/>
                <w:sz w:val="20"/>
                <w:szCs w:val="20"/>
              </w:rPr>
              <w:t>not</w:t>
            </w:r>
            <w:r w:rsidRPr="009534CA">
              <w:rPr>
                <w:rFonts w:asciiTheme="majorHAnsi" w:hAnsiTheme="majorHAnsi"/>
                <w:color w:val="404040" w:themeColor="text1" w:themeTint="BF"/>
                <w:sz w:val="20"/>
                <w:szCs w:val="20"/>
              </w:rPr>
              <w:t xml:space="preserve"> zero</w:t>
            </w:r>
            <w:r>
              <w:rPr>
                <w:rFonts w:asciiTheme="majorHAnsi" w:hAnsiTheme="majorHAnsi"/>
                <w:color w:val="404040" w:themeColor="text1" w:themeTint="BF"/>
                <w:sz w:val="20"/>
                <w:szCs w:val="20"/>
              </w:rPr>
              <w:t>:</w:t>
            </w:r>
            <w:r w:rsidRPr="009534CA">
              <w:rPr>
                <w:rFonts w:asciiTheme="majorHAnsi" w:hAnsiTheme="majorHAnsi"/>
                <w:color w:val="404040" w:themeColor="text1" w:themeTint="BF"/>
                <w:sz w:val="20"/>
                <w:szCs w:val="20"/>
              </w:rPr>
              <w:t xml:space="preserve"> </w:t>
            </w:r>
          </w:p>
          <w:p w14:paraId="4768B53B" w14:textId="24AA93C2" w:rsidR="008A7E9A" w:rsidRPr="009534CA" w:rsidRDefault="008A7E9A" w:rsidP="00A2250F">
            <w:pPr>
              <w:pStyle w:val="NormalWeb"/>
              <w:numPr>
                <w:ilvl w:val="1"/>
                <w:numId w:val="5"/>
              </w:numPr>
              <w:spacing w:before="0" w:beforeAutospacing="0" w:after="0" w:afterAutospacing="0"/>
              <w:rPr>
                <w:rFonts w:asciiTheme="majorHAnsi" w:hAnsiTheme="majorHAnsi"/>
                <w:color w:val="404040" w:themeColor="text1" w:themeTint="BF"/>
                <w:sz w:val="20"/>
                <w:szCs w:val="20"/>
              </w:rPr>
            </w:pPr>
            <w:r w:rsidRPr="009534CA">
              <w:rPr>
                <w:rFonts w:asciiTheme="majorHAnsi" w:hAnsiTheme="majorHAnsi"/>
                <w:color w:val="404040" w:themeColor="text1" w:themeTint="BF"/>
                <w:sz w:val="20"/>
                <w:szCs w:val="20"/>
              </w:rPr>
              <w:t xml:space="preserve">If positive, please follow-up with </w:t>
            </w:r>
            <w:r>
              <w:rPr>
                <w:rFonts w:asciiTheme="majorHAnsi" w:hAnsiTheme="majorHAnsi"/>
                <w:color w:val="404040" w:themeColor="text1" w:themeTint="BF"/>
                <w:sz w:val="20"/>
                <w:szCs w:val="20"/>
              </w:rPr>
              <w:t xml:space="preserve">the </w:t>
            </w:r>
            <w:r w:rsidRPr="009534CA">
              <w:rPr>
                <w:rFonts w:asciiTheme="majorHAnsi" w:hAnsiTheme="majorHAnsi"/>
                <w:color w:val="404040" w:themeColor="text1" w:themeTint="BF"/>
                <w:sz w:val="20"/>
                <w:szCs w:val="20"/>
              </w:rPr>
              <w:t>I</w:t>
            </w:r>
            <w:r>
              <w:rPr>
                <w:rFonts w:asciiTheme="majorHAnsi" w:hAnsiTheme="majorHAnsi"/>
                <w:color w:val="404040" w:themeColor="text1" w:themeTint="BF"/>
                <w:sz w:val="20"/>
                <w:szCs w:val="20"/>
              </w:rPr>
              <w:t xml:space="preserve">mplementing </w:t>
            </w:r>
            <w:r w:rsidRPr="009534CA">
              <w:rPr>
                <w:rFonts w:asciiTheme="majorHAnsi" w:hAnsiTheme="majorHAnsi"/>
                <w:color w:val="404040" w:themeColor="text1" w:themeTint="BF"/>
                <w:sz w:val="20"/>
                <w:szCs w:val="20"/>
              </w:rPr>
              <w:t>P</w:t>
            </w:r>
            <w:r>
              <w:rPr>
                <w:rFonts w:asciiTheme="majorHAnsi" w:hAnsiTheme="majorHAnsi"/>
                <w:color w:val="404040" w:themeColor="text1" w:themeTint="BF"/>
                <w:sz w:val="20"/>
                <w:szCs w:val="20"/>
              </w:rPr>
              <w:t>artner (IP)</w:t>
            </w:r>
            <w:r w:rsidRPr="009534CA">
              <w:rPr>
                <w:rFonts w:asciiTheme="majorHAnsi" w:hAnsiTheme="majorHAnsi"/>
                <w:color w:val="404040" w:themeColor="text1" w:themeTint="BF"/>
                <w:sz w:val="20"/>
                <w:szCs w:val="20"/>
              </w:rPr>
              <w:t>/R</w:t>
            </w:r>
            <w:r>
              <w:rPr>
                <w:rFonts w:asciiTheme="majorHAnsi" w:hAnsiTheme="majorHAnsi"/>
                <w:color w:val="404040" w:themeColor="text1" w:themeTint="BF"/>
                <w:sz w:val="20"/>
                <w:szCs w:val="20"/>
              </w:rPr>
              <w:t xml:space="preserve">esponsible </w:t>
            </w:r>
            <w:r w:rsidRPr="009534CA">
              <w:rPr>
                <w:rFonts w:asciiTheme="majorHAnsi" w:hAnsiTheme="majorHAnsi"/>
                <w:color w:val="404040" w:themeColor="text1" w:themeTint="BF"/>
                <w:sz w:val="20"/>
                <w:szCs w:val="20"/>
              </w:rPr>
              <w:t>P</w:t>
            </w:r>
            <w:r>
              <w:rPr>
                <w:rFonts w:asciiTheme="majorHAnsi" w:hAnsiTheme="majorHAnsi"/>
                <w:color w:val="404040" w:themeColor="text1" w:themeTint="BF"/>
                <w:sz w:val="20"/>
                <w:szCs w:val="20"/>
              </w:rPr>
              <w:t>arty (RP)</w:t>
            </w:r>
            <w:r w:rsidRPr="009534CA">
              <w:rPr>
                <w:rFonts w:asciiTheme="majorHAnsi" w:hAnsiTheme="majorHAnsi"/>
                <w:color w:val="404040" w:themeColor="text1" w:themeTint="BF"/>
                <w:sz w:val="20"/>
                <w:szCs w:val="20"/>
              </w:rPr>
              <w:t xml:space="preserve"> and clear the balance.</w:t>
            </w:r>
          </w:p>
          <w:p w14:paraId="16FD6FE1" w14:textId="2E7D379A" w:rsidR="008A7E9A" w:rsidRPr="009534CA" w:rsidRDefault="015EB512" w:rsidP="015EB512">
            <w:pPr>
              <w:pStyle w:val="NormalWeb"/>
              <w:numPr>
                <w:ilvl w:val="1"/>
                <w:numId w:val="5"/>
              </w:numPr>
              <w:spacing w:before="0" w:beforeAutospacing="0" w:after="0" w:afterAutospacing="0"/>
              <w:rPr>
                <w:rFonts w:asciiTheme="majorHAnsi" w:hAnsiTheme="majorHAnsi"/>
                <w:color w:val="404040" w:themeColor="text1" w:themeTint="BF"/>
                <w:sz w:val="20"/>
                <w:szCs w:val="20"/>
              </w:rPr>
            </w:pPr>
            <w:r w:rsidRPr="015EB512">
              <w:rPr>
                <w:rFonts w:asciiTheme="majorHAnsi" w:hAnsiTheme="majorHAnsi"/>
                <w:color w:val="404040" w:themeColor="text1" w:themeTint="BF"/>
                <w:sz w:val="20"/>
                <w:szCs w:val="20"/>
              </w:rPr>
              <w:t>If negative, please run “AAA” report to ensure there is no accounting errors. If there is a case of pre-financing, please complete due diligence to mitigate risks and check whether it was made in accordance with the signed Annual Work Plan (AWP) and project results prior to reimbursing the IP/RP.</w:t>
            </w:r>
          </w:p>
          <w:p w14:paraId="2449D102" w14:textId="123B2273" w:rsidR="015EB512" w:rsidRDefault="015EB512" w:rsidP="015EB512">
            <w:pPr>
              <w:pStyle w:val="NormalWeb"/>
              <w:spacing w:before="0" w:beforeAutospacing="0" w:after="0" w:afterAutospacing="0"/>
              <w:ind w:left="720"/>
              <w:rPr>
                <w:rFonts w:asciiTheme="majorHAnsi" w:hAnsiTheme="majorHAnsi"/>
                <w:color w:val="404040" w:themeColor="text1" w:themeTint="BF"/>
                <w:sz w:val="20"/>
                <w:szCs w:val="20"/>
              </w:rPr>
            </w:pPr>
          </w:p>
          <w:p w14:paraId="13B9BD3E" w14:textId="304E6959" w:rsidR="008A7E9A" w:rsidRDefault="008A7E9A" w:rsidP="00A2250F">
            <w:pPr>
              <w:pStyle w:val="NormalWeb"/>
              <w:numPr>
                <w:ilvl w:val="0"/>
                <w:numId w:val="5"/>
              </w:numPr>
              <w:spacing w:before="0" w:beforeAutospacing="0" w:after="0" w:afterAutospacing="0"/>
              <w:rPr>
                <w:rFonts w:asciiTheme="majorHAnsi" w:hAnsiTheme="majorHAnsi"/>
                <w:color w:val="404040" w:themeColor="text1" w:themeTint="BF"/>
                <w:sz w:val="20"/>
                <w:szCs w:val="20"/>
              </w:rPr>
            </w:pPr>
            <w:r w:rsidRPr="009534CA">
              <w:rPr>
                <w:rFonts w:asciiTheme="majorHAnsi" w:hAnsiTheme="majorHAnsi"/>
                <w:color w:val="404040" w:themeColor="text1" w:themeTint="BF"/>
                <w:sz w:val="20"/>
                <w:szCs w:val="20"/>
              </w:rPr>
              <w:t xml:space="preserve">If Transaction Currency balance is zero but Base currency balance is not zero, please verify the “Project Closure Workbench” once the next accounting period is closed as the </w:t>
            </w:r>
            <w:r w:rsidR="00F8070A">
              <w:rPr>
                <w:rFonts w:asciiTheme="majorHAnsi" w:hAnsiTheme="majorHAnsi"/>
                <w:color w:val="404040" w:themeColor="text1" w:themeTint="BF"/>
                <w:sz w:val="20"/>
                <w:szCs w:val="20"/>
              </w:rPr>
              <w:t>National Execution (</w:t>
            </w:r>
            <w:r w:rsidRPr="009534CA">
              <w:rPr>
                <w:rFonts w:asciiTheme="majorHAnsi" w:hAnsiTheme="majorHAnsi"/>
                <w:color w:val="404040" w:themeColor="text1" w:themeTint="BF"/>
                <w:sz w:val="20"/>
                <w:szCs w:val="20"/>
              </w:rPr>
              <w:t>NEX</w:t>
            </w:r>
            <w:r w:rsidR="00F8070A">
              <w:rPr>
                <w:rFonts w:asciiTheme="majorHAnsi" w:hAnsiTheme="majorHAnsi"/>
                <w:color w:val="404040" w:themeColor="text1" w:themeTint="BF"/>
                <w:sz w:val="20"/>
                <w:szCs w:val="20"/>
              </w:rPr>
              <w:t>)</w:t>
            </w:r>
            <w:r w:rsidRPr="009534CA">
              <w:rPr>
                <w:rFonts w:asciiTheme="majorHAnsi" w:hAnsiTheme="majorHAnsi"/>
                <w:color w:val="404040" w:themeColor="text1" w:themeTint="BF"/>
                <w:sz w:val="20"/>
                <w:szCs w:val="20"/>
              </w:rPr>
              <w:t xml:space="preserve"> revaluation should have been run and the Base currency balance should become zero.</w:t>
            </w:r>
          </w:p>
          <w:p w14:paraId="579DB755" w14:textId="77777777" w:rsidR="008A7E9A" w:rsidRDefault="008A7E9A" w:rsidP="002378B2">
            <w:pPr>
              <w:pStyle w:val="NormalWeb"/>
              <w:spacing w:before="0" w:beforeAutospacing="0" w:after="0" w:afterAutospacing="0"/>
              <w:rPr>
                <w:rFonts w:asciiTheme="majorHAnsi" w:hAnsiTheme="majorHAnsi"/>
                <w:color w:val="404040" w:themeColor="text1" w:themeTint="BF"/>
                <w:sz w:val="20"/>
                <w:szCs w:val="20"/>
              </w:rPr>
            </w:pPr>
          </w:p>
          <w:p w14:paraId="588F207A" w14:textId="7257AF66" w:rsidR="008A7E9A" w:rsidRPr="00980518" w:rsidRDefault="015EB512" w:rsidP="015EB512">
            <w:pPr>
              <w:pStyle w:val="NormalWeb"/>
              <w:numPr>
                <w:ilvl w:val="0"/>
                <w:numId w:val="5"/>
              </w:numPr>
              <w:spacing w:before="0" w:beforeAutospacing="0" w:after="0" w:afterAutospacing="0"/>
              <w:rPr>
                <w:rFonts w:asciiTheme="majorHAnsi" w:hAnsiTheme="majorHAnsi"/>
                <w:color w:val="404040" w:themeColor="text1" w:themeTint="BF"/>
                <w:sz w:val="20"/>
                <w:szCs w:val="20"/>
              </w:rPr>
            </w:pPr>
            <w:r w:rsidRPr="015EB512">
              <w:rPr>
                <w:rFonts w:asciiTheme="majorHAnsi" w:hAnsiTheme="majorHAnsi"/>
                <w:color w:val="404040" w:themeColor="text1" w:themeTint="BF"/>
                <w:sz w:val="20"/>
                <w:szCs w:val="20"/>
              </w:rPr>
              <w:t xml:space="preserve">It may happen that the NEX Advance recorded currency and the Funding Authorization and Certificate of Expenditure (FACE) form  recorded currency are different and the transaction currency has a balance and base currency amount is nil or has a balance.  In this scenario, please clear the mismatch currency settlements at full the Chart of Accounts (COA) level.  Reverse the manual adjustment/s of foreign exchange difference if any. </w:t>
            </w:r>
          </w:p>
          <w:p w14:paraId="05DDD80B" w14:textId="77777777" w:rsidR="008A7E9A" w:rsidRPr="00121ECB" w:rsidRDefault="008A7E9A" w:rsidP="0043589C">
            <w:pPr>
              <w:pStyle w:val="NormalWeb"/>
              <w:spacing w:before="0" w:beforeAutospacing="0" w:after="0" w:afterAutospacing="0"/>
              <w:ind w:left="360"/>
              <w:rPr>
                <w:rFonts w:asciiTheme="majorHAnsi" w:hAnsiTheme="majorHAnsi"/>
                <w:color w:val="404040" w:themeColor="text1" w:themeTint="BF"/>
                <w:sz w:val="20"/>
                <w:szCs w:val="20"/>
                <w:highlight w:val="cyan"/>
              </w:rPr>
            </w:pPr>
          </w:p>
          <w:p w14:paraId="2AB5CACE" w14:textId="05D8E089" w:rsidR="008A7E9A" w:rsidRDefault="008A7E9A" w:rsidP="0012553B">
            <w:pPr>
              <w:pStyle w:val="NormalWeb"/>
              <w:spacing w:before="0" w:beforeAutospacing="0" w:after="0" w:afterAutospacing="0"/>
              <w:ind w:left="342" w:hanging="270"/>
              <w:rPr>
                <w:rFonts w:asciiTheme="majorHAnsi" w:hAnsiTheme="majorHAnsi"/>
                <w:color w:val="404040" w:themeColor="text1" w:themeTint="BF"/>
                <w:sz w:val="20"/>
                <w:szCs w:val="20"/>
              </w:rPr>
            </w:pPr>
            <w:r w:rsidRPr="00AE2690">
              <w:rPr>
                <w:rFonts w:asciiTheme="majorHAnsi" w:hAnsiTheme="majorHAnsi"/>
                <w:color w:val="404040" w:themeColor="text1" w:themeTint="BF"/>
                <w:sz w:val="20"/>
                <w:szCs w:val="20"/>
              </w:rPr>
              <w:t xml:space="preserve">4)   </w:t>
            </w:r>
            <w:r w:rsidRPr="00980518">
              <w:rPr>
                <w:rFonts w:asciiTheme="majorHAnsi" w:hAnsiTheme="majorHAnsi"/>
                <w:color w:val="404040" w:themeColor="text1" w:themeTint="BF"/>
                <w:sz w:val="20"/>
                <w:szCs w:val="20"/>
              </w:rPr>
              <w:t>Although total balance of the NEX advance account is nil</w:t>
            </w:r>
            <w:r w:rsidR="00B23490">
              <w:rPr>
                <w:rFonts w:asciiTheme="majorHAnsi" w:hAnsiTheme="majorHAnsi"/>
                <w:color w:val="404040" w:themeColor="text1" w:themeTint="BF"/>
                <w:sz w:val="20"/>
                <w:szCs w:val="20"/>
              </w:rPr>
              <w:t xml:space="preserve"> in local currency (Transaction currency)</w:t>
            </w:r>
            <w:r w:rsidRPr="00980518">
              <w:rPr>
                <w:rFonts w:asciiTheme="majorHAnsi" w:hAnsiTheme="majorHAnsi"/>
                <w:color w:val="404040" w:themeColor="text1" w:themeTint="BF"/>
                <w:sz w:val="20"/>
                <w:szCs w:val="20"/>
              </w:rPr>
              <w:t>, there might be mismatch COA transactions.  Ensure that all full C</w:t>
            </w:r>
            <w:r>
              <w:rPr>
                <w:rFonts w:asciiTheme="majorHAnsi" w:hAnsiTheme="majorHAnsi"/>
                <w:color w:val="404040" w:themeColor="text1" w:themeTint="BF"/>
                <w:sz w:val="20"/>
                <w:szCs w:val="20"/>
              </w:rPr>
              <w:t>O</w:t>
            </w:r>
            <w:r w:rsidRPr="00980518">
              <w:rPr>
                <w:rFonts w:asciiTheme="majorHAnsi" w:hAnsiTheme="majorHAnsi"/>
                <w:color w:val="404040" w:themeColor="text1" w:themeTint="BF"/>
                <w:sz w:val="20"/>
                <w:szCs w:val="20"/>
              </w:rPr>
              <w:t>A lines are offset.</w:t>
            </w:r>
            <w:r>
              <w:rPr>
                <w:rFonts w:asciiTheme="majorHAnsi" w:hAnsiTheme="majorHAnsi"/>
                <w:color w:val="404040" w:themeColor="text1" w:themeTint="BF"/>
                <w:sz w:val="20"/>
                <w:szCs w:val="20"/>
              </w:rPr>
              <w:t xml:space="preserve"> </w:t>
            </w:r>
            <w:r w:rsidR="00B23490">
              <w:rPr>
                <w:rFonts w:asciiTheme="majorHAnsi" w:hAnsiTheme="majorHAnsi"/>
                <w:color w:val="404040" w:themeColor="text1" w:themeTint="BF"/>
                <w:sz w:val="20"/>
                <w:szCs w:val="20"/>
              </w:rPr>
              <w:t>If there are GL balances in local currency in mismatch COA (e.g. different Implementing Agents, Dept IDs, Donors), the revaluation will be processed periodically, and the closed project will be re-opened by Headquarters to post the FX revaluation in account 16005. Before status of project (“Output”) is changed to “Operationally Closed”, please ensure that there is zero NEX/NGO advance balance in local currency at full COA level.</w:t>
            </w:r>
          </w:p>
          <w:p w14:paraId="1B320C24" w14:textId="77777777" w:rsidR="008A7E9A" w:rsidRDefault="008A7E9A" w:rsidP="002378B2">
            <w:pPr>
              <w:pStyle w:val="NormalWeb"/>
              <w:spacing w:before="0" w:beforeAutospacing="0" w:after="0" w:afterAutospacing="0"/>
              <w:rPr>
                <w:rFonts w:asciiTheme="majorHAnsi" w:hAnsiTheme="majorHAnsi"/>
                <w:color w:val="404040" w:themeColor="text1" w:themeTint="BF"/>
                <w:sz w:val="20"/>
                <w:szCs w:val="20"/>
              </w:rPr>
            </w:pPr>
          </w:p>
          <w:p w14:paraId="6A08899B" w14:textId="77777777" w:rsidR="008A7E9A" w:rsidRPr="009534CA" w:rsidRDefault="008A7E9A" w:rsidP="002378B2">
            <w:pPr>
              <w:pStyle w:val="NormalWeb"/>
              <w:spacing w:before="0" w:beforeAutospacing="0" w:after="0" w:afterAutospacing="0"/>
              <w:rPr>
                <w:rFonts w:asciiTheme="majorHAnsi" w:hAnsiTheme="majorHAnsi"/>
                <w:color w:val="404040" w:themeColor="text1" w:themeTint="BF"/>
                <w:sz w:val="20"/>
                <w:szCs w:val="20"/>
              </w:rPr>
            </w:pPr>
          </w:p>
        </w:tc>
      </w:tr>
      <w:tr w:rsidR="00E5285F" w:rsidRPr="009534CA" w14:paraId="350FDEA9" w14:textId="77777777" w:rsidTr="007464B7">
        <w:tc>
          <w:tcPr>
            <w:tcW w:w="275" w:type="pct"/>
            <w:vMerge/>
          </w:tcPr>
          <w:p w14:paraId="5B347B59" w14:textId="77777777" w:rsidR="008A7E9A" w:rsidRPr="009534CA" w:rsidRDefault="008A7E9A" w:rsidP="00C24A59">
            <w:pPr>
              <w:rPr>
                <w:rFonts w:asciiTheme="majorHAnsi" w:hAnsiTheme="majorHAnsi"/>
                <w:color w:val="404040" w:themeColor="text1" w:themeTint="BF"/>
                <w:sz w:val="20"/>
                <w:szCs w:val="20"/>
              </w:rPr>
            </w:pPr>
          </w:p>
        </w:tc>
        <w:tc>
          <w:tcPr>
            <w:tcW w:w="1234" w:type="pct"/>
            <w:vMerge/>
          </w:tcPr>
          <w:p w14:paraId="076CFF52" w14:textId="77777777" w:rsidR="008A7E9A" w:rsidRPr="009534CA" w:rsidRDefault="008A7E9A" w:rsidP="00C24A59">
            <w:pPr>
              <w:rPr>
                <w:rFonts w:asciiTheme="majorHAnsi" w:hAnsiTheme="majorHAnsi"/>
                <w:color w:val="404040" w:themeColor="text1" w:themeTint="BF"/>
                <w:sz w:val="20"/>
                <w:szCs w:val="20"/>
              </w:rPr>
            </w:pPr>
          </w:p>
        </w:tc>
        <w:tc>
          <w:tcPr>
            <w:tcW w:w="1510" w:type="pct"/>
          </w:tcPr>
          <w:p w14:paraId="7B8B952C" w14:textId="77777777" w:rsidR="008A7E9A" w:rsidRPr="009534CA" w:rsidRDefault="008A7E9A" w:rsidP="00C24A59">
            <w:pPr>
              <w:rPr>
                <w:rFonts w:asciiTheme="majorHAnsi" w:hAnsiTheme="majorHAnsi"/>
                <w:color w:val="404040" w:themeColor="text1" w:themeTint="BF"/>
                <w:sz w:val="20"/>
                <w:szCs w:val="20"/>
              </w:rPr>
            </w:pPr>
            <w:r w:rsidRPr="009534CA">
              <w:rPr>
                <w:rFonts w:asciiTheme="majorHAnsi" w:hAnsiTheme="majorHAnsi"/>
                <w:color w:val="404040" w:themeColor="text1" w:themeTint="BF"/>
                <w:sz w:val="20"/>
                <w:szCs w:val="20"/>
              </w:rPr>
              <w:t>Run “Ledger Inquiry” for the project selecting the full COA and detect any mismatch</w:t>
            </w:r>
          </w:p>
        </w:tc>
        <w:tc>
          <w:tcPr>
            <w:tcW w:w="1980" w:type="pct"/>
          </w:tcPr>
          <w:p w14:paraId="34E6B584" w14:textId="77777777" w:rsidR="008A7E9A" w:rsidRPr="009534CA" w:rsidRDefault="008A7E9A" w:rsidP="00C24A59">
            <w:pPr>
              <w:rPr>
                <w:rFonts w:asciiTheme="majorHAnsi" w:hAnsiTheme="majorHAnsi"/>
                <w:color w:val="404040" w:themeColor="text1" w:themeTint="BF"/>
                <w:sz w:val="20"/>
                <w:szCs w:val="20"/>
              </w:rPr>
            </w:pPr>
            <w:r w:rsidRPr="009534CA">
              <w:rPr>
                <w:rFonts w:asciiTheme="majorHAnsi" w:hAnsiTheme="majorHAnsi"/>
                <w:color w:val="404040" w:themeColor="text1" w:themeTint="BF"/>
                <w:sz w:val="20"/>
                <w:szCs w:val="20"/>
              </w:rPr>
              <w:t>Ensure nil bal</w:t>
            </w:r>
            <w:r>
              <w:rPr>
                <w:rFonts w:asciiTheme="majorHAnsi" w:hAnsiTheme="majorHAnsi"/>
                <w:color w:val="404040" w:themeColor="text1" w:themeTint="BF"/>
                <w:sz w:val="20"/>
                <w:szCs w:val="20"/>
              </w:rPr>
              <w:t>ance</w:t>
            </w:r>
            <w:r w:rsidRPr="009534CA">
              <w:rPr>
                <w:rFonts w:asciiTheme="majorHAnsi" w:hAnsiTheme="majorHAnsi"/>
                <w:color w:val="404040" w:themeColor="text1" w:themeTint="BF"/>
                <w:sz w:val="20"/>
                <w:szCs w:val="20"/>
              </w:rPr>
              <w:t xml:space="preserve"> in Transaction Currency at O</w:t>
            </w:r>
            <w:r>
              <w:rPr>
                <w:rFonts w:asciiTheme="majorHAnsi" w:hAnsiTheme="majorHAnsi"/>
                <w:color w:val="404040" w:themeColor="text1" w:themeTint="BF"/>
                <w:sz w:val="20"/>
                <w:szCs w:val="20"/>
              </w:rPr>
              <w:t xml:space="preserve">perating </w:t>
            </w:r>
            <w:r w:rsidRPr="009534CA">
              <w:rPr>
                <w:rFonts w:asciiTheme="majorHAnsi" w:hAnsiTheme="majorHAnsi"/>
                <w:color w:val="404040" w:themeColor="text1" w:themeTint="BF"/>
                <w:sz w:val="20"/>
                <w:szCs w:val="20"/>
              </w:rPr>
              <w:t>U</w:t>
            </w:r>
            <w:r>
              <w:rPr>
                <w:rFonts w:asciiTheme="majorHAnsi" w:hAnsiTheme="majorHAnsi"/>
                <w:color w:val="404040" w:themeColor="text1" w:themeTint="BF"/>
                <w:sz w:val="20"/>
                <w:szCs w:val="20"/>
              </w:rPr>
              <w:t xml:space="preserve">nit – </w:t>
            </w:r>
            <w:r w:rsidRPr="009534CA">
              <w:rPr>
                <w:rFonts w:asciiTheme="majorHAnsi" w:hAnsiTheme="majorHAnsi"/>
                <w:color w:val="404040" w:themeColor="text1" w:themeTint="BF"/>
                <w:sz w:val="20"/>
                <w:szCs w:val="20"/>
              </w:rPr>
              <w:t>Fund</w:t>
            </w:r>
            <w:r>
              <w:rPr>
                <w:rFonts w:asciiTheme="majorHAnsi" w:hAnsiTheme="majorHAnsi"/>
                <w:color w:val="404040" w:themeColor="text1" w:themeTint="BF"/>
                <w:sz w:val="20"/>
                <w:szCs w:val="20"/>
              </w:rPr>
              <w:t xml:space="preserve"> – </w:t>
            </w:r>
            <w:r w:rsidRPr="009534CA">
              <w:rPr>
                <w:rFonts w:asciiTheme="majorHAnsi" w:hAnsiTheme="majorHAnsi"/>
                <w:color w:val="404040" w:themeColor="text1" w:themeTint="BF"/>
                <w:sz w:val="20"/>
                <w:szCs w:val="20"/>
              </w:rPr>
              <w:t>Dept</w:t>
            </w:r>
            <w:r>
              <w:rPr>
                <w:rFonts w:asciiTheme="majorHAnsi" w:hAnsiTheme="majorHAnsi"/>
                <w:color w:val="404040" w:themeColor="text1" w:themeTint="BF"/>
                <w:sz w:val="20"/>
                <w:szCs w:val="20"/>
              </w:rPr>
              <w:t xml:space="preserve"> </w:t>
            </w:r>
            <w:r w:rsidRPr="009534CA">
              <w:rPr>
                <w:rFonts w:asciiTheme="majorHAnsi" w:hAnsiTheme="majorHAnsi"/>
                <w:color w:val="404040" w:themeColor="text1" w:themeTint="BF"/>
                <w:sz w:val="20"/>
                <w:szCs w:val="20"/>
              </w:rPr>
              <w:t>-</w:t>
            </w:r>
            <w:r>
              <w:rPr>
                <w:rFonts w:asciiTheme="majorHAnsi" w:hAnsiTheme="majorHAnsi"/>
                <w:color w:val="404040" w:themeColor="text1" w:themeTint="BF"/>
                <w:sz w:val="20"/>
                <w:szCs w:val="20"/>
              </w:rPr>
              <w:t xml:space="preserve"> </w:t>
            </w:r>
            <w:r w:rsidRPr="009534CA">
              <w:rPr>
                <w:rFonts w:asciiTheme="majorHAnsi" w:hAnsiTheme="majorHAnsi"/>
                <w:color w:val="404040" w:themeColor="text1" w:themeTint="BF"/>
                <w:sz w:val="20"/>
                <w:szCs w:val="20"/>
              </w:rPr>
              <w:t>Impl</w:t>
            </w:r>
            <w:r>
              <w:rPr>
                <w:rFonts w:asciiTheme="majorHAnsi" w:hAnsiTheme="majorHAnsi"/>
                <w:color w:val="404040" w:themeColor="text1" w:themeTint="BF"/>
                <w:sz w:val="20"/>
                <w:szCs w:val="20"/>
              </w:rPr>
              <w:t>ementing</w:t>
            </w:r>
            <w:r w:rsidRPr="009534CA">
              <w:rPr>
                <w:rFonts w:asciiTheme="majorHAnsi" w:hAnsiTheme="majorHAnsi"/>
                <w:color w:val="404040" w:themeColor="text1" w:themeTint="BF"/>
                <w:sz w:val="20"/>
                <w:szCs w:val="20"/>
              </w:rPr>
              <w:t xml:space="preserve"> Agent</w:t>
            </w:r>
            <w:r>
              <w:rPr>
                <w:rFonts w:asciiTheme="majorHAnsi" w:hAnsiTheme="majorHAnsi"/>
                <w:color w:val="404040" w:themeColor="text1" w:themeTint="BF"/>
                <w:sz w:val="20"/>
                <w:szCs w:val="20"/>
              </w:rPr>
              <w:t xml:space="preserve"> </w:t>
            </w:r>
            <w:r w:rsidRPr="009534CA">
              <w:rPr>
                <w:rFonts w:asciiTheme="majorHAnsi" w:hAnsiTheme="majorHAnsi"/>
                <w:color w:val="404040" w:themeColor="text1" w:themeTint="BF"/>
                <w:sz w:val="20"/>
                <w:szCs w:val="20"/>
              </w:rPr>
              <w:t>-</w:t>
            </w:r>
            <w:r>
              <w:rPr>
                <w:rFonts w:asciiTheme="majorHAnsi" w:hAnsiTheme="majorHAnsi"/>
                <w:color w:val="404040" w:themeColor="text1" w:themeTint="BF"/>
                <w:sz w:val="20"/>
                <w:szCs w:val="20"/>
              </w:rPr>
              <w:t xml:space="preserve"> </w:t>
            </w:r>
            <w:r w:rsidRPr="009534CA">
              <w:rPr>
                <w:rFonts w:asciiTheme="majorHAnsi" w:hAnsiTheme="majorHAnsi"/>
                <w:color w:val="404040" w:themeColor="text1" w:themeTint="BF"/>
                <w:sz w:val="20"/>
                <w:szCs w:val="20"/>
              </w:rPr>
              <w:t>Donor level</w:t>
            </w:r>
          </w:p>
        </w:tc>
      </w:tr>
      <w:tr w:rsidR="00E5285F" w:rsidRPr="009534CA" w14:paraId="5407F005" w14:textId="77777777" w:rsidTr="007464B7">
        <w:tc>
          <w:tcPr>
            <w:tcW w:w="275" w:type="pct"/>
            <w:vMerge w:val="restart"/>
          </w:tcPr>
          <w:p w14:paraId="3CDDD362" w14:textId="77777777" w:rsidR="008A7E9A"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2</w:t>
            </w:r>
          </w:p>
          <w:p w14:paraId="25033636" w14:textId="77777777" w:rsidR="008A7E9A" w:rsidRDefault="008A7E9A" w:rsidP="006A77CA">
            <w:pPr>
              <w:rPr>
                <w:rFonts w:asciiTheme="majorHAnsi" w:hAnsiTheme="majorHAnsi"/>
                <w:color w:val="404040" w:themeColor="text1" w:themeTint="BF"/>
                <w:sz w:val="20"/>
                <w:szCs w:val="20"/>
              </w:rPr>
            </w:pPr>
          </w:p>
          <w:p w14:paraId="074386C5" w14:textId="77777777" w:rsidR="008A7E9A" w:rsidRPr="00E621B5" w:rsidRDefault="008A7E9A" w:rsidP="006A77CA">
            <w:pPr>
              <w:rPr>
                <w:rFonts w:asciiTheme="majorHAnsi" w:hAnsiTheme="majorHAnsi"/>
                <w:color w:val="404040" w:themeColor="text1" w:themeTint="BF"/>
                <w:sz w:val="20"/>
                <w:szCs w:val="20"/>
              </w:rPr>
            </w:pPr>
          </w:p>
        </w:tc>
        <w:tc>
          <w:tcPr>
            <w:tcW w:w="1234" w:type="pct"/>
            <w:vMerge w:val="restart"/>
          </w:tcPr>
          <w:p w14:paraId="4495DC2D" w14:textId="77777777" w:rsidR="008A7E9A" w:rsidRDefault="008A7E9A" w:rsidP="006A77CA">
            <w:pPr>
              <w:rPr>
                <w:rFonts w:asciiTheme="majorHAnsi" w:hAnsiTheme="majorHAnsi"/>
                <w:color w:val="404040" w:themeColor="text1" w:themeTint="BF"/>
                <w:sz w:val="20"/>
                <w:szCs w:val="20"/>
              </w:rPr>
            </w:pPr>
            <w:r w:rsidRPr="00E621B5">
              <w:rPr>
                <w:rFonts w:asciiTheme="majorHAnsi" w:hAnsiTheme="majorHAnsi"/>
                <w:color w:val="404040" w:themeColor="text1" w:themeTint="BF"/>
                <w:sz w:val="20"/>
                <w:szCs w:val="20"/>
              </w:rPr>
              <w:t>No other outstanding advances</w:t>
            </w:r>
            <w:r>
              <w:rPr>
                <w:rFonts w:asciiTheme="majorHAnsi" w:hAnsiTheme="majorHAnsi"/>
                <w:color w:val="404040" w:themeColor="text1" w:themeTint="BF"/>
                <w:sz w:val="20"/>
                <w:szCs w:val="20"/>
              </w:rPr>
              <w:t xml:space="preserve"> </w:t>
            </w:r>
            <w:r w:rsidRPr="00E621B5">
              <w:rPr>
                <w:rFonts w:asciiTheme="majorHAnsi" w:hAnsiTheme="majorHAnsi"/>
                <w:color w:val="404040" w:themeColor="text1" w:themeTint="BF"/>
                <w:sz w:val="20"/>
                <w:szCs w:val="20"/>
              </w:rPr>
              <w:t>-</w:t>
            </w:r>
            <w:r>
              <w:rPr>
                <w:rFonts w:asciiTheme="majorHAnsi" w:hAnsiTheme="majorHAnsi"/>
                <w:color w:val="404040" w:themeColor="text1" w:themeTint="BF"/>
                <w:sz w:val="20"/>
                <w:szCs w:val="20"/>
              </w:rPr>
              <w:t xml:space="preserve"> </w:t>
            </w:r>
            <w:r w:rsidRPr="00E621B5">
              <w:rPr>
                <w:rFonts w:asciiTheme="majorHAnsi" w:hAnsiTheme="majorHAnsi"/>
                <w:color w:val="404040" w:themeColor="text1" w:themeTint="BF"/>
                <w:sz w:val="20"/>
                <w:szCs w:val="20"/>
              </w:rPr>
              <w:t>in either local currency or USD</w:t>
            </w:r>
          </w:p>
          <w:p w14:paraId="442C956C" w14:textId="77777777" w:rsidR="008A7E9A" w:rsidRDefault="008A7E9A" w:rsidP="006A77CA">
            <w:pPr>
              <w:rPr>
                <w:rFonts w:asciiTheme="majorHAnsi" w:hAnsiTheme="majorHAnsi"/>
                <w:color w:val="404040" w:themeColor="text1" w:themeTint="BF"/>
                <w:sz w:val="20"/>
                <w:szCs w:val="20"/>
              </w:rPr>
            </w:pPr>
          </w:p>
          <w:p w14:paraId="7D6D195C" w14:textId="77777777" w:rsidR="008A7E9A" w:rsidRDefault="008A7E9A" w:rsidP="006A77CA">
            <w:pPr>
              <w:rPr>
                <w:rFonts w:asciiTheme="majorHAnsi" w:hAnsiTheme="majorHAnsi"/>
                <w:color w:val="404040" w:themeColor="text1" w:themeTint="BF"/>
                <w:sz w:val="20"/>
                <w:szCs w:val="20"/>
              </w:rPr>
            </w:pPr>
            <w:r w:rsidRPr="00E621B5">
              <w:rPr>
                <w:rFonts w:asciiTheme="majorHAnsi" w:hAnsiTheme="majorHAnsi"/>
                <w:color w:val="404040" w:themeColor="text1" w:themeTint="BF"/>
                <w:sz w:val="20"/>
                <w:szCs w:val="20"/>
              </w:rPr>
              <w:t>Account 14001</w:t>
            </w:r>
            <w:r>
              <w:rPr>
                <w:rFonts w:asciiTheme="majorHAnsi" w:hAnsiTheme="majorHAnsi"/>
                <w:color w:val="404040" w:themeColor="text1" w:themeTint="BF"/>
                <w:sz w:val="20"/>
                <w:szCs w:val="20"/>
              </w:rPr>
              <w:t xml:space="preserve"> (Accts Receivable)</w:t>
            </w:r>
            <w:r w:rsidRPr="00E621B5">
              <w:rPr>
                <w:rFonts w:asciiTheme="majorHAnsi" w:hAnsiTheme="majorHAnsi"/>
                <w:color w:val="404040" w:themeColor="text1" w:themeTint="BF"/>
                <w:sz w:val="20"/>
                <w:szCs w:val="20"/>
              </w:rPr>
              <w:t xml:space="preserve">, </w:t>
            </w:r>
          </w:p>
          <w:p w14:paraId="5D72E96A" w14:textId="77777777" w:rsidR="008A7E9A" w:rsidRDefault="008A7E9A" w:rsidP="006A77CA">
            <w:pPr>
              <w:rPr>
                <w:rFonts w:asciiTheme="majorHAnsi" w:hAnsiTheme="majorHAnsi"/>
                <w:color w:val="404040" w:themeColor="text1" w:themeTint="BF"/>
                <w:sz w:val="20"/>
                <w:szCs w:val="20"/>
              </w:rPr>
            </w:pPr>
          </w:p>
          <w:p w14:paraId="1C715F40" w14:textId="77777777" w:rsidR="008A7E9A" w:rsidRDefault="008A7E9A" w:rsidP="006A77CA">
            <w:pPr>
              <w:rPr>
                <w:rFonts w:asciiTheme="majorHAnsi" w:hAnsiTheme="majorHAnsi"/>
                <w:color w:val="404040" w:themeColor="text1" w:themeTint="BF"/>
                <w:sz w:val="20"/>
                <w:szCs w:val="20"/>
              </w:rPr>
            </w:pPr>
            <w:r w:rsidRPr="00E621B5">
              <w:rPr>
                <w:rFonts w:asciiTheme="majorHAnsi" w:hAnsiTheme="majorHAnsi"/>
                <w:color w:val="404040" w:themeColor="text1" w:themeTint="BF"/>
                <w:sz w:val="20"/>
                <w:szCs w:val="20"/>
              </w:rPr>
              <w:t>14056</w:t>
            </w:r>
            <w:r>
              <w:rPr>
                <w:rFonts w:asciiTheme="majorHAnsi" w:hAnsiTheme="majorHAnsi"/>
                <w:color w:val="404040" w:themeColor="text1" w:themeTint="BF"/>
                <w:sz w:val="20"/>
                <w:szCs w:val="20"/>
              </w:rPr>
              <w:t xml:space="preserve"> (VAT);</w:t>
            </w:r>
          </w:p>
          <w:p w14:paraId="445FE8A0" w14:textId="77777777" w:rsidR="008A7E9A"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1</w:t>
            </w:r>
            <w:r w:rsidRPr="00E621B5">
              <w:rPr>
                <w:rFonts w:asciiTheme="majorHAnsi" w:hAnsiTheme="majorHAnsi"/>
                <w:color w:val="404040" w:themeColor="text1" w:themeTint="BF"/>
                <w:sz w:val="20"/>
                <w:szCs w:val="20"/>
              </w:rPr>
              <w:t>4057</w:t>
            </w:r>
            <w:r>
              <w:rPr>
                <w:rFonts w:asciiTheme="majorHAnsi" w:hAnsiTheme="majorHAnsi"/>
                <w:color w:val="404040" w:themeColor="text1" w:themeTint="BF"/>
                <w:sz w:val="20"/>
                <w:szCs w:val="20"/>
              </w:rPr>
              <w:t xml:space="preserve"> (Petrol adv.): </w:t>
            </w:r>
            <w:r w:rsidRPr="00E621B5">
              <w:rPr>
                <w:rFonts w:asciiTheme="majorHAnsi" w:hAnsiTheme="majorHAnsi"/>
                <w:color w:val="404040" w:themeColor="text1" w:themeTint="BF"/>
                <w:sz w:val="20"/>
                <w:szCs w:val="20"/>
              </w:rPr>
              <w:t xml:space="preserve"> 14501</w:t>
            </w:r>
            <w:r>
              <w:rPr>
                <w:rFonts w:asciiTheme="majorHAnsi" w:hAnsiTheme="majorHAnsi"/>
                <w:color w:val="404040" w:themeColor="text1" w:themeTint="BF"/>
                <w:sz w:val="20"/>
                <w:szCs w:val="20"/>
              </w:rPr>
              <w:t>(Ed. grant);</w:t>
            </w:r>
            <w:r w:rsidRPr="00E621B5">
              <w:rPr>
                <w:rFonts w:asciiTheme="majorHAnsi" w:hAnsiTheme="majorHAnsi"/>
                <w:color w:val="404040" w:themeColor="text1" w:themeTint="BF"/>
                <w:sz w:val="20"/>
                <w:szCs w:val="20"/>
              </w:rPr>
              <w:t xml:space="preserve"> </w:t>
            </w:r>
          </w:p>
          <w:p w14:paraId="2E6C1BD1" w14:textId="77777777" w:rsidR="008A7E9A" w:rsidRDefault="008A7E9A" w:rsidP="006A77CA">
            <w:pPr>
              <w:rPr>
                <w:rFonts w:asciiTheme="majorHAnsi" w:hAnsiTheme="majorHAnsi"/>
                <w:color w:val="404040" w:themeColor="text1" w:themeTint="BF"/>
                <w:sz w:val="20"/>
                <w:szCs w:val="20"/>
              </w:rPr>
            </w:pPr>
            <w:r w:rsidRPr="00E621B5">
              <w:rPr>
                <w:rFonts w:asciiTheme="majorHAnsi" w:hAnsiTheme="majorHAnsi"/>
                <w:color w:val="404040" w:themeColor="text1" w:themeTint="BF"/>
                <w:sz w:val="20"/>
                <w:szCs w:val="20"/>
              </w:rPr>
              <w:t>16006</w:t>
            </w:r>
            <w:r>
              <w:rPr>
                <w:rFonts w:asciiTheme="majorHAnsi" w:hAnsiTheme="majorHAnsi"/>
                <w:color w:val="404040" w:themeColor="text1" w:themeTint="BF"/>
                <w:sz w:val="20"/>
                <w:szCs w:val="20"/>
              </w:rPr>
              <w:t xml:space="preserve"> (DBS adv.);</w:t>
            </w:r>
            <w:r w:rsidRPr="00E621B5">
              <w:rPr>
                <w:rFonts w:asciiTheme="majorHAnsi" w:hAnsiTheme="majorHAnsi"/>
                <w:color w:val="404040" w:themeColor="text1" w:themeTint="BF"/>
                <w:sz w:val="20"/>
                <w:szCs w:val="20"/>
              </w:rPr>
              <w:t xml:space="preserve"> </w:t>
            </w:r>
          </w:p>
          <w:p w14:paraId="0473E4AA" w14:textId="77777777" w:rsidR="008A7E9A" w:rsidRDefault="008A7E9A" w:rsidP="006A77CA">
            <w:pPr>
              <w:rPr>
                <w:rFonts w:asciiTheme="majorHAnsi" w:hAnsiTheme="majorHAnsi"/>
                <w:color w:val="404040" w:themeColor="text1" w:themeTint="BF"/>
                <w:sz w:val="20"/>
                <w:szCs w:val="20"/>
              </w:rPr>
            </w:pPr>
            <w:r w:rsidRPr="00E621B5">
              <w:rPr>
                <w:rFonts w:asciiTheme="majorHAnsi" w:hAnsiTheme="majorHAnsi"/>
                <w:color w:val="404040" w:themeColor="text1" w:themeTint="BF"/>
                <w:sz w:val="20"/>
                <w:szCs w:val="20"/>
              </w:rPr>
              <w:t>16010</w:t>
            </w:r>
            <w:r>
              <w:rPr>
                <w:rFonts w:asciiTheme="majorHAnsi" w:hAnsiTheme="majorHAnsi"/>
                <w:color w:val="404040" w:themeColor="text1" w:themeTint="BF"/>
                <w:sz w:val="20"/>
                <w:szCs w:val="20"/>
              </w:rPr>
              <w:t xml:space="preserve"> (Due from UN agencies);</w:t>
            </w:r>
          </w:p>
          <w:p w14:paraId="6D180906" w14:textId="77777777" w:rsidR="008A7E9A" w:rsidRDefault="008A7E9A" w:rsidP="006A77CA">
            <w:pPr>
              <w:rPr>
                <w:rFonts w:asciiTheme="majorHAnsi" w:hAnsiTheme="majorHAnsi"/>
                <w:color w:val="404040" w:themeColor="text1" w:themeTint="BF"/>
                <w:sz w:val="20"/>
                <w:szCs w:val="20"/>
              </w:rPr>
            </w:pPr>
            <w:r w:rsidRPr="00E621B5">
              <w:rPr>
                <w:rFonts w:asciiTheme="majorHAnsi" w:hAnsiTheme="majorHAnsi"/>
                <w:color w:val="404040" w:themeColor="text1" w:themeTint="BF"/>
                <w:sz w:val="20"/>
                <w:szCs w:val="20"/>
              </w:rPr>
              <w:t>16015</w:t>
            </w:r>
            <w:r>
              <w:rPr>
                <w:rFonts w:asciiTheme="majorHAnsi" w:hAnsiTheme="majorHAnsi"/>
                <w:color w:val="404040" w:themeColor="text1" w:themeTint="BF"/>
                <w:sz w:val="20"/>
                <w:szCs w:val="20"/>
              </w:rPr>
              <w:t xml:space="preserve"> (</w:t>
            </w:r>
            <w:proofErr w:type="spellStart"/>
            <w:r>
              <w:rPr>
                <w:rFonts w:asciiTheme="majorHAnsi" w:hAnsiTheme="majorHAnsi"/>
                <w:color w:val="404040" w:themeColor="text1" w:themeTint="BF"/>
                <w:sz w:val="20"/>
                <w:szCs w:val="20"/>
              </w:rPr>
              <w:t>Proj</w:t>
            </w:r>
            <w:proofErr w:type="spellEnd"/>
            <w:r>
              <w:rPr>
                <w:rFonts w:asciiTheme="majorHAnsi" w:hAnsiTheme="majorHAnsi"/>
                <w:color w:val="404040" w:themeColor="text1" w:themeTint="BF"/>
                <w:sz w:val="20"/>
                <w:szCs w:val="20"/>
              </w:rPr>
              <w:t xml:space="preserve"> clearing account;</w:t>
            </w:r>
            <w:r w:rsidRPr="00E621B5">
              <w:rPr>
                <w:rFonts w:asciiTheme="majorHAnsi" w:hAnsiTheme="majorHAnsi"/>
                <w:color w:val="404040" w:themeColor="text1" w:themeTint="BF"/>
                <w:sz w:val="20"/>
                <w:szCs w:val="20"/>
              </w:rPr>
              <w:t xml:space="preserve"> </w:t>
            </w:r>
          </w:p>
          <w:p w14:paraId="4E1F1F05" w14:textId="77777777" w:rsidR="008A7E9A" w:rsidRPr="009534CA" w:rsidRDefault="008A7E9A" w:rsidP="006A77CA">
            <w:pPr>
              <w:rPr>
                <w:rFonts w:asciiTheme="majorHAnsi" w:hAnsiTheme="majorHAnsi"/>
                <w:color w:val="404040" w:themeColor="text1" w:themeTint="BF"/>
                <w:sz w:val="20"/>
                <w:szCs w:val="20"/>
              </w:rPr>
            </w:pPr>
            <w:r w:rsidRPr="00E621B5">
              <w:rPr>
                <w:rFonts w:asciiTheme="majorHAnsi" w:hAnsiTheme="majorHAnsi"/>
                <w:color w:val="404040" w:themeColor="text1" w:themeTint="BF"/>
                <w:sz w:val="20"/>
                <w:szCs w:val="20"/>
              </w:rPr>
              <w:t>17008</w:t>
            </w:r>
            <w:r>
              <w:rPr>
                <w:rFonts w:asciiTheme="majorHAnsi" w:hAnsiTheme="majorHAnsi"/>
                <w:color w:val="404040" w:themeColor="text1" w:themeTint="BF"/>
                <w:sz w:val="20"/>
                <w:szCs w:val="20"/>
              </w:rPr>
              <w:t xml:space="preserve"> (Allowance Exchange Adv.);</w:t>
            </w:r>
            <w:r w:rsidRPr="00E621B5">
              <w:rPr>
                <w:rFonts w:asciiTheme="majorHAnsi" w:hAnsiTheme="majorHAnsi"/>
                <w:color w:val="404040" w:themeColor="text1" w:themeTint="BF"/>
                <w:sz w:val="20"/>
                <w:szCs w:val="20"/>
              </w:rPr>
              <w:t xml:space="preserve"> 17009</w:t>
            </w:r>
            <w:r>
              <w:rPr>
                <w:rFonts w:asciiTheme="majorHAnsi" w:hAnsiTheme="majorHAnsi"/>
                <w:color w:val="404040" w:themeColor="text1" w:themeTint="BF"/>
                <w:sz w:val="20"/>
                <w:szCs w:val="20"/>
              </w:rPr>
              <w:t xml:space="preserve"> Allowance non-exchange adv.</w:t>
            </w:r>
            <w:r w:rsidRPr="00E621B5">
              <w:rPr>
                <w:rFonts w:asciiTheme="majorHAnsi" w:hAnsiTheme="majorHAnsi"/>
                <w:color w:val="404040" w:themeColor="text1" w:themeTint="BF"/>
                <w:sz w:val="20"/>
                <w:szCs w:val="20"/>
              </w:rPr>
              <w:t>)</w:t>
            </w:r>
          </w:p>
        </w:tc>
        <w:tc>
          <w:tcPr>
            <w:tcW w:w="1510" w:type="pct"/>
          </w:tcPr>
          <w:p w14:paraId="1AF5D5C4" w14:textId="77777777" w:rsidR="008A7E9A" w:rsidRPr="009534CA" w:rsidRDefault="008A7E9A" w:rsidP="006A77CA">
            <w:pPr>
              <w:rPr>
                <w:rFonts w:asciiTheme="majorHAnsi" w:hAnsiTheme="majorHAnsi"/>
                <w:color w:val="404040" w:themeColor="text1" w:themeTint="BF"/>
                <w:sz w:val="20"/>
                <w:szCs w:val="20"/>
              </w:rPr>
            </w:pPr>
            <w:r w:rsidRPr="009534CA">
              <w:rPr>
                <w:rFonts w:asciiTheme="majorHAnsi" w:hAnsiTheme="majorHAnsi"/>
                <w:color w:val="404040" w:themeColor="text1" w:themeTint="BF"/>
                <w:sz w:val="20"/>
                <w:szCs w:val="20"/>
              </w:rPr>
              <w:lastRenderedPageBreak/>
              <w:t>Check current balance in “Project closure workbench”</w:t>
            </w:r>
          </w:p>
        </w:tc>
        <w:tc>
          <w:tcPr>
            <w:tcW w:w="1980" w:type="pct"/>
          </w:tcPr>
          <w:p w14:paraId="64167699" w14:textId="59257796" w:rsidR="008A7E9A" w:rsidRDefault="008A7E9A" w:rsidP="006A77CA">
            <w:pPr>
              <w:pStyle w:val="NormalWeb"/>
              <w:spacing w:before="0" w:beforeAutospacing="0" w:after="0" w:afterAutospacing="0"/>
              <w:rPr>
                <w:rFonts w:asciiTheme="majorHAnsi" w:hAnsiTheme="majorHAnsi"/>
                <w:color w:val="404040" w:themeColor="text1" w:themeTint="BF"/>
                <w:sz w:val="20"/>
                <w:szCs w:val="20"/>
              </w:rPr>
            </w:pPr>
            <w:r>
              <w:rPr>
                <w:rFonts w:asciiTheme="majorHAnsi" w:hAnsiTheme="majorHAnsi"/>
                <w:color w:val="404040" w:themeColor="text1" w:themeTint="BF"/>
                <w:sz w:val="20"/>
                <w:szCs w:val="20"/>
              </w:rPr>
              <w:t xml:space="preserve">Generally, there are two kinds of accounts – revalued or not.  For revalued accounts, there are two methods for revaluations.  Account 16005, 16006 and 21018 are revalued at Full COA level.  The rest of the accounts are revalued at Account, OU and Fund level. See in </w:t>
            </w:r>
            <w:r w:rsidRPr="00333C1A">
              <w:rPr>
                <w:rFonts w:asciiTheme="majorHAnsi" w:hAnsiTheme="majorHAnsi"/>
                <w:b/>
                <w:color w:val="404040" w:themeColor="text1" w:themeTint="BF"/>
                <w:sz w:val="20"/>
                <w:szCs w:val="20"/>
              </w:rPr>
              <w:t>Annex</w:t>
            </w:r>
            <w:r w:rsidR="00F120EF">
              <w:rPr>
                <w:rFonts w:asciiTheme="majorHAnsi" w:hAnsiTheme="majorHAnsi"/>
                <w:b/>
                <w:color w:val="404040" w:themeColor="text1" w:themeTint="BF"/>
                <w:sz w:val="20"/>
                <w:szCs w:val="20"/>
              </w:rPr>
              <w:t>2</w:t>
            </w:r>
            <w:r w:rsidRPr="00333C1A">
              <w:rPr>
                <w:rFonts w:asciiTheme="majorHAnsi" w:hAnsiTheme="majorHAnsi"/>
                <w:b/>
                <w:color w:val="404040" w:themeColor="text1" w:themeTint="BF"/>
                <w:sz w:val="20"/>
                <w:szCs w:val="20"/>
              </w:rPr>
              <w:t>.c</w:t>
            </w:r>
          </w:p>
          <w:p w14:paraId="4CD0C6D7" w14:textId="77777777" w:rsidR="008A7E9A" w:rsidRDefault="008A7E9A" w:rsidP="006A77CA">
            <w:pPr>
              <w:pStyle w:val="NormalWeb"/>
              <w:spacing w:before="0" w:beforeAutospacing="0" w:after="0" w:afterAutospacing="0"/>
              <w:rPr>
                <w:rFonts w:asciiTheme="majorHAnsi" w:hAnsiTheme="majorHAnsi"/>
                <w:color w:val="404040" w:themeColor="text1" w:themeTint="BF"/>
                <w:sz w:val="20"/>
                <w:szCs w:val="20"/>
              </w:rPr>
            </w:pPr>
          </w:p>
          <w:p w14:paraId="0068F83B" w14:textId="3EC10305" w:rsidR="008A7E9A" w:rsidRDefault="008A7E9A" w:rsidP="006A77CA">
            <w:pPr>
              <w:pStyle w:val="NormalWeb"/>
              <w:spacing w:before="0" w:beforeAutospacing="0" w:after="0" w:afterAutospacing="0"/>
              <w:rPr>
                <w:rFonts w:asciiTheme="majorHAnsi" w:hAnsiTheme="majorHAnsi"/>
                <w:color w:val="404040" w:themeColor="text1" w:themeTint="BF"/>
                <w:sz w:val="20"/>
                <w:szCs w:val="20"/>
              </w:rPr>
            </w:pPr>
            <w:r w:rsidRPr="00E621B5">
              <w:rPr>
                <w:rFonts w:asciiTheme="majorHAnsi" w:hAnsiTheme="majorHAnsi"/>
                <w:color w:val="404040" w:themeColor="text1" w:themeTint="BF"/>
                <w:sz w:val="20"/>
                <w:szCs w:val="20"/>
              </w:rPr>
              <w:t>14056</w:t>
            </w:r>
            <w:r>
              <w:rPr>
                <w:rFonts w:asciiTheme="majorHAnsi" w:hAnsiTheme="majorHAnsi"/>
                <w:color w:val="404040" w:themeColor="text1" w:themeTint="BF"/>
                <w:sz w:val="20"/>
                <w:szCs w:val="20"/>
              </w:rPr>
              <w:t xml:space="preserve"> </w:t>
            </w:r>
            <w:r w:rsidR="00C1451A">
              <w:rPr>
                <w:rFonts w:asciiTheme="majorHAnsi" w:hAnsiTheme="majorHAnsi"/>
                <w:color w:val="404040" w:themeColor="text1" w:themeTint="BF"/>
                <w:sz w:val="20"/>
                <w:szCs w:val="20"/>
              </w:rPr>
              <w:t xml:space="preserve">Value Added Tax </w:t>
            </w:r>
            <w:r>
              <w:rPr>
                <w:rFonts w:asciiTheme="majorHAnsi" w:hAnsiTheme="majorHAnsi"/>
                <w:color w:val="404040" w:themeColor="text1" w:themeTint="BF"/>
                <w:sz w:val="20"/>
                <w:szCs w:val="20"/>
              </w:rPr>
              <w:t>(VAT) {Revalued at Account, Fund and OU level:</w:t>
            </w:r>
          </w:p>
          <w:p w14:paraId="5607A5E8" w14:textId="072E2D99" w:rsidR="008A7E9A" w:rsidRDefault="008A7E9A" w:rsidP="006A77CA">
            <w:pPr>
              <w:pStyle w:val="NormalWeb"/>
              <w:numPr>
                <w:ilvl w:val="0"/>
                <w:numId w:val="6"/>
              </w:numPr>
              <w:spacing w:before="0" w:beforeAutospacing="0" w:after="0" w:afterAutospacing="0"/>
              <w:rPr>
                <w:rFonts w:asciiTheme="majorHAnsi" w:hAnsiTheme="majorHAnsi"/>
                <w:color w:val="404040" w:themeColor="text1" w:themeTint="BF"/>
                <w:sz w:val="20"/>
                <w:szCs w:val="20"/>
              </w:rPr>
            </w:pPr>
            <w:r w:rsidRPr="0082127E">
              <w:rPr>
                <w:rFonts w:asciiTheme="majorHAnsi" w:hAnsiTheme="majorHAnsi"/>
                <w:color w:val="404040" w:themeColor="text1" w:themeTint="BF"/>
                <w:sz w:val="20"/>
                <w:szCs w:val="20"/>
              </w:rPr>
              <w:lastRenderedPageBreak/>
              <w:t xml:space="preserve">If both Transaction Currency and Base Currency are not zero, follow up </w:t>
            </w:r>
            <w:r w:rsidR="00F120EF">
              <w:rPr>
                <w:rFonts w:asciiTheme="majorHAnsi" w:hAnsiTheme="majorHAnsi"/>
                <w:color w:val="404040" w:themeColor="text1" w:themeTint="BF"/>
                <w:sz w:val="20"/>
                <w:szCs w:val="20"/>
              </w:rPr>
              <w:t>with</w:t>
            </w:r>
            <w:r w:rsidRPr="0082127E">
              <w:rPr>
                <w:rFonts w:asciiTheme="majorHAnsi" w:hAnsiTheme="majorHAnsi"/>
                <w:color w:val="404040" w:themeColor="text1" w:themeTint="BF"/>
                <w:sz w:val="20"/>
                <w:szCs w:val="20"/>
              </w:rPr>
              <w:t xml:space="preserve"> the Government and clear the balances for both currencies.  AAA report is useful to analyze the item at the transaction level and take action to clear these items.  </w:t>
            </w:r>
          </w:p>
          <w:p w14:paraId="7E749124" w14:textId="5CD3240A" w:rsidR="008A7E9A" w:rsidRDefault="008A7E9A" w:rsidP="006A77CA">
            <w:pPr>
              <w:pStyle w:val="NormalWeb"/>
              <w:numPr>
                <w:ilvl w:val="0"/>
                <w:numId w:val="6"/>
              </w:numPr>
              <w:spacing w:before="0" w:beforeAutospacing="0" w:after="0" w:afterAutospacing="0"/>
              <w:rPr>
                <w:rFonts w:asciiTheme="majorHAnsi" w:hAnsiTheme="majorHAnsi"/>
                <w:color w:val="404040" w:themeColor="text1" w:themeTint="BF"/>
                <w:sz w:val="20"/>
                <w:szCs w:val="20"/>
              </w:rPr>
            </w:pPr>
            <w:r w:rsidRPr="00C37632">
              <w:rPr>
                <w:rFonts w:asciiTheme="majorHAnsi" w:hAnsiTheme="majorHAnsi"/>
                <w:color w:val="404040" w:themeColor="text1" w:themeTint="BF"/>
                <w:sz w:val="20"/>
                <w:szCs w:val="20"/>
              </w:rPr>
              <w:t xml:space="preserve">When </w:t>
            </w:r>
            <w:r w:rsidR="00F120EF">
              <w:rPr>
                <w:rFonts w:asciiTheme="majorHAnsi" w:hAnsiTheme="majorHAnsi"/>
                <w:color w:val="404040" w:themeColor="text1" w:themeTint="BF"/>
                <w:sz w:val="20"/>
                <w:szCs w:val="20"/>
              </w:rPr>
              <w:t xml:space="preserve">the </w:t>
            </w:r>
            <w:r w:rsidRPr="00C37632">
              <w:rPr>
                <w:rFonts w:asciiTheme="majorHAnsi" w:hAnsiTheme="majorHAnsi"/>
                <w:color w:val="404040" w:themeColor="text1" w:themeTint="BF"/>
                <w:sz w:val="20"/>
                <w:szCs w:val="20"/>
              </w:rPr>
              <w:t xml:space="preserve">original VAT amount recorded date and reimbursement </w:t>
            </w:r>
            <w:r w:rsidR="0009730B" w:rsidRPr="00C37632">
              <w:rPr>
                <w:rFonts w:asciiTheme="majorHAnsi" w:hAnsiTheme="majorHAnsi"/>
                <w:color w:val="404040" w:themeColor="text1" w:themeTint="BF"/>
                <w:sz w:val="20"/>
                <w:szCs w:val="20"/>
              </w:rPr>
              <w:t>collection date</w:t>
            </w:r>
            <w:r w:rsidRPr="00C37632">
              <w:rPr>
                <w:rFonts w:asciiTheme="majorHAnsi" w:hAnsiTheme="majorHAnsi"/>
                <w:color w:val="404040" w:themeColor="text1" w:themeTint="BF"/>
                <w:sz w:val="20"/>
                <w:szCs w:val="20"/>
              </w:rPr>
              <w:t xml:space="preserve"> are different, the transaction currency is nil and base currency has a balance.  In this scenario, please run AAA report to analyze the data. </w:t>
            </w:r>
            <w:r w:rsidR="00F120EF">
              <w:rPr>
                <w:rFonts w:asciiTheme="majorHAnsi" w:hAnsiTheme="majorHAnsi"/>
                <w:color w:val="404040" w:themeColor="text1" w:themeTint="BF"/>
                <w:sz w:val="20"/>
                <w:szCs w:val="20"/>
              </w:rPr>
              <w:t>Subsequently</w:t>
            </w:r>
            <w:r w:rsidRPr="00C37632">
              <w:rPr>
                <w:rFonts w:asciiTheme="majorHAnsi" w:hAnsiTheme="majorHAnsi"/>
                <w:color w:val="404040" w:themeColor="text1" w:themeTint="BF"/>
                <w:sz w:val="20"/>
                <w:szCs w:val="20"/>
              </w:rPr>
              <w:t xml:space="preserve">, add the new column to mark the transactions whether they are from original VAT amount recorded or collection of the reimbursement (nature of the transactions).  Then, prepare a pivot table by grouping at the full COA level with the nature of the transactions and currency ID.  Prepare a </w:t>
            </w:r>
            <w:r w:rsidR="00C1451A">
              <w:rPr>
                <w:rFonts w:asciiTheme="majorHAnsi" w:hAnsiTheme="majorHAnsi"/>
                <w:color w:val="404040" w:themeColor="text1" w:themeTint="BF"/>
                <w:sz w:val="20"/>
                <w:szCs w:val="20"/>
              </w:rPr>
              <w:t>General Ledger Journal Entry (</w:t>
            </w:r>
            <w:r w:rsidRPr="00C37632">
              <w:rPr>
                <w:rFonts w:asciiTheme="majorHAnsi" w:hAnsiTheme="majorHAnsi"/>
                <w:color w:val="404040" w:themeColor="text1" w:themeTint="BF"/>
                <w:sz w:val="20"/>
                <w:szCs w:val="20"/>
              </w:rPr>
              <w:t>GLJE</w:t>
            </w:r>
            <w:r w:rsidR="00C1451A">
              <w:rPr>
                <w:rFonts w:asciiTheme="majorHAnsi" w:hAnsiTheme="majorHAnsi"/>
                <w:color w:val="404040" w:themeColor="text1" w:themeTint="BF"/>
                <w:sz w:val="20"/>
                <w:szCs w:val="20"/>
              </w:rPr>
              <w:t>)</w:t>
            </w:r>
            <w:r w:rsidRPr="00C37632">
              <w:rPr>
                <w:rFonts w:asciiTheme="majorHAnsi" w:hAnsiTheme="majorHAnsi"/>
                <w:color w:val="404040" w:themeColor="text1" w:themeTint="BF"/>
                <w:sz w:val="20"/>
                <w:szCs w:val="20"/>
              </w:rPr>
              <w:t xml:space="preserve"> by closing out the original VAT line and reimbursement line and charge to Foreign Exchange differen</w:t>
            </w:r>
            <w:r w:rsidR="00F120EF">
              <w:rPr>
                <w:rFonts w:asciiTheme="majorHAnsi" w:hAnsiTheme="majorHAnsi"/>
                <w:color w:val="404040" w:themeColor="text1" w:themeTint="BF"/>
                <w:sz w:val="20"/>
                <w:szCs w:val="20"/>
              </w:rPr>
              <w:t xml:space="preserve">ce </w:t>
            </w:r>
            <w:r w:rsidR="00C1451A">
              <w:rPr>
                <w:rFonts w:asciiTheme="majorHAnsi" w:hAnsiTheme="majorHAnsi"/>
                <w:color w:val="404040" w:themeColor="text1" w:themeTint="BF"/>
                <w:sz w:val="20"/>
                <w:szCs w:val="20"/>
              </w:rPr>
              <w:t>General Ledger (</w:t>
            </w:r>
            <w:r w:rsidR="00F120EF">
              <w:rPr>
                <w:rFonts w:asciiTheme="majorHAnsi" w:hAnsiTheme="majorHAnsi"/>
                <w:color w:val="404040" w:themeColor="text1" w:themeTint="BF"/>
                <w:sz w:val="20"/>
                <w:szCs w:val="20"/>
              </w:rPr>
              <w:t>GL</w:t>
            </w:r>
            <w:r w:rsidR="00C1451A">
              <w:rPr>
                <w:rFonts w:asciiTheme="majorHAnsi" w:hAnsiTheme="majorHAnsi"/>
                <w:color w:val="404040" w:themeColor="text1" w:themeTint="BF"/>
                <w:sz w:val="20"/>
                <w:szCs w:val="20"/>
              </w:rPr>
              <w:t>)</w:t>
            </w:r>
            <w:r w:rsidRPr="00C37632">
              <w:rPr>
                <w:rFonts w:asciiTheme="majorHAnsi" w:hAnsiTheme="majorHAnsi"/>
                <w:color w:val="404040" w:themeColor="text1" w:themeTint="BF"/>
                <w:sz w:val="20"/>
                <w:szCs w:val="20"/>
              </w:rPr>
              <w:t xml:space="preserve"> accounts (for loss account 76110 and for gain account 56010</w:t>
            </w:r>
            <w:r>
              <w:rPr>
                <w:rFonts w:asciiTheme="majorHAnsi" w:hAnsiTheme="majorHAnsi"/>
                <w:color w:val="404040" w:themeColor="text1" w:themeTint="BF"/>
                <w:sz w:val="20"/>
                <w:szCs w:val="20"/>
              </w:rPr>
              <w:t xml:space="preserve"> for the cash-controlled fund</w:t>
            </w:r>
            <w:r w:rsidRPr="00C37632">
              <w:rPr>
                <w:rFonts w:asciiTheme="majorHAnsi" w:hAnsiTheme="majorHAnsi"/>
                <w:color w:val="404040" w:themeColor="text1" w:themeTint="BF"/>
                <w:sz w:val="20"/>
                <w:szCs w:val="20"/>
              </w:rPr>
              <w:t>.</w:t>
            </w:r>
            <w:r>
              <w:rPr>
                <w:rFonts w:asciiTheme="majorHAnsi" w:hAnsiTheme="majorHAnsi"/>
                <w:color w:val="404040" w:themeColor="text1" w:themeTint="BF"/>
                <w:sz w:val="20"/>
                <w:szCs w:val="20"/>
              </w:rPr>
              <w:t xml:space="preserve"> If the fund code is controlled by allocation </w:t>
            </w:r>
            <w:r w:rsidR="00C07CEE">
              <w:rPr>
                <w:rFonts w:asciiTheme="majorHAnsi" w:hAnsiTheme="majorHAnsi"/>
                <w:color w:val="404040" w:themeColor="text1" w:themeTint="BF"/>
                <w:sz w:val="20"/>
                <w:szCs w:val="20"/>
              </w:rPr>
              <w:t xml:space="preserve">Authorized Spending Level </w:t>
            </w:r>
            <w:r>
              <w:rPr>
                <w:rFonts w:asciiTheme="majorHAnsi" w:hAnsiTheme="majorHAnsi"/>
                <w:color w:val="404040" w:themeColor="text1" w:themeTint="BF"/>
                <w:sz w:val="20"/>
                <w:szCs w:val="20"/>
              </w:rPr>
              <w:t>(ASL), please record loss/gain to account 76110 (+/-).</w:t>
            </w:r>
            <w:r w:rsidRPr="00C37632">
              <w:rPr>
                <w:rFonts w:asciiTheme="majorHAnsi" w:hAnsiTheme="majorHAnsi"/>
                <w:color w:val="404040" w:themeColor="text1" w:themeTint="BF"/>
                <w:sz w:val="20"/>
                <w:szCs w:val="20"/>
              </w:rPr>
              <w:t xml:space="preserve"> Sometimes, there might be manual adjustment to this exchange difference. If so</w:t>
            </w:r>
            <w:r>
              <w:rPr>
                <w:rFonts w:asciiTheme="majorHAnsi" w:hAnsiTheme="majorHAnsi"/>
                <w:color w:val="404040" w:themeColor="text1" w:themeTint="BF"/>
                <w:sz w:val="20"/>
                <w:szCs w:val="20"/>
              </w:rPr>
              <w:t>,</w:t>
            </w:r>
            <w:r w:rsidRPr="00C37632">
              <w:rPr>
                <w:rFonts w:asciiTheme="majorHAnsi" w:hAnsiTheme="majorHAnsi"/>
                <w:color w:val="404040" w:themeColor="text1" w:themeTint="BF"/>
                <w:sz w:val="20"/>
                <w:szCs w:val="20"/>
              </w:rPr>
              <w:t xml:space="preserve"> please reverse the manual adjustment/s.  </w:t>
            </w:r>
          </w:p>
          <w:p w14:paraId="58F114D4" w14:textId="25F4FA90" w:rsidR="008A7E9A" w:rsidRPr="00980518" w:rsidRDefault="008A7E9A" w:rsidP="006A77CA">
            <w:pPr>
              <w:pStyle w:val="NormalWeb"/>
              <w:numPr>
                <w:ilvl w:val="0"/>
                <w:numId w:val="6"/>
              </w:numPr>
              <w:spacing w:before="0" w:beforeAutospacing="0" w:after="0" w:afterAutospacing="0"/>
              <w:rPr>
                <w:rFonts w:asciiTheme="majorHAnsi" w:hAnsiTheme="majorHAnsi"/>
                <w:color w:val="404040" w:themeColor="text1" w:themeTint="BF"/>
                <w:sz w:val="20"/>
                <w:szCs w:val="20"/>
              </w:rPr>
            </w:pPr>
            <w:r w:rsidRPr="00C37632">
              <w:rPr>
                <w:rFonts w:asciiTheme="majorHAnsi" w:hAnsiTheme="majorHAnsi"/>
                <w:color w:val="404040" w:themeColor="text1" w:themeTint="BF"/>
                <w:sz w:val="20"/>
                <w:szCs w:val="20"/>
              </w:rPr>
              <w:t xml:space="preserve">When </w:t>
            </w:r>
            <w:r w:rsidR="00F120EF">
              <w:rPr>
                <w:rFonts w:asciiTheme="majorHAnsi" w:hAnsiTheme="majorHAnsi"/>
                <w:color w:val="404040" w:themeColor="text1" w:themeTint="BF"/>
                <w:sz w:val="20"/>
                <w:szCs w:val="20"/>
              </w:rPr>
              <w:t xml:space="preserve">the </w:t>
            </w:r>
            <w:r>
              <w:rPr>
                <w:rFonts w:asciiTheme="majorHAnsi" w:hAnsiTheme="majorHAnsi"/>
                <w:color w:val="404040" w:themeColor="text1" w:themeTint="BF"/>
                <w:sz w:val="20"/>
                <w:szCs w:val="20"/>
              </w:rPr>
              <w:t xml:space="preserve">original VAT </w:t>
            </w:r>
            <w:r w:rsidRPr="00C37632">
              <w:rPr>
                <w:rFonts w:asciiTheme="majorHAnsi" w:hAnsiTheme="majorHAnsi"/>
                <w:color w:val="404040" w:themeColor="text1" w:themeTint="BF"/>
                <w:sz w:val="20"/>
                <w:szCs w:val="20"/>
              </w:rPr>
              <w:t xml:space="preserve">recorded </w:t>
            </w:r>
            <w:r>
              <w:rPr>
                <w:rFonts w:asciiTheme="majorHAnsi" w:hAnsiTheme="majorHAnsi"/>
                <w:color w:val="404040" w:themeColor="text1" w:themeTint="BF"/>
                <w:sz w:val="20"/>
                <w:szCs w:val="20"/>
              </w:rPr>
              <w:t>currency</w:t>
            </w:r>
            <w:r w:rsidRPr="00C37632">
              <w:rPr>
                <w:rFonts w:asciiTheme="majorHAnsi" w:hAnsiTheme="majorHAnsi"/>
                <w:color w:val="404040" w:themeColor="text1" w:themeTint="BF"/>
                <w:sz w:val="20"/>
                <w:szCs w:val="20"/>
              </w:rPr>
              <w:t xml:space="preserve"> and reimbursement collection             </w:t>
            </w:r>
            <w:r>
              <w:rPr>
                <w:rFonts w:asciiTheme="majorHAnsi" w:hAnsiTheme="majorHAnsi"/>
                <w:color w:val="404040" w:themeColor="text1" w:themeTint="BF"/>
                <w:sz w:val="20"/>
                <w:szCs w:val="20"/>
              </w:rPr>
              <w:t xml:space="preserve">currency </w:t>
            </w:r>
            <w:r w:rsidRPr="00C37632">
              <w:rPr>
                <w:rFonts w:asciiTheme="majorHAnsi" w:hAnsiTheme="majorHAnsi"/>
                <w:color w:val="404040" w:themeColor="text1" w:themeTint="BF"/>
                <w:sz w:val="20"/>
                <w:szCs w:val="20"/>
              </w:rPr>
              <w:t>are different</w:t>
            </w:r>
            <w:r>
              <w:rPr>
                <w:rFonts w:asciiTheme="majorHAnsi" w:hAnsiTheme="majorHAnsi"/>
                <w:color w:val="404040" w:themeColor="text1" w:themeTint="BF"/>
                <w:sz w:val="20"/>
                <w:szCs w:val="20"/>
              </w:rPr>
              <w:t xml:space="preserve">, the transaction currency has a balance and base currency amount is nil </w:t>
            </w:r>
            <w:r w:rsidRPr="00980518">
              <w:rPr>
                <w:rFonts w:asciiTheme="majorHAnsi" w:hAnsiTheme="majorHAnsi"/>
                <w:color w:val="404040" w:themeColor="text1" w:themeTint="BF"/>
                <w:sz w:val="20"/>
                <w:szCs w:val="20"/>
              </w:rPr>
              <w:t>or has a balance</w:t>
            </w:r>
            <w:r>
              <w:rPr>
                <w:rFonts w:asciiTheme="majorHAnsi" w:hAnsiTheme="majorHAnsi"/>
                <w:color w:val="404040" w:themeColor="text1" w:themeTint="BF"/>
                <w:sz w:val="20"/>
                <w:szCs w:val="20"/>
              </w:rPr>
              <w:t xml:space="preserve">.  In this scenario, please clear the mismatch currency settlements.  Reverse the manual adjustment/s of foreign exchange difference </w:t>
            </w:r>
            <w:r w:rsidRPr="00980518">
              <w:rPr>
                <w:rFonts w:asciiTheme="majorHAnsi" w:hAnsiTheme="majorHAnsi"/>
                <w:color w:val="404040" w:themeColor="text1" w:themeTint="BF"/>
                <w:sz w:val="20"/>
                <w:szCs w:val="20"/>
              </w:rPr>
              <w:t xml:space="preserve">if any. </w:t>
            </w:r>
          </w:p>
          <w:p w14:paraId="33B8E182" w14:textId="77777777" w:rsidR="008A7E9A" w:rsidRPr="00C37632" w:rsidRDefault="008A7E9A" w:rsidP="006A77CA">
            <w:pPr>
              <w:pStyle w:val="NormalWeb"/>
              <w:numPr>
                <w:ilvl w:val="0"/>
                <w:numId w:val="6"/>
              </w:numPr>
              <w:spacing w:before="0" w:beforeAutospacing="0" w:after="0" w:afterAutospacing="0"/>
              <w:rPr>
                <w:rFonts w:asciiTheme="majorHAnsi" w:hAnsiTheme="majorHAnsi"/>
                <w:color w:val="404040" w:themeColor="text1" w:themeTint="BF"/>
                <w:sz w:val="20"/>
                <w:szCs w:val="20"/>
              </w:rPr>
            </w:pPr>
            <w:r>
              <w:rPr>
                <w:rFonts w:asciiTheme="majorHAnsi" w:hAnsiTheme="majorHAnsi"/>
                <w:color w:val="404040" w:themeColor="text1" w:themeTint="BF"/>
                <w:sz w:val="20"/>
                <w:szCs w:val="20"/>
              </w:rPr>
              <w:t>Ensure that the account balance is cleared in both transaction currency and base currency.</w:t>
            </w:r>
          </w:p>
          <w:p w14:paraId="56AFFF8F" w14:textId="77777777" w:rsidR="008A7E9A" w:rsidRDefault="008A7E9A" w:rsidP="006A77CA">
            <w:pPr>
              <w:pStyle w:val="NormalWeb"/>
              <w:spacing w:before="0" w:beforeAutospacing="0" w:after="0" w:afterAutospacing="0"/>
              <w:rPr>
                <w:rFonts w:asciiTheme="majorHAnsi" w:hAnsiTheme="majorHAnsi"/>
                <w:color w:val="404040" w:themeColor="text1" w:themeTint="BF"/>
                <w:sz w:val="20"/>
                <w:szCs w:val="20"/>
              </w:rPr>
            </w:pPr>
          </w:p>
          <w:p w14:paraId="38EBE7CB" w14:textId="10D900C4" w:rsidR="008A7E9A" w:rsidRDefault="008A7E9A" w:rsidP="006A77CA">
            <w:pPr>
              <w:pStyle w:val="NormalWeb"/>
              <w:spacing w:before="0" w:beforeAutospacing="0" w:after="0" w:afterAutospacing="0"/>
              <w:rPr>
                <w:rFonts w:asciiTheme="majorHAnsi" w:hAnsiTheme="majorHAnsi"/>
                <w:color w:val="404040" w:themeColor="text1" w:themeTint="BF"/>
                <w:sz w:val="20"/>
                <w:szCs w:val="20"/>
              </w:rPr>
            </w:pPr>
            <w:r>
              <w:rPr>
                <w:rFonts w:asciiTheme="majorHAnsi" w:hAnsiTheme="majorHAnsi"/>
                <w:color w:val="404040" w:themeColor="text1" w:themeTint="BF"/>
                <w:sz w:val="20"/>
                <w:szCs w:val="20"/>
              </w:rPr>
              <w:t>14057 (Petrol adv.):  Since account is not revalued, please clear the account balance in base currency.</w:t>
            </w:r>
          </w:p>
          <w:p w14:paraId="4D281E3A" w14:textId="77777777" w:rsidR="008A7E9A" w:rsidRDefault="008A7E9A" w:rsidP="006A77CA">
            <w:pPr>
              <w:pStyle w:val="NormalWeb"/>
              <w:spacing w:before="0" w:beforeAutospacing="0" w:after="0" w:afterAutospacing="0"/>
              <w:rPr>
                <w:rFonts w:asciiTheme="majorHAnsi" w:hAnsiTheme="majorHAnsi"/>
                <w:color w:val="404040" w:themeColor="text1" w:themeTint="BF"/>
                <w:sz w:val="20"/>
                <w:szCs w:val="20"/>
              </w:rPr>
            </w:pPr>
          </w:p>
          <w:p w14:paraId="171C7BDA" w14:textId="2B1A7198" w:rsidR="008A7E9A" w:rsidRDefault="008A7E9A" w:rsidP="006A77CA">
            <w:pPr>
              <w:pStyle w:val="NormalWeb"/>
              <w:spacing w:before="0" w:beforeAutospacing="0" w:after="0" w:afterAutospacing="0"/>
              <w:rPr>
                <w:rFonts w:asciiTheme="majorHAnsi" w:hAnsiTheme="majorHAnsi"/>
                <w:color w:val="404040" w:themeColor="text1" w:themeTint="BF"/>
                <w:sz w:val="20"/>
                <w:szCs w:val="20"/>
              </w:rPr>
            </w:pPr>
            <w:r w:rsidRPr="00E621B5">
              <w:rPr>
                <w:rFonts w:asciiTheme="majorHAnsi" w:hAnsiTheme="majorHAnsi"/>
                <w:color w:val="404040" w:themeColor="text1" w:themeTint="BF"/>
                <w:sz w:val="20"/>
                <w:szCs w:val="20"/>
              </w:rPr>
              <w:t>14501</w:t>
            </w:r>
            <w:r>
              <w:rPr>
                <w:rFonts w:asciiTheme="majorHAnsi" w:hAnsiTheme="majorHAnsi"/>
                <w:color w:val="404040" w:themeColor="text1" w:themeTint="BF"/>
                <w:sz w:val="20"/>
                <w:szCs w:val="20"/>
              </w:rPr>
              <w:t>(Ed</w:t>
            </w:r>
            <w:r w:rsidR="00C07CEE">
              <w:rPr>
                <w:rFonts w:asciiTheme="majorHAnsi" w:hAnsiTheme="majorHAnsi"/>
                <w:color w:val="404040" w:themeColor="text1" w:themeTint="BF"/>
                <w:sz w:val="20"/>
                <w:szCs w:val="20"/>
              </w:rPr>
              <w:t>ucation</w:t>
            </w:r>
            <w:r>
              <w:rPr>
                <w:rFonts w:asciiTheme="majorHAnsi" w:hAnsiTheme="majorHAnsi"/>
                <w:color w:val="404040" w:themeColor="text1" w:themeTint="BF"/>
                <w:sz w:val="20"/>
                <w:szCs w:val="20"/>
              </w:rPr>
              <w:t xml:space="preserve"> grant):  Please seek advice from GSSC PFU unit </w:t>
            </w:r>
            <w:hyperlink r:id="rId25" w:history="1">
              <w:r w:rsidRPr="00AC00F7">
                <w:rPr>
                  <w:rStyle w:val="Hyperlink"/>
                  <w:noProof/>
                  <w:sz w:val="21"/>
                  <w:szCs w:val="21"/>
                </w:rPr>
                <w:t>pfu.enquiry@undp.org</w:t>
              </w:r>
            </w:hyperlink>
          </w:p>
          <w:p w14:paraId="3AC8196F" w14:textId="77777777" w:rsidR="008A7E9A" w:rsidRDefault="008A7E9A" w:rsidP="006A77CA">
            <w:pPr>
              <w:pStyle w:val="NormalWeb"/>
              <w:spacing w:before="0" w:beforeAutospacing="0" w:after="0" w:afterAutospacing="0"/>
              <w:rPr>
                <w:rFonts w:asciiTheme="majorHAnsi" w:hAnsiTheme="majorHAnsi"/>
                <w:color w:val="404040" w:themeColor="text1" w:themeTint="BF"/>
                <w:sz w:val="20"/>
                <w:szCs w:val="20"/>
              </w:rPr>
            </w:pPr>
          </w:p>
          <w:p w14:paraId="29849CDB" w14:textId="79E374BA" w:rsidR="008A7E9A" w:rsidRDefault="008A7E9A" w:rsidP="006A77CA">
            <w:pPr>
              <w:pStyle w:val="NormalWeb"/>
              <w:spacing w:before="0" w:beforeAutospacing="0" w:after="0" w:afterAutospacing="0"/>
              <w:rPr>
                <w:rFonts w:asciiTheme="majorHAnsi" w:hAnsiTheme="majorHAnsi"/>
                <w:color w:val="404040" w:themeColor="text1" w:themeTint="BF"/>
                <w:sz w:val="20"/>
                <w:szCs w:val="20"/>
              </w:rPr>
            </w:pPr>
            <w:r w:rsidRPr="00E621B5">
              <w:rPr>
                <w:rFonts w:asciiTheme="majorHAnsi" w:hAnsiTheme="majorHAnsi"/>
                <w:color w:val="404040" w:themeColor="text1" w:themeTint="BF"/>
                <w:sz w:val="20"/>
                <w:szCs w:val="20"/>
              </w:rPr>
              <w:t>16006</w:t>
            </w:r>
            <w:r>
              <w:rPr>
                <w:rFonts w:asciiTheme="majorHAnsi" w:hAnsiTheme="majorHAnsi"/>
                <w:color w:val="404040" w:themeColor="text1" w:themeTint="BF"/>
                <w:sz w:val="20"/>
                <w:szCs w:val="20"/>
              </w:rPr>
              <w:t xml:space="preserve"> (DBS adv.):  Account is revalued at full COA level.  See </w:t>
            </w:r>
            <w:r w:rsidR="008D21D1">
              <w:rPr>
                <w:rFonts w:asciiTheme="majorHAnsi" w:hAnsiTheme="majorHAnsi"/>
                <w:color w:val="404040" w:themeColor="text1" w:themeTint="BF"/>
                <w:sz w:val="20"/>
                <w:szCs w:val="20"/>
              </w:rPr>
              <w:t xml:space="preserve">notes </w:t>
            </w:r>
            <w:r>
              <w:rPr>
                <w:rFonts w:asciiTheme="majorHAnsi" w:hAnsiTheme="majorHAnsi"/>
                <w:color w:val="404040" w:themeColor="text1" w:themeTint="BF"/>
                <w:sz w:val="20"/>
                <w:szCs w:val="20"/>
              </w:rPr>
              <w:t xml:space="preserve">in </w:t>
            </w:r>
            <w:r w:rsidR="008D21D1">
              <w:rPr>
                <w:rFonts w:asciiTheme="majorHAnsi" w:hAnsiTheme="majorHAnsi"/>
                <w:color w:val="404040" w:themeColor="text1" w:themeTint="BF"/>
                <w:sz w:val="20"/>
                <w:szCs w:val="20"/>
              </w:rPr>
              <w:t xml:space="preserve">the section for </w:t>
            </w:r>
            <w:r>
              <w:rPr>
                <w:rFonts w:asciiTheme="majorHAnsi" w:hAnsiTheme="majorHAnsi"/>
                <w:color w:val="404040" w:themeColor="text1" w:themeTint="BF"/>
                <w:sz w:val="20"/>
                <w:szCs w:val="20"/>
              </w:rPr>
              <w:t>account 16005</w:t>
            </w:r>
            <w:r w:rsidR="008D21D1">
              <w:rPr>
                <w:rFonts w:asciiTheme="majorHAnsi" w:hAnsiTheme="majorHAnsi"/>
                <w:color w:val="404040" w:themeColor="text1" w:themeTint="BF"/>
                <w:sz w:val="20"/>
                <w:szCs w:val="20"/>
              </w:rPr>
              <w:t>.</w:t>
            </w:r>
            <w:r>
              <w:rPr>
                <w:rFonts w:asciiTheme="majorHAnsi" w:hAnsiTheme="majorHAnsi"/>
                <w:color w:val="404040" w:themeColor="text1" w:themeTint="BF"/>
                <w:sz w:val="20"/>
                <w:szCs w:val="20"/>
              </w:rPr>
              <w:t xml:space="preserve"> </w:t>
            </w:r>
          </w:p>
          <w:p w14:paraId="5F8235C1" w14:textId="77777777" w:rsidR="008A7E9A" w:rsidRDefault="008A7E9A" w:rsidP="006A77CA">
            <w:pPr>
              <w:pStyle w:val="NormalWeb"/>
              <w:spacing w:before="0" w:beforeAutospacing="0" w:after="0" w:afterAutospacing="0"/>
              <w:rPr>
                <w:rFonts w:asciiTheme="majorHAnsi" w:hAnsiTheme="majorHAnsi"/>
                <w:color w:val="404040" w:themeColor="text1" w:themeTint="BF"/>
                <w:sz w:val="20"/>
                <w:szCs w:val="20"/>
              </w:rPr>
            </w:pPr>
          </w:p>
          <w:p w14:paraId="21550FCC" w14:textId="09EAE2F0" w:rsidR="008A7E9A" w:rsidRDefault="008A7E9A" w:rsidP="006A77CA">
            <w:pPr>
              <w:pStyle w:val="NormalWeb"/>
              <w:spacing w:before="0" w:beforeAutospacing="0" w:after="0" w:afterAutospacing="0"/>
              <w:rPr>
                <w:rFonts w:asciiTheme="majorHAnsi" w:hAnsiTheme="majorHAnsi"/>
                <w:color w:val="404040" w:themeColor="text1" w:themeTint="BF"/>
                <w:sz w:val="20"/>
                <w:szCs w:val="20"/>
              </w:rPr>
            </w:pPr>
            <w:r w:rsidRPr="00E621B5">
              <w:rPr>
                <w:rFonts w:asciiTheme="majorHAnsi" w:hAnsiTheme="majorHAnsi"/>
                <w:color w:val="404040" w:themeColor="text1" w:themeTint="BF"/>
                <w:sz w:val="20"/>
                <w:szCs w:val="20"/>
              </w:rPr>
              <w:t>16010</w:t>
            </w:r>
            <w:r>
              <w:rPr>
                <w:rFonts w:asciiTheme="majorHAnsi" w:hAnsiTheme="majorHAnsi"/>
                <w:color w:val="404040" w:themeColor="text1" w:themeTint="BF"/>
                <w:sz w:val="20"/>
                <w:szCs w:val="20"/>
              </w:rPr>
              <w:t xml:space="preserve"> (Due from UN agencies); Account is not revalued.  Clear the account balance in base currency.</w:t>
            </w:r>
          </w:p>
          <w:p w14:paraId="574BC10D" w14:textId="77777777" w:rsidR="008A7E9A" w:rsidRDefault="008A7E9A" w:rsidP="006A77CA">
            <w:pPr>
              <w:pStyle w:val="NormalWeb"/>
              <w:spacing w:before="0" w:beforeAutospacing="0" w:after="0" w:afterAutospacing="0"/>
              <w:rPr>
                <w:rFonts w:asciiTheme="majorHAnsi" w:hAnsiTheme="majorHAnsi"/>
                <w:color w:val="404040" w:themeColor="text1" w:themeTint="BF"/>
                <w:sz w:val="20"/>
                <w:szCs w:val="20"/>
              </w:rPr>
            </w:pPr>
          </w:p>
          <w:p w14:paraId="1039F58E" w14:textId="3C8BE1BE" w:rsidR="008A7E9A" w:rsidRDefault="008A7E9A" w:rsidP="006A77CA">
            <w:pPr>
              <w:rPr>
                <w:rFonts w:asciiTheme="majorHAnsi" w:hAnsiTheme="majorHAnsi"/>
                <w:color w:val="404040" w:themeColor="text1" w:themeTint="BF"/>
                <w:sz w:val="20"/>
                <w:szCs w:val="20"/>
              </w:rPr>
            </w:pPr>
            <w:r w:rsidRPr="00E621B5">
              <w:rPr>
                <w:rFonts w:asciiTheme="majorHAnsi" w:hAnsiTheme="majorHAnsi"/>
                <w:color w:val="404040" w:themeColor="text1" w:themeTint="BF"/>
                <w:sz w:val="20"/>
                <w:szCs w:val="20"/>
              </w:rPr>
              <w:t>16015</w:t>
            </w:r>
            <w:r>
              <w:rPr>
                <w:rFonts w:asciiTheme="majorHAnsi" w:hAnsiTheme="majorHAnsi"/>
                <w:color w:val="404040" w:themeColor="text1" w:themeTint="BF"/>
                <w:sz w:val="20"/>
                <w:szCs w:val="20"/>
              </w:rPr>
              <w:t xml:space="preserve"> (Project clearing account): Account is not revalued. Seek advice from GSSC unit, email address </w:t>
            </w:r>
            <w:r w:rsidR="002A5CF0">
              <w:t>GSSU AGENCIES</w:t>
            </w:r>
            <w:r>
              <w:t xml:space="preserve"> &lt;</w:t>
            </w:r>
            <w:hyperlink r:id="rId26" w:history="1">
              <w:r w:rsidR="002A5CF0">
                <w:rPr>
                  <w:rStyle w:val="Hyperlink"/>
                </w:rPr>
                <w:t>gssu.agencies@undp.org</w:t>
              </w:r>
            </w:hyperlink>
            <w:r>
              <w:t>&gt;</w:t>
            </w:r>
            <w:r w:rsidR="008D21D1">
              <w:t xml:space="preserve">. </w:t>
            </w:r>
            <w:r w:rsidR="008D21D1" w:rsidRPr="008D21D1">
              <w:rPr>
                <w:rFonts w:asciiTheme="majorHAnsi" w:hAnsiTheme="majorHAnsi"/>
                <w:color w:val="404040" w:themeColor="text1" w:themeTint="BF"/>
                <w:sz w:val="20"/>
                <w:szCs w:val="20"/>
              </w:rPr>
              <w:t>PCA advances are issued at project level since 2018, therefore any clean-up should be made at the full COA level</w:t>
            </w:r>
            <w:r w:rsidRPr="00333C1A">
              <w:rPr>
                <w:rFonts w:asciiTheme="majorHAnsi" w:hAnsiTheme="majorHAnsi"/>
                <w:color w:val="404040" w:themeColor="text1" w:themeTint="BF"/>
                <w:sz w:val="20"/>
                <w:szCs w:val="20"/>
              </w:rPr>
              <w:t>.</w:t>
            </w:r>
          </w:p>
          <w:p w14:paraId="1A8DF64B" w14:textId="77777777" w:rsidR="008A7E9A" w:rsidRDefault="008A7E9A" w:rsidP="006A77CA">
            <w:pPr>
              <w:pStyle w:val="NormalWeb"/>
              <w:spacing w:before="0" w:beforeAutospacing="0" w:after="0" w:afterAutospacing="0"/>
              <w:rPr>
                <w:rFonts w:asciiTheme="majorHAnsi" w:hAnsiTheme="majorHAnsi"/>
                <w:color w:val="404040" w:themeColor="text1" w:themeTint="BF"/>
                <w:sz w:val="20"/>
                <w:szCs w:val="20"/>
              </w:rPr>
            </w:pPr>
          </w:p>
          <w:p w14:paraId="532E6D71" w14:textId="4335E75F" w:rsidR="008A7E9A" w:rsidRDefault="008A7E9A" w:rsidP="006A77CA">
            <w:pPr>
              <w:pStyle w:val="NormalWeb"/>
              <w:spacing w:before="0" w:beforeAutospacing="0" w:after="0" w:afterAutospacing="0"/>
              <w:rPr>
                <w:rFonts w:asciiTheme="majorHAnsi" w:hAnsiTheme="majorHAnsi"/>
                <w:color w:val="404040" w:themeColor="text1" w:themeTint="BF"/>
                <w:sz w:val="20"/>
                <w:szCs w:val="20"/>
              </w:rPr>
            </w:pPr>
            <w:r w:rsidRPr="00E621B5">
              <w:rPr>
                <w:rFonts w:asciiTheme="majorHAnsi" w:hAnsiTheme="majorHAnsi"/>
                <w:color w:val="404040" w:themeColor="text1" w:themeTint="BF"/>
                <w:sz w:val="20"/>
                <w:szCs w:val="20"/>
              </w:rPr>
              <w:t>17009</w:t>
            </w:r>
            <w:r>
              <w:rPr>
                <w:rFonts w:asciiTheme="majorHAnsi" w:hAnsiTheme="majorHAnsi"/>
                <w:color w:val="404040" w:themeColor="text1" w:themeTint="BF"/>
                <w:sz w:val="20"/>
                <w:szCs w:val="20"/>
              </w:rPr>
              <w:t xml:space="preserve"> (Allowance non-exchange adv.</w:t>
            </w:r>
            <w:r w:rsidRPr="00E621B5">
              <w:rPr>
                <w:rFonts w:asciiTheme="majorHAnsi" w:hAnsiTheme="majorHAnsi"/>
                <w:color w:val="404040" w:themeColor="text1" w:themeTint="BF"/>
                <w:sz w:val="20"/>
                <w:szCs w:val="20"/>
              </w:rPr>
              <w:t>)</w:t>
            </w:r>
            <w:r>
              <w:rPr>
                <w:rFonts w:asciiTheme="majorHAnsi" w:hAnsiTheme="majorHAnsi"/>
                <w:color w:val="404040" w:themeColor="text1" w:themeTint="BF"/>
                <w:sz w:val="20"/>
                <w:szCs w:val="20"/>
              </w:rPr>
              <w:t xml:space="preserve">:  N/A.  </w:t>
            </w:r>
            <w:r w:rsidR="008D21D1">
              <w:rPr>
                <w:rFonts w:asciiTheme="majorHAnsi" w:hAnsiTheme="majorHAnsi"/>
                <w:color w:val="404040" w:themeColor="text1" w:themeTint="BF"/>
                <w:sz w:val="20"/>
                <w:szCs w:val="20"/>
              </w:rPr>
              <w:t>This a</w:t>
            </w:r>
            <w:r>
              <w:rPr>
                <w:rFonts w:asciiTheme="majorHAnsi" w:hAnsiTheme="majorHAnsi"/>
                <w:color w:val="404040" w:themeColor="text1" w:themeTint="BF"/>
                <w:sz w:val="20"/>
                <w:szCs w:val="20"/>
              </w:rPr>
              <w:t>ccount balance is not tied with the project.  If the account has a balance under</w:t>
            </w:r>
            <w:r w:rsidR="008D21D1">
              <w:rPr>
                <w:rFonts w:asciiTheme="majorHAnsi" w:hAnsiTheme="majorHAnsi"/>
                <w:color w:val="404040" w:themeColor="text1" w:themeTint="BF"/>
                <w:sz w:val="20"/>
                <w:szCs w:val="20"/>
              </w:rPr>
              <w:t xml:space="preserve"> the</w:t>
            </w:r>
            <w:r>
              <w:rPr>
                <w:rFonts w:asciiTheme="majorHAnsi" w:hAnsiTheme="majorHAnsi"/>
                <w:color w:val="404040" w:themeColor="text1" w:themeTint="BF"/>
                <w:sz w:val="20"/>
                <w:szCs w:val="20"/>
              </w:rPr>
              <w:t xml:space="preserve"> project, seek advice from FBA.</w:t>
            </w:r>
          </w:p>
          <w:p w14:paraId="37296BDB" w14:textId="77777777" w:rsidR="008A7E9A" w:rsidRPr="009534CA" w:rsidRDefault="008A7E9A" w:rsidP="006A77CA">
            <w:pPr>
              <w:rPr>
                <w:rFonts w:asciiTheme="majorHAnsi" w:hAnsiTheme="majorHAnsi"/>
                <w:color w:val="404040" w:themeColor="text1" w:themeTint="BF"/>
                <w:sz w:val="20"/>
                <w:szCs w:val="20"/>
              </w:rPr>
            </w:pPr>
          </w:p>
        </w:tc>
      </w:tr>
      <w:tr w:rsidR="00E5285F" w:rsidRPr="009534CA" w14:paraId="7CD5FF23" w14:textId="77777777" w:rsidTr="007464B7">
        <w:tc>
          <w:tcPr>
            <w:tcW w:w="275" w:type="pct"/>
            <w:vMerge/>
          </w:tcPr>
          <w:p w14:paraId="4F8FD9FD" w14:textId="77777777" w:rsidR="008A7E9A" w:rsidRPr="009534CA" w:rsidRDefault="008A7E9A" w:rsidP="006A77CA">
            <w:pPr>
              <w:rPr>
                <w:rFonts w:asciiTheme="majorHAnsi" w:hAnsiTheme="majorHAnsi"/>
                <w:color w:val="404040" w:themeColor="text1" w:themeTint="BF"/>
                <w:sz w:val="20"/>
                <w:szCs w:val="20"/>
              </w:rPr>
            </w:pPr>
          </w:p>
        </w:tc>
        <w:tc>
          <w:tcPr>
            <w:tcW w:w="1234" w:type="pct"/>
            <w:vMerge/>
          </w:tcPr>
          <w:p w14:paraId="5CAAA782" w14:textId="77777777" w:rsidR="008A7E9A" w:rsidRPr="009534CA" w:rsidRDefault="008A7E9A" w:rsidP="006A77CA">
            <w:pPr>
              <w:rPr>
                <w:rFonts w:asciiTheme="majorHAnsi" w:hAnsiTheme="majorHAnsi"/>
                <w:color w:val="404040" w:themeColor="text1" w:themeTint="BF"/>
                <w:sz w:val="20"/>
                <w:szCs w:val="20"/>
              </w:rPr>
            </w:pPr>
          </w:p>
        </w:tc>
        <w:tc>
          <w:tcPr>
            <w:tcW w:w="1510" w:type="pct"/>
          </w:tcPr>
          <w:p w14:paraId="19E915F3" w14:textId="77777777" w:rsidR="008A7E9A" w:rsidRPr="009534CA" w:rsidRDefault="008A7E9A" w:rsidP="006A77CA">
            <w:pPr>
              <w:rPr>
                <w:rFonts w:asciiTheme="majorHAnsi" w:hAnsiTheme="majorHAnsi"/>
                <w:color w:val="404040" w:themeColor="text1" w:themeTint="BF"/>
                <w:sz w:val="20"/>
                <w:szCs w:val="20"/>
              </w:rPr>
            </w:pPr>
            <w:r w:rsidRPr="009534CA">
              <w:rPr>
                <w:rFonts w:asciiTheme="majorHAnsi" w:hAnsiTheme="majorHAnsi"/>
                <w:color w:val="404040" w:themeColor="text1" w:themeTint="BF"/>
                <w:sz w:val="20"/>
                <w:szCs w:val="20"/>
              </w:rPr>
              <w:t>Run “Ledger Inquiry” for the project selecting the full COA and detect any mismatch</w:t>
            </w:r>
          </w:p>
        </w:tc>
        <w:tc>
          <w:tcPr>
            <w:tcW w:w="1980" w:type="pct"/>
          </w:tcPr>
          <w:p w14:paraId="1DFBB816" w14:textId="77777777" w:rsidR="008A7E9A" w:rsidRPr="009534CA" w:rsidRDefault="008A7E9A" w:rsidP="006A77CA">
            <w:pPr>
              <w:rPr>
                <w:rFonts w:asciiTheme="majorHAnsi" w:hAnsiTheme="majorHAnsi"/>
                <w:color w:val="404040" w:themeColor="text1" w:themeTint="BF"/>
                <w:sz w:val="20"/>
                <w:szCs w:val="20"/>
              </w:rPr>
            </w:pPr>
          </w:p>
        </w:tc>
      </w:tr>
      <w:tr w:rsidR="00E5285F" w:rsidRPr="009534CA" w14:paraId="70C16709" w14:textId="77777777" w:rsidTr="007464B7">
        <w:tc>
          <w:tcPr>
            <w:tcW w:w="275" w:type="pct"/>
            <w:vMerge/>
          </w:tcPr>
          <w:p w14:paraId="38A9DB53" w14:textId="77777777" w:rsidR="008A7E9A" w:rsidRPr="009534CA" w:rsidRDefault="008A7E9A" w:rsidP="006A77CA">
            <w:pPr>
              <w:rPr>
                <w:rFonts w:asciiTheme="majorHAnsi" w:hAnsiTheme="majorHAnsi"/>
                <w:color w:val="404040" w:themeColor="text1" w:themeTint="BF"/>
                <w:sz w:val="20"/>
                <w:szCs w:val="20"/>
              </w:rPr>
            </w:pPr>
          </w:p>
        </w:tc>
        <w:tc>
          <w:tcPr>
            <w:tcW w:w="1234" w:type="pct"/>
            <w:vMerge/>
          </w:tcPr>
          <w:p w14:paraId="674FD17F" w14:textId="77777777" w:rsidR="008A7E9A" w:rsidRPr="009534CA" w:rsidRDefault="008A7E9A" w:rsidP="006A77CA">
            <w:pPr>
              <w:rPr>
                <w:rFonts w:asciiTheme="majorHAnsi" w:hAnsiTheme="majorHAnsi"/>
                <w:color w:val="404040" w:themeColor="text1" w:themeTint="BF"/>
                <w:sz w:val="20"/>
                <w:szCs w:val="20"/>
              </w:rPr>
            </w:pPr>
          </w:p>
        </w:tc>
        <w:tc>
          <w:tcPr>
            <w:tcW w:w="1510" w:type="pct"/>
          </w:tcPr>
          <w:p w14:paraId="7C24E6E0" w14:textId="77777777" w:rsidR="008A7E9A" w:rsidRPr="009534CA"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For accounts requiring Open Item Keys, please run “Open Item Maintenance” Query OFA_OPEN_ITEM_RPT</w:t>
            </w:r>
          </w:p>
        </w:tc>
        <w:tc>
          <w:tcPr>
            <w:tcW w:w="1980" w:type="pct"/>
          </w:tcPr>
          <w:p w14:paraId="2EBA153D" w14:textId="77777777" w:rsidR="008A7E9A" w:rsidRPr="009534CA" w:rsidRDefault="008A7E9A" w:rsidP="006A77CA">
            <w:pPr>
              <w:rPr>
                <w:rFonts w:asciiTheme="majorHAnsi" w:hAnsiTheme="majorHAnsi"/>
                <w:color w:val="404040" w:themeColor="text1" w:themeTint="BF"/>
                <w:sz w:val="20"/>
                <w:szCs w:val="20"/>
              </w:rPr>
            </w:pPr>
          </w:p>
        </w:tc>
      </w:tr>
      <w:tr w:rsidR="00E5285F" w:rsidRPr="009534CA" w14:paraId="45A7F486" w14:textId="77777777" w:rsidTr="007464B7">
        <w:tc>
          <w:tcPr>
            <w:tcW w:w="275" w:type="pct"/>
          </w:tcPr>
          <w:p w14:paraId="469AA766" w14:textId="77777777" w:rsidR="008A7E9A" w:rsidRPr="00D6223A"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lastRenderedPageBreak/>
              <w:t>3</w:t>
            </w:r>
          </w:p>
        </w:tc>
        <w:tc>
          <w:tcPr>
            <w:tcW w:w="1234" w:type="pct"/>
          </w:tcPr>
          <w:p w14:paraId="3614D9E2" w14:textId="77777777" w:rsidR="008A7E9A" w:rsidRPr="009534CA" w:rsidRDefault="008A7E9A" w:rsidP="006A77CA">
            <w:pPr>
              <w:rPr>
                <w:rFonts w:asciiTheme="majorHAnsi" w:hAnsiTheme="majorHAnsi"/>
                <w:color w:val="404040" w:themeColor="text1" w:themeTint="BF"/>
                <w:sz w:val="20"/>
                <w:szCs w:val="20"/>
              </w:rPr>
            </w:pPr>
            <w:r w:rsidRPr="00D6223A">
              <w:rPr>
                <w:rFonts w:asciiTheme="majorHAnsi" w:hAnsiTheme="majorHAnsi"/>
                <w:color w:val="404040" w:themeColor="text1" w:themeTint="BF"/>
                <w:sz w:val="20"/>
                <w:szCs w:val="20"/>
              </w:rPr>
              <w:t>No outstanding Project Delivery Reports (PDRs);</w:t>
            </w:r>
          </w:p>
        </w:tc>
        <w:tc>
          <w:tcPr>
            <w:tcW w:w="1510" w:type="pct"/>
          </w:tcPr>
          <w:p w14:paraId="58F7872B" w14:textId="0C113CF3" w:rsidR="008A7E9A"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 xml:space="preserve">Check </w:t>
            </w:r>
            <w:r w:rsidRPr="000B3603">
              <w:rPr>
                <w:rFonts w:asciiTheme="majorHAnsi" w:hAnsiTheme="majorHAnsi"/>
                <w:color w:val="404040" w:themeColor="text1" w:themeTint="BF"/>
                <w:sz w:val="20"/>
                <w:szCs w:val="20"/>
              </w:rPr>
              <w:t>PDR: </w:t>
            </w:r>
            <w:r w:rsidRPr="004431F7">
              <w:rPr>
                <w:rFonts w:asciiTheme="majorHAnsi" w:hAnsiTheme="majorHAnsi"/>
                <w:color w:val="404040" w:themeColor="text1" w:themeTint="BF"/>
                <w:sz w:val="20"/>
                <w:szCs w:val="20"/>
              </w:rPr>
              <w:t>UNEX 2</w:t>
            </w:r>
            <w:r>
              <w:rPr>
                <w:rStyle w:val="FootnoteReference"/>
                <w:rFonts w:asciiTheme="majorHAnsi" w:hAnsiTheme="majorHAnsi"/>
                <w:color w:val="404040" w:themeColor="text1" w:themeTint="BF"/>
                <w:sz w:val="20"/>
                <w:szCs w:val="20"/>
              </w:rPr>
              <w:footnoteReference w:id="2"/>
            </w:r>
            <w:r w:rsidRPr="004431F7">
              <w:rPr>
                <w:rFonts w:asciiTheme="majorHAnsi" w:hAnsiTheme="majorHAnsi"/>
                <w:color w:val="404040" w:themeColor="text1" w:themeTint="BF"/>
                <w:sz w:val="20"/>
                <w:szCs w:val="20"/>
              </w:rPr>
              <w:t xml:space="preserve"> in Atlas (path: Menu &gt; UN Custom &gt; UNEX &gt; UNDP &gt; Reports)</w:t>
            </w:r>
          </w:p>
          <w:p w14:paraId="6BA667A7" w14:textId="77777777" w:rsidR="008A7E9A"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Check the latest Upload PDR and identify the outstanding PDR against the signed Agreement</w:t>
            </w:r>
          </w:p>
          <w:p w14:paraId="2B09752F" w14:textId="69E36DD2" w:rsidR="008A7E9A" w:rsidRPr="009534CA"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 xml:space="preserve">Consult with the UN agency when necessary </w:t>
            </w:r>
          </w:p>
        </w:tc>
        <w:tc>
          <w:tcPr>
            <w:tcW w:w="1980" w:type="pct"/>
          </w:tcPr>
          <w:p w14:paraId="24E14984" w14:textId="3084A584" w:rsidR="008A7E9A"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 xml:space="preserve">If a PDR is outstanding it needs to either be accepted as project expenditure (error by implementing agency in project ID; donor, etc. may need correction) or rejected back to the implementing agency.  To accept a </w:t>
            </w:r>
            <w:r w:rsidR="0009730B">
              <w:rPr>
                <w:rFonts w:asciiTheme="majorHAnsi" w:hAnsiTheme="majorHAnsi"/>
                <w:color w:val="404040" w:themeColor="text1" w:themeTint="BF"/>
                <w:sz w:val="20"/>
                <w:szCs w:val="20"/>
              </w:rPr>
              <w:t>PDR,</w:t>
            </w:r>
            <w:r>
              <w:rPr>
                <w:rFonts w:asciiTheme="majorHAnsi" w:hAnsiTheme="majorHAnsi"/>
                <w:color w:val="404040" w:themeColor="text1" w:themeTint="BF"/>
                <w:sz w:val="20"/>
                <w:szCs w:val="20"/>
              </w:rPr>
              <w:t xml:space="preserve"> it may be necessary to process a budget revision</w:t>
            </w:r>
            <w:r w:rsidR="008D21D1">
              <w:rPr>
                <w:rFonts w:asciiTheme="majorHAnsi" w:hAnsiTheme="majorHAnsi"/>
                <w:color w:val="404040" w:themeColor="text1" w:themeTint="BF"/>
                <w:sz w:val="20"/>
                <w:szCs w:val="20"/>
              </w:rPr>
              <w:t xml:space="preserve"> </w:t>
            </w:r>
            <w:r w:rsidR="008D21D1" w:rsidRPr="008D21D1">
              <w:rPr>
                <w:rFonts w:asciiTheme="majorHAnsi" w:hAnsiTheme="majorHAnsi"/>
                <w:color w:val="404040" w:themeColor="text1" w:themeTint="BF"/>
                <w:sz w:val="20"/>
                <w:szCs w:val="20"/>
              </w:rPr>
              <w:t>to ensure the expenses can be assumed by UNDP</w:t>
            </w:r>
            <w:r>
              <w:rPr>
                <w:rFonts w:asciiTheme="majorHAnsi" w:hAnsiTheme="majorHAnsi"/>
                <w:color w:val="404040" w:themeColor="text1" w:themeTint="BF"/>
                <w:sz w:val="20"/>
                <w:szCs w:val="20"/>
              </w:rPr>
              <w:t>.</w:t>
            </w:r>
          </w:p>
          <w:p w14:paraId="71CE24B1" w14:textId="77777777" w:rsidR="008A7E9A" w:rsidRDefault="008A7E9A" w:rsidP="006A77CA">
            <w:pPr>
              <w:rPr>
                <w:rFonts w:asciiTheme="majorHAnsi" w:hAnsiTheme="majorHAnsi"/>
                <w:color w:val="404040" w:themeColor="text1" w:themeTint="BF"/>
                <w:sz w:val="20"/>
                <w:szCs w:val="20"/>
              </w:rPr>
            </w:pPr>
          </w:p>
          <w:p w14:paraId="0C628F0B" w14:textId="051377E7" w:rsidR="008A7E9A" w:rsidRPr="00043D63"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 xml:space="preserve">Rejection of agency expenditure cannot be done locally.  This can only be processed centrally by </w:t>
            </w:r>
            <w:r w:rsidR="00C07CEE">
              <w:rPr>
                <w:rFonts w:asciiTheme="majorHAnsi" w:hAnsiTheme="majorHAnsi"/>
                <w:color w:val="404040" w:themeColor="text1" w:themeTint="BF"/>
                <w:sz w:val="20"/>
                <w:szCs w:val="20"/>
              </w:rPr>
              <w:t>Global Shared Services Unit (</w:t>
            </w:r>
            <w:r w:rsidR="002A5CF0">
              <w:rPr>
                <w:rFonts w:asciiTheme="majorHAnsi" w:hAnsiTheme="majorHAnsi"/>
                <w:sz w:val="20"/>
                <w:szCs w:val="20"/>
              </w:rPr>
              <w:t>GSSU</w:t>
            </w:r>
            <w:r w:rsidR="00C07CEE">
              <w:rPr>
                <w:rFonts w:asciiTheme="majorHAnsi" w:hAnsiTheme="majorHAnsi"/>
                <w:sz w:val="20"/>
                <w:szCs w:val="20"/>
              </w:rPr>
              <w:t>)</w:t>
            </w:r>
            <w:r w:rsidR="002A5CF0">
              <w:rPr>
                <w:rFonts w:asciiTheme="majorHAnsi" w:hAnsiTheme="majorHAnsi"/>
                <w:sz w:val="20"/>
                <w:szCs w:val="20"/>
              </w:rPr>
              <w:t xml:space="preserve"> AGENCIES</w:t>
            </w:r>
            <w:r w:rsidRPr="005E713F">
              <w:rPr>
                <w:rFonts w:asciiTheme="majorHAnsi" w:hAnsiTheme="majorHAnsi"/>
                <w:sz w:val="20"/>
                <w:szCs w:val="20"/>
              </w:rPr>
              <w:t xml:space="preserve"> &lt;</w:t>
            </w:r>
            <w:hyperlink r:id="rId27" w:history="1">
              <w:r w:rsidR="002A5CF0">
                <w:rPr>
                  <w:rStyle w:val="Hyperlink"/>
                  <w:rFonts w:asciiTheme="majorHAnsi" w:hAnsiTheme="majorHAnsi"/>
                  <w:sz w:val="20"/>
                  <w:szCs w:val="20"/>
                </w:rPr>
                <w:t>gssu.agencies@undp.org</w:t>
              </w:r>
            </w:hyperlink>
            <w:r w:rsidRPr="005E713F">
              <w:rPr>
                <w:rFonts w:asciiTheme="majorHAnsi" w:hAnsiTheme="majorHAnsi"/>
                <w:sz w:val="20"/>
                <w:szCs w:val="20"/>
              </w:rPr>
              <w:t>&gt;</w:t>
            </w:r>
            <w:r w:rsidRPr="00043D63">
              <w:rPr>
                <w:rFonts w:asciiTheme="majorHAnsi" w:hAnsiTheme="majorHAnsi"/>
                <w:color w:val="404040" w:themeColor="text1" w:themeTint="BF"/>
                <w:sz w:val="20"/>
                <w:szCs w:val="20"/>
              </w:rPr>
              <w:t>.</w:t>
            </w:r>
          </w:p>
          <w:p w14:paraId="3C164C79" w14:textId="21463B70" w:rsidR="008A7E9A" w:rsidRPr="00AE2690" w:rsidRDefault="008A7E9A" w:rsidP="006A77CA">
            <w:pPr>
              <w:rPr>
                <w:rFonts w:asciiTheme="majorHAnsi" w:hAnsiTheme="majorHAnsi" w:cs="Segoe UI"/>
                <w:sz w:val="20"/>
                <w:szCs w:val="20"/>
              </w:rPr>
            </w:pPr>
            <w:r w:rsidRPr="00AE2690">
              <w:rPr>
                <w:rFonts w:asciiTheme="majorHAnsi" w:hAnsiTheme="majorHAnsi" w:cs="Segoe UI"/>
                <w:sz w:val="20"/>
                <w:szCs w:val="20"/>
              </w:rPr>
              <w:t>For valid rejects, based on communication between project manager and agency confirming the rejects:</w:t>
            </w:r>
          </w:p>
          <w:p w14:paraId="3E808FA1" w14:textId="5D9693C0" w:rsidR="008A7E9A" w:rsidRPr="00AE2690" w:rsidRDefault="008D21D1" w:rsidP="009A77F5">
            <w:pPr>
              <w:pStyle w:val="ListParagraph"/>
              <w:numPr>
                <w:ilvl w:val="0"/>
                <w:numId w:val="26"/>
              </w:numPr>
              <w:contextualSpacing w:val="0"/>
              <w:rPr>
                <w:rFonts w:asciiTheme="majorHAnsi" w:hAnsiTheme="majorHAnsi" w:cs="Segoe UI"/>
                <w:sz w:val="20"/>
                <w:szCs w:val="20"/>
              </w:rPr>
            </w:pPr>
            <w:r w:rsidRPr="008D21D1">
              <w:rPr>
                <w:rFonts w:asciiTheme="majorHAnsi" w:hAnsiTheme="majorHAnsi" w:cs="Segoe UI"/>
                <w:sz w:val="20"/>
                <w:szCs w:val="20"/>
              </w:rPr>
              <w:t>Contact GSSU Agencies &lt;</w:t>
            </w:r>
            <w:hyperlink r:id="rId28" w:history="1">
              <w:r>
                <w:rPr>
                  <w:rStyle w:val="Hyperlink"/>
                  <w:rFonts w:cs="Arial"/>
                  <w:sz w:val="20"/>
                  <w:szCs w:val="20"/>
                </w:rPr>
                <w:t>gssu.agencies@undp.org</w:t>
              </w:r>
            </w:hyperlink>
            <w:r>
              <w:rPr>
                <w:rFonts w:ascii="Arial" w:hAnsi="Arial" w:cs="Arial"/>
                <w:sz w:val="20"/>
                <w:szCs w:val="20"/>
              </w:rPr>
              <w:t xml:space="preserve">&gt; </w:t>
            </w:r>
            <w:r w:rsidRPr="008D21D1">
              <w:rPr>
                <w:rFonts w:asciiTheme="majorHAnsi" w:hAnsiTheme="majorHAnsi" w:cs="Segoe UI"/>
                <w:sz w:val="20"/>
                <w:szCs w:val="20"/>
              </w:rPr>
              <w:t xml:space="preserve">to </w:t>
            </w:r>
            <w:r w:rsidR="008A7E9A" w:rsidRPr="00AE2690">
              <w:rPr>
                <w:rFonts w:asciiTheme="majorHAnsi" w:hAnsiTheme="majorHAnsi" w:cs="Segoe UI"/>
                <w:sz w:val="20"/>
                <w:szCs w:val="20"/>
              </w:rPr>
              <w:t>create</w:t>
            </w:r>
            <w:r w:rsidR="008A7E9A">
              <w:rPr>
                <w:rFonts w:asciiTheme="majorHAnsi" w:hAnsiTheme="majorHAnsi" w:cs="Segoe UI"/>
                <w:sz w:val="20"/>
                <w:szCs w:val="20"/>
              </w:rPr>
              <w:t>s the</w:t>
            </w:r>
            <w:r w:rsidR="008A7E9A" w:rsidRPr="00AE2690">
              <w:rPr>
                <w:rFonts w:asciiTheme="majorHAnsi" w:hAnsiTheme="majorHAnsi" w:cs="Segoe UI"/>
                <w:sz w:val="20"/>
                <w:szCs w:val="20"/>
              </w:rPr>
              <w:t xml:space="preserve"> GL JE with accounting date </w:t>
            </w:r>
            <w:r w:rsidR="008A7E9A">
              <w:rPr>
                <w:rFonts w:asciiTheme="majorHAnsi" w:hAnsiTheme="majorHAnsi" w:cs="Segoe UI"/>
                <w:sz w:val="20"/>
                <w:szCs w:val="20"/>
              </w:rPr>
              <w:t xml:space="preserve">before the financial closure date in order </w:t>
            </w:r>
            <w:r w:rsidR="008A7E9A" w:rsidRPr="00AE2690">
              <w:rPr>
                <w:rFonts w:asciiTheme="majorHAnsi" w:hAnsiTheme="majorHAnsi" w:cs="Segoe UI"/>
                <w:sz w:val="20"/>
                <w:szCs w:val="20"/>
              </w:rPr>
              <w:t xml:space="preserve">to reverse the </w:t>
            </w:r>
            <w:r w:rsidR="008A7E9A">
              <w:rPr>
                <w:rFonts w:asciiTheme="majorHAnsi" w:hAnsiTheme="majorHAnsi" w:cs="Segoe UI"/>
                <w:sz w:val="20"/>
                <w:szCs w:val="20"/>
              </w:rPr>
              <w:t xml:space="preserve">previously accepted, but now </w:t>
            </w:r>
            <w:r w:rsidR="008A7E9A" w:rsidRPr="00AE2690">
              <w:rPr>
                <w:rFonts w:asciiTheme="majorHAnsi" w:hAnsiTheme="majorHAnsi" w:cs="Segoe UI"/>
                <w:sz w:val="20"/>
                <w:szCs w:val="20"/>
              </w:rPr>
              <w:t>rejected PDR entry</w:t>
            </w:r>
            <w:r w:rsidR="008A7E9A">
              <w:rPr>
                <w:rFonts w:asciiTheme="majorHAnsi" w:hAnsiTheme="majorHAnsi" w:cs="Segoe UI"/>
                <w:sz w:val="20"/>
                <w:szCs w:val="20"/>
              </w:rPr>
              <w:t xml:space="preserve"> (adjusted GL JE will </w:t>
            </w:r>
            <w:r w:rsidR="008A7E9A" w:rsidRPr="00AE2690">
              <w:rPr>
                <w:rFonts w:asciiTheme="majorHAnsi" w:hAnsiTheme="majorHAnsi" w:cs="Segoe UI"/>
                <w:sz w:val="20"/>
                <w:szCs w:val="20"/>
              </w:rPr>
              <w:t>debit account 16015 and credit expense</w:t>
            </w:r>
            <w:r w:rsidR="008A7E9A">
              <w:rPr>
                <w:rFonts w:asciiTheme="majorHAnsi" w:hAnsiTheme="majorHAnsi" w:cs="Segoe UI"/>
                <w:sz w:val="20"/>
                <w:szCs w:val="20"/>
              </w:rPr>
              <w:t xml:space="preserve">). Note that Account 16015 is a controlled account (i.e. flag) and therefore the </w:t>
            </w:r>
            <w:r w:rsidR="00187E47">
              <w:rPr>
                <w:rFonts w:asciiTheme="majorHAnsi" w:hAnsiTheme="majorHAnsi" w:cs="Segoe UI"/>
                <w:sz w:val="20"/>
                <w:szCs w:val="20"/>
              </w:rPr>
              <w:t>GSSU</w:t>
            </w:r>
            <w:r w:rsidR="008A7E9A">
              <w:rPr>
                <w:rFonts w:asciiTheme="majorHAnsi" w:hAnsiTheme="majorHAnsi" w:cs="Segoe UI"/>
                <w:sz w:val="20"/>
                <w:szCs w:val="20"/>
              </w:rPr>
              <w:t xml:space="preserve"> will have to request </w:t>
            </w:r>
            <w:bookmarkStart w:id="17" w:name="_Hlk51944167"/>
            <w:r w:rsidR="00FC23DB">
              <w:rPr>
                <w:rFonts w:asciiTheme="majorHAnsi" w:hAnsiTheme="majorHAnsi" w:cs="Segoe UI"/>
                <w:sz w:val="20"/>
                <w:szCs w:val="20"/>
              </w:rPr>
              <w:t>Corporate Financial Reporting and Agency Services team (</w:t>
            </w:r>
            <w:r w:rsidR="008A7E9A">
              <w:rPr>
                <w:rFonts w:asciiTheme="majorHAnsi" w:hAnsiTheme="majorHAnsi" w:cs="Segoe UI"/>
                <w:sz w:val="20"/>
                <w:szCs w:val="20"/>
              </w:rPr>
              <w:t>CFRA</w:t>
            </w:r>
            <w:bookmarkEnd w:id="17"/>
            <w:r w:rsidR="00FC23DB">
              <w:rPr>
                <w:rFonts w:asciiTheme="majorHAnsi" w:hAnsiTheme="majorHAnsi" w:cs="Segoe UI"/>
                <w:sz w:val="20"/>
                <w:szCs w:val="20"/>
              </w:rPr>
              <w:t>)</w:t>
            </w:r>
            <w:r w:rsidR="00200F7E">
              <w:rPr>
                <w:rFonts w:asciiTheme="majorHAnsi" w:hAnsiTheme="majorHAnsi" w:cs="Segoe UI"/>
                <w:sz w:val="20"/>
                <w:szCs w:val="20"/>
              </w:rPr>
              <w:t xml:space="preserve"> </w:t>
            </w:r>
            <w:r w:rsidR="008A7E9A">
              <w:rPr>
                <w:rFonts w:asciiTheme="majorHAnsi" w:hAnsiTheme="majorHAnsi" w:cs="Segoe UI"/>
                <w:sz w:val="20"/>
                <w:szCs w:val="20"/>
              </w:rPr>
              <w:t xml:space="preserve">to lift the flag to permit the journal correction. </w:t>
            </w:r>
          </w:p>
          <w:p w14:paraId="6512ECE0" w14:textId="7F6C3582" w:rsidR="008A7E9A" w:rsidRPr="00AE2690" w:rsidRDefault="008A7E9A" w:rsidP="009A77F5">
            <w:pPr>
              <w:pStyle w:val="ListParagraph"/>
              <w:numPr>
                <w:ilvl w:val="0"/>
                <w:numId w:val="26"/>
              </w:numPr>
              <w:contextualSpacing w:val="0"/>
              <w:rPr>
                <w:rFonts w:asciiTheme="majorHAnsi" w:hAnsiTheme="majorHAnsi" w:cs="Segoe UI"/>
                <w:sz w:val="20"/>
                <w:szCs w:val="20"/>
              </w:rPr>
            </w:pPr>
            <w:r w:rsidRPr="00AE2690">
              <w:rPr>
                <w:rFonts w:asciiTheme="majorHAnsi" w:hAnsiTheme="majorHAnsi" w:cs="Segoe UI"/>
                <w:sz w:val="20"/>
                <w:szCs w:val="20"/>
              </w:rPr>
              <w:t>Journal source has to be PDE</w:t>
            </w:r>
            <w:r w:rsidR="00187E47">
              <w:rPr>
                <w:rFonts w:asciiTheme="majorHAnsi" w:hAnsiTheme="majorHAnsi" w:cs="Segoe UI"/>
                <w:sz w:val="20"/>
                <w:szCs w:val="20"/>
              </w:rPr>
              <w:t xml:space="preserve">. </w:t>
            </w:r>
            <w:r w:rsidR="00187E47" w:rsidRPr="00187E47">
              <w:rPr>
                <w:rFonts w:asciiTheme="majorHAnsi" w:hAnsiTheme="majorHAnsi" w:cs="Segoe UI"/>
                <w:sz w:val="20"/>
                <w:szCs w:val="20"/>
              </w:rPr>
              <w:t>This jour</w:t>
            </w:r>
            <w:r w:rsidR="00187E47">
              <w:rPr>
                <w:rFonts w:asciiTheme="majorHAnsi" w:hAnsiTheme="majorHAnsi" w:cs="Segoe UI"/>
                <w:sz w:val="20"/>
                <w:szCs w:val="20"/>
              </w:rPr>
              <w:t>n</w:t>
            </w:r>
            <w:r w:rsidR="00187E47" w:rsidRPr="00187E47">
              <w:rPr>
                <w:rFonts w:asciiTheme="majorHAnsi" w:hAnsiTheme="majorHAnsi" w:cs="Segoe UI"/>
                <w:sz w:val="20"/>
                <w:szCs w:val="20"/>
              </w:rPr>
              <w:t>al source is restricted to PDR-related entries.</w:t>
            </w:r>
          </w:p>
          <w:p w14:paraId="221641F7" w14:textId="03172395" w:rsidR="008A7E9A" w:rsidRPr="00AE2690" w:rsidRDefault="008A7E9A" w:rsidP="009A77F5">
            <w:pPr>
              <w:pStyle w:val="ListParagraph"/>
              <w:numPr>
                <w:ilvl w:val="0"/>
                <w:numId w:val="26"/>
              </w:numPr>
              <w:contextualSpacing w:val="0"/>
              <w:rPr>
                <w:rFonts w:asciiTheme="majorHAnsi" w:hAnsiTheme="majorHAnsi" w:cs="Segoe UI"/>
                <w:sz w:val="20"/>
                <w:szCs w:val="20"/>
              </w:rPr>
            </w:pPr>
            <w:r w:rsidRPr="00AE2690">
              <w:rPr>
                <w:rFonts w:asciiTheme="majorHAnsi" w:hAnsiTheme="majorHAnsi" w:cs="Segoe UI"/>
                <w:sz w:val="20"/>
                <w:szCs w:val="20"/>
              </w:rPr>
              <w:lastRenderedPageBreak/>
              <w:t xml:space="preserve">Proceed to send the pending journal and reject confirmation with agencies to </w:t>
            </w:r>
            <w:r w:rsidR="002A5CF0">
              <w:rPr>
                <w:rFonts w:asciiTheme="majorHAnsi" w:hAnsiTheme="majorHAnsi" w:cs="Segoe UI"/>
                <w:sz w:val="20"/>
                <w:szCs w:val="20"/>
              </w:rPr>
              <w:t>GSSU AGENCIES</w:t>
            </w:r>
            <w:r w:rsidRPr="00AE2690">
              <w:rPr>
                <w:rFonts w:asciiTheme="majorHAnsi" w:hAnsiTheme="majorHAnsi" w:cs="Segoe UI"/>
                <w:sz w:val="20"/>
                <w:szCs w:val="20"/>
              </w:rPr>
              <w:t xml:space="preserve"> </w:t>
            </w:r>
            <w:hyperlink r:id="rId29" w:history="1">
              <w:r w:rsidR="002A5CF0">
                <w:rPr>
                  <w:rStyle w:val="Hyperlink"/>
                  <w:rFonts w:asciiTheme="majorHAnsi" w:hAnsiTheme="majorHAnsi" w:cs="Segoe UI"/>
                  <w:sz w:val="20"/>
                  <w:szCs w:val="20"/>
                </w:rPr>
                <w:t>gssu.agencies@undp.org</w:t>
              </w:r>
            </w:hyperlink>
            <w:r w:rsidRPr="00AE2690">
              <w:rPr>
                <w:rFonts w:asciiTheme="majorHAnsi" w:hAnsiTheme="majorHAnsi" w:cs="Segoe UI"/>
                <w:sz w:val="20"/>
                <w:szCs w:val="20"/>
              </w:rPr>
              <w:t>;</w:t>
            </w:r>
          </w:p>
          <w:p w14:paraId="4AED6C7C" w14:textId="7C574EF9" w:rsidR="008A7E9A" w:rsidRPr="00AE2690" w:rsidRDefault="008A7E9A" w:rsidP="009A77F5">
            <w:pPr>
              <w:pStyle w:val="ListParagraph"/>
              <w:numPr>
                <w:ilvl w:val="0"/>
                <w:numId w:val="26"/>
              </w:numPr>
              <w:contextualSpacing w:val="0"/>
              <w:rPr>
                <w:rFonts w:asciiTheme="majorHAnsi" w:hAnsiTheme="majorHAnsi" w:cs="Segoe UI"/>
                <w:sz w:val="20"/>
                <w:szCs w:val="20"/>
              </w:rPr>
            </w:pPr>
            <w:r w:rsidRPr="00AE2690">
              <w:rPr>
                <w:rFonts w:asciiTheme="majorHAnsi" w:hAnsiTheme="majorHAnsi" w:cs="Segoe UI"/>
                <w:sz w:val="20"/>
                <w:szCs w:val="20"/>
              </w:rPr>
              <w:t xml:space="preserve">GSSU </w:t>
            </w:r>
            <w:r w:rsidR="00187E47">
              <w:rPr>
                <w:rFonts w:asciiTheme="majorHAnsi" w:hAnsiTheme="majorHAnsi" w:cs="Segoe UI"/>
                <w:sz w:val="20"/>
                <w:szCs w:val="20"/>
              </w:rPr>
              <w:t>will verify</w:t>
            </w:r>
            <w:r w:rsidRPr="00AE2690">
              <w:rPr>
                <w:rFonts w:asciiTheme="majorHAnsi" w:hAnsiTheme="majorHAnsi" w:cs="Segoe UI"/>
                <w:sz w:val="20"/>
                <w:szCs w:val="20"/>
              </w:rPr>
              <w:t xml:space="preserve"> the COA used on </w:t>
            </w:r>
            <w:r w:rsidR="00187E47">
              <w:rPr>
                <w:rFonts w:asciiTheme="majorHAnsi" w:hAnsiTheme="majorHAnsi" w:cs="Segoe UI"/>
                <w:sz w:val="20"/>
                <w:szCs w:val="20"/>
              </w:rPr>
              <w:t xml:space="preserve">account </w:t>
            </w:r>
            <w:r w:rsidRPr="00AE2690">
              <w:rPr>
                <w:rFonts w:asciiTheme="majorHAnsi" w:hAnsiTheme="majorHAnsi" w:cs="Segoe UI"/>
                <w:sz w:val="20"/>
                <w:szCs w:val="20"/>
              </w:rPr>
              <w:t xml:space="preserve">16015 side and post the journal, </w:t>
            </w:r>
            <w:r w:rsidR="00187E47">
              <w:rPr>
                <w:rFonts w:asciiTheme="majorHAnsi" w:hAnsiTheme="majorHAnsi" w:cs="Segoe UI"/>
                <w:sz w:val="20"/>
                <w:szCs w:val="20"/>
              </w:rPr>
              <w:t>and also</w:t>
            </w:r>
            <w:r w:rsidRPr="00AE2690">
              <w:rPr>
                <w:rFonts w:asciiTheme="majorHAnsi" w:hAnsiTheme="majorHAnsi" w:cs="Segoe UI"/>
                <w:sz w:val="20"/>
                <w:szCs w:val="20"/>
              </w:rPr>
              <w:t xml:space="preserve"> communicate with agencies of the rejected amount for reconciliation purpose.</w:t>
            </w:r>
          </w:p>
          <w:p w14:paraId="11679D07" w14:textId="77777777" w:rsidR="008A7E9A" w:rsidRDefault="008A7E9A" w:rsidP="006A77CA">
            <w:pPr>
              <w:rPr>
                <w:rFonts w:asciiTheme="majorHAnsi" w:hAnsiTheme="majorHAnsi"/>
                <w:color w:val="404040" w:themeColor="text1" w:themeTint="BF"/>
                <w:sz w:val="20"/>
                <w:szCs w:val="20"/>
              </w:rPr>
            </w:pPr>
          </w:p>
          <w:p w14:paraId="4EFFD010" w14:textId="4379DCFB" w:rsidR="008A7E9A" w:rsidRPr="009534CA" w:rsidRDefault="008A7E9A" w:rsidP="0070562F">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 xml:space="preserve">If a PDR is missing, then refer to </w:t>
            </w:r>
            <w:r w:rsidR="008F088A">
              <w:rPr>
                <w:rFonts w:asciiTheme="majorHAnsi" w:hAnsiTheme="majorHAnsi"/>
                <w:color w:val="404040" w:themeColor="text1" w:themeTint="BF"/>
                <w:sz w:val="20"/>
                <w:szCs w:val="20"/>
              </w:rPr>
              <w:t xml:space="preserve">alternative </w:t>
            </w:r>
            <w:r>
              <w:rPr>
                <w:rFonts w:asciiTheme="majorHAnsi" w:hAnsiTheme="majorHAnsi"/>
                <w:color w:val="404040" w:themeColor="text1" w:themeTint="BF"/>
                <w:sz w:val="20"/>
                <w:szCs w:val="20"/>
              </w:rPr>
              <w:t>procedures.</w:t>
            </w:r>
          </w:p>
        </w:tc>
      </w:tr>
      <w:tr w:rsidR="00E5285F" w:rsidRPr="009534CA" w14:paraId="622F2B76" w14:textId="77777777" w:rsidTr="007464B7">
        <w:tc>
          <w:tcPr>
            <w:tcW w:w="275" w:type="pct"/>
          </w:tcPr>
          <w:p w14:paraId="575C83C2" w14:textId="77777777" w:rsidR="008A7E9A" w:rsidRPr="009534CA"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lastRenderedPageBreak/>
              <w:t>4</w:t>
            </w:r>
          </w:p>
        </w:tc>
        <w:tc>
          <w:tcPr>
            <w:tcW w:w="1234" w:type="pct"/>
          </w:tcPr>
          <w:p w14:paraId="13378378" w14:textId="77777777" w:rsidR="008A7E9A" w:rsidRPr="009534CA" w:rsidRDefault="008A7E9A" w:rsidP="006A77CA">
            <w:pPr>
              <w:rPr>
                <w:rFonts w:asciiTheme="majorHAnsi" w:hAnsiTheme="majorHAnsi"/>
                <w:color w:val="404040" w:themeColor="text1" w:themeTint="BF"/>
                <w:sz w:val="20"/>
                <w:szCs w:val="20"/>
              </w:rPr>
            </w:pPr>
            <w:r w:rsidRPr="00BA3A63">
              <w:rPr>
                <w:rFonts w:asciiTheme="majorHAnsi" w:hAnsiTheme="majorHAnsi"/>
                <w:color w:val="404040" w:themeColor="text1" w:themeTint="BF"/>
                <w:sz w:val="20"/>
                <w:szCs w:val="20"/>
              </w:rPr>
              <w:t>No open Purchase Orders (POs);</w:t>
            </w:r>
          </w:p>
        </w:tc>
        <w:tc>
          <w:tcPr>
            <w:tcW w:w="1510" w:type="pct"/>
          </w:tcPr>
          <w:p w14:paraId="53BB4BD7" w14:textId="039A713F" w:rsidR="008A7E9A" w:rsidRPr="009534CA"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Query</w:t>
            </w:r>
            <w:r w:rsidR="004C5CE4" w:rsidRPr="004C5CE4">
              <w:rPr>
                <w:rFonts w:ascii="Arial" w:hAnsi="Arial" w:cs="Arial"/>
                <w:b/>
                <w:bCs/>
                <w:color w:val="4A598C"/>
                <w:shd w:val="clear" w:color="auto" w:fill="FFFFFF"/>
              </w:rPr>
              <w:t xml:space="preserve"> </w:t>
            </w:r>
            <w:r w:rsidR="004C5CE4" w:rsidRPr="004C5CE4">
              <w:rPr>
                <w:rFonts w:asciiTheme="majorHAnsi" w:hAnsiTheme="majorHAnsi"/>
                <w:b/>
                <w:bCs/>
                <w:color w:val="404040" w:themeColor="text1" w:themeTint="BF"/>
                <w:sz w:val="20"/>
                <w:szCs w:val="20"/>
              </w:rPr>
              <w:t>UN_PS_CLOSE_OPEN_PO</w:t>
            </w:r>
          </w:p>
        </w:tc>
        <w:tc>
          <w:tcPr>
            <w:tcW w:w="1980" w:type="pct"/>
          </w:tcPr>
          <w:p w14:paraId="53594841" w14:textId="77777777" w:rsidR="008A7E9A" w:rsidRPr="00980518" w:rsidRDefault="008A7E9A" w:rsidP="006A77CA">
            <w:pPr>
              <w:rPr>
                <w:rFonts w:asciiTheme="majorHAnsi" w:hAnsiTheme="majorHAnsi"/>
                <w:color w:val="404040" w:themeColor="text1" w:themeTint="BF"/>
                <w:sz w:val="20"/>
                <w:szCs w:val="20"/>
              </w:rPr>
            </w:pPr>
            <w:r w:rsidRPr="00980518">
              <w:rPr>
                <w:rFonts w:asciiTheme="majorHAnsi" w:hAnsiTheme="majorHAnsi"/>
                <w:color w:val="404040" w:themeColor="text1" w:themeTint="BF"/>
                <w:sz w:val="20"/>
                <w:szCs w:val="20"/>
              </w:rPr>
              <w:t>All open purchase orders should be closed and budget check</w:t>
            </w:r>
            <w:r>
              <w:rPr>
                <w:rFonts w:asciiTheme="majorHAnsi" w:hAnsiTheme="majorHAnsi"/>
                <w:color w:val="404040" w:themeColor="text1" w:themeTint="BF"/>
                <w:sz w:val="20"/>
                <w:szCs w:val="20"/>
              </w:rPr>
              <w:t xml:space="preserve"> ‘valid’</w:t>
            </w:r>
            <w:r w:rsidRPr="00980518">
              <w:rPr>
                <w:rFonts w:asciiTheme="majorHAnsi" w:hAnsiTheme="majorHAnsi"/>
                <w:color w:val="404040" w:themeColor="text1" w:themeTint="BF"/>
                <w:sz w:val="20"/>
                <w:szCs w:val="20"/>
              </w:rPr>
              <w:t xml:space="preserve"> before the project is closed.  </w:t>
            </w:r>
          </w:p>
          <w:p w14:paraId="2335B497" w14:textId="77777777" w:rsidR="008A7E9A" w:rsidRPr="00AE2690" w:rsidRDefault="008A7E9A" w:rsidP="006A77CA">
            <w:pPr>
              <w:rPr>
                <w:rFonts w:asciiTheme="majorHAnsi" w:hAnsiTheme="majorHAnsi"/>
                <w:sz w:val="20"/>
                <w:szCs w:val="20"/>
              </w:rPr>
            </w:pPr>
            <w:r w:rsidRPr="00C42436">
              <w:rPr>
                <w:rFonts w:asciiTheme="majorHAnsi" w:hAnsiTheme="majorHAnsi"/>
                <w:color w:val="404040" w:themeColor="text1" w:themeTint="BF"/>
                <w:sz w:val="20"/>
                <w:szCs w:val="20"/>
              </w:rPr>
              <w:t xml:space="preserve">Verify the </w:t>
            </w:r>
            <w:r w:rsidRPr="00FD2278">
              <w:rPr>
                <w:rFonts w:asciiTheme="majorHAnsi" w:hAnsiTheme="majorHAnsi"/>
                <w:color w:val="404040" w:themeColor="text1" w:themeTint="BF"/>
                <w:sz w:val="20"/>
                <w:szCs w:val="20"/>
              </w:rPr>
              <w:t xml:space="preserve">Open Purchase Orders in Project Closure Workbench and ensure all purchase orders for the project are closed and budget check.  Please follow PO closure guidelines </w:t>
            </w:r>
            <w:r w:rsidRPr="00AE2690">
              <w:rPr>
                <w:rFonts w:asciiTheme="majorHAnsi" w:hAnsiTheme="majorHAnsi"/>
                <w:sz w:val="20"/>
                <w:szCs w:val="20"/>
              </w:rPr>
              <w:t>(</w:t>
            </w:r>
            <w:hyperlink r:id="rId30" w:history="1">
              <w:r w:rsidRPr="00AE2690">
                <w:rPr>
                  <w:rStyle w:val="Hyperlink"/>
                  <w:rFonts w:asciiTheme="majorHAnsi" w:hAnsiTheme="majorHAnsi"/>
                  <w:sz w:val="20"/>
                  <w:szCs w:val="20"/>
                </w:rPr>
                <w:t>link</w:t>
              </w:r>
            </w:hyperlink>
            <w:r w:rsidRPr="00AE2690">
              <w:rPr>
                <w:rFonts w:asciiTheme="majorHAnsi" w:hAnsiTheme="majorHAnsi"/>
                <w:sz w:val="20"/>
                <w:szCs w:val="20"/>
              </w:rPr>
              <w:t>).</w:t>
            </w:r>
          </w:p>
          <w:p w14:paraId="5E5DC990" w14:textId="4B10F927" w:rsidR="008A7E9A" w:rsidRPr="00980518" w:rsidRDefault="008A7E9A" w:rsidP="006A77CA">
            <w:pPr>
              <w:rPr>
                <w:rFonts w:asciiTheme="majorHAnsi" w:hAnsiTheme="majorHAnsi"/>
                <w:color w:val="404040" w:themeColor="text1" w:themeTint="BF"/>
                <w:sz w:val="20"/>
                <w:szCs w:val="20"/>
              </w:rPr>
            </w:pPr>
            <w:r w:rsidRPr="00FD2278">
              <w:rPr>
                <w:rFonts w:asciiTheme="majorHAnsi" w:hAnsiTheme="majorHAnsi"/>
                <w:color w:val="262626" w:themeColor="text1" w:themeTint="D9"/>
                <w:sz w:val="20"/>
                <w:szCs w:val="20"/>
              </w:rPr>
              <w:t xml:space="preserve">If account 21015 (Unliquidated Obligations) has a balance, please contact </w:t>
            </w:r>
            <w:r w:rsidR="002A5CF0">
              <w:rPr>
                <w:rFonts w:asciiTheme="majorHAnsi" w:hAnsiTheme="majorHAnsi"/>
                <w:color w:val="262626" w:themeColor="text1" w:themeTint="D9"/>
                <w:sz w:val="20"/>
                <w:szCs w:val="20"/>
              </w:rPr>
              <w:t>GSSU AGENCIES</w:t>
            </w:r>
            <w:r w:rsidRPr="00FD2278">
              <w:rPr>
                <w:rFonts w:asciiTheme="majorHAnsi" w:hAnsiTheme="majorHAnsi"/>
                <w:color w:val="262626" w:themeColor="text1" w:themeTint="D9"/>
                <w:sz w:val="20"/>
                <w:szCs w:val="20"/>
              </w:rPr>
              <w:t xml:space="preserve"> </w:t>
            </w:r>
            <w:hyperlink r:id="rId31" w:history="1">
              <w:r w:rsidR="002A5CF0">
                <w:rPr>
                  <w:rStyle w:val="Hyperlink"/>
                  <w:rFonts w:asciiTheme="majorHAnsi" w:hAnsiTheme="majorHAnsi"/>
                  <w:sz w:val="20"/>
                  <w:szCs w:val="20"/>
                </w:rPr>
                <w:t>gssu.agencies@undp.org</w:t>
              </w:r>
            </w:hyperlink>
            <w:r>
              <w:rPr>
                <w:rFonts w:asciiTheme="majorHAnsi" w:hAnsiTheme="majorHAnsi"/>
                <w:sz w:val="20"/>
                <w:szCs w:val="20"/>
              </w:rPr>
              <w:t xml:space="preserve"> </w:t>
            </w:r>
          </w:p>
        </w:tc>
      </w:tr>
      <w:tr w:rsidR="00E5285F" w:rsidRPr="009534CA" w14:paraId="7BD6A093" w14:textId="77777777" w:rsidTr="007464B7">
        <w:tc>
          <w:tcPr>
            <w:tcW w:w="275" w:type="pct"/>
          </w:tcPr>
          <w:p w14:paraId="46A34BE6" w14:textId="77777777" w:rsidR="008A7E9A" w:rsidRPr="009534CA"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5</w:t>
            </w:r>
          </w:p>
        </w:tc>
        <w:tc>
          <w:tcPr>
            <w:tcW w:w="1234" w:type="pct"/>
          </w:tcPr>
          <w:p w14:paraId="01A37DF7" w14:textId="77777777" w:rsidR="008A7E9A" w:rsidRPr="009534CA" w:rsidRDefault="008A7E9A" w:rsidP="006A77CA">
            <w:pPr>
              <w:rPr>
                <w:rFonts w:asciiTheme="majorHAnsi" w:hAnsiTheme="majorHAnsi"/>
                <w:color w:val="404040" w:themeColor="text1" w:themeTint="BF"/>
                <w:sz w:val="20"/>
                <w:szCs w:val="20"/>
              </w:rPr>
            </w:pPr>
            <w:r w:rsidRPr="00BA3A63">
              <w:rPr>
                <w:rFonts w:asciiTheme="majorHAnsi" w:hAnsiTheme="majorHAnsi"/>
                <w:color w:val="404040" w:themeColor="text1" w:themeTint="BF"/>
                <w:sz w:val="20"/>
                <w:szCs w:val="20"/>
              </w:rPr>
              <w:t>No Receipt Accruals;</w:t>
            </w:r>
          </w:p>
        </w:tc>
        <w:tc>
          <w:tcPr>
            <w:tcW w:w="1510" w:type="pct"/>
          </w:tcPr>
          <w:p w14:paraId="7824242D" w14:textId="0AE65106" w:rsidR="008A7E9A" w:rsidRPr="009534CA" w:rsidRDefault="004C5CE4"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Query</w:t>
            </w:r>
            <w:r w:rsidRPr="004C5CE4">
              <w:rPr>
                <w:rFonts w:ascii="Arial" w:hAnsi="Arial" w:cs="Arial"/>
                <w:b/>
                <w:bCs/>
                <w:color w:val="4A598C"/>
                <w:shd w:val="clear" w:color="auto" w:fill="FFFFFF"/>
              </w:rPr>
              <w:t xml:space="preserve"> </w:t>
            </w:r>
            <w:r w:rsidRPr="004C5CE4">
              <w:rPr>
                <w:rFonts w:asciiTheme="majorHAnsi" w:hAnsiTheme="majorHAnsi"/>
                <w:b/>
                <w:bCs/>
                <w:color w:val="404040" w:themeColor="text1" w:themeTint="BF"/>
                <w:sz w:val="20"/>
                <w:szCs w:val="20"/>
              </w:rPr>
              <w:t>UN_PS_CLOSE_RECEIPT_ACCRUAL</w:t>
            </w:r>
          </w:p>
        </w:tc>
        <w:tc>
          <w:tcPr>
            <w:tcW w:w="1980" w:type="pct"/>
          </w:tcPr>
          <w:p w14:paraId="1D8CBC13" w14:textId="4ABF2859" w:rsidR="008A7E9A" w:rsidRPr="00980518" w:rsidRDefault="008A7E9A" w:rsidP="006A77CA">
            <w:pPr>
              <w:rPr>
                <w:rFonts w:asciiTheme="majorHAnsi" w:hAnsiTheme="majorHAnsi"/>
                <w:color w:val="404040" w:themeColor="text1" w:themeTint="BF"/>
                <w:sz w:val="20"/>
                <w:szCs w:val="20"/>
              </w:rPr>
            </w:pPr>
            <w:r w:rsidRPr="00980518">
              <w:rPr>
                <w:rFonts w:asciiTheme="majorHAnsi" w:hAnsiTheme="majorHAnsi"/>
                <w:color w:val="404040" w:themeColor="text1" w:themeTint="BF"/>
                <w:sz w:val="20"/>
                <w:szCs w:val="20"/>
              </w:rPr>
              <w:t xml:space="preserve">Ensure all receipt accrual accounts (21035 and 21007) balances are nil.  </w:t>
            </w:r>
            <w:r w:rsidR="00187E47" w:rsidRPr="00187E47">
              <w:rPr>
                <w:rFonts w:asciiTheme="majorHAnsi" w:hAnsiTheme="majorHAnsi"/>
                <w:color w:val="404040" w:themeColor="text1" w:themeTint="BF"/>
                <w:sz w:val="20"/>
                <w:szCs w:val="20"/>
              </w:rPr>
              <w:t>If account 21035 has a balance, contact OFM/CFRA</w:t>
            </w:r>
            <w:r w:rsidR="00187E47">
              <w:rPr>
                <w:rFonts w:asciiTheme="majorHAnsi" w:hAnsiTheme="majorHAnsi"/>
                <w:color w:val="404040" w:themeColor="text1" w:themeTint="BF"/>
                <w:sz w:val="20"/>
                <w:szCs w:val="20"/>
              </w:rPr>
              <w:t>.</w:t>
            </w:r>
          </w:p>
          <w:p w14:paraId="3B17EF4F" w14:textId="77777777" w:rsidR="008A7E9A" w:rsidRPr="00980518" w:rsidRDefault="008A7E9A" w:rsidP="006A77CA">
            <w:pPr>
              <w:rPr>
                <w:rFonts w:asciiTheme="majorHAnsi" w:hAnsiTheme="majorHAnsi"/>
                <w:color w:val="404040" w:themeColor="text1" w:themeTint="BF"/>
                <w:sz w:val="20"/>
                <w:szCs w:val="20"/>
              </w:rPr>
            </w:pPr>
            <w:r w:rsidRPr="00980518">
              <w:rPr>
                <w:rFonts w:asciiTheme="majorHAnsi" w:hAnsiTheme="majorHAnsi"/>
                <w:color w:val="404040" w:themeColor="text1" w:themeTint="BF"/>
                <w:sz w:val="20"/>
                <w:szCs w:val="20"/>
              </w:rPr>
              <w:t>If account 21007 has a balance, please contact Travel Unit to clear the balance</w:t>
            </w:r>
          </w:p>
        </w:tc>
      </w:tr>
      <w:tr w:rsidR="00E5285F" w:rsidRPr="009534CA" w14:paraId="5EED5E81" w14:textId="77777777" w:rsidTr="007464B7">
        <w:tc>
          <w:tcPr>
            <w:tcW w:w="275" w:type="pct"/>
          </w:tcPr>
          <w:p w14:paraId="73DB1B8A" w14:textId="77777777" w:rsidR="008A7E9A" w:rsidRPr="009534CA"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6</w:t>
            </w:r>
          </w:p>
        </w:tc>
        <w:tc>
          <w:tcPr>
            <w:tcW w:w="1234" w:type="pct"/>
          </w:tcPr>
          <w:p w14:paraId="37BC6BF4" w14:textId="5A51BF34" w:rsidR="008A7E9A" w:rsidRPr="009534CA" w:rsidRDefault="008A7E9A" w:rsidP="006A77CA">
            <w:pPr>
              <w:rPr>
                <w:rFonts w:asciiTheme="majorHAnsi" w:hAnsiTheme="majorHAnsi"/>
                <w:color w:val="404040" w:themeColor="text1" w:themeTint="BF"/>
                <w:sz w:val="20"/>
                <w:szCs w:val="20"/>
              </w:rPr>
            </w:pPr>
            <w:r w:rsidRPr="00BA3A63">
              <w:rPr>
                <w:rFonts w:asciiTheme="majorHAnsi" w:hAnsiTheme="majorHAnsi"/>
                <w:color w:val="404040" w:themeColor="text1" w:themeTint="BF"/>
                <w:sz w:val="20"/>
                <w:szCs w:val="20"/>
              </w:rPr>
              <w:t>No Outstanding Commitments</w:t>
            </w:r>
            <w:r w:rsidR="00187E47">
              <w:rPr>
                <w:rFonts w:asciiTheme="majorHAnsi" w:hAnsiTheme="majorHAnsi"/>
                <w:color w:val="404040" w:themeColor="text1" w:themeTint="BF"/>
                <w:sz w:val="20"/>
                <w:szCs w:val="20"/>
              </w:rPr>
              <w:t xml:space="preserve"> </w:t>
            </w:r>
            <w:r w:rsidR="00187E47" w:rsidRPr="00187E47">
              <w:rPr>
                <w:rFonts w:asciiTheme="majorHAnsi" w:hAnsiTheme="majorHAnsi"/>
                <w:color w:val="404040" w:themeColor="text1" w:themeTint="BF"/>
                <w:sz w:val="20"/>
                <w:szCs w:val="20"/>
              </w:rPr>
              <w:t>such as office rental or maintenance bills or a disputed invoice</w:t>
            </w:r>
          </w:p>
        </w:tc>
        <w:tc>
          <w:tcPr>
            <w:tcW w:w="1510" w:type="pct"/>
          </w:tcPr>
          <w:p w14:paraId="52863BFE" w14:textId="77777777" w:rsidR="008A7E9A" w:rsidRPr="009534CA" w:rsidRDefault="008A7E9A" w:rsidP="006A77CA">
            <w:pPr>
              <w:rPr>
                <w:rFonts w:asciiTheme="majorHAnsi" w:hAnsiTheme="majorHAnsi"/>
                <w:color w:val="404040" w:themeColor="text1" w:themeTint="BF"/>
                <w:sz w:val="20"/>
                <w:szCs w:val="20"/>
              </w:rPr>
            </w:pPr>
          </w:p>
        </w:tc>
        <w:tc>
          <w:tcPr>
            <w:tcW w:w="1980" w:type="pct"/>
          </w:tcPr>
          <w:p w14:paraId="02B85CA3" w14:textId="77777777" w:rsidR="008A7E9A" w:rsidRPr="009534CA" w:rsidRDefault="008A7E9A" w:rsidP="00AF2B54">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 xml:space="preserve">Please ensure </w:t>
            </w:r>
            <w:r w:rsidRPr="00AE2690">
              <w:rPr>
                <w:rFonts w:asciiTheme="majorHAnsi" w:hAnsiTheme="majorHAnsi"/>
                <w:color w:val="404040" w:themeColor="text1" w:themeTint="BF"/>
                <w:sz w:val="20"/>
                <w:szCs w:val="20"/>
              </w:rPr>
              <w:t>commitments outside Atlas</w:t>
            </w:r>
            <w:r>
              <w:rPr>
                <w:rFonts w:asciiTheme="majorHAnsi" w:hAnsiTheme="majorHAnsi"/>
                <w:color w:val="404040" w:themeColor="text1" w:themeTint="BF"/>
                <w:sz w:val="20"/>
                <w:szCs w:val="20"/>
              </w:rPr>
              <w:t xml:space="preserve"> are resolved (N</w:t>
            </w:r>
            <w:r w:rsidRPr="00AE2690">
              <w:rPr>
                <w:rFonts w:asciiTheme="majorHAnsi" w:hAnsiTheme="majorHAnsi"/>
                <w:color w:val="404040" w:themeColor="text1" w:themeTint="BF"/>
                <w:sz w:val="20"/>
                <w:szCs w:val="20"/>
              </w:rPr>
              <w:t>on-PO commitments</w:t>
            </w:r>
            <w:r>
              <w:rPr>
                <w:rFonts w:asciiTheme="majorHAnsi" w:hAnsiTheme="majorHAnsi"/>
                <w:color w:val="404040" w:themeColor="text1" w:themeTint="BF"/>
                <w:sz w:val="20"/>
                <w:szCs w:val="20"/>
              </w:rPr>
              <w:t>). The supporting documents (if any) should be uploaded to Atlas UNDP Project Closure Workbench (Attachments Tab)</w:t>
            </w:r>
          </w:p>
        </w:tc>
      </w:tr>
      <w:tr w:rsidR="00E5285F" w:rsidRPr="009534CA" w14:paraId="71DD2228" w14:textId="77777777" w:rsidTr="007464B7">
        <w:tc>
          <w:tcPr>
            <w:tcW w:w="275" w:type="pct"/>
            <w:vMerge w:val="restart"/>
          </w:tcPr>
          <w:p w14:paraId="534F71C6" w14:textId="77777777" w:rsidR="008A7E9A" w:rsidRPr="009534CA"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lastRenderedPageBreak/>
              <w:t>7</w:t>
            </w:r>
          </w:p>
          <w:p w14:paraId="29CC9CE3" w14:textId="77777777" w:rsidR="008A7E9A" w:rsidRPr="00FC5F23" w:rsidRDefault="008A7E9A" w:rsidP="006A77CA">
            <w:pPr>
              <w:rPr>
                <w:rFonts w:asciiTheme="majorHAnsi" w:hAnsiTheme="majorHAnsi"/>
                <w:color w:val="404040" w:themeColor="text1" w:themeTint="BF"/>
                <w:sz w:val="20"/>
                <w:szCs w:val="20"/>
                <w:highlight w:val="yellow"/>
              </w:rPr>
            </w:pPr>
          </w:p>
          <w:p w14:paraId="29AB6FC8" w14:textId="77777777" w:rsidR="008A7E9A" w:rsidRPr="009534CA" w:rsidRDefault="008A7E9A" w:rsidP="006A77CA">
            <w:pPr>
              <w:rPr>
                <w:rFonts w:asciiTheme="majorHAnsi" w:hAnsiTheme="majorHAnsi"/>
                <w:color w:val="404040" w:themeColor="text1" w:themeTint="BF"/>
                <w:sz w:val="20"/>
                <w:szCs w:val="20"/>
              </w:rPr>
            </w:pPr>
          </w:p>
        </w:tc>
        <w:tc>
          <w:tcPr>
            <w:tcW w:w="1234" w:type="pct"/>
            <w:vMerge w:val="restart"/>
          </w:tcPr>
          <w:p w14:paraId="30EC11CA" w14:textId="77777777" w:rsidR="008A7E9A" w:rsidRPr="009534CA" w:rsidRDefault="008A7E9A" w:rsidP="006A77CA">
            <w:pPr>
              <w:rPr>
                <w:rFonts w:asciiTheme="majorHAnsi" w:hAnsiTheme="majorHAnsi"/>
                <w:color w:val="404040" w:themeColor="text1" w:themeTint="BF"/>
                <w:sz w:val="20"/>
                <w:szCs w:val="20"/>
              </w:rPr>
            </w:pPr>
            <w:r w:rsidRPr="00BA3A63">
              <w:rPr>
                <w:rFonts w:asciiTheme="majorHAnsi" w:hAnsiTheme="majorHAnsi"/>
                <w:color w:val="404040" w:themeColor="text1" w:themeTint="BF"/>
                <w:sz w:val="20"/>
                <w:szCs w:val="20"/>
              </w:rPr>
              <w:t>No outstanding prepaid vouchers (Account 16065)</w:t>
            </w:r>
          </w:p>
        </w:tc>
        <w:tc>
          <w:tcPr>
            <w:tcW w:w="1510" w:type="pct"/>
          </w:tcPr>
          <w:p w14:paraId="6B734CD2" w14:textId="1B5365B2" w:rsidR="008A7E9A"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Check prepayment balance and ageing from Atlas Query UN_IPSAS_PREPAYMNT_RPT</w:t>
            </w:r>
            <w:r w:rsidR="008772FB">
              <w:rPr>
                <w:rFonts w:asciiTheme="majorHAnsi" w:hAnsiTheme="majorHAnsi"/>
                <w:color w:val="404040" w:themeColor="text1" w:themeTint="BF"/>
                <w:sz w:val="20"/>
                <w:szCs w:val="20"/>
              </w:rPr>
              <w:t xml:space="preserve">. International Public Sector Accounting Standards (IPSAS) </w:t>
            </w:r>
          </w:p>
          <w:p w14:paraId="67BE3342" w14:textId="77777777" w:rsidR="008772FB" w:rsidRDefault="008772FB" w:rsidP="006A77CA">
            <w:pPr>
              <w:rPr>
                <w:rFonts w:asciiTheme="majorHAnsi" w:hAnsiTheme="majorHAnsi"/>
                <w:color w:val="404040" w:themeColor="text1" w:themeTint="BF"/>
                <w:sz w:val="20"/>
                <w:szCs w:val="20"/>
              </w:rPr>
            </w:pPr>
          </w:p>
          <w:p w14:paraId="4156F758" w14:textId="77777777" w:rsidR="008A7E9A" w:rsidRPr="009534CA"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 xml:space="preserve">For ageing prepayment, it will also appear in </w:t>
            </w:r>
            <w:hyperlink r:id="rId32" w:history="1">
              <w:r w:rsidRPr="00563F68">
                <w:rPr>
                  <w:rStyle w:val="Hyperlink"/>
                  <w:rFonts w:asciiTheme="majorHAnsi" w:hAnsiTheme="majorHAnsi"/>
                  <w:sz w:val="20"/>
                  <w:szCs w:val="20"/>
                </w:rPr>
                <w:t>Financial Management (formerly IPSAS) Dashboard</w:t>
              </w:r>
            </w:hyperlink>
            <w:r>
              <w:rPr>
                <w:rFonts w:asciiTheme="majorHAnsi" w:hAnsiTheme="majorHAnsi"/>
                <w:color w:val="404040" w:themeColor="text1" w:themeTint="BF"/>
                <w:sz w:val="20"/>
                <w:szCs w:val="20"/>
              </w:rPr>
              <w:t>.</w:t>
            </w:r>
          </w:p>
        </w:tc>
        <w:tc>
          <w:tcPr>
            <w:tcW w:w="1980" w:type="pct"/>
          </w:tcPr>
          <w:p w14:paraId="405BC9E7" w14:textId="77777777" w:rsidR="008A7E9A"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 xml:space="preserve">Ensure nil balance based on prepayment modality (the report should show blank report). </w:t>
            </w:r>
          </w:p>
          <w:p w14:paraId="1C5D8214" w14:textId="2151B377" w:rsidR="008A7E9A" w:rsidRDefault="008A7E9A" w:rsidP="009A77F5">
            <w:pPr>
              <w:pStyle w:val="ListParagraph"/>
              <w:numPr>
                <w:ilvl w:val="0"/>
                <w:numId w:val="11"/>
              </w:numPr>
              <w:rPr>
                <w:rFonts w:asciiTheme="majorHAnsi" w:hAnsiTheme="majorHAnsi"/>
                <w:color w:val="404040" w:themeColor="text1" w:themeTint="BF"/>
                <w:sz w:val="20"/>
                <w:szCs w:val="20"/>
              </w:rPr>
            </w:pPr>
            <w:r w:rsidRPr="001A61A7">
              <w:rPr>
                <w:rFonts w:asciiTheme="majorHAnsi" w:hAnsiTheme="majorHAnsi"/>
                <w:color w:val="404040" w:themeColor="text1" w:themeTint="BF"/>
                <w:sz w:val="20"/>
                <w:szCs w:val="20"/>
              </w:rPr>
              <w:t xml:space="preserve">If any balance is left in this report but GL balance is nil, please follow the </w:t>
            </w:r>
            <w:hyperlink r:id="rId33" w:history="1">
              <w:r w:rsidRPr="003C23ED">
                <w:rPr>
                  <w:rStyle w:val="Hyperlink"/>
                  <w:rFonts w:asciiTheme="majorHAnsi" w:hAnsiTheme="majorHAnsi"/>
                  <w:i/>
                  <w:iCs/>
                  <w:sz w:val="20"/>
                  <w:szCs w:val="20"/>
                </w:rPr>
                <w:t>Prepayments Issues and Workarounds guidance</w:t>
              </w:r>
            </w:hyperlink>
            <w:r w:rsidRPr="001A61A7">
              <w:rPr>
                <w:rFonts w:asciiTheme="majorHAnsi" w:hAnsiTheme="majorHAnsi"/>
                <w:color w:val="404040" w:themeColor="text1" w:themeTint="BF"/>
                <w:sz w:val="20"/>
                <w:szCs w:val="20"/>
              </w:rPr>
              <w:t xml:space="preserve"> to resolve technical issue due</w:t>
            </w:r>
            <w:r>
              <w:rPr>
                <w:rFonts w:asciiTheme="majorHAnsi" w:hAnsiTheme="majorHAnsi"/>
                <w:color w:val="404040" w:themeColor="text1" w:themeTint="BF"/>
                <w:sz w:val="20"/>
                <w:szCs w:val="20"/>
              </w:rPr>
              <w:t xml:space="preserve"> mainly</w:t>
            </w:r>
            <w:r w:rsidRPr="001A61A7">
              <w:rPr>
                <w:rFonts w:asciiTheme="majorHAnsi" w:hAnsiTheme="majorHAnsi"/>
                <w:color w:val="404040" w:themeColor="text1" w:themeTint="BF"/>
                <w:sz w:val="20"/>
                <w:szCs w:val="20"/>
              </w:rPr>
              <w:t xml:space="preserve"> to incorrect Atlas procedure done when liquidating the prepayment. </w:t>
            </w:r>
            <w:r>
              <w:rPr>
                <w:rFonts w:asciiTheme="majorHAnsi" w:hAnsiTheme="majorHAnsi"/>
                <w:color w:val="404040" w:themeColor="text1" w:themeTint="BF"/>
                <w:sz w:val="20"/>
                <w:szCs w:val="20"/>
              </w:rPr>
              <w:t>For example, balance is cleared using GLJE rather than a regular voucher being matched with receipt and applied to PO.</w:t>
            </w:r>
            <w:r w:rsidR="00B23490">
              <w:rPr>
                <w:rFonts w:asciiTheme="majorHAnsi" w:hAnsiTheme="majorHAnsi"/>
                <w:color w:val="404040" w:themeColor="text1" w:themeTint="BF"/>
                <w:sz w:val="20"/>
                <w:szCs w:val="20"/>
              </w:rPr>
              <w:t xml:space="preserve"> The GLJE transactions will not be captured in Atlas Query UN_IPSAS_PREPAYMNT_RPT.</w:t>
            </w:r>
          </w:p>
          <w:p w14:paraId="50304CB4" w14:textId="30FCB009" w:rsidR="00BE214D" w:rsidRDefault="00BE214D" w:rsidP="009A77F5">
            <w:pPr>
              <w:pStyle w:val="ListParagraph"/>
              <w:numPr>
                <w:ilvl w:val="0"/>
                <w:numId w:val="11"/>
              </w:num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 xml:space="preserve">If </w:t>
            </w:r>
            <w:r w:rsidR="00B91BA1">
              <w:rPr>
                <w:rFonts w:asciiTheme="majorHAnsi" w:hAnsiTheme="majorHAnsi"/>
                <w:color w:val="404040" w:themeColor="text1" w:themeTint="BF"/>
                <w:sz w:val="20"/>
                <w:szCs w:val="20"/>
              </w:rPr>
              <w:t xml:space="preserve">the balance in local currency is nil but there are USD balance in base currency due to </w:t>
            </w:r>
            <w:r w:rsidR="004B025E">
              <w:rPr>
                <w:rFonts w:asciiTheme="majorHAnsi" w:hAnsiTheme="majorHAnsi"/>
                <w:color w:val="404040" w:themeColor="text1" w:themeTint="BF"/>
                <w:sz w:val="20"/>
                <w:szCs w:val="20"/>
              </w:rPr>
              <w:t>Foreign Exchange (</w:t>
            </w:r>
            <w:r w:rsidR="00B91BA1">
              <w:rPr>
                <w:rFonts w:asciiTheme="majorHAnsi" w:hAnsiTheme="majorHAnsi"/>
                <w:color w:val="404040" w:themeColor="text1" w:themeTint="BF"/>
                <w:sz w:val="20"/>
                <w:szCs w:val="20"/>
              </w:rPr>
              <w:t>FX</w:t>
            </w:r>
            <w:r w:rsidR="004B025E">
              <w:rPr>
                <w:rFonts w:asciiTheme="majorHAnsi" w:hAnsiTheme="majorHAnsi"/>
                <w:color w:val="404040" w:themeColor="text1" w:themeTint="BF"/>
                <w:sz w:val="20"/>
                <w:szCs w:val="20"/>
              </w:rPr>
              <w:t>)</w:t>
            </w:r>
            <w:r w:rsidR="00B91BA1">
              <w:rPr>
                <w:rFonts w:asciiTheme="majorHAnsi" w:hAnsiTheme="majorHAnsi"/>
                <w:color w:val="404040" w:themeColor="text1" w:themeTint="BF"/>
                <w:sz w:val="20"/>
                <w:szCs w:val="20"/>
              </w:rPr>
              <w:t xml:space="preserve"> gain/loss, please prepare GLJE locally to clear the FX balance.</w:t>
            </w:r>
          </w:p>
          <w:p w14:paraId="4A5406F7" w14:textId="0E8019C8" w:rsidR="008A7E9A" w:rsidRDefault="008A7E9A" w:rsidP="009A77F5">
            <w:pPr>
              <w:pStyle w:val="ListParagraph"/>
              <w:numPr>
                <w:ilvl w:val="0"/>
                <w:numId w:val="11"/>
              </w:numPr>
              <w:rPr>
                <w:rFonts w:asciiTheme="majorHAnsi" w:hAnsiTheme="majorHAnsi"/>
                <w:color w:val="404040" w:themeColor="text1" w:themeTint="BF"/>
                <w:sz w:val="20"/>
                <w:szCs w:val="20"/>
              </w:rPr>
            </w:pPr>
            <w:r w:rsidRPr="001A61A7">
              <w:rPr>
                <w:rFonts w:asciiTheme="majorHAnsi" w:hAnsiTheme="majorHAnsi"/>
                <w:color w:val="404040" w:themeColor="text1" w:themeTint="BF"/>
                <w:sz w:val="20"/>
                <w:szCs w:val="20"/>
              </w:rPr>
              <w:t xml:space="preserve">If </w:t>
            </w:r>
            <w:r>
              <w:rPr>
                <w:rFonts w:asciiTheme="majorHAnsi" w:hAnsiTheme="majorHAnsi"/>
                <w:color w:val="404040" w:themeColor="text1" w:themeTint="BF"/>
                <w:sz w:val="20"/>
                <w:szCs w:val="20"/>
              </w:rPr>
              <w:t xml:space="preserve">unable to follow the guidance document, please contact </w:t>
            </w:r>
            <w:hyperlink r:id="rId34" w:history="1">
              <w:proofErr w:type="spellStart"/>
              <w:r w:rsidR="00857751" w:rsidRPr="009E0FE5">
                <w:rPr>
                  <w:rStyle w:val="Hyperlink"/>
                  <w:rFonts w:asciiTheme="majorHAnsi" w:hAnsiTheme="majorHAnsi"/>
                  <w:sz w:val="20"/>
                  <w:szCs w:val="20"/>
                </w:rPr>
                <w:t>UNAll</w:t>
              </w:r>
              <w:proofErr w:type="spellEnd"/>
            </w:hyperlink>
            <w:r>
              <w:rPr>
                <w:rFonts w:asciiTheme="majorHAnsi" w:hAnsiTheme="majorHAnsi"/>
                <w:color w:val="404040" w:themeColor="text1" w:themeTint="BF"/>
                <w:sz w:val="20"/>
                <w:szCs w:val="20"/>
              </w:rPr>
              <w:t xml:space="preserve"> for the step-by-step guidance.</w:t>
            </w:r>
            <w:r w:rsidR="00857751">
              <w:rPr>
                <w:rFonts w:asciiTheme="majorHAnsi" w:hAnsiTheme="majorHAnsi"/>
                <w:color w:val="404040" w:themeColor="text1" w:themeTint="BF"/>
                <w:sz w:val="20"/>
                <w:szCs w:val="20"/>
              </w:rPr>
              <w:t xml:space="preserve"> </w:t>
            </w:r>
            <w:r w:rsidR="00857751" w:rsidRPr="00857751">
              <w:rPr>
                <w:rFonts w:asciiTheme="majorHAnsi" w:hAnsiTheme="majorHAnsi"/>
                <w:color w:val="404040" w:themeColor="text1" w:themeTint="BF"/>
                <w:sz w:val="20"/>
                <w:szCs w:val="20"/>
              </w:rPr>
              <w:t>For IT support, please us</w:t>
            </w:r>
            <w:r w:rsidR="000C05AE">
              <w:rPr>
                <w:rFonts w:asciiTheme="majorHAnsi" w:hAnsiTheme="majorHAnsi"/>
                <w:color w:val="404040" w:themeColor="text1" w:themeTint="BF"/>
                <w:sz w:val="20"/>
                <w:szCs w:val="20"/>
              </w:rPr>
              <w:t>e</w:t>
            </w:r>
            <w:r w:rsidR="00857751" w:rsidRPr="00857751">
              <w:rPr>
                <w:rFonts w:asciiTheme="majorHAnsi" w:hAnsiTheme="majorHAnsi"/>
                <w:color w:val="404040" w:themeColor="text1" w:themeTint="BF"/>
                <w:sz w:val="20"/>
                <w:szCs w:val="20"/>
              </w:rPr>
              <w:t xml:space="preserve"> the “</w:t>
            </w:r>
            <w:hyperlink r:id="rId35" w:history="1">
              <w:r w:rsidR="00857751" w:rsidRPr="00857751">
                <w:rPr>
                  <w:rStyle w:val="Hyperlink"/>
                  <w:rFonts w:asciiTheme="majorHAnsi" w:hAnsiTheme="majorHAnsi"/>
                  <w:sz w:val="20"/>
                  <w:szCs w:val="20"/>
                </w:rPr>
                <w:t>Create Incident</w:t>
              </w:r>
            </w:hyperlink>
            <w:r w:rsidR="00857751" w:rsidRPr="00857751">
              <w:rPr>
                <w:rFonts w:asciiTheme="majorHAnsi" w:hAnsiTheme="majorHAnsi"/>
                <w:color w:val="404040" w:themeColor="text1" w:themeTint="BF"/>
                <w:sz w:val="20"/>
                <w:szCs w:val="20"/>
              </w:rPr>
              <w:t xml:space="preserve">” service in the </w:t>
            </w:r>
            <w:hyperlink r:id="rId36" w:history="1">
              <w:proofErr w:type="spellStart"/>
              <w:r w:rsidR="00857751" w:rsidRPr="00857751">
                <w:rPr>
                  <w:rStyle w:val="Hyperlink"/>
                  <w:rFonts w:asciiTheme="majorHAnsi" w:hAnsiTheme="majorHAnsi"/>
                  <w:sz w:val="20"/>
                  <w:szCs w:val="20"/>
                </w:rPr>
                <w:t>UNall</w:t>
              </w:r>
              <w:proofErr w:type="spellEnd"/>
              <w:r w:rsidR="00857751" w:rsidRPr="00857751">
                <w:rPr>
                  <w:rStyle w:val="Hyperlink"/>
                  <w:rFonts w:asciiTheme="majorHAnsi" w:hAnsiTheme="majorHAnsi"/>
                  <w:sz w:val="20"/>
                  <w:szCs w:val="20"/>
                </w:rPr>
                <w:t xml:space="preserve"> service management portal</w:t>
              </w:r>
            </w:hyperlink>
            <w:r w:rsidR="00857751" w:rsidRPr="00857751">
              <w:rPr>
                <w:rFonts w:asciiTheme="majorHAnsi" w:hAnsiTheme="majorHAnsi"/>
                <w:color w:val="404040" w:themeColor="text1" w:themeTint="BF"/>
                <w:sz w:val="20"/>
                <w:szCs w:val="20"/>
              </w:rPr>
              <w:t>.</w:t>
            </w:r>
          </w:p>
          <w:p w14:paraId="149C196F" w14:textId="77777777" w:rsidR="008A7E9A" w:rsidRPr="00D65838"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 xml:space="preserve">Further guidance on </w:t>
            </w:r>
            <w:hyperlink r:id="rId37" w:history="1">
              <w:r w:rsidRPr="003C23ED">
                <w:rPr>
                  <w:rStyle w:val="Hyperlink"/>
                  <w:rFonts w:asciiTheme="majorHAnsi" w:hAnsiTheme="majorHAnsi"/>
                  <w:i/>
                  <w:iCs/>
                  <w:sz w:val="20"/>
                  <w:szCs w:val="20"/>
                </w:rPr>
                <w:t>Prepayment Process Step-by-Step</w:t>
              </w:r>
            </w:hyperlink>
            <w:r w:rsidRPr="00D65838">
              <w:rPr>
                <w:rFonts w:asciiTheme="majorHAnsi" w:hAnsiTheme="majorHAnsi"/>
                <w:i/>
                <w:iCs/>
                <w:color w:val="404040" w:themeColor="text1" w:themeTint="BF"/>
                <w:sz w:val="20"/>
                <w:szCs w:val="20"/>
              </w:rPr>
              <w:t xml:space="preserve"> </w:t>
            </w:r>
            <w:r w:rsidRPr="00AE2690">
              <w:rPr>
                <w:rFonts w:asciiTheme="majorHAnsi" w:hAnsiTheme="majorHAnsi"/>
                <w:color w:val="404040" w:themeColor="text1" w:themeTint="BF"/>
                <w:sz w:val="20"/>
                <w:szCs w:val="20"/>
              </w:rPr>
              <w:t>can be accessed</w:t>
            </w:r>
            <w:r>
              <w:rPr>
                <w:rFonts w:asciiTheme="majorHAnsi" w:hAnsiTheme="majorHAnsi"/>
                <w:i/>
                <w:iCs/>
                <w:color w:val="404040" w:themeColor="text1" w:themeTint="BF"/>
                <w:sz w:val="20"/>
                <w:szCs w:val="20"/>
              </w:rPr>
              <w:t xml:space="preserve"> </w:t>
            </w:r>
            <w:hyperlink r:id="rId38" w:history="1">
              <w:r w:rsidRPr="00563F68">
                <w:rPr>
                  <w:rStyle w:val="Hyperlink"/>
                  <w:rFonts w:asciiTheme="majorHAnsi" w:hAnsiTheme="majorHAnsi"/>
                  <w:sz w:val="20"/>
                  <w:szCs w:val="20"/>
                </w:rPr>
                <w:t>here</w:t>
              </w:r>
            </w:hyperlink>
          </w:p>
        </w:tc>
      </w:tr>
      <w:tr w:rsidR="00E5285F" w:rsidRPr="009534CA" w14:paraId="542AFD17" w14:textId="77777777" w:rsidTr="007464B7">
        <w:tc>
          <w:tcPr>
            <w:tcW w:w="275" w:type="pct"/>
            <w:vMerge/>
          </w:tcPr>
          <w:p w14:paraId="4B743CDC" w14:textId="77777777" w:rsidR="008A7E9A" w:rsidRDefault="008A7E9A" w:rsidP="006A77CA">
            <w:pPr>
              <w:rPr>
                <w:rFonts w:asciiTheme="majorHAnsi" w:hAnsiTheme="majorHAnsi"/>
                <w:color w:val="404040" w:themeColor="text1" w:themeTint="BF"/>
                <w:sz w:val="20"/>
                <w:szCs w:val="20"/>
              </w:rPr>
            </w:pPr>
          </w:p>
        </w:tc>
        <w:tc>
          <w:tcPr>
            <w:tcW w:w="1234" w:type="pct"/>
            <w:vMerge/>
          </w:tcPr>
          <w:p w14:paraId="454FA627" w14:textId="77777777" w:rsidR="008A7E9A" w:rsidRPr="00BA3A63" w:rsidRDefault="008A7E9A" w:rsidP="006A77CA">
            <w:pPr>
              <w:rPr>
                <w:rFonts w:asciiTheme="majorHAnsi" w:hAnsiTheme="majorHAnsi"/>
                <w:color w:val="404040" w:themeColor="text1" w:themeTint="BF"/>
                <w:sz w:val="20"/>
                <w:szCs w:val="20"/>
              </w:rPr>
            </w:pPr>
          </w:p>
        </w:tc>
        <w:tc>
          <w:tcPr>
            <w:tcW w:w="1510" w:type="pct"/>
          </w:tcPr>
          <w:p w14:paraId="1BA60508" w14:textId="77777777" w:rsidR="008A7E9A" w:rsidRPr="00955AFE" w:rsidRDefault="008A7E9A" w:rsidP="009A77F5">
            <w:pPr>
              <w:pStyle w:val="ListParagraph"/>
              <w:numPr>
                <w:ilvl w:val="0"/>
                <w:numId w:val="13"/>
              </w:numPr>
              <w:rPr>
                <w:rFonts w:asciiTheme="majorHAnsi" w:hAnsiTheme="majorHAnsi"/>
                <w:color w:val="404040" w:themeColor="text1" w:themeTint="BF"/>
                <w:sz w:val="20"/>
                <w:szCs w:val="20"/>
              </w:rPr>
            </w:pPr>
            <w:r w:rsidRPr="00955AFE">
              <w:rPr>
                <w:rFonts w:asciiTheme="majorHAnsi" w:hAnsiTheme="majorHAnsi"/>
                <w:color w:val="404040" w:themeColor="text1" w:themeTint="BF"/>
                <w:sz w:val="20"/>
                <w:szCs w:val="20"/>
              </w:rPr>
              <w:t>Run “Ledger Inquiry” to check GL balance</w:t>
            </w:r>
          </w:p>
          <w:p w14:paraId="4B1BB5BC" w14:textId="77777777" w:rsidR="008A7E9A" w:rsidRPr="00955AFE" w:rsidRDefault="008A7E9A" w:rsidP="009A77F5">
            <w:pPr>
              <w:pStyle w:val="ListParagraph"/>
              <w:numPr>
                <w:ilvl w:val="0"/>
                <w:numId w:val="13"/>
              </w:numPr>
              <w:rPr>
                <w:rFonts w:asciiTheme="majorHAnsi" w:hAnsiTheme="majorHAnsi"/>
                <w:color w:val="404040" w:themeColor="text1" w:themeTint="BF"/>
                <w:sz w:val="20"/>
                <w:szCs w:val="20"/>
              </w:rPr>
            </w:pPr>
            <w:r w:rsidRPr="00955AFE">
              <w:rPr>
                <w:rFonts w:asciiTheme="majorHAnsi" w:hAnsiTheme="majorHAnsi"/>
                <w:color w:val="404040" w:themeColor="text1" w:themeTint="BF"/>
                <w:sz w:val="20"/>
                <w:szCs w:val="20"/>
              </w:rPr>
              <w:t>Check current balance in “Project closure workbench”</w:t>
            </w:r>
          </w:p>
        </w:tc>
        <w:tc>
          <w:tcPr>
            <w:tcW w:w="1980" w:type="pct"/>
          </w:tcPr>
          <w:p w14:paraId="0117BF1F" w14:textId="77777777" w:rsidR="008A7E9A"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 xml:space="preserve">Ensure nil balance in GL. </w:t>
            </w:r>
          </w:p>
          <w:p w14:paraId="070BC93A" w14:textId="77777777" w:rsidR="008A7E9A" w:rsidRPr="00EB4AD4" w:rsidRDefault="008A7E9A" w:rsidP="009A77F5">
            <w:pPr>
              <w:pStyle w:val="ListParagraph"/>
              <w:numPr>
                <w:ilvl w:val="0"/>
                <w:numId w:val="12"/>
              </w:numPr>
              <w:rPr>
                <w:rFonts w:asciiTheme="majorHAnsi" w:hAnsiTheme="majorHAnsi"/>
                <w:color w:val="404040" w:themeColor="text1" w:themeTint="BF"/>
                <w:sz w:val="20"/>
                <w:szCs w:val="20"/>
              </w:rPr>
            </w:pPr>
            <w:r w:rsidRPr="00EB4AD4">
              <w:rPr>
                <w:rFonts w:asciiTheme="majorHAnsi" w:hAnsiTheme="majorHAnsi"/>
                <w:color w:val="404040" w:themeColor="text1" w:themeTint="BF"/>
                <w:sz w:val="20"/>
                <w:szCs w:val="20"/>
              </w:rPr>
              <w:t xml:space="preserve">If the balance in GL is not </w:t>
            </w:r>
            <w:r>
              <w:rPr>
                <w:rFonts w:asciiTheme="majorHAnsi" w:hAnsiTheme="majorHAnsi"/>
                <w:color w:val="404040" w:themeColor="text1" w:themeTint="BF"/>
                <w:sz w:val="20"/>
                <w:szCs w:val="20"/>
              </w:rPr>
              <w:t>zero</w:t>
            </w:r>
            <w:r w:rsidRPr="00EB4AD4">
              <w:rPr>
                <w:rFonts w:asciiTheme="majorHAnsi" w:hAnsiTheme="majorHAnsi"/>
                <w:color w:val="404040" w:themeColor="text1" w:themeTint="BF"/>
                <w:sz w:val="20"/>
                <w:szCs w:val="20"/>
              </w:rPr>
              <w:t xml:space="preserve"> but the balance in Query UN_IPSAS_PREPAYMNT_RPT is zero, </w:t>
            </w:r>
            <w:r>
              <w:rPr>
                <w:rFonts w:asciiTheme="majorHAnsi" w:hAnsiTheme="majorHAnsi"/>
                <w:color w:val="404040" w:themeColor="text1" w:themeTint="BF"/>
                <w:sz w:val="20"/>
                <w:szCs w:val="20"/>
              </w:rPr>
              <w:t xml:space="preserve">please run AAA report to review transaction, correct any accounting errors and clear balance. </w:t>
            </w:r>
          </w:p>
        </w:tc>
      </w:tr>
      <w:tr w:rsidR="00E5285F" w:rsidRPr="009534CA" w14:paraId="3C583644" w14:textId="77777777" w:rsidTr="007464B7">
        <w:tc>
          <w:tcPr>
            <w:tcW w:w="275" w:type="pct"/>
          </w:tcPr>
          <w:p w14:paraId="103C2EFB" w14:textId="77777777" w:rsidR="008A7E9A" w:rsidRPr="00FC5F23" w:rsidRDefault="008A7E9A" w:rsidP="006A77CA">
            <w:pPr>
              <w:rPr>
                <w:rFonts w:asciiTheme="majorHAnsi" w:hAnsiTheme="majorHAnsi"/>
                <w:color w:val="404040" w:themeColor="text1" w:themeTint="BF"/>
                <w:sz w:val="20"/>
                <w:szCs w:val="20"/>
                <w:highlight w:val="yellow"/>
              </w:rPr>
            </w:pPr>
            <w:r>
              <w:rPr>
                <w:rFonts w:asciiTheme="majorHAnsi" w:hAnsiTheme="majorHAnsi"/>
                <w:color w:val="404040" w:themeColor="text1" w:themeTint="BF"/>
                <w:sz w:val="20"/>
                <w:szCs w:val="20"/>
              </w:rPr>
              <w:lastRenderedPageBreak/>
              <w:t xml:space="preserve">8 </w:t>
            </w:r>
          </w:p>
        </w:tc>
        <w:tc>
          <w:tcPr>
            <w:tcW w:w="1234" w:type="pct"/>
          </w:tcPr>
          <w:p w14:paraId="6FE2FB91" w14:textId="77777777" w:rsidR="008A7E9A" w:rsidRPr="00BA3A63" w:rsidRDefault="008A7E9A" w:rsidP="006A77CA">
            <w:pPr>
              <w:rPr>
                <w:rFonts w:asciiTheme="majorHAnsi" w:hAnsiTheme="majorHAnsi"/>
                <w:color w:val="404040" w:themeColor="text1" w:themeTint="BF"/>
                <w:sz w:val="20"/>
                <w:szCs w:val="20"/>
              </w:rPr>
            </w:pPr>
            <w:r w:rsidRPr="00BA3A63">
              <w:rPr>
                <w:rFonts w:asciiTheme="majorHAnsi" w:hAnsiTheme="majorHAnsi"/>
                <w:color w:val="404040" w:themeColor="text1" w:themeTint="BF"/>
                <w:sz w:val="20"/>
                <w:szCs w:val="20"/>
              </w:rPr>
              <w:t>No pending vouchers;</w:t>
            </w:r>
          </w:p>
        </w:tc>
        <w:tc>
          <w:tcPr>
            <w:tcW w:w="1510" w:type="pct"/>
          </w:tcPr>
          <w:p w14:paraId="71D9E634" w14:textId="5C11873A" w:rsidR="008A7E9A" w:rsidRDefault="008A7E9A" w:rsidP="006A77CA">
            <w:pPr>
              <w:rPr>
                <w:rFonts w:asciiTheme="majorHAnsi" w:hAnsiTheme="majorHAnsi"/>
                <w:color w:val="404040" w:themeColor="text1" w:themeTint="BF"/>
                <w:sz w:val="20"/>
                <w:szCs w:val="20"/>
              </w:rPr>
            </w:pPr>
            <w:r w:rsidRPr="00191D4B">
              <w:rPr>
                <w:rFonts w:asciiTheme="majorHAnsi" w:hAnsiTheme="majorHAnsi"/>
                <w:color w:val="404040" w:themeColor="text1" w:themeTint="BF"/>
                <w:sz w:val="20"/>
                <w:szCs w:val="20"/>
              </w:rPr>
              <w:t xml:space="preserve">Please run the query link to verify and check </w:t>
            </w:r>
            <w:r w:rsidR="00187E47">
              <w:rPr>
                <w:rFonts w:asciiTheme="majorHAnsi" w:hAnsiTheme="majorHAnsi"/>
                <w:color w:val="404040" w:themeColor="text1" w:themeTint="BF"/>
                <w:sz w:val="20"/>
                <w:szCs w:val="20"/>
              </w:rPr>
              <w:t xml:space="preserve">for </w:t>
            </w:r>
            <w:r w:rsidRPr="00191D4B">
              <w:rPr>
                <w:rFonts w:asciiTheme="majorHAnsi" w:hAnsiTheme="majorHAnsi"/>
                <w:color w:val="404040" w:themeColor="text1" w:themeTint="BF"/>
                <w:sz w:val="20"/>
                <w:szCs w:val="20"/>
              </w:rPr>
              <w:t>any pending vouchers.</w:t>
            </w:r>
            <w:r>
              <w:rPr>
                <w:rFonts w:asciiTheme="majorHAnsi" w:hAnsiTheme="majorHAnsi"/>
                <w:color w:val="404040" w:themeColor="text1" w:themeTint="BF"/>
                <w:sz w:val="20"/>
                <w:szCs w:val="20"/>
              </w:rPr>
              <w:t xml:space="preserve"> </w:t>
            </w:r>
          </w:p>
          <w:p w14:paraId="4F6154E5" w14:textId="77777777" w:rsidR="008A7E9A" w:rsidRDefault="00B22B96" w:rsidP="006A77CA">
            <w:pPr>
              <w:rPr>
                <w:rStyle w:val="Hyperlink"/>
                <w:rFonts w:ascii="Calibri" w:hAnsi="Calibri" w:cs="Calibri"/>
                <w:sz w:val="18"/>
                <w:szCs w:val="18"/>
              </w:rPr>
            </w:pPr>
            <w:hyperlink r:id="rId39" w:tgtFrame="_blank" w:history="1">
              <w:r w:rsidR="008A7E9A" w:rsidRPr="008E0019">
                <w:rPr>
                  <w:rStyle w:val="Hyperlink"/>
                  <w:rFonts w:ascii="Calibri" w:hAnsi="Calibri" w:cs="Calibri"/>
                  <w:sz w:val="18"/>
                  <w:szCs w:val="18"/>
                </w:rPr>
                <w:t>No Pending Vouchers</w:t>
              </w:r>
            </w:hyperlink>
            <w:r w:rsidR="008A7E9A">
              <w:rPr>
                <w:rStyle w:val="Hyperlink"/>
                <w:rFonts w:ascii="Calibri" w:hAnsi="Calibri" w:cs="Calibri"/>
                <w:sz w:val="18"/>
                <w:szCs w:val="18"/>
              </w:rPr>
              <w:t xml:space="preserve"> </w:t>
            </w:r>
          </w:p>
          <w:p w14:paraId="6402C6B5" w14:textId="77777777" w:rsidR="008A7E9A" w:rsidRDefault="008A7E9A" w:rsidP="006A77CA">
            <w:pPr>
              <w:rPr>
                <w:rStyle w:val="Hyperlink"/>
                <w:rFonts w:ascii="Calibri" w:hAnsi="Calibri" w:cs="Calibri"/>
                <w:sz w:val="18"/>
                <w:szCs w:val="18"/>
              </w:rPr>
            </w:pPr>
          </w:p>
          <w:p w14:paraId="598DEEB6" w14:textId="77777777" w:rsidR="008A7E9A" w:rsidRPr="00AE6732" w:rsidRDefault="008A7E9A" w:rsidP="006A77CA">
            <w:pPr>
              <w:rPr>
                <w:rFonts w:asciiTheme="majorHAnsi" w:hAnsiTheme="majorHAnsi"/>
                <w:color w:val="404040" w:themeColor="text1" w:themeTint="BF"/>
                <w:sz w:val="18"/>
                <w:szCs w:val="18"/>
              </w:rPr>
            </w:pPr>
            <w:r w:rsidRPr="00AE6732">
              <w:rPr>
                <w:rFonts w:asciiTheme="majorHAnsi" w:hAnsiTheme="majorHAnsi"/>
                <w:color w:val="404040" w:themeColor="text1" w:themeTint="BF"/>
                <w:sz w:val="20"/>
                <w:szCs w:val="20"/>
              </w:rPr>
              <w:t>Or</w:t>
            </w:r>
            <w:r>
              <w:rPr>
                <w:rFonts w:asciiTheme="majorHAnsi" w:hAnsiTheme="majorHAnsi"/>
                <w:color w:val="404040" w:themeColor="text1" w:themeTint="BF"/>
                <w:sz w:val="20"/>
                <w:szCs w:val="20"/>
              </w:rPr>
              <w:t xml:space="preserve"> Query</w:t>
            </w:r>
            <w:r w:rsidRPr="00AE6732">
              <w:rPr>
                <w:rFonts w:asciiTheme="majorHAnsi" w:hAnsiTheme="majorHAnsi"/>
                <w:color w:val="404040" w:themeColor="text1" w:themeTint="BF"/>
                <w:sz w:val="20"/>
                <w:szCs w:val="20"/>
              </w:rPr>
              <w:t xml:space="preserve"> UN_PS_CLOSE_PENDING_VCHR_BY_PR</w:t>
            </w:r>
          </w:p>
        </w:tc>
        <w:tc>
          <w:tcPr>
            <w:tcW w:w="1980" w:type="pct"/>
          </w:tcPr>
          <w:p w14:paraId="350B979B" w14:textId="77777777" w:rsidR="008A7E9A" w:rsidRDefault="008A7E9A" w:rsidP="006A77CA">
            <w:pPr>
              <w:pStyle w:val="NormalWeb"/>
              <w:numPr>
                <w:ilvl w:val="0"/>
                <w:numId w:val="7"/>
              </w:numPr>
              <w:spacing w:before="0" w:beforeAutospacing="0" w:after="0" w:afterAutospacing="0"/>
              <w:rPr>
                <w:rFonts w:asciiTheme="majorHAnsi" w:hAnsiTheme="majorHAnsi"/>
                <w:color w:val="404040" w:themeColor="text1" w:themeTint="BF"/>
                <w:sz w:val="20"/>
                <w:szCs w:val="20"/>
              </w:rPr>
            </w:pPr>
            <w:r w:rsidRPr="00F80C3A">
              <w:rPr>
                <w:rFonts w:asciiTheme="majorHAnsi" w:hAnsiTheme="majorHAnsi"/>
                <w:color w:val="404040" w:themeColor="text1" w:themeTint="BF"/>
                <w:sz w:val="20"/>
                <w:szCs w:val="20"/>
              </w:rPr>
              <w:t xml:space="preserve">Voucher is not approved, matched (if applicable), and budget checked valid </w:t>
            </w:r>
          </w:p>
          <w:p w14:paraId="18C3E6D5" w14:textId="77777777" w:rsidR="008A7E9A" w:rsidRDefault="008A7E9A" w:rsidP="006A77CA">
            <w:pPr>
              <w:pStyle w:val="NormalWeb"/>
              <w:numPr>
                <w:ilvl w:val="1"/>
                <w:numId w:val="7"/>
              </w:numPr>
              <w:spacing w:before="0" w:beforeAutospacing="0" w:after="0" w:afterAutospacing="0"/>
              <w:rPr>
                <w:rFonts w:asciiTheme="majorHAnsi" w:hAnsiTheme="majorHAnsi"/>
                <w:color w:val="404040" w:themeColor="text1" w:themeTint="BF"/>
                <w:sz w:val="20"/>
                <w:szCs w:val="20"/>
              </w:rPr>
            </w:pPr>
            <w:r>
              <w:rPr>
                <w:rFonts w:asciiTheme="majorHAnsi" w:hAnsiTheme="majorHAnsi"/>
                <w:color w:val="404040" w:themeColor="text1" w:themeTint="BF"/>
                <w:sz w:val="20"/>
                <w:szCs w:val="20"/>
              </w:rPr>
              <w:t>Send for approval</w:t>
            </w:r>
          </w:p>
          <w:p w14:paraId="2E7B44D5" w14:textId="77777777" w:rsidR="008A7E9A" w:rsidRPr="0028600F" w:rsidRDefault="008A7E9A" w:rsidP="006A77CA">
            <w:pPr>
              <w:pStyle w:val="NormalWeb"/>
              <w:numPr>
                <w:ilvl w:val="1"/>
                <w:numId w:val="7"/>
              </w:numPr>
              <w:spacing w:before="0" w:beforeAutospacing="0" w:after="0" w:afterAutospacing="0"/>
              <w:rPr>
                <w:rFonts w:asciiTheme="majorHAnsi" w:hAnsiTheme="majorHAnsi"/>
                <w:color w:val="404040" w:themeColor="text1" w:themeTint="BF"/>
                <w:sz w:val="20"/>
                <w:szCs w:val="20"/>
              </w:rPr>
            </w:pPr>
            <w:r>
              <w:rPr>
                <w:rFonts w:asciiTheme="majorHAnsi" w:hAnsiTheme="majorHAnsi"/>
                <w:color w:val="404040" w:themeColor="text1" w:themeTint="BF"/>
                <w:sz w:val="20"/>
                <w:szCs w:val="20"/>
              </w:rPr>
              <w:t>Run pay cycle</w:t>
            </w:r>
          </w:p>
          <w:p w14:paraId="4A0C75D9" w14:textId="77777777" w:rsidR="008A7E9A" w:rsidRDefault="008A7E9A" w:rsidP="006A77CA">
            <w:pPr>
              <w:pStyle w:val="NormalWeb"/>
              <w:numPr>
                <w:ilvl w:val="0"/>
                <w:numId w:val="7"/>
              </w:numPr>
              <w:spacing w:before="0" w:beforeAutospacing="0" w:after="0" w:afterAutospacing="0"/>
              <w:rPr>
                <w:rFonts w:asciiTheme="majorHAnsi" w:hAnsiTheme="majorHAnsi"/>
                <w:color w:val="404040" w:themeColor="text1" w:themeTint="BF"/>
                <w:sz w:val="20"/>
                <w:szCs w:val="20"/>
              </w:rPr>
            </w:pPr>
            <w:r w:rsidRPr="00F80C3A">
              <w:rPr>
                <w:rFonts w:asciiTheme="majorHAnsi" w:hAnsiTheme="majorHAnsi"/>
                <w:color w:val="404040" w:themeColor="text1" w:themeTint="BF"/>
                <w:sz w:val="20"/>
                <w:szCs w:val="20"/>
              </w:rPr>
              <w:t xml:space="preserve">voucher is </w:t>
            </w:r>
            <w:r>
              <w:rPr>
                <w:rFonts w:asciiTheme="majorHAnsi" w:hAnsiTheme="majorHAnsi"/>
                <w:color w:val="404040" w:themeColor="text1" w:themeTint="BF"/>
                <w:sz w:val="20"/>
                <w:szCs w:val="20"/>
              </w:rPr>
              <w:t xml:space="preserve">not approved and </w:t>
            </w:r>
            <w:r w:rsidRPr="00F80C3A">
              <w:rPr>
                <w:rFonts w:asciiTheme="majorHAnsi" w:hAnsiTheme="majorHAnsi"/>
                <w:color w:val="404040" w:themeColor="text1" w:themeTint="BF"/>
                <w:sz w:val="20"/>
                <w:szCs w:val="20"/>
              </w:rPr>
              <w:t>no longer needed and should not be paid</w:t>
            </w:r>
          </w:p>
          <w:p w14:paraId="5B11D0D5" w14:textId="16A2D550" w:rsidR="008A7E9A" w:rsidRPr="00EC5EF1" w:rsidRDefault="00187E47" w:rsidP="006A77CA">
            <w:pPr>
              <w:pStyle w:val="NormalWeb"/>
              <w:numPr>
                <w:ilvl w:val="1"/>
                <w:numId w:val="7"/>
              </w:numPr>
              <w:spacing w:before="0" w:beforeAutospacing="0" w:after="0" w:afterAutospacing="0"/>
              <w:rPr>
                <w:rFonts w:asciiTheme="majorHAnsi" w:hAnsiTheme="majorHAnsi"/>
                <w:color w:val="404040" w:themeColor="text1" w:themeTint="BF"/>
                <w:sz w:val="20"/>
                <w:szCs w:val="20"/>
              </w:rPr>
            </w:pPr>
            <w:r>
              <w:rPr>
                <w:rFonts w:asciiTheme="majorHAnsi" w:hAnsiTheme="majorHAnsi"/>
                <w:color w:val="404040" w:themeColor="text1" w:themeTint="BF"/>
                <w:sz w:val="20"/>
                <w:szCs w:val="20"/>
              </w:rPr>
              <w:t>Delete or r</w:t>
            </w:r>
            <w:r w:rsidR="008A7E9A">
              <w:rPr>
                <w:rFonts w:asciiTheme="majorHAnsi" w:hAnsiTheme="majorHAnsi"/>
                <w:color w:val="404040" w:themeColor="text1" w:themeTint="BF"/>
                <w:sz w:val="20"/>
                <w:szCs w:val="20"/>
              </w:rPr>
              <w:t>euse this voucher Id for other payment, pay extra attention to the vendor information and COA of the new payment</w:t>
            </w:r>
          </w:p>
          <w:p w14:paraId="558574C3" w14:textId="77777777" w:rsidR="008A7E9A" w:rsidRDefault="008A7E9A" w:rsidP="006A77CA">
            <w:pPr>
              <w:pStyle w:val="NormalWeb"/>
              <w:numPr>
                <w:ilvl w:val="0"/>
                <w:numId w:val="7"/>
              </w:numPr>
              <w:spacing w:before="0" w:beforeAutospacing="0" w:after="0" w:afterAutospacing="0"/>
              <w:rPr>
                <w:rFonts w:asciiTheme="majorHAnsi" w:hAnsiTheme="majorHAnsi"/>
                <w:color w:val="404040" w:themeColor="text1" w:themeTint="BF"/>
                <w:sz w:val="20"/>
                <w:szCs w:val="20"/>
              </w:rPr>
            </w:pPr>
            <w:r>
              <w:rPr>
                <w:rFonts w:asciiTheme="majorHAnsi" w:hAnsiTheme="majorHAnsi"/>
                <w:color w:val="404040" w:themeColor="text1" w:themeTint="BF"/>
                <w:sz w:val="20"/>
                <w:szCs w:val="20"/>
              </w:rPr>
              <w:t>budget status shows “exception” in voucher “summary” page</w:t>
            </w:r>
          </w:p>
          <w:p w14:paraId="7BDD4091" w14:textId="77777777" w:rsidR="008A7E9A" w:rsidRDefault="008A7E9A" w:rsidP="006A77CA">
            <w:pPr>
              <w:pStyle w:val="NormalWeb"/>
              <w:numPr>
                <w:ilvl w:val="1"/>
                <w:numId w:val="7"/>
              </w:numPr>
              <w:spacing w:before="0" w:beforeAutospacing="0" w:after="0" w:afterAutospacing="0"/>
              <w:rPr>
                <w:rFonts w:asciiTheme="majorHAnsi" w:hAnsiTheme="majorHAnsi"/>
                <w:color w:val="404040" w:themeColor="text1" w:themeTint="BF"/>
                <w:sz w:val="20"/>
                <w:szCs w:val="20"/>
              </w:rPr>
            </w:pPr>
            <w:r>
              <w:rPr>
                <w:rFonts w:asciiTheme="majorHAnsi" w:hAnsiTheme="majorHAnsi"/>
                <w:color w:val="404040" w:themeColor="text1" w:themeTint="BF"/>
                <w:sz w:val="20"/>
                <w:szCs w:val="20"/>
              </w:rPr>
              <w:t>check if the COA combination is correct</w:t>
            </w:r>
          </w:p>
          <w:p w14:paraId="7202F1CF" w14:textId="4DC97C96" w:rsidR="008A7E9A" w:rsidRDefault="008A7E9A" w:rsidP="006A77CA">
            <w:pPr>
              <w:pStyle w:val="NormalWeb"/>
              <w:numPr>
                <w:ilvl w:val="1"/>
                <w:numId w:val="7"/>
              </w:numPr>
              <w:spacing w:before="0" w:beforeAutospacing="0" w:after="0" w:afterAutospacing="0"/>
              <w:rPr>
                <w:rFonts w:asciiTheme="majorHAnsi" w:hAnsiTheme="majorHAnsi"/>
                <w:color w:val="404040" w:themeColor="text1" w:themeTint="BF"/>
                <w:sz w:val="20"/>
                <w:szCs w:val="20"/>
              </w:rPr>
            </w:pPr>
            <w:r>
              <w:rPr>
                <w:rFonts w:asciiTheme="majorHAnsi" w:hAnsiTheme="majorHAnsi"/>
                <w:color w:val="404040" w:themeColor="text1" w:themeTint="BF"/>
                <w:sz w:val="20"/>
                <w:szCs w:val="20"/>
              </w:rPr>
              <w:t>if exception caused by level 1 budget error, requesting for more ASL allocation</w:t>
            </w:r>
            <w:r w:rsidR="006B07E6">
              <w:rPr>
                <w:rFonts w:asciiTheme="majorHAnsi" w:hAnsiTheme="majorHAnsi"/>
                <w:color w:val="404040" w:themeColor="text1" w:themeTint="BF"/>
                <w:sz w:val="20"/>
                <w:szCs w:val="20"/>
              </w:rPr>
              <w:t xml:space="preserve"> from fund manager</w:t>
            </w:r>
            <w:r>
              <w:rPr>
                <w:rFonts w:asciiTheme="majorHAnsi" w:hAnsiTheme="majorHAnsi"/>
                <w:color w:val="404040" w:themeColor="text1" w:themeTint="BF"/>
                <w:sz w:val="20"/>
                <w:szCs w:val="20"/>
              </w:rPr>
              <w:t xml:space="preserve"> or liaison with donor for more contribution; If caused by level 2 budget error, revise the budget accordingly in line with AWP</w:t>
            </w:r>
          </w:p>
          <w:p w14:paraId="76038B35" w14:textId="77777777" w:rsidR="008A7E9A" w:rsidRDefault="008A7E9A" w:rsidP="006A77CA">
            <w:pPr>
              <w:pStyle w:val="NormalWeb"/>
              <w:numPr>
                <w:ilvl w:val="1"/>
                <w:numId w:val="7"/>
              </w:numPr>
              <w:spacing w:before="0" w:beforeAutospacing="0" w:after="0" w:afterAutospacing="0"/>
              <w:rPr>
                <w:rFonts w:asciiTheme="majorHAnsi" w:hAnsiTheme="majorHAnsi"/>
                <w:color w:val="404040" w:themeColor="text1" w:themeTint="BF"/>
                <w:sz w:val="20"/>
                <w:szCs w:val="20"/>
              </w:rPr>
            </w:pPr>
            <w:r w:rsidRPr="003907CD">
              <w:rPr>
                <w:rFonts w:asciiTheme="majorHAnsi" w:hAnsiTheme="majorHAnsi"/>
                <w:b/>
                <w:color w:val="404040" w:themeColor="text1" w:themeTint="BF"/>
                <w:sz w:val="20"/>
                <w:szCs w:val="20"/>
              </w:rPr>
              <w:t>Or</w:t>
            </w:r>
            <w:r>
              <w:rPr>
                <w:rFonts w:asciiTheme="majorHAnsi" w:hAnsiTheme="majorHAnsi"/>
                <w:color w:val="404040" w:themeColor="text1" w:themeTint="BF"/>
                <w:sz w:val="20"/>
                <w:szCs w:val="20"/>
              </w:rPr>
              <w:t xml:space="preserve"> charge to other funding sources</w:t>
            </w:r>
          </w:p>
          <w:p w14:paraId="01005796" w14:textId="77777777" w:rsidR="008A7E9A" w:rsidRDefault="008A7E9A" w:rsidP="006A77CA">
            <w:pPr>
              <w:pStyle w:val="NormalWeb"/>
              <w:numPr>
                <w:ilvl w:val="0"/>
                <w:numId w:val="7"/>
              </w:numPr>
              <w:spacing w:before="0" w:beforeAutospacing="0" w:after="0" w:afterAutospacing="0"/>
              <w:rPr>
                <w:rFonts w:asciiTheme="majorHAnsi" w:hAnsiTheme="majorHAnsi"/>
                <w:color w:val="404040" w:themeColor="text1" w:themeTint="BF"/>
                <w:sz w:val="20"/>
                <w:szCs w:val="20"/>
              </w:rPr>
            </w:pPr>
            <w:r>
              <w:rPr>
                <w:rFonts w:asciiTheme="majorHAnsi" w:hAnsiTheme="majorHAnsi"/>
                <w:color w:val="404040" w:themeColor="text1" w:themeTint="BF"/>
                <w:sz w:val="20"/>
                <w:szCs w:val="20"/>
              </w:rPr>
              <w:t>PO voucher match status shows “E” (match exception)</w:t>
            </w:r>
          </w:p>
          <w:p w14:paraId="052CB531" w14:textId="77777777" w:rsidR="008A7E9A" w:rsidRDefault="008A7E9A" w:rsidP="00AE2690">
            <w:pPr>
              <w:pStyle w:val="NormalWeb"/>
              <w:numPr>
                <w:ilvl w:val="1"/>
                <w:numId w:val="7"/>
              </w:numPr>
              <w:spacing w:before="0" w:beforeAutospacing="0" w:after="0" w:afterAutospacing="0"/>
              <w:rPr>
                <w:rFonts w:asciiTheme="majorHAnsi" w:hAnsiTheme="majorHAnsi"/>
                <w:color w:val="404040" w:themeColor="text1" w:themeTint="BF"/>
                <w:sz w:val="20"/>
                <w:szCs w:val="20"/>
              </w:rPr>
            </w:pPr>
            <w:r>
              <w:rPr>
                <w:rFonts w:asciiTheme="majorHAnsi" w:hAnsiTheme="majorHAnsi"/>
                <w:color w:val="404040" w:themeColor="text1" w:themeTint="BF"/>
                <w:sz w:val="20"/>
                <w:szCs w:val="20"/>
              </w:rPr>
              <w:t>For travel related PO,</w:t>
            </w:r>
          </w:p>
          <w:p w14:paraId="1F2FC5E9" w14:textId="77777777" w:rsidR="008A7E9A" w:rsidRDefault="008A7E9A" w:rsidP="00AE2690">
            <w:pPr>
              <w:pStyle w:val="NormalWeb"/>
              <w:numPr>
                <w:ilvl w:val="2"/>
                <w:numId w:val="7"/>
              </w:numPr>
              <w:spacing w:before="0" w:beforeAutospacing="0" w:after="0" w:afterAutospacing="0"/>
              <w:rPr>
                <w:rFonts w:asciiTheme="majorHAnsi" w:hAnsiTheme="majorHAnsi"/>
                <w:color w:val="404040" w:themeColor="text1" w:themeTint="BF"/>
                <w:sz w:val="20"/>
                <w:szCs w:val="20"/>
              </w:rPr>
            </w:pPr>
            <w:r>
              <w:rPr>
                <w:rFonts w:asciiTheme="majorHAnsi" w:hAnsiTheme="majorHAnsi"/>
                <w:color w:val="404040" w:themeColor="text1" w:themeTint="BF"/>
                <w:sz w:val="20"/>
                <w:szCs w:val="20"/>
              </w:rPr>
              <w:t>Uncheck “match required” for travel related PO</w:t>
            </w:r>
          </w:p>
          <w:p w14:paraId="06C847F5" w14:textId="77777777" w:rsidR="008A7E9A" w:rsidRDefault="008A7E9A" w:rsidP="006A77CA">
            <w:pPr>
              <w:pStyle w:val="NormalWeb"/>
              <w:numPr>
                <w:ilvl w:val="1"/>
                <w:numId w:val="7"/>
              </w:numPr>
              <w:spacing w:before="0" w:beforeAutospacing="0" w:after="0" w:afterAutospacing="0"/>
              <w:rPr>
                <w:rFonts w:asciiTheme="majorHAnsi" w:hAnsiTheme="majorHAnsi"/>
                <w:color w:val="404040" w:themeColor="text1" w:themeTint="BF"/>
                <w:sz w:val="20"/>
                <w:szCs w:val="20"/>
              </w:rPr>
            </w:pPr>
            <w:r>
              <w:rPr>
                <w:rFonts w:asciiTheme="majorHAnsi" w:hAnsiTheme="majorHAnsi"/>
                <w:color w:val="404040" w:themeColor="text1" w:themeTint="BF"/>
                <w:sz w:val="20"/>
                <w:szCs w:val="20"/>
              </w:rPr>
              <w:t>For non-travel related PO,</w:t>
            </w:r>
          </w:p>
          <w:p w14:paraId="4C7D410E" w14:textId="77777777" w:rsidR="008A7E9A" w:rsidRDefault="008A7E9A" w:rsidP="00114DD0">
            <w:pPr>
              <w:pStyle w:val="NormalWeb"/>
              <w:numPr>
                <w:ilvl w:val="2"/>
                <w:numId w:val="7"/>
              </w:numPr>
              <w:spacing w:before="0" w:beforeAutospacing="0" w:after="0" w:afterAutospacing="0"/>
              <w:rPr>
                <w:rFonts w:asciiTheme="majorHAnsi" w:hAnsiTheme="majorHAnsi"/>
                <w:color w:val="404040" w:themeColor="text1" w:themeTint="BF"/>
                <w:sz w:val="20"/>
                <w:szCs w:val="20"/>
              </w:rPr>
            </w:pPr>
            <w:r>
              <w:rPr>
                <w:rFonts w:asciiTheme="majorHAnsi" w:hAnsiTheme="majorHAnsi"/>
                <w:color w:val="404040" w:themeColor="text1" w:themeTint="BF"/>
                <w:sz w:val="20"/>
                <w:szCs w:val="20"/>
              </w:rPr>
              <w:t xml:space="preserve">Resolve the match exception based on type of exceptions. If it is because of no receipt created in Atlas, please enter the receipt. If overriding the match exception is required, please ensure that it is </w:t>
            </w:r>
            <w:r>
              <w:rPr>
                <w:rFonts w:asciiTheme="majorHAnsi" w:hAnsiTheme="majorHAnsi"/>
                <w:color w:val="404040" w:themeColor="text1" w:themeTint="BF"/>
                <w:sz w:val="20"/>
                <w:szCs w:val="20"/>
              </w:rPr>
              <w:lastRenderedPageBreak/>
              <w:t>compliance to the budget override policy.</w:t>
            </w:r>
          </w:p>
          <w:p w14:paraId="2FB36AA7" w14:textId="77777777" w:rsidR="008A7E9A" w:rsidRDefault="008A7E9A" w:rsidP="00287054">
            <w:pPr>
              <w:pStyle w:val="NormalWeb"/>
              <w:numPr>
                <w:ilvl w:val="2"/>
                <w:numId w:val="7"/>
              </w:numPr>
              <w:spacing w:before="0" w:beforeAutospacing="0" w:after="0" w:afterAutospacing="0"/>
              <w:rPr>
                <w:rFonts w:asciiTheme="majorHAnsi" w:hAnsiTheme="majorHAnsi"/>
                <w:color w:val="404040" w:themeColor="text1" w:themeTint="BF"/>
                <w:sz w:val="20"/>
                <w:szCs w:val="20"/>
              </w:rPr>
            </w:pPr>
            <w:r>
              <w:rPr>
                <w:rFonts w:asciiTheme="majorHAnsi" w:hAnsiTheme="majorHAnsi"/>
                <w:color w:val="404040" w:themeColor="text1" w:themeTint="BF"/>
                <w:sz w:val="20"/>
                <w:szCs w:val="20"/>
              </w:rPr>
              <w:t>Run pay cycle</w:t>
            </w:r>
          </w:p>
          <w:p w14:paraId="65C9AF1E" w14:textId="29602771" w:rsidR="008A7E9A" w:rsidRPr="00287054" w:rsidRDefault="008A7E9A" w:rsidP="00287054">
            <w:pPr>
              <w:pStyle w:val="NormalWeb"/>
              <w:numPr>
                <w:ilvl w:val="0"/>
                <w:numId w:val="7"/>
              </w:numPr>
              <w:spacing w:before="0" w:beforeAutospacing="0" w:after="0" w:afterAutospacing="0"/>
              <w:rPr>
                <w:rFonts w:asciiTheme="majorHAnsi" w:hAnsiTheme="majorHAnsi"/>
                <w:color w:val="404040" w:themeColor="text1" w:themeTint="BF"/>
                <w:sz w:val="20"/>
                <w:szCs w:val="20"/>
              </w:rPr>
            </w:pPr>
            <w:r>
              <w:rPr>
                <w:rFonts w:asciiTheme="majorHAnsi" w:hAnsiTheme="majorHAnsi"/>
                <w:color w:val="404040" w:themeColor="text1" w:themeTint="BF"/>
                <w:sz w:val="20"/>
                <w:szCs w:val="20"/>
              </w:rPr>
              <w:t xml:space="preserve">To clear the balance under account 21005 before project closure. </w:t>
            </w:r>
            <w:r w:rsidR="00B23490">
              <w:rPr>
                <w:rFonts w:asciiTheme="majorHAnsi" w:hAnsiTheme="majorHAnsi"/>
                <w:color w:val="404040" w:themeColor="text1" w:themeTint="BF"/>
                <w:sz w:val="20"/>
                <w:szCs w:val="20"/>
              </w:rPr>
              <w:t>E</w:t>
            </w:r>
            <w:r w:rsidR="006B07E6">
              <w:rPr>
                <w:rFonts w:asciiTheme="majorHAnsi" w:hAnsiTheme="majorHAnsi"/>
                <w:color w:val="404040" w:themeColor="text1" w:themeTint="BF"/>
                <w:sz w:val="20"/>
                <w:szCs w:val="20"/>
              </w:rPr>
              <w:t>nsure</w:t>
            </w:r>
            <w:r w:rsidRPr="00FB07FE">
              <w:rPr>
                <w:rFonts w:asciiTheme="majorHAnsi" w:hAnsiTheme="majorHAnsi"/>
                <w:color w:val="404040" w:themeColor="text1" w:themeTint="BF"/>
                <w:sz w:val="20"/>
                <w:szCs w:val="20"/>
              </w:rPr>
              <w:t xml:space="preserve"> that there is no open pending voucher (the pending voucher needs to be closed to reverse out the expense and Account Payable), and no voucher pending to be posted</w:t>
            </w:r>
            <w:r>
              <w:rPr>
                <w:rFonts w:asciiTheme="majorHAnsi" w:hAnsiTheme="majorHAnsi"/>
                <w:color w:val="404040" w:themeColor="text1" w:themeTint="BF"/>
                <w:sz w:val="20"/>
                <w:szCs w:val="20"/>
              </w:rPr>
              <w:t xml:space="preserve">. </w:t>
            </w:r>
            <w:r w:rsidRPr="00FB07FE">
              <w:rPr>
                <w:rFonts w:asciiTheme="majorHAnsi" w:hAnsiTheme="majorHAnsi"/>
                <w:color w:val="404040" w:themeColor="text1" w:themeTint="BF"/>
                <w:sz w:val="20"/>
                <w:szCs w:val="20"/>
              </w:rPr>
              <w:t>If this Atlas Query UN_PS_CLOSE_PENDING_VCHR_BY_PR does not give the result and you suspect that there are some pending vouchers</w:t>
            </w:r>
            <w:r>
              <w:rPr>
                <w:rFonts w:asciiTheme="majorHAnsi" w:hAnsiTheme="majorHAnsi"/>
                <w:color w:val="404040" w:themeColor="text1" w:themeTint="BF"/>
                <w:sz w:val="20"/>
                <w:szCs w:val="20"/>
              </w:rPr>
              <w:t>, please follow the steps below.</w:t>
            </w:r>
          </w:p>
          <w:p w14:paraId="054FF51B" w14:textId="77777777" w:rsidR="008A7E9A" w:rsidRPr="00FB07FE" w:rsidRDefault="008A7E9A" w:rsidP="009A77F5">
            <w:pPr>
              <w:pStyle w:val="ListParagraph"/>
              <w:numPr>
                <w:ilvl w:val="0"/>
                <w:numId w:val="36"/>
              </w:numPr>
              <w:rPr>
                <w:rFonts w:asciiTheme="majorHAnsi" w:hAnsiTheme="majorHAnsi"/>
                <w:color w:val="404040" w:themeColor="text1" w:themeTint="BF"/>
                <w:sz w:val="20"/>
                <w:szCs w:val="20"/>
              </w:rPr>
            </w:pPr>
            <w:r w:rsidRPr="00FB07FE">
              <w:rPr>
                <w:rFonts w:asciiTheme="majorHAnsi" w:hAnsiTheme="majorHAnsi"/>
                <w:i/>
                <w:iCs/>
                <w:color w:val="404040" w:themeColor="text1" w:themeTint="BF"/>
                <w:sz w:val="20"/>
                <w:szCs w:val="20"/>
              </w:rPr>
              <w:t xml:space="preserve">Run AAA report for account 21005 for project or fund. </w:t>
            </w:r>
          </w:p>
          <w:p w14:paraId="677AD32A" w14:textId="77777777" w:rsidR="008A7E9A" w:rsidRPr="00FB07FE" w:rsidRDefault="008A7E9A" w:rsidP="009A77F5">
            <w:pPr>
              <w:pStyle w:val="ListParagraph"/>
              <w:numPr>
                <w:ilvl w:val="0"/>
                <w:numId w:val="36"/>
              </w:numPr>
              <w:rPr>
                <w:rFonts w:asciiTheme="majorHAnsi" w:hAnsiTheme="majorHAnsi"/>
                <w:color w:val="404040" w:themeColor="text1" w:themeTint="BF"/>
                <w:sz w:val="20"/>
                <w:szCs w:val="20"/>
              </w:rPr>
            </w:pPr>
            <w:r w:rsidRPr="00FB07FE">
              <w:rPr>
                <w:rFonts w:asciiTheme="majorHAnsi" w:hAnsiTheme="majorHAnsi"/>
                <w:i/>
                <w:iCs/>
                <w:color w:val="404040" w:themeColor="text1" w:themeTint="BF"/>
                <w:sz w:val="20"/>
                <w:szCs w:val="20"/>
              </w:rPr>
              <w:t xml:space="preserve">Open the AAA result in excel. </w:t>
            </w:r>
          </w:p>
          <w:p w14:paraId="6E03E199" w14:textId="77777777" w:rsidR="008A7E9A" w:rsidRPr="00FB07FE" w:rsidRDefault="008A7E9A" w:rsidP="009A77F5">
            <w:pPr>
              <w:pStyle w:val="ListParagraph"/>
              <w:numPr>
                <w:ilvl w:val="0"/>
                <w:numId w:val="36"/>
              </w:numPr>
              <w:rPr>
                <w:rFonts w:asciiTheme="majorHAnsi" w:hAnsiTheme="majorHAnsi"/>
                <w:color w:val="404040" w:themeColor="text1" w:themeTint="BF"/>
                <w:sz w:val="20"/>
                <w:szCs w:val="20"/>
              </w:rPr>
            </w:pPr>
            <w:r w:rsidRPr="00FB07FE">
              <w:rPr>
                <w:rFonts w:asciiTheme="majorHAnsi" w:hAnsiTheme="majorHAnsi"/>
                <w:i/>
                <w:iCs/>
                <w:color w:val="404040" w:themeColor="text1" w:themeTint="BF"/>
                <w:sz w:val="20"/>
                <w:szCs w:val="20"/>
              </w:rPr>
              <w:t xml:space="preserve">Copy the whole column “Transaction Id” to the end of the column (which is column AG). </w:t>
            </w:r>
          </w:p>
          <w:p w14:paraId="25F2A7A4" w14:textId="77777777" w:rsidR="008A7E9A" w:rsidRPr="00FB07FE" w:rsidRDefault="008A7E9A" w:rsidP="009A77F5">
            <w:pPr>
              <w:pStyle w:val="ListParagraph"/>
              <w:numPr>
                <w:ilvl w:val="0"/>
                <w:numId w:val="36"/>
              </w:numPr>
              <w:rPr>
                <w:rFonts w:asciiTheme="majorHAnsi" w:hAnsiTheme="majorHAnsi"/>
                <w:color w:val="404040" w:themeColor="text1" w:themeTint="BF"/>
                <w:sz w:val="20"/>
                <w:szCs w:val="20"/>
              </w:rPr>
            </w:pPr>
            <w:r w:rsidRPr="00FB07FE">
              <w:rPr>
                <w:rFonts w:asciiTheme="majorHAnsi" w:hAnsiTheme="majorHAnsi"/>
                <w:i/>
                <w:iCs/>
                <w:color w:val="404040" w:themeColor="text1" w:themeTint="BF"/>
                <w:sz w:val="20"/>
                <w:szCs w:val="20"/>
              </w:rPr>
              <w:t xml:space="preserve">After that, convert text columns for column AG. (Steps – Select the whole column, click on “Text to Columns” from “data menu”, select “Delimited” and click on Next from “Convert Text to Columns Wizard – Step 1 of 3”. Then, type “minus” character in “Other” field and click on Next in “Convert Text to Columns Wizard – Step 2 of 3”.  Keep the first column (transaction business unit) and second column (transaction ID) and click on “Finish” in “Convert Text to Columns Wizard – Step 2 of 3”. Named the two newly column as Transaction BU and Transaction ID respectively.  </w:t>
            </w:r>
          </w:p>
          <w:p w14:paraId="6915F832" w14:textId="77777777" w:rsidR="008A7E9A" w:rsidRPr="00FB07FE" w:rsidRDefault="008A7E9A" w:rsidP="009A77F5">
            <w:pPr>
              <w:pStyle w:val="ListParagraph"/>
              <w:numPr>
                <w:ilvl w:val="0"/>
                <w:numId w:val="36"/>
              </w:numPr>
              <w:rPr>
                <w:rFonts w:asciiTheme="majorHAnsi" w:hAnsiTheme="majorHAnsi"/>
                <w:color w:val="404040" w:themeColor="text1" w:themeTint="BF"/>
                <w:sz w:val="20"/>
                <w:szCs w:val="20"/>
              </w:rPr>
            </w:pPr>
            <w:r w:rsidRPr="00FB07FE">
              <w:rPr>
                <w:rFonts w:asciiTheme="majorHAnsi" w:hAnsiTheme="majorHAnsi"/>
                <w:i/>
                <w:iCs/>
                <w:color w:val="404040" w:themeColor="text1" w:themeTint="BF"/>
                <w:sz w:val="20"/>
                <w:szCs w:val="20"/>
              </w:rPr>
              <w:t xml:space="preserve">Prepare a pivot table by Transaction Type, Transaction BU, Transaction ID, and amount.  Filter only “Vouchers” in </w:t>
            </w:r>
            <w:r w:rsidRPr="00FB07FE">
              <w:rPr>
                <w:rFonts w:asciiTheme="majorHAnsi" w:hAnsiTheme="majorHAnsi"/>
                <w:i/>
                <w:iCs/>
                <w:color w:val="404040" w:themeColor="text1" w:themeTint="BF"/>
                <w:sz w:val="20"/>
                <w:szCs w:val="20"/>
              </w:rPr>
              <w:lastRenderedPageBreak/>
              <w:t xml:space="preserve">Transaction Type. Look for the transactions, which have figures. Review these individual vouchers in ATLAS, whether they are incomplete (pending to closure or to post or exchange difference (Navigation = Main Menu &gt; Accounts Payable &gt; Review Accounts Payable Info &gt; Vouchers &gt; Accounting Entries). Then, take an appropriate action. </w:t>
            </w:r>
          </w:p>
          <w:p w14:paraId="627F325A" w14:textId="776E39DF" w:rsidR="008A7E9A" w:rsidRDefault="008A7E9A" w:rsidP="009A77F5">
            <w:pPr>
              <w:pStyle w:val="ListParagraph"/>
              <w:numPr>
                <w:ilvl w:val="0"/>
                <w:numId w:val="36"/>
              </w:numPr>
              <w:rPr>
                <w:rFonts w:asciiTheme="majorHAnsi" w:hAnsiTheme="majorHAnsi"/>
                <w:color w:val="404040" w:themeColor="text1" w:themeTint="BF"/>
                <w:sz w:val="20"/>
                <w:szCs w:val="20"/>
              </w:rPr>
            </w:pPr>
            <w:r w:rsidRPr="00FB07FE">
              <w:rPr>
                <w:rFonts w:asciiTheme="majorHAnsi" w:hAnsiTheme="majorHAnsi"/>
                <w:i/>
                <w:iCs/>
                <w:color w:val="404040" w:themeColor="text1" w:themeTint="BF"/>
                <w:sz w:val="20"/>
                <w:szCs w:val="20"/>
              </w:rPr>
              <w:t>For exchange difference, please prepare a GLJE to clear the difference from exchange rate difference amount in account 21005 and cha</w:t>
            </w:r>
            <w:r>
              <w:rPr>
                <w:rFonts w:asciiTheme="majorHAnsi" w:hAnsiTheme="majorHAnsi"/>
                <w:i/>
                <w:iCs/>
                <w:color w:val="404040" w:themeColor="text1" w:themeTint="BF"/>
                <w:sz w:val="20"/>
                <w:szCs w:val="20"/>
              </w:rPr>
              <w:t>r</w:t>
            </w:r>
            <w:r w:rsidRPr="00FB07FE">
              <w:rPr>
                <w:rFonts w:asciiTheme="majorHAnsi" w:hAnsiTheme="majorHAnsi"/>
                <w:i/>
                <w:iCs/>
                <w:color w:val="404040" w:themeColor="text1" w:themeTint="BF"/>
                <w:sz w:val="20"/>
                <w:szCs w:val="20"/>
              </w:rPr>
              <w:t>ge to Exchange gain or loss account (56010 or 76110)</w:t>
            </w:r>
            <w:r w:rsidRPr="00FB07FE">
              <w:rPr>
                <w:rFonts w:asciiTheme="majorHAnsi" w:hAnsiTheme="majorHAnsi"/>
                <w:color w:val="404040" w:themeColor="text1" w:themeTint="BF"/>
                <w:sz w:val="20"/>
                <w:szCs w:val="20"/>
              </w:rPr>
              <w:t>.”</w:t>
            </w:r>
          </w:p>
          <w:p w14:paraId="2732B169" w14:textId="77777777" w:rsidR="008A7E9A" w:rsidRPr="00FB07FE" w:rsidRDefault="008A7E9A" w:rsidP="00F32A4E">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To review balance and transaction details,</w:t>
            </w:r>
          </w:p>
          <w:p w14:paraId="5ECCDC03" w14:textId="77777777" w:rsidR="008A7E9A" w:rsidRPr="006E337A" w:rsidRDefault="008A7E9A" w:rsidP="009A77F5">
            <w:pPr>
              <w:pStyle w:val="ListParagraph"/>
              <w:numPr>
                <w:ilvl w:val="0"/>
                <w:numId w:val="12"/>
              </w:numPr>
              <w:rPr>
                <w:rFonts w:asciiTheme="majorHAnsi" w:hAnsiTheme="majorHAnsi"/>
                <w:color w:val="404040" w:themeColor="text1" w:themeTint="BF"/>
                <w:sz w:val="20"/>
                <w:szCs w:val="20"/>
              </w:rPr>
            </w:pPr>
            <w:r w:rsidRPr="006E337A">
              <w:rPr>
                <w:rFonts w:asciiTheme="majorHAnsi" w:hAnsiTheme="majorHAnsi"/>
                <w:color w:val="404040" w:themeColor="text1" w:themeTint="BF"/>
                <w:sz w:val="20"/>
                <w:szCs w:val="20"/>
              </w:rPr>
              <w:t>If any balance is outstanding per GL, please run AAA report to review and clear balance at Account - Fund – OU</w:t>
            </w:r>
            <w:r>
              <w:rPr>
                <w:rFonts w:asciiTheme="majorHAnsi" w:hAnsiTheme="majorHAnsi"/>
                <w:color w:val="404040" w:themeColor="text1" w:themeTint="BF"/>
                <w:sz w:val="20"/>
                <w:szCs w:val="20"/>
              </w:rPr>
              <w:t xml:space="preserve"> - Project</w:t>
            </w:r>
            <w:r w:rsidRPr="006E337A">
              <w:rPr>
                <w:rFonts w:asciiTheme="majorHAnsi" w:hAnsiTheme="majorHAnsi"/>
                <w:color w:val="404040" w:themeColor="text1" w:themeTint="BF"/>
                <w:sz w:val="20"/>
                <w:szCs w:val="20"/>
              </w:rPr>
              <w:t xml:space="preserve"> – </w:t>
            </w:r>
            <w:proofErr w:type="spellStart"/>
            <w:r w:rsidRPr="006E337A">
              <w:rPr>
                <w:rFonts w:asciiTheme="majorHAnsi" w:hAnsiTheme="majorHAnsi"/>
                <w:color w:val="404040" w:themeColor="text1" w:themeTint="BF"/>
                <w:sz w:val="20"/>
                <w:szCs w:val="20"/>
              </w:rPr>
              <w:t>Impl</w:t>
            </w:r>
            <w:proofErr w:type="spellEnd"/>
            <w:r w:rsidRPr="006E337A">
              <w:rPr>
                <w:rFonts w:asciiTheme="majorHAnsi" w:hAnsiTheme="majorHAnsi"/>
                <w:color w:val="404040" w:themeColor="text1" w:themeTint="BF"/>
                <w:sz w:val="20"/>
                <w:szCs w:val="20"/>
              </w:rPr>
              <w:t xml:space="preserve"> Agent – Donor level.</w:t>
            </w:r>
          </w:p>
          <w:p w14:paraId="74215B3E" w14:textId="6DEE6F04" w:rsidR="008A7E9A" w:rsidRPr="006E337A" w:rsidRDefault="008F088A" w:rsidP="009A77F5">
            <w:pPr>
              <w:pStyle w:val="ListParagraph"/>
              <w:numPr>
                <w:ilvl w:val="0"/>
                <w:numId w:val="12"/>
              </w:num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Alternative</w:t>
            </w:r>
            <w:r w:rsidR="008A7E9A" w:rsidRPr="006E337A">
              <w:rPr>
                <w:rFonts w:asciiTheme="majorHAnsi" w:hAnsiTheme="majorHAnsi"/>
                <w:color w:val="404040" w:themeColor="text1" w:themeTint="BF"/>
                <w:sz w:val="20"/>
                <w:szCs w:val="20"/>
              </w:rPr>
              <w:t xml:space="preserve">ly, run “Ledger Inquiry” to check GL balance and drill down to the transaction for review. </w:t>
            </w:r>
          </w:p>
          <w:p w14:paraId="3EB658E7" w14:textId="77777777" w:rsidR="008A7E9A" w:rsidRDefault="008A7E9A" w:rsidP="009A77F5">
            <w:pPr>
              <w:pStyle w:val="ListParagraph"/>
              <w:numPr>
                <w:ilvl w:val="0"/>
                <w:numId w:val="12"/>
              </w:numPr>
              <w:rPr>
                <w:rFonts w:asciiTheme="majorHAnsi" w:hAnsiTheme="majorHAnsi"/>
                <w:color w:val="404040" w:themeColor="text1" w:themeTint="BF"/>
                <w:sz w:val="20"/>
                <w:szCs w:val="20"/>
              </w:rPr>
            </w:pPr>
            <w:r w:rsidRPr="006E337A">
              <w:rPr>
                <w:rFonts w:asciiTheme="majorHAnsi" w:hAnsiTheme="majorHAnsi"/>
                <w:color w:val="404040" w:themeColor="text1" w:themeTint="BF"/>
                <w:sz w:val="20"/>
                <w:szCs w:val="20"/>
              </w:rPr>
              <w:t xml:space="preserve">Contact preparer of transaction if required. </w:t>
            </w:r>
          </w:p>
          <w:p w14:paraId="5AAF1AF8" w14:textId="22FB3F60" w:rsidR="008A7E9A" w:rsidRPr="00287054" w:rsidRDefault="008A7E9A" w:rsidP="00287054">
            <w:pPr>
              <w:pStyle w:val="ListParagraph"/>
              <w:rPr>
                <w:rFonts w:asciiTheme="majorHAnsi" w:hAnsiTheme="majorHAnsi"/>
                <w:color w:val="404040" w:themeColor="text1" w:themeTint="BF"/>
                <w:sz w:val="20"/>
                <w:szCs w:val="20"/>
              </w:rPr>
            </w:pPr>
            <w:r>
              <w:rPr>
                <w:rFonts w:asciiTheme="majorHAnsi" w:hAnsiTheme="majorHAnsi"/>
                <w:color w:val="404040" w:themeColor="text1" w:themeTint="BF"/>
                <w:sz w:val="20"/>
                <w:szCs w:val="20"/>
              </w:rPr>
              <w:t xml:space="preserve">First point of contact is your FBA focal point FBA.all@undp.org. If escalation is needed, you may contact </w:t>
            </w:r>
            <w:r w:rsidR="006B07E6">
              <w:rPr>
                <w:rFonts w:asciiTheme="majorHAnsi" w:hAnsiTheme="majorHAnsi"/>
                <w:color w:val="404040" w:themeColor="text1" w:themeTint="BF"/>
                <w:sz w:val="20"/>
                <w:szCs w:val="20"/>
              </w:rPr>
              <w:t>OFM/</w:t>
            </w:r>
            <w:r>
              <w:rPr>
                <w:rFonts w:asciiTheme="majorHAnsi" w:hAnsiTheme="majorHAnsi"/>
                <w:color w:val="404040" w:themeColor="text1" w:themeTint="BF"/>
                <w:sz w:val="20"/>
                <w:szCs w:val="20"/>
              </w:rPr>
              <w:t>CFRA.</w:t>
            </w:r>
          </w:p>
          <w:p w14:paraId="7C359D5F" w14:textId="77777777" w:rsidR="008A7E9A" w:rsidRPr="009534CA" w:rsidRDefault="008A7E9A" w:rsidP="00287054">
            <w:pPr>
              <w:pStyle w:val="NormalWeb"/>
              <w:spacing w:before="0" w:beforeAutospacing="0" w:after="0" w:afterAutospacing="0"/>
              <w:rPr>
                <w:rFonts w:asciiTheme="majorHAnsi" w:hAnsiTheme="majorHAnsi"/>
                <w:color w:val="404040" w:themeColor="text1" w:themeTint="BF"/>
                <w:sz w:val="20"/>
                <w:szCs w:val="20"/>
              </w:rPr>
            </w:pPr>
          </w:p>
        </w:tc>
      </w:tr>
      <w:tr w:rsidR="00E5285F" w:rsidRPr="009534CA" w14:paraId="743D1784" w14:textId="77777777" w:rsidTr="007464B7">
        <w:tc>
          <w:tcPr>
            <w:tcW w:w="275" w:type="pct"/>
          </w:tcPr>
          <w:p w14:paraId="1F26A493" w14:textId="77777777" w:rsidR="008A7E9A"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lastRenderedPageBreak/>
              <w:t>9</w:t>
            </w:r>
          </w:p>
        </w:tc>
        <w:tc>
          <w:tcPr>
            <w:tcW w:w="1234" w:type="pct"/>
          </w:tcPr>
          <w:p w14:paraId="28845506" w14:textId="77777777" w:rsidR="008A7E9A" w:rsidRPr="00BA3A63" w:rsidRDefault="008A7E9A" w:rsidP="006A77CA">
            <w:pPr>
              <w:rPr>
                <w:rFonts w:asciiTheme="majorHAnsi" w:hAnsiTheme="majorHAnsi"/>
                <w:color w:val="404040" w:themeColor="text1" w:themeTint="BF"/>
                <w:sz w:val="20"/>
                <w:szCs w:val="20"/>
              </w:rPr>
            </w:pPr>
            <w:r w:rsidRPr="00BA3A63">
              <w:rPr>
                <w:rFonts w:asciiTheme="majorHAnsi" w:hAnsiTheme="majorHAnsi"/>
                <w:color w:val="404040" w:themeColor="text1" w:themeTint="BF"/>
                <w:sz w:val="20"/>
                <w:szCs w:val="20"/>
              </w:rPr>
              <w:t>All pre-financing activities have been recovered and/or reimbursed.</w:t>
            </w:r>
          </w:p>
        </w:tc>
        <w:tc>
          <w:tcPr>
            <w:tcW w:w="1510" w:type="pct"/>
          </w:tcPr>
          <w:p w14:paraId="77BE94CD" w14:textId="77777777" w:rsidR="008A7E9A" w:rsidRPr="009534CA" w:rsidRDefault="008A7E9A" w:rsidP="006A77CA">
            <w:pPr>
              <w:rPr>
                <w:rFonts w:asciiTheme="majorHAnsi" w:hAnsiTheme="majorHAnsi"/>
                <w:color w:val="404040" w:themeColor="text1" w:themeTint="BF"/>
                <w:sz w:val="20"/>
                <w:szCs w:val="20"/>
              </w:rPr>
            </w:pPr>
          </w:p>
        </w:tc>
        <w:tc>
          <w:tcPr>
            <w:tcW w:w="1980" w:type="pct"/>
          </w:tcPr>
          <w:p w14:paraId="655F8391" w14:textId="77777777" w:rsidR="008A7E9A" w:rsidRPr="009534CA"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The supporting documents (if any) should be uploaded to Atlas UNDP Project Closure Workbench (Attachments Tab)</w:t>
            </w:r>
          </w:p>
        </w:tc>
      </w:tr>
      <w:tr w:rsidR="00E5285F" w:rsidRPr="009534CA" w14:paraId="7D4C9C20" w14:textId="77777777" w:rsidTr="007464B7">
        <w:tc>
          <w:tcPr>
            <w:tcW w:w="275" w:type="pct"/>
          </w:tcPr>
          <w:p w14:paraId="66BC0F86" w14:textId="77777777" w:rsidR="008A7E9A"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lastRenderedPageBreak/>
              <w:t>10</w:t>
            </w:r>
          </w:p>
        </w:tc>
        <w:tc>
          <w:tcPr>
            <w:tcW w:w="1234" w:type="pct"/>
          </w:tcPr>
          <w:p w14:paraId="57AC6929" w14:textId="14BD5A9D" w:rsidR="008A7E9A" w:rsidRPr="00BA3A63" w:rsidRDefault="008A7E9A" w:rsidP="006A77CA">
            <w:pPr>
              <w:rPr>
                <w:rFonts w:asciiTheme="majorHAnsi" w:hAnsiTheme="majorHAnsi"/>
                <w:color w:val="404040" w:themeColor="text1" w:themeTint="BF"/>
                <w:sz w:val="20"/>
                <w:szCs w:val="20"/>
              </w:rPr>
            </w:pPr>
            <w:r w:rsidRPr="00BA3A63">
              <w:rPr>
                <w:rFonts w:asciiTheme="majorHAnsi" w:hAnsiTheme="majorHAnsi"/>
                <w:color w:val="404040" w:themeColor="text1" w:themeTint="BF"/>
                <w:sz w:val="20"/>
                <w:szCs w:val="20"/>
              </w:rPr>
              <w:t xml:space="preserve">No pending </w:t>
            </w:r>
            <w:r w:rsidR="008772FB">
              <w:rPr>
                <w:rFonts w:asciiTheme="majorHAnsi" w:hAnsiTheme="majorHAnsi"/>
                <w:color w:val="404040" w:themeColor="text1" w:themeTint="BF"/>
                <w:sz w:val="20"/>
                <w:szCs w:val="20"/>
              </w:rPr>
              <w:t>General Management Support (</w:t>
            </w:r>
            <w:r w:rsidRPr="00BA3A63">
              <w:rPr>
                <w:rFonts w:asciiTheme="majorHAnsi" w:hAnsiTheme="majorHAnsi"/>
                <w:color w:val="404040" w:themeColor="text1" w:themeTint="BF"/>
                <w:sz w:val="20"/>
                <w:szCs w:val="20"/>
              </w:rPr>
              <w:t>GMS</w:t>
            </w:r>
            <w:r w:rsidR="008772FB">
              <w:rPr>
                <w:rFonts w:asciiTheme="majorHAnsi" w:hAnsiTheme="majorHAnsi"/>
                <w:color w:val="404040" w:themeColor="text1" w:themeTint="BF"/>
                <w:sz w:val="20"/>
                <w:szCs w:val="20"/>
              </w:rPr>
              <w:t>)</w:t>
            </w:r>
            <w:r w:rsidRPr="00BA3A63">
              <w:rPr>
                <w:rFonts w:asciiTheme="majorHAnsi" w:hAnsiTheme="majorHAnsi"/>
                <w:color w:val="404040" w:themeColor="text1" w:themeTint="BF"/>
                <w:sz w:val="20"/>
                <w:szCs w:val="20"/>
              </w:rPr>
              <w:t xml:space="preserve"> or Direct Project Charging (Formerly ISS). (If Off-the-top GMS was used</w:t>
            </w:r>
            <w:r w:rsidR="00DB739E">
              <w:rPr>
                <w:rFonts w:asciiTheme="majorHAnsi" w:hAnsiTheme="majorHAnsi"/>
                <w:color w:val="404040" w:themeColor="text1" w:themeTint="BF"/>
                <w:sz w:val="20"/>
                <w:szCs w:val="20"/>
              </w:rPr>
              <w:t xml:space="preserve"> in the past</w:t>
            </w:r>
            <w:r w:rsidRPr="00BA3A63">
              <w:rPr>
                <w:rFonts w:asciiTheme="majorHAnsi" w:hAnsiTheme="majorHAnsi"/>
                <w:color w:val="404040" w:themeColor="text1" w:themeTint="BF"/>
                <w:sz w:val="20"/>
                <w:szCs w:val="20"/>
              </w:rPr>
              <w:t>, extra-budgetary income taken must be reconciled to actual expense/delivery. A pro-rata return of GMS based on the balance of unspent funds must be done);</w:t>
            </w:r>
          </w:p>
        </w:tc>
        <w:tc>
          <w:tcPr>
            <w:tcW w:w="1510" w:type="pct"/>
          </w:tcPr>
          <w:p w14:paraId="0C4B2FCD" w14:textId="43091A47" w:rsidR="008A7E9A" w:rsidRDefault="008A7E9A" w:rsidP="006A77CA">
            <w:pPr>
              <w:rPr>
                <w:rFonts w:asciiTheme="majorHAnsi" w:hAnsiTheme="majorHAnsi"/>
                <w:color w:val="404040" w:themeColor="text1" w:themeTint="BF"/>
                <w:sz w:val="20"/>
                <w:szCs w:val="20"/>
              </w:rPr>
            </w:pPr>
            <w:r w:rsidRPr="00FC5F23">
              <w:rPr>
                <w:rFonts w:ascii="Calibri" w:hAnsi="Calibri" w:cs="Calibri"/>
                <w:sz w:val="20"/>
                <w:szCs w:val="20"/>
              </w:rPr>
              <w:t xml:space="preserve">Run </w:t>
            </w:r>
            <w:hyperlink r:id="rId40" w:tgtFrame="_blank" w:history="1">
              <w:r w:rsidRPr="00FC5F23">
                <w:rPr>
                  <w:rStyle w:val="Hyperlink"/>
                  <w:rFonts w:ascii="Calibri" w:hAnsi="Calibri" w:cs="Calibri"/>
                  <w:sz w:val="20"/>
                  <w:szCs w:val="20"/>
                </w:rPr>
                <w:t>Charged GMS Rate %</w:t>
              </w:r>
            </w:hyperlink>
            <w:r>
              <w:rPr>
                <w:rStyle w:val="Hyperlink"/>
                <w:rFonts w:ascii="Calibri" w:hAnsi="Calibri" w:cs="Calibri"/>
                <w:sz w:val="20"/>
                <w:szCs w:val="20"/>
              </w:rPr>
              <w:t xml:space="preserve"> </w:t>
            </w:r>
            <w:r w:rsidRPr="00D80C49">
              <w:rPr>
                <w:rFonts w:asciiTheme="majorHAnsi" w:hAnsiTheme="majorHAnsi"/>
                <w:color w:val="404040" w:themeColor="text1" w:themeTint="BF"/>
                <w:sz w:val="20"/>
                <w:szCs w:val="20"/>
              </w:rPr>
              <w:t xml:space="preserve">in the </w:t>
            </w:r>
            <w:r>
              <w:rPr>
                <w:rFonts w:asciiTheme="majorHAnsi" w:hAnsiTheme="majorHAnsi"/>
                <w:color w:val="404040" w:themeColor="text1" w:themeTint="BF"/>
                <w:sz w:val="20"/>
                <w:szCs w:val="20"/>
              </w:rPr>
              <w:t>“</w:t>
            </w:r>
            <w:r w:rsidRPr="00D80C49">
              <w:rPr>
                <w:rFonts w:asciiTheme="majorHAnsi" w:hAnsiTheme="majorHAnsi"/>
                <w:color w:val="404040" w:themeColor="text1" w:themeTint="BF"/>
                <w:sz w:val="20"/>
                <w:szCs w:val="20"/>
              </w:rPr>
              <w:t>project closure workbench</w:t>
            </w:r>
            <w:r>
              <w:rPr>
                <w:rFonts w:asciiTheme="majorHAnsi" w:hAnsiTheme="majorHAnsi"/>
                <w:color w:val="404040" w:themeColor="text1" w:themeTint="BF"/>
                <w:sz w:val="20"/>
                <w:szCs w:val="20"/>
              </w:rPr>
              <w:t>”</w:t>
            </w:r>
            <w:r>
              <w:rPr>
                <w:rFonts w:asciiTheme="majorHAnsi" w:hAnsiTheme="majorHAnsi"/>
                <w:color w:val="404040" w:themeColor="text1" w:themeTint="BF"/>
              </w:rPr>
              <w:t xml:space="preserve"> </w:t>
            </w:r>
            <w:r w:rsidRPr="00D80C49">
              <w:rPr>
                <w:rFonts w:asciiTheme="majorHAnsi" w:hAnsiTheme="majorHAnsi"/>
                <w:color w:val="404040" w:themeColor="text1" w:themeTint="BF"/>
                <w:sz w:val="20"/>
                <w:szCs w:val="20"/>
              </w:rPr>
              <w:t xml:space="preserve">and </w:t>
            </w:r>
            <w:r>
              <w:rPr>
                <w:rFonts w:asciiTheme="majorHAnsi" w:hAnsiTheme="majorHAnsi"/>
                <w:color w:val="404040" w:themeColor="text1" w:themeTint="BF"/>
                <w:sz w:val="20"/>
                <w:szCs w:val="20"/>
              </w:rPr>
              <w:t>ensure</w:t>
            </w:r>
            <w:r w:rsidRPr="00AD4324">
              <w:rPr>
                <w:rFonts w:asciiTheme="majorHAnsi" w:hAnsiTheme="majorHAnsi"/>
                <w:color w:val="404040" w:themeColor="text1" w:themeTint="BF"/>
              </w:rPr>
              <w:t xml:space="preserve"> </w:t>
            </w:r>
            <w:r>
              <w:rPr>
                <w:rFonts w:asciiTheme="majorHAnsi" w:hAnsiTheme="majorHAnsi"/>
                <w:color w:val="404040" w:themeColor="text1" w:themeTint="BF"/>
                <w:sz w:val="20"/>
                <w:szCs w:val="20"/>
              </w:rPr>
              <w:t>Charged GMS Rate% in the report agrees to the GMS % agreed with donor.</w:t>
            </w:r>
          </w:p>
          <w:p w14:paraId="3B758026" w14:textId="0FFED6EC" w:rsidR="008A7E9A" w:rsidRDefault="00DB739E" w:rsidP="006A77CA">
            <w:pPr>
              <w:rPr>
                <w:rFonts w:asciiTheme="majorHAnsi" w:hAnsiTheme="majorHAnsi"/>
                <w:color w:val="404040" w:themeColor="text1" w:themeTint="BF"/>
                <w:sz w:val="20"/>
                <w:szCs w:val="20"/>
              </w:rPr>
            </w:pPr>
            <w:r>
              <w:rPr>
                <w:rFonts w:ascii="Arial" w:hAnsi="Arial" w:cs="Arial"/>
                <w:color w:val="404040" w:themeColor="text1" w:themeTint="BF"/>
                <w:sz w:val="20"/>
                <w:szCs w:val="20"/>
              </w:rPr>
              <w:t>(Refer to notes in the respective Contracts for agreements signed after 2018).</w:t>
            </w:r>
          </w:p>
          <w:p w14:paraId="25C1FFE2" w14:textId="77777777" w:rsidR="008A7E9A"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 xml:space="preserve">Or Query </w:t>
            </w:r>
            <w:r w:rsidRPr="004010F4">
              <w:rPr>
                <w:rFonts w:asciiTheme="majorHAnsi" w:hAnsiTheme="majorHAnsi"/>
                <w:color w:val="404040" w:themeColor="text1" w:themeTint="BF"/>
                <w:sz w:val="20"/>
                <w:szCs w:val="20"/>
              </w:rPr>
              <w:t xml:space="preserve">UN_PS_CLOSE_GMS_ACTUAL </w:t>
            </w:r>
          </w:p>
          <w:p w14:paraId="1E823EEB" w14:textId="77777777" w:rsidR="008A7E9A" w:rsidRDefault="008A7E9A" w:rsidP="006A77CA">
            <w:pPr>
              <w:rPr>
                <w:rFonts w:asciiTheme="majorHAnsi" w:hAnsiTheme="majorHAnsi"/>
                <w:color w:val="404040" w:themeColor="text1" w:themeTint="BF"/>
                <w:sz w:val="20"/>
                <w:szCs w:val="20"/>
              </w:rPr>
            </w:pPr>
          </w:p>
          <w:p w14:paraId="05B49198" w14:textId="77777777" w:rsidR="008A7E9A" w:rsidRPr="00FC5F23" w:rsidRDefault="008A7E9A" w:rsidP="006A77CA">
            <w:pPr>
              <w:rPr>
                <w:rFonts w:asciiTheme="majorHAnsi" w:hAnsiTheme="majorHAnsi"/>
                <w:color w:val="404040" w:themeColor="text1" w:themeTint="BF"/>
                <w:sz w:val="20"/>
                <w:szCs w:val="20"/>
              </w:rPr>
            </w:pPr>
          </w:p>
        </w:tc>
        <w:tc>
          <w:tcPr>
            <w:tcW w:w="1980" w:type="pct"/>
          </w:tcPr>
          <w:p w14:paraId="7B422DFC" w14:textId="77777777" w:rsidR="008A7E9A" w:rsidRDefault="008A7E9A" w:rsidP="006A77CA">
            <w:pPr>
              <w:pStyle w:val="NormalWeb"/>
              <w:ind w:left="360"/>
              <w:rPr>
                <w:rFonts w:asciiTheme="majorHAnsi" w:hAnsiTheme="majorHAnsi"/>
                <w:color w:val="404040" w:themeColor="text1" w:themeTint="BF"/>
                <w:sz w:val="20"/>
                <w:szCs w:val="20"/>
              </w:rPr>
            </w:pPr>
            <w:r>
              <w:rPr>
                <w:rFonts w:asciiTheme="majorHAnsi" w:hAnsiTheme="majorHAnsi"/>
                <w:color w:val="404040" w:themeColor="text1" w:themeTint="BF"/>
                <w:sz w:val="20"/>
                <w:szCs w:val="20"/>
              </w:rPr>
              <w:t>Review if there is over or under-charged GMS</w:t>
            </w:r>
          </w:p>
          <w:p w14:paraId="34EB1E79" w14:textId="77777777" w:rsidR="008A7E9A" w:rsidRPr="00007FDB" w:rsidRDefault="008A7E9A" w:rsidP="006A77CA">
            <w:pPr>
              <w:pStyle w:val="NormalWeb"/>
              <w:numPr>
                <w:ilvl w:val="0"/>
                <w:numId w:val="8"/>
              </w:numPr>
              <w:spacing w:before="0" w:beforeAutospacing="0" w:after="0" w:afterAutospacing="0"/>
              <w:rPr>
                <w:rFonts w:asciiTheme="majorHAnsi" w:hAnsiTheme="majorHAnsi"/>
                <w:color w:val="404040" w:themeColor="text1" w:themeTint="BF"/>
                <w:sz w:val="20"/>
                <w:szCs w:val="20"/>
              </w:rPr>
            </w:pPr>
            <w:r>
              <w:rPr>
                <w:rFonts w:asciiTheme="majorHAnsi" w:hAnsiTheme="majorHAnsi"/>
                <w:color w:val="404040" w:themeColor="text1" w:themeTint="BF"/>
                <w:sz w:val="20"/>
                <w:szCs w:val="20"/>
              </w:rPr>
              <w:t xml:space="preserve">Generate AAA report and </w:t>
            </w:r>
            <w:r w:rsidRPr="00007FDB">
              <w:rPr>
                <w:rFonts w:asciiTheme="majorHAnsi" w:hAnsiTheme="majorHAnsi"/>
                <w:color w:val="404040" w:themeColor="text1" w:themeTint="BF"/>
                <w:sz w:val="20"/>
                <w:szCs w:val="20"/>
              </w:rPr>
              <w:t xml:space="preserve">Summarize expenses by: </w:t>
            </w:r>
          </w:p>
          <w:p w14:paraId="3AFCE099" w14:textId="77777777" w:rsidR="008A7E9A" w:rsidRPr="00007FDB" w:rsidRDefault="008A7E9A" w:rsidP="006A77CA">
            <w:pPr>
              <w:pStyle w:val="NormalWeb"/>
              <w:numPr>
                <w:ilvl w:val="0"/>
                <w:numId w:val="9"/>
              </w:numPr>
              <w:spacing w:before="0" w:beforeAutospacing="0" w:after="0" w:afterAutospacing="0"/>
              <w:rPr>
                <w:rFonts w:asciiTheme="majorHAnsi" w:hAnsiTheme="majorHAnsi"/>
                <w:color w:val="404040" w:themeColor="text1" w:themeTint="BF"/>
                <w:sz w:val="20"/>
                <w:szCs w:val="20"/>
              </w:rPr>
            </w:pPr>
            <w:r w:rsidRPr="00007FDB">
              <w:rPr>
                <w:rFonts w:asciiTheme="majorHAnsi" w:hAnsiTheme="majorHAnsi"/>
                <w:color w:val="404040" w:themeColor="text1" w:themeTint="BF"/>
                <w:sz w:val="20"/>
                <w:szCs w:val="20"/>
              </w:rPr>
              <w:t xml:space="preserve">Project Net Expenses (accounts 6xxxx and 7xxxx excluding 761xx and 751xx) </w:t>
            </w:r>
          </w:p>
          <w:p w14:paraId="124122DB" w14:textId="77777777" w:rsidR="008A7E9A" w:rsidRPr="00007FDB" w:rsidRDefault="008A7E9A" w:rsidP="006A77CA">
            <w:pPr>
              <w:pStyle w:val="NormalWeb"/>
              <w:numPr>
                <w:ilvl w:val="0"/>
                <w:numId w:val="9"/>
              </w:numPr>
              <w:spacing w:before="0" w:beforeAutospacing="0" w:after="0" w:afterAutospacing="0"/>
              <w:rPr>
                <w:rFonts w:asciiTheme="majorHAnsi" w:hAnsiTheme="majorHAnsi"/>
                <w:color w:val="404040" w:themeColor="text1" w:themeTint="BF"/>
                <w:sz w:val="20"/>
                <w:szCs w:val="20"/>
              </w:rPr>
            </w:pPr>
            <w:r w:rsidRPr="00007FDB">
              <w:rPr>
                <w:rFonts w:asciiTheme="majorHAnsi" w:hAnsiTheme="majorHAnsi"/>
                <w:color w:val="404040" w:themeColor="text1" w:themeTint="BF"/>
                <w:sz w:val="20"/>
                <w:szCs w:val="20"/>
              </w:rPr>
              <w:t xml:space="preserve">GMS – accounts 75105, 75110, 75115 </w:t>
            </w:r>
          </w:p>
          <w:p w14:paraId="67E2D3CB" w14:textId="336A205F" w:rsidR="008A7E9A" w:rsidRPr="00007FDB" w:rsidRDefault="008A7E9A" w:rsidP="006A77CA">
            <w:pPr>
              <w:pStyle w:val="NormalWeb"/>
              <w:numPr>
                <w:ilvl w:val="0"/>
                <w:numId w:val="8"/>
              </w:numPr>
              <w:spacing w:before="0" w:beforeAutospacing="0" w:after="0" w:afterAutospacing="0"/>
              <w:rPr>
                <w:rFonts w:asciiTheme="majorHAnsi" w:hAnsiTheme="majorHAnsi"/>
                <w:color w:val="404040" w:themeColor="text1" w:themeTint="BF"/>
                <w:sz w:val="20"/>
                <w:szCs w:val="20"/>
              </w:rPr>
            </w:pPr>
            <w:r w:rsidRPr="00007FDB">
              <w:rPr>
                <w:rFonts w:asciiTheme="majorHAnsi" w:hAnsiTheme="majorHAnsi"/>
                <w:color w:val="404040" w:themeColor="text1" w:themeTint="BF"/>
                <w:sz w:val="20"/>
                <w:szCs w:val="20"/>
              </w:rPr>
              <w:t xml:space="preserve">Review the charges under 751xx noting any non-GMS expenses which have been posted via </w:t>
            </w:r>
            <w:r w:rsidR="005B76C7">
              <w:rPr>
                <w:rFonts w:asciiTheme="majorHAnsi" w:hAnsiTheme="majorHAnsi"/>
                <w:color w:val="404040" w:themeColor="text1" w:themeTint="BF"/>
                <w:sz w:val="20"/>
                <w:szCs w:val="20"/>
              </w:rPr>
              <w:t>Accounts Payable (</w:t>
            </w:r>
            <w:r w:rsidRPr="00007FDB">
              <w:rPr>
                <w:rFonts w:asciiTheme="majorHAnsi" w:hAnsiTheme="majorHAnsi"/>
                <w:color w:val="404040" w:themeColor="text1" w:themeTint="BF"/>
                <w:sz w:val="20"/>
                <w:szCs w:val="20"/>
              </w:rPr>
              <w:t>AP</w:t>
            </w:r>
            <w:r w:rsidR="005B76C7">
              <w:rPr>
                <w:rFonts w:asciiTheme="majorHAnsi" w:hAnsiTheme="majorHAnsi"/>
                <w:color w:val="404040" w:themeColor="text1" w:themeTint="BF"/>
                <w:sz w:val="20"/>
                <w:szCs w:val="20"/>
              </w:rPr>
              <w:t>)</w:t>
            </w:r>
            <w:r w:rsidRPr="00007FDB">
              <w:rPr>
                <w:rFonts w:asciiTheme="majorHAnsi" w:hAnsiTheme="majorHAnsi"/>
                <w:color w:val="404040" w:themeColor="text1" w:themeTint="BF"/>
                <w:sz w:val="20"/>
                <w:szCs w:val="20"/>
              </w:rPr>
              <w:t xml:space="preserve"> and GLJE </w:t>
            </w:r>
          </w:p>
          <w:p w14:paraId="03E40158" w14:textId="77777777" w:rsidR="008A7E9A" w:rsidRPr="00007FDB" w:rsidRDefault="008A7E9A" w:rsidP="006A77CA">
            <w:pPr>
              <w:pStyle w:val="NormalWeb"/>
              <w:numPr>
                <w:ilvl w:val="0"/>
                <w:numId w:val="8"/>
              </w:numPr>
              <w:spacing w:before="0" w:beforeAutospacing="0" w:after="0" w:afterAutospacing="0"/>
              <w:rPr>
                <w:rFonts w:asciiTheme="majorHAnsi" w:hAnsiTheme="majorHAnsi"/>
                <w:color w:val="404040" w:themeColor="text1" w:themeTint="BF"/>
                <w:sz w:val="20"/>
                <w:szCs w:val="20"/>
              </w:rPr>
            </w:pPr>
            <w:r w:rsidRPr="00007FDB">
              <w:rPr>
                <w:rFonts w:asciiTheme="majorHAnsi" w:hAnsiTheme="majorHAnsi"/>
                <w:color w:val="404040" w:themeColor="text1" w:themeTint="BF"/>
                <w:sz w:val="20"/>
                <w:szCs w:val="20"/>
              </w:rPr>
              <w:t xml:space="preserve">Reverse non-GMS expenses to the appropriate 6xxxx/7xxxx accounts via GLJE if required. </w:t>
            </w:r>
          </w:p>
          <w:p w14:paraId="5D144457" w14:textId="3E87CA91" w:rsidR="008A7E9A" w:rsidRPr="00007FDB" w:rsidRDefault="008A7E9A" w:rsidP="006A77CA">
            <w:pPr>
              <w:pStyle w:val="NormalWeb"/>
              <w:numPr>
                <w:ilvl w:val="0"/>
                <w:numId w:val="8"/>
              </w:numPr>
              <w:spacing w:before="0" w:beforeAutospacing="0" w:after="0" w:afterAutospacing="0"/>
              <w:rPr>
                <w:rFonts w:asciiTheme="majorHAnsi" w:hAnsiTheme="majorHAnsi"/>
                <w:color w:val="404040" w:themeColor="text1" w:themeTint="BF"/>
                <w:sz w:val="20"/>
                <w:szCs w:val="20"/>
              </w:rPr>
            </w:pPr>
            <w:r>
              <w:rPr>
                <w:rFonts w:asciiTheme="majorHAnsi" w:hAnsiTheme="majorHAnsi"/>
                <w:color w:val="404040" w:themeColor="text1" w:themeTint="BF"/>
                <w:sz w:val="20"/>
                <w:szCs w:val="20"/>
              </w:rPr>
              <w:t xml:space="preserve">Calculate </w:t>
            </w:r>
            <w:r w:rsidRPr="00007FDB">
              <w:rPr>
                <w:rFonts w:asciiTheme="majorHAnsi" w:hAnsiTheme="majorHAnsi"/>
                <w:color w:val="404040" w:themeColor="text1" w:themeTint="BF"/>
                <w:sz w:val="20"/>
                <w:szCs w:val="20"/>
              </w:rPr>
              <w:t xml:space="preserve">the amount of GMS on project net expenses for the appropriate GMS rate as agreed with the donor </w:t>
            </w:r>
          </w:p>
          <w:p w14:paraId="6D8EA05C" w14:textId="77777777" w:rsidR="008A7E9A" w:rsidRDefault="008A7E9A" w:rsidP="006A77CA">
            <w:pPr>
              <w:pStyle w:val="NormalWeb"/>
              <w:numPr>
                <w:ilvl w:val="0"/>
                <w:numId w:val="8"/>
              </w:numPr>
              <w:spacing w:before="0" w:beforeAutospacing="0" w:after="0" w:afterAutospacing="0"/>
              <w:rPr>
                <w:rFonts w:asciiTheme="majorHAnsi" w:hAnsiTheme="majorHAnsi"/>
                <w:color w:val="404040" w:themeColor="text1" w:themeTint="BF"/>
                <w:sz w:val="20"/>
                <w:szCs w:val="20"/>
              </w:rPr>
            </w:pPr>
            <w:r w:rsidRPr="00007FDB">
              <w:rPr>
                <w:rFonts w:asciiTheme="majorHAnsi" w:hAnsiTheme="majorHAnsi"/>
                <w:color w:val="404040" w:themeColor="text1" w:themeTint="BF"/>
                <w:sz w:val="20"/>
                <w:szCs w:val="20"/>
              </w:rPr>
              <w:t xml:space="preserve">Calculate the difference between the </w:t>
            </w:r>
            <w:r>
              <w:rPr>
                <w:rFonts w:asciiTheme="majorHAnsi" w:hAnsiTheme="majorHAnsi"/>
                <w:color w:val="404040" w:themeColor="text1" w:themeTint="BF"/>
                <w:sz w:val="20"/>
                <w:szCs w:val="20"/>
              </w:rPr>
              <w:t xml:space="preserve">collected </w:t>
            </w:r>
            <w:r w:rsidRPr="00007FDB">
              <w:rPr>
                <w:rFonts w:asciiTheme="majorHAnsi" w:hAnsiTheme="majorHAnsi"/>
                <w:color w:val="404040" w:themeColor="text1" w:themeTint="BF"/>
                <w:sz w:val="20"/>
                <w:szCs w:val="20"/>
              </w:rPr>
              <w:t xml:space="preserve">GMS and </w:t>
            </w:r>
            <w:r>
              <w:rPr>
                <w:rFonts w:asciiTheme="majorHAnsi" w:hAnsiTheme="majorHAnsi"/>
                <w:color w:val="404040" w:themeColor="text1" w:themeTint="BF"/>
                <w:sz w:val="20"/>
                <w:szCs w:val="20"/>
              </w:rPr>
              <w:t>the</w:t>
            </w:r>
            <w:r w:rsidRPr="00007FDB">
              <w:rPr>
                <w:rFonts w:asciiTheme="majorHAnsi" w:hAnsiTheme="majorHAnsi"/>
                <w:color w:val="404040" w:themeColor="text1" w:themeTint="BF"/>
                <w:sz w:val="20"/>
                <w:szCs w:val="20"/>
              </w:rPr>
              <w:t xml:space="preserve"> GMS on Project Net Expenses </w:t>
            </w:r>
          </w:p>
          <w:p w14:paraId="13AAD2B3" w14:textId="77777777" w:rsidR="008A7E9A" w:rsidRPr="00007FDB" w:rsidRDefault="008A7E9A" w:rsidP="006A77CA">
            <w:pPr>
              <w:pStyle w:val="NormalWeb"/>
              <w:numPr>
                <w:ilvl w:val="0"/>
                <w:numId w:val="8"/>
              </w:numPr>
              <w:spacing w:before="0" w:beforeAutospacing="0" w:after="0" w:afterAutospacing="0"/>
              <w:rPr>
                <w:rFonts w:asciiTheme="majorHAnsi" w:hAnsiTheme="majorHAnsi"/>
                <w:color w:val="404040" w:themeColor="text1" w:themeTint="BF"/>
                <w:sz w:val="20"/>
                <w:szCs w:val="20"/>
              </w:rPr>
            </w:pPr>
            <w:r w:rsidRPr="00007FDB">
              <w:rPr>
                <w:rFonts w:asciiTheme="majorHAnsi" w:hAnsiTheme="majorHAnsi"/>
                <w:color w:val="404040" w:themeColor="text1" w:themeTint="BF"/>
                <w:sz w:val="20"/>
                <w:szCs w:val="20"/>
              </w:rPr>
              <w:t xml:space="preserve">Determine if GMS has been over or under-charged </w:t>
            </w:r>
          </w:p>
          <w:p w14:paraId="1B61D873" w14:textId="77777777" w:rsidR="008A7E9A" w:rsidRPr="00007FDB" w:rsidRDefault="008A7E9A" w:rsidP="006A77CA">
            <w:pPr>
              <w:pStyle w:val="NormalWeb"/>
              <w:numPr>
                <w:ilvl w:val="0"/>
                <w:numId w:val="8"/>
              </w:numPr>
              <w:spacing w:before="0" w:beforeAutospacing="0" w:after="0" w:afterAutospacing="0"/>
              <w:rPr>
                <w:rFonts w:asciiTheme="majorHAnsi" w:hAnsiTheme="majorHAnsi"/>
                <w:color w:val="404040" w:themeColor="text1" w:themeTint="BF"/>
                <w:sz w:val="20"/>
                <w:szCs w:val="20"/>
              </w:rPr>
            </w:pPr>
            <w:r w:rsidRPr="00007FDB">
              <w:rPr>
                <w:rFonts w:asciiTheme="majorHAnsi" w:hAnsiTheme="majorHAnsi"/>
                <w:color w:val="404040" w:themeColor="text1" w:themeTint="BF"/>
                <w:sz w:val="20"/>
                <w:szCs w:val="20"/>
              </w:rPr>
              <w:t xml:space="preserve">Revise the project budgets (if necessary) </w:t>
            </w:r>
          </w:p>
          <w:p w14:paraId="13B968D4" w14:textId="50D91951" w:rsidR="008A7E9A" w:rsidRPr="00947C58" w:rsidRDefault="008A7E9A" w:rsidP="006A77CA">
            <w:pPr>
              <w:pStyle w:val="NormalWeb"/>
              <w:numPr>
                <w:ilvl w:val="0"/>
                <w:numId w:val="8"/>
              </w:numPr>
              <w:spacing w:before="0" w:beforeAutospacing="0" w:after="0" w:afterAutospacing="0"/>
              <w:rPr>
                <w:rFonts w:asciiTheme="majorHAnsi" w:hAnsiTheme="majorHAnsi"/>
                <w:color w:val="404040" w:themeColor="text1" w:themeTint="BF"/>
                <w:sz w:val="20"/>
                <w:szCs w:val="20"/>
              </w:rPr>
            </w:pPr>
            <w:r>
              <w:rPr>
                <w:rFonts w:asciiTheme="majorHAnsi" w:hAnsiTheme="majorHAnsi"/>
                <w:color w:val="404040" w:themeColor="text1" w:themeTint="BF"/>
                <w:sz w:val="20"/>
                <w:szCs w:val="20"/>
              </w:rPr>
              <w:t>Create a GLJE to correct the over or under-charged GMS. How to create the accounting</w:t>
            </w:r>
            <w:r w:rsidRPr="00007FDB">
              <w:rPr>
                <w:rFonts w:asciiTheme="majorHAnsi" w:hAnsiTheme="majorHAnsi"/>
                <w:color w:val="404040" w:themeColor="text1" w:themeTint="BF"/>
                <w:sz w:val="20"/>
                <w:szCs w:val="20"/>
              </w:rPr>
              <w:t xml:space="preserve"> entries</w:t>
            </w:r>
            <w:r>
              <w:rPr>
                <w:rFonts w:asciiTheme="majorHAnsi" w:hAnsiTheme="majorHAnsi"/>
                <w:color w:val="404040" w:themeColor="text1" w:themeTint="BF"/>
                <w:sz w:val="20"/>
                <w:szCs w:val="20"/>
              </w:rPr>
              <w:t xml:space="preserve"> </w:t>
            </w:r>
            <w:r w:rsidRPr="00271EE0">
              <w:rPr>
                <w:rFonts w:ascii="Calibri" w:hAnsi="Calibri" w:cs="Calibri"/>
                <w:sz w:val="20"/>
                <w:szCs w:val="20"/>
              </w:rPr>
              <w:t>per the Guidance Note for GMS SET-UP and REPORTS (</w:t>
            </w:r>
            <w:hyperlink r:id="rId41" w:history="1">
              <w:r w:rsidRPr="00271EE0">
                <w:rPr>
                  <w:rStyle w:val="Hyperlink"/>
                  <w:rFonts w:ascii="Calibri" w:hAnsi="Calibri" w:cs="Calibri"/>
                  <w:sz w:val="20"/>
                  <w:szCs w:val="20"/>
                </w:rPr>
                <w:t>link</w:t>
              </w:r>
            </w:hyperlink>
            <w:r w:rsidRPr="00271EE0">
              <w:rPr>
                <w:rFonts w:ascii="Calibri" w:hAnsi="Calibri" w:cs="Calibri"/>
                <w:sz w:val="20"/>
                <w:szCs w:val="20"/>
              </w:rPr>
              <w:t>)</w:t>
            </w:r>
            <w:r w:rsidR="00E41A57">
              <w:rPr>
                <w:rFonts w:ascii="Calibri" w:hAnsi="Calibri" w:cs="Calibri"/>
                <w:sz w:val="20"/>
                <w:szCs w:val="20"/>
              </w:rPr>
              <w:t>. Refer to POPP GMS Fee Set-up and Collection (</w:t>
            </w:r>
            <w:hyperlink r:id="rId42" w:history="1">
              <w:r w:rsidR="00E41A57" w:rsidRPr="00E41A57">
                <w:rPr>
                  <w:rStyle w:val="Hyperlink"/>
                  <w:rFonts w:ascii="Calibri" w:hAnsi="Calibri" w:cs="Calibri"/>
                  <w:sz w:val="20"/>
                  <w:szCs w:val="20"/>
                </w:rPr>
                <w:t>link</w:t>
              </w:r>
            </w:hyperlink>
            <w:r w:rsidR="00E41A57">
              <w:rPr>
                <w:rFonts w:ascii="Calibri" w:hAnsi="Calibri" w:cs="Calibri"/>
                <w:sz w:val="20"/>
                <w:szCs w:val="20"/>
              </w:rPr>
              <w:t>)</w:t>
            </w:r>
            <w:r w:rsidR="00DB739E">
              <w:rPr>
                <w:rFonts w:ascii="Calibri" w:hAnsi="Calibri" w:cs="Calibri"/>
                <w:sz w:val="20"/>
                <w:szCs w:val="20"/>
              </w:rPr>
              <w:t xml:space="preserve">. </w:t>
            </w:r>
            <w:r w:rsidR="00DB739E" w:rsidRPr="00DB739E">
              <w:rPr>
                <w:rFonts w:ascii="Calibri" w:hAnsi="Calibri" w:cs="Calibri"/>
                <w:sz w:val="20"/>
                <w:szCs w:val="20"/>
              </w:rPr>
              <w:t>The GMS process is a ‘cumulative’ process and therefore any manual adjustments will not be recognized by the system GMS when GMS is run and posts GMS on all year-to-date expenses. Therefore, any manual adjustment that may be necessary should be considered as a reversing entry so that the GMS run calculates the correct amount, otherwise there will be duplication between the manual entry and the automated GMS entry.</w:t>
            </w:r>
          </w:p>
          <w:p w14:paraId="4AF75792" w14:textId="77777777" w:rsidR="008A7E9A" w:rsidRPr="009534CA" w:rsidRDefault="008A7E9A" w:rsidP="00AE2690">
            <w:pPr>
              <w:pStyle w:val="NormalWeb"/>
              <w:spacing w:before="0" w:beforeAutospacing="0" w:after="0" w:afterAutospacing="0"/>
              <w:ind w:left="360"/>
              <w:rPr>
                <w:rFonts w:asciiTheme="majorHAnsi" w:hAnsiTheme="majorHAnsi"/>
                <w:color w:val="404040" w:themeColor="text1" w:themeTint="BF"/>
                <w:sz w:val="20"/>
                <w:szCs w:val="20"/>
              </w:rPr>
            </w:pPr>
          </w:p>
        </w:tc>
      </w:tr>
      <w:tr w:rsidR="00E5285F" w:rsidRPr="009534CA" w14:paraId="1D41B151" w14:textId="77777777" w:rsidTr="007464B7">
        <w:tc>
          <w:tcPr>
            <w:tcW w:w="275" w:type="pct"/>
          </w:tcPr>
          <w:p w14:paraId="7F0E6C82" w14:textId="77777777" w:rsidR="008A7E9A"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lastRenderedPageBreak/>
              <w:t>11</w:t>
            </w:r>
          </w:p>
        </w:tc>
        <w:tc>
          <w:tcPr>
            <w:tcW w:w="1234" w:type="pct"/>
          </w:tcPr>
          <w:p w14:paraId="6765C537" w14:textId="77777777" w:rsidR="008A7E9A" w:rsidRPr="00BA3A63"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No pending GLJEs</w:t>
            </w:r>
          </w:p>
        </w:tc>
        <w:tc>
          <w:tcPr>
            <w:tcW w:w="1510" w:type="pct"/>
          </w:tcPr>
          <w:p w14:paraId="464BB0E9" w14:textId="77777777" w:rsidR="008A7E9A" w:rsidRPr="009534CA" w:rsidRDefault="008A7E9A" w:rsidP="006A77CA">
            <w:pPr>
              <w:rPr>
                <w:rFonts w:asciiTheme="majorHAnsi" w:hAnsiTheme="majorHAnsi"/>
                <w:color w:val="404040" w:themeColor="text1" w:themeTint="BF"/>
                <w:sz w:val="20"/>
                <w:szCs w:val="20"/>
              </w:rPr>
            </w:pPr>
            <w:r w:rsidRPr="009534CA">
              <w:rPr>
                <w:rFonts w:asciiTheme="majorHAnsi" w:hAnsiTheme="majorHAnsi"/>
                <w:color w:val="404040" w:themeColor="text1" w:themeTint="BF"/>
                <w:sz w:val="20"/>
                <w:szCs w:val="20"/>
              </w:rPr>
              <w:t xml:space="preserve">Check </w:t>
            </w:r>
            <w:r>
              <w:rPr>
                <w:rFonts w:asciiTheme="majorHAnsi" w:hAnsiTheme="majorHAnsi"/>
                <w:color w:val="404040" w:themeColor="text1" w:themeTint="BF"/>
                <w:sz w:val="20"/>
                <w:szCs w:val="20"/>
              </w:rPr>
              <w:t>if any pending</w:t>
            </w:r>
            <w:r w:rsidRPr="009534CA">
              <w:rPr>
                <w:rFonts w:asciiTheme="majorHAnsi" w:hAnsiTheme="majorHAnsi"/>
                <w:color w:val="404040" w:themeColor="text1" w:themeTint="BF"/>
                <w:sz w:val="20"/>
                <w:szCs w:val="20"/>
              </w:rPr>
              <w:t xml:space="preserve"> in “Project closure workbench”</w:t>
            </w:r>
            <w:r>
              <w:rPr>
                <w:rFonts w:asciiTheme="majorHAnsi" w:hAnsiTheme="majorHAnsi"/>
                <w:color w:val="404040" w:themeColor="text1" w:themeTint="BF"/>
                <w:sz w:val="20"/>
                <w:szCs w:val="20"/>
              </w:rPr>
              <w:t>, or Query UN_PS_CLOSE_PENDING_GLJE</w:t>
            </w:r>
          </w:p>
        </w:tc>
        <w:tc>
          <w:tcPr>
            <w:tcW w:w="1980" w:type="pct"/>
          </w:tcPr>
          <w:p w14:paraId="60CEC3FE" w14:textId="77777777" w:rsidR="008A7E9A" w:rsidRDefault="008A7E9A" w:rsidP="006A77CA">
            <w:pPr>
              <w:rPr>
                <w:rFonts w:asciiTheme="majorHAnsi" w:hAnsiTheme="majorHAnsi"/>
                <w:color w:val="404040" w:themeColor="text1" w:themeTint="BF"/>
                <w:sz w:val="20"/>
                <w:szCs w:val="20"/>
              </w:rPr>
            </w:pPr>
            <w:r w:rsidRPr="00932542">
              <w:rPr>
                <w:rFonts w:asciiTheme="majorHAnsi" w:hAnsiTheme="majorHAnsi"/>
                <w:color w:val="404040" w:themeColor="text1" w:themeTint="BF"/>
                <w:sz w:val="20"/>
                <w:szCs w:val="20"/>
              </w:rPr>
              <w:t>Approve and post any pending GLJE. If any pending GLJE is no longer needed, please delete GLJE.</w:t>
            </w:r>
          </w:p>
          <w:p w14:paraId="7741CFF2" w14:textId="5A7F812F" w:rsidR="008A7E9A" w:rsidRPr="00932542" w:rsidRDefault="008A7E9A" w:rsidP="009A77F5">
            <w:pPr>
              <w:pStyle w:val="ListParagraph"/>
              <w:numPr>
                <w:ilvl w:val="0"/>
                <w:numId w:val="12"/>
              </w:num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If GLJE has impact o</w:t>
            </w:r>
            <w:r w:rsidR="00DB739E">
              <w:rPr>
                <w:rFonts w:asciiTheme="majorHAnsi" w:hAnsiTheme="majorHAnsi"/>
                <w:color w:val="404040" w:themeColor="text1" w:themeTint="BF"/>
                <w:sz w:val="20"/>
                <w:szCs w:val="20"/>
              </w:rPr>
              <w:t>n</w:t>
            </w:r>
            <w:r>
              <w:rPr>
                <w:rFonts w:asciiTheme="majorHAnsi" w:hAnsiTheme="majorHAnsi"/>
                <w:color w:val="404040" w:themeColor="text1" w:themeTint="BF"/>
                <w:sz w:val="20"/>
                <w:szCs w:val="20"/>
              </w:rPr>
              <w:t xml:space="preserve"> expenses that will trigger the GMS F&amp;A charges, please do not financially close project until GMS batch is run.</w:t>
            </w:r>
          </w:p>
          <w:p w14:paraId="32D36D9A" w14:textId="77777777" w:rsidR="008A7E9A" w:rsidRPr="005E713F" w:rsidRDefault="008A7E9A" w:rsidP="009A77F5">
            <w:pPr>
              <w:pStyle w:val="ListParagraph"/>
              <w:numPr>
                <w:ilvl w:val="0"/>
                <w:numId w:val="12"/>
              </w:numPr>
              <w:rPr>
                <w:rFonts w:asciiTheme="majorHAnsi" w:hAnsiTheme="majorHAnsi"/>
                <w:color w:val="404040" w:themeColor="text1" w:themeTint="BF"/>
                <w:sz w:val="20"/>
                <w:szCs w:val="20"/>
              </w:rPr>
            </w:pPr>
            <w:r w:rsidRPr="005E713F">
              <w:rPr>
                <w:rFonts w:asciiTheme="majorHAnsi" w:hAnsiTheme="majorHAnsi"/>
                <w:color w:val="404040" w:themeColor="text1" w:themeTint="BF"/>
                <w:sz w:val="20"/>
                <w:szCs w:val="20"/>
              </w:rPr>
              <w:t>If new GLJE is expected to be created e.g. adjustment of over-charged or under-charged GMS expense, please expedite the GLJE preparation and approval process.</w:t>
            </w:r>
          </w:p>
        </w:tc>
      </w:tr>
      <w:tr w:rsidR="00E5285F" w:rsidRPr="009534CA" w14:paraId="6A440CFE" w14:textId="77777777" w:rsidTr="007464B7">
        <w:tc>
          <w:tcPr>
            <w:tcW w:w="275" w:type="pct"/>
          </w:tcPr>
          <w:p w14:paraId="7C3C3595" w14:textId="77777777" w:rsidR="008A7E9A"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12</w:t>
            </w:r>
          </w:p>
        </w:tc>
        <w:tc>
          <w:tcPr>
            <w:tcW w:w="1234" w:type="pct"/>
          </w:tcPr>
          <w:p w14:paraId="2CE08812" w14:textId="77777777" w:rsidR="008A7E9A" w:rsidRPr="00BA3A63" w:rsidRDefault="008A7E9A" w:rsidP="006A77CA">
            <w:pPr>
              <w:rPr>
                <w:rFonts w:asciiTheme="majorHAnsi" w:hAnsiTheme="majorHAnsi"/>
                <w:color w:val="404040" w:themeColor="text1" w:themeTint="BF"/>
                <w:sz w:val="20"/>
                <w:szCs w:val="20"/>
              </w:rPr>
            </w:pPr>
            <w:r w:rsidRPr="00BA3A63">
              <w:rPr>
                <w:rFonts w:asciiTheme="majorHAnsi" w:hAnsiTheme="majorHAnsi"/>
                <w:color w:val="404040" w:themeColor="text1" w:themeTint="BF"/>
                <w:sz w:val="20"/>
                <w:szCs w:val="20"/>
              </w:rPr>
              <w:t>No unapplied deposits or other unrecorded revenue;</w:t>
            </w:r>
          </w:p>
        </w:tc>
        <w:tc>
          <w:tcPr>
            <w:tcW w:w="1510" w:type="pct"/>
          </w:tcPr>
          <w:p w14:paraId="3CD0E698" w14:textId="77777777" w:rsidR="008A7E9A" w:rsidRPr="009534CA"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Run Atlas Query UN_PS_CLOSE_UNAPPLIED_DEPOSITS</w:t>
            </w:r>
          </w:p>
        </w:tc>
        <w:tc>
          <w:tcPr>
            <w:tcW w:w="1980" w:type="pct"/>
          </w:tcPr>
          <w:p w14:paraId="352B16B5" w14:textId="6369B3DE" w:rsidR="008A7E9A" w:rsidRPr="00AE2690" w:rsidRDefault="008A7E9A" w:rsidP="009A77F5">
            <w:pPr>
              <w:pStyle w:val="BalloonText"/>
              <w:numPr>
                <w:ilvl w:val="0"/>
                <w:numId w:val="27"/>
              </w:numPr>
              <w:rPr>
                <w:rFonts w:asciiTheme="majorHAnsi" w:hAnsiTheme="majorHAnsi"/>
                <w:color w:val="404040" w:themeColor="text1" w:themeTint="BF"/>
                <w:sz w:val="20"/>
                <w:szCs w:val="20"/>
              </w:rPr>
            </w:pPr>
            <w:r w:rsidRPr="00AE2690">
              <w:rPr>
                <w:rFonts w:asciiTheme="majorHAnsi" w:hAnsiTheme="majorHAnsi"/>
                <w:color w:val="404040" w:themeColor="text1" w:themeTint="BF"/>
                <w:sz w:val="20"/>
                <w:szCs w:val="20"/>
              </w:rPr>
              <w:t>If any pending unapplied deposits, please follow up with the</w:t>
            </w:r>
            <w:r>
              <w:rPr>
                <w:rFonts w:asciiTheme="majorHAnsi" w:hAnsiTheme="majorHAnsi"/>
                <w:color w:val="404040" w:themeColor="text1" w:themeTint="BF"/>
                <w:sz w:val="20"/>
                <w:szCs w:val="20"/>
              </w:rPr>
              <w:t xml:space="preserve"> relevant party for application of the fund</w:t>
            </w:r>
            <w:r w:rsidRPr="00AE2690">
              <w:rPr>
                <w:rFonts w:asciiTheme="majorHAnsi" w:hAnsiTheme="majorHAnsi"/>
                <w:color w:val="404040" w:themeColor="text1" w:themeTint="BF"/>
                <w:sz w:val="20"/>
                <w:szCs w:val="20"/>
              </w:rPr>
              <w:t>.</w:t>
            </w:r>
            <w:r>
              <w:rPr>
                <w:rFonts w:asciiTheme="majorHAnsi" w:hAnsiTheme="majorHAnsi"/>
                <w:color w:val="404040" w:themeColor="text1" w:themeTint="BF"/>
                <w:sz w:val="20"/>
                <w:szCs w:val="20"/>
              </w:rPr>
              <w:t xml:space="preserve"> </w:t>
            </w:r>
            <w:r w:rsidRPr="00AE2690">
              <w:rPr>
                <w:rFonts w:asciiTheme="majorHAnsi" w:hAnsiTheme="majorHAnsi"/>
                <w:color w:val="404040" w:themeColor="text1" w:themeTint="BF"/>
                <w:sz w:val="20"/>
                <w:szCs w:val="20"/>
              </w:rPr>
              <w:t xml:space="preserve"> </w:t>
            </w:r>
            <w:r>
              <w:rPr>
                <w:rFonts w:asciiTheme="majorHAnsi" w:hAnsiTheme="majorHAnsi"/>
                <w:color w:val="404040" w:themeColor="text1" w:themeTint="BF"/>
                <w:sz w:val="20"/>
                <w:szCs w:val="20"/>
              </w:rPr>
              <w:t xml:space="preserve">If the applied deposit is encountering budget error or accounting error, please contact </w:t>
            </w:r>
            <w:hyperlink r:id="rId43" w:history="1">
              <w:proofErr w:type="spellStart"/>
              <w:r w:rsidR="00485EB6" w:rsidRPr="00485EB6">
                <w:rPr>
                  <w:rStyle w:val="Hyperlink"/>
                  <w:rFonts w:asciiTheme="majorHAnsi" w:hAnsiTheme="majorHAnsi"/>
                  <w:sz w:val="20"/>
                  <w:szCs w:val="20"/>
                </w:rPr>
                <w:t>UNAll</w:t>
              </w:r>
              <w:proofErr w:type="spellEnd"/>
            </w:hyperlink>
            <w:r w:rsidR="00485EB6">
              <w:rPr>
                <w:rFonts w:asciiTheme="majorHAnsi" w:hAnsiTheme="majorHAnsi"/>
                <w:color w:val="404040" w:themeColor="text1" w:themeTint="BF"/>
                <w:sz w:val="20"/>
                <w:szCs w:val="20"/>
              </w:rPr>
              <w:t xml:space="preserve">. </w:t>
            </w:r>
            <w:r w:rsidR="00485EB6" w:rsidRPr="00485EB6">
              <w:rPr>
                <w:rFonts w:asciiTheme="majorHAnsi" w:hAnsiTheme="majorHAnsi"/>
                <w:color w:val="404040" w:themeColor="text1" w:themeTint="BF"/>
                <w:sz w:val="20"/>
                <w:szCs w:val="20"/>
              </w:rPr>
              <w:t>For IT support, please us</w:t>
            </w:r>
            <w:r w:rsidR="000C05AE">
              <w:rPr>
                <w:rFonts w:asciiTheme="majorHAnsi" w:hAnsiTheme="majorHAnsi"/>
                <w:color w:val="404040" w:themeColor="text1" w:themeTint="BF"/>
                <w:sz w:val="20"/>
                <w:szCs w:val="20"/>
              </w:rPr>
              <w:t>e</w:t>
            </w:r>
            <w:r w:rsidR="00485EB6" w:rsidRPr="00485EB6">
              <w:rPr>
                <w:rFonts w:asciiTheme="majorHAnsi" w:hAnsiTheme="majorHAnsi"/>
                <w:color w:val="404040" w:themeColor="text1" w:themeTint="BF"/>
                <w:sz w:val="20"/>
                <w:szCs w:val="20"/>
              </w:rPr>
              <w:t xml:space="preserve"> the “</w:t>
            </w:r>
            <w:hyperlink r:id="rId44" w:history="1">
              <w:r w:rsidR="00485EB6" w:rsidRPr="00485EB6">
                <w:rPr>
                  <w:rStyle w:val="Hyperlink"/>
                  <w:rFonts w:asciiTheme="majorHAnsi" w:hAnsiTheme="majorHAnsi"/>
                  <w:sz w:val="20"/>
                  <w:szCs w:val="20"/>
                </w:rPr>
                <w:t>Create Incident</w:t>
              </w:r>
            </w:hyperlink>
            <w:r w:rsidR="00485EB6" w:rsidRPr="00485EB6">
              <w:rPr>
                <w:rFonts w:asciiTheme="majorHAnsi" w:hAnsiTheme="majorHAnsi"/>
                <w:color w:val="404040" w:themeColor="text1" w:themeTint="BF"/>
                <w:sz w:val="20"/>
                <w:szCs w:val="20"/>
              </w:rPr>
              <w:t xml:space="preserve">” service in the </w:t>
            </w:r>
            <w:hyperlink r:id="rId45" w:history="1">
              <w:proofErr w:type="spellStart"/>
              <w:r w:rsidR="00485EB6" w:rsidRPr="00485EB6">
                <w:rPr>
                  <w:rStyle w:val="Hyperlink"/>
                  <w:rFonts w:asciiTheme="majorHAnsi" w:hAnsiTheme="majorHAnsi"/>
                  <w:sz w:val="20"/>
                  <w:szCs w:val="20"/>
                </w:rPr>
                <w:t>UNall</w:t>
              </w:r>
              <w:proofErr w:type="spellEnd"/>
              <w:r w:rsidR="00485EB6" w:rsidRPr="00485EB6">
                <w:rPr>
                  <w:rStyle w:val="Hyperlink"/>
                  <w:rFonts w:asciiTheme="majorHAnsi" w:hAnsiTheme="majorHAnsi"/>
                  <w:sz w:val="20"/>
                  <w:szCs w:val="20"/>
                </w:rPr>
                <w:t xml:space="preserve"> service management portal</w:t>
              </w:r>
            </w:hyperlink>
            <w:r w:rsidR="00485EB6" w:rsidRPr="00485EB6">
              <w:rPr>
                <w:rFonts w:asciiTheme="majorHAnsi" w:hAnsiTheme="majorHAnsi"/>
                <w:color w:val="404040" w:themeColor="text1" w:themeTint="BF"/>
                <w:sz w:val="20"/>
                <w:szCs w:val="20"/>
              </w:rPr>
              <w:t>.</w:t>
            </w:r>
          </w:p>
          <w:p w14:paraId="5112EE27" w14:textId="567B7EC5" w:rsidR="008A7E9A" w:rsidRPr="00AE2690" w:rsidRDefault="008A7E9A" w:rsidP="009A77F5">
            <w:pPr>
              <w:pStyle w:val="BalloonText"/>
              <w:numPr>
                <w:ilvl w:val="0"/>
                <w:numId w:val="27"/>
              </w:num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 xml:space="preserve">Please check </w:t>
            </w:r>
            <w:r w:rsidR="008772FB">
              <w:rPr>
                <w:rFonts w:asciiTheme="majorHAnsi" w:hAnsiTheme="majorHAnsi"/>
                <w:color w:val="404040" w:themeColor="text1" w:themeTint="BF"/>
                <w:sz w:val="20"/>
                <w:szCs w:val="20"/>
              </w:rPr>
              <w:t>Accounts Receivable (</w:t>
            </w:r>
            <w:r>
              <w:rPr>
                <w:rFonts w:asciiTheme="majorHAnsi" w:hAnsiTheme="majorHAnsi"/>
                <w:color w:val="404040" w:themeColor="text1" w:themeTint="BF"/>
                <w:sz w:val="20"/>
                <w:szCs w:val="20"/>
              </w:rPr>
              <w:t>AR</w:t>
            </w:r>
            <w:r w:rsidR="008772FB">
              <w:rPr>
                <w:rFonts w:asciiTheme="majorHAnsi" w:hAnsiTheme="majorHAnsi"/>
                <w:color w:val="404040" w:themeColor="text1" w:themeTint="BF"/>
                <w:sz w:val="20"/>
                <w:szCs w:val="20"/>
              </w:rPr>
              <w:t>)</w:t>
            </w:r>
            <w:r>
              <w:rPr>
                <w:rFonts w:asciiTheme="majorHAnsi" w:hAnsiTheme="majorHAnsi"/>
                <w:color w:val="404040" w:themeColor="text1" w:themeTint="BF"/>
                <w:sz w:val="20"/>
                <w:szCs w:val="20"/>
              </w:rPr>
              <w:t xml:space="preserve"> Item from Atlas Query UN_IPSAS_RM_CA_PST_AR_ITEM_SUM (select Tree Name ‘RM_CA_BU’) and apply it to the AR Deposit. If the expected AR Item could not be found, please contact </w:t>
            </w:r>
            <w:r w:rsidRPr="00C42436">
              <w:rPr>
                <w:rFonts w:asciiTheme="majorHAnsi" w:hAnsiTheme="majorHAnsi"/>
                <w:color w:val="404040" w:themeColor="text1" w:themeTint="BF"/>
                <w:sz w:val="20"/>
                <w:szCs w:val="20"/>
              </w:rPr>
              <w:t xml:space="preserve">GSSU Revenue </w:t>
            </w:r>
            <w:hyperlink r:id="rId46" w:history="1">
              <w:r w:rsidRPr="00B62C27">
                <w:rPr>
                  <w:rStyle w:val="Hyperlink"/>
                  <w:rFonts w:asciiTheme="majorHAnsi" w:hAnsiTheme="majorHAnsi"/>
                  <w:sz w:val="20"/>
                  <w:szCs w:val="20"/>
                </w:rPr>
                <w:t>gssu.revenue@undp.org</w:t>
              </w:r>
            </w:hyperlink>
            <w:r>
              <w:rPr>
                <w:rFonts w:asciiTheme="majorHAnsi" w:hAnsiTheme="majorHAnsi"/>
                <w:color w:val="404040" w:themeColor="text1" w:themeTint="BF"/>
                <w:sz w:val="20"/>
                <w:szCs w:val="20"/>
              </w:rPr>
              <w:t xml:space="preserve"> </w:t>
            </w:r>
          </w:p>
        </w:tc>
      </w:tr>
      <w:tr w:rsidR="00E5285F" w:rsidRPr="009534CA" w14:paraId="69FFA07D" w14:textId="77777777" w:rsidTr="007464B7">
        <w:tc>
          <w:tcPr>
            <w:tcW w:w="275" w:type="pct"/>
          </w:tcPr>
          <w:p w14:paraId="4FB35805" w14:textId="77777777" w:rsidR="008A7E9A"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13</w:t>
            </w:r>
          </w:p>
        </w:tc>
        <w:tc>
          <w:tcPr>
            <w:tcW w:w="1234" w:type="pct"/>
          </w:tcPr>
          <w:p w14:paraId="2E44994D" w14:textId="77777777" w:rsidR="008A7E9A" w:rsidRPr="00BA3A63" w:rsidRDefault="008A7E9A" w:rsidP="006A77CA">
            <w:pPr>
              <w:rPr>
                <w:rFonts w:asciiTheme="majorHAnsi" w:hAnsiTheme="majorHAnsi"/>
                <w:color w:val="404040" w:themeColor="text1" w:themeTint="BF"/>
                <w:sz w:val="20"/>
                <w:szCs w:val="20"/>
              </w:rPr>
            </w:pPr>
            <w:r w:rsidRPr="00BA3A63">
              <w:rPr>
                <w:rFonts w:asciiTheme="majorHAnsi" w:hAnsiTheme="majorHAnsi"/>
                <w:color w:val="404040" w:themeColor="text1" w:themeTint="BF"/>
                <w:sz w:val="20"/>
                <w:szCs w:val="20"/>
              </w:rPr>
              <w:t>No outstanding Accounts Receivable to be received from donors per signed agreements;</w:t>
            </w:r>
          </w:p>
        </w:tc>
        <w:tc>
          <w:tcPr>
            <w:tcW w:w="1510" w:type="pct"/>
          </w:tcPr>
          <w:p w14:paraId="18B9DE84" w14:textId="77777777" w:rsidR="008A7E9A" w:rsidRPr="009534CA"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Run Atlas Query UN_PS_CLOSE_PENDING_EVENT</w:t>
            </w:r>
          </w:p>
        </w:tc>
        <w:tc>
          <w:tcPr>
            <w:tcW w:w="1980" w:type="pct"/>
          </w:tcPr>
          <w:p w14:paraId="2D9A22A1" w14:textId="14EA6A43" w:rsidR="008A7E9A" w:rsidRPr="009534CA"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 xml:space="preserve">Please follow up with the donor if any. If the donor will no longer pay for the remaining installment/amount, please obtain the written donor consent and contact </w:t>
            </w:r>
            <w:hyperlink r:id="rId47" w:history="1">
              <w:r w:rsidRPr="00FF70E5">
                <w:rPr>
                  <w:rStyle w:val="Hyperlink"/>
                  <w:rFonts w:asciiTheme="majorHAnsi" w:hAnsiTheme="majorHAnsi"/>
                  <w:sz w:val="20"/>
                  <w:szCs w:val="20"/>
                </w:rPr>
                <w:t>gssu.revenue@undp.org</w:t>
              </w:r>
            </w:hyperlink>
            <w:r>
              <w:rPr>
                <w:rFonts w:asciiTheme="majorHAnsi" w:hAnsiTheme="majorHAnsi"/>
                <w:color w:val="404040" w:themeColor="text1" w:themeTint="BF"/>
                <w:sz w:val="20"/>
                <w:szCs w:val="20"/>
              </w:rPr>
              <w:t xml:space="preserve"> to write it off.</w:t>
            </w:r>
          </w:p>
        </w:tc>
      </w:tr>
      <w:tr w:rsidR="00E5285F" w:rsidRPr="009534CA" w14:paraId="7BCAAB05" w14:textId="77777777" w:rsidTr="007464B7">
        <w:trPr>
          <w:trHeight w:val="1790"/>
        </w:trPr>
        <w:tc>
          <w:tcPr>
            <w:tcW w:w="275" w:type="pct"/>
          </w:tcPr>
          <w:p w14:paraId="0EBCD5FF" w14:textId="77777777" w:rsidR="008A7E9A"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lastRenderedPageBreak/>
              <w:t>14</w:t>
            </w:r>
          </w:p>
        </w:tc>
        <w:tc>
          <w:tcPr>
            <w:tcW w:w="1234" w:type="pct"/>
          </w:tcPr>
          <w:p w14:paraId="7D6A5167" w14:textId="77777777" w:rsidR="008A7E9A" w:rsidRPr="00BA3A63" w:rsidRDefault="008A7E9A" w:rsidP="006A77CA">
            <w:pPr>
              <w:rPr>
                <w:rFonts w:asciiTheme="majorHAnsi" w:hAnsiTheme="majorHAnsi"/>
                <w:color w:val="404040" w:themeColor="text1" w:themeTint="BF"/>
                <w:sz w:val="20"/>
                <w:szCs w:val="20"/>
              </w:rPr>
            </w:pPr>
            <w:r w:rsidRPr="00BA3A63">
              <w:rPr>
                <w:rFonts w:asciiTheme="majorHAnsi" w:hAnsiTheme="majorHAnsi"/>
                <w:color w:val="404040" w:themeColor="text1" w:themeTint="BF"/>
                <w:sz w:val="20"/>
                <w:szCs w:val="20"/>
              </w:rPr>
              <w:t>No outstanding Contribution Receivable to be collected from donor (GL Account 14015 Balance including FX Revaluation)</w:t>
            </w:r>
          </w:p>
        </w:tc>
        <w:tc>
          <w:tcPr>
            <w:tcW w:w="1510" w:type="pct"/>
          </w:tcPr>
          <w:p w14:paraId="72C1DE57" w14:textId="77777777" w:rsidR="008A7E9A" w:rsidRPr="009534CA"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Run Atlas Query UN_PS_CLOSE_UNCOL_CONTRIB</w:t>
            </w:r>
          </w:p>
        </w:tc>
        <w:tc>
          <w:tcPr>
            <w:tcW w:w="1980" w:type="pct"/>
          </w:tcPr>
          <w:p w14:paraId="127BAE9D" w14:textId="2AC89280" w:rsidR="008A7E9A" w:rsidRPr="009534CA"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 xml:space="preserve">Please follow up with the donor if any. If the donor will no longer pay for the remaining installment/amount, please obtain the written communication from the donor that the balance will not be paid and provide this written consent to </w:t>
            </w:r>
            <w:hyperlink r:id="rId48" w:history="1">
              <w:r w:rsidRPr="00FF70E5">
                <w:rPr>
                  <w:rStyle w:val="Hyperlink"/>
                  <w:rFonts w:asciiTheme="majorHAnsi" w:hAnsiTheme="majorHAnsi"/>
                  <w:sz w:val="20"/>
                  <w:szCs w:val="20"/>
                </w:rPr>
                <w:t>gssu.revenue@undp.org</w:t>
              </w:r>
            </w:hyperlink>
            <w:r>
              <w:rPr>
                <w:rFonts w:asciiTheme="majorHAnsi" w:hAnsiTheme="majorHAnsi"/>
                <w:color w:val="404040" w:themeColor="text1" w:themeTint="BF"/>
                <w:sz w:val="20"/>
                <w:szCs w:val="20"/>
              </w:rPr>
              <w:t xml:space="preserve"> for write-off.</w:t>
            </w:r>
          </w:p>
        </w:tc>
      </w:tr>
      <w:tr w:rsidR="00E5285F" w:rsidRPr="009534CA" w14:paraId="481175D9" w14:textId="77777777" w:rsidTr="007464B7">
        <w:tc>
          <w:tcPr>
            <w:tcW w:w="275" w:type="pct"/>
          </w:tcPr>
          <w:p w14:paraId="290FC94B" w14:textId="77777777" w:rsidR="008A7E9A"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15</w:t>
            </w:r>
          </w:p>
        </w:tc>
        <w:tc>
          <w:tcPr>
            <w:tcW w:w="1234" w:type="pct"/>
          </w:tcPr>
          <w:p w14:paraId="5DA9FA11" w14:textId="77777777" w:rsidR="008A7E9A" w:rsidRPr="00BA3A63" w:rsidRDefault="008A7E9A" w:rsidP="006A77CA">
            <w:pPr>
              <w:rPr>
                <w:rFonts w:asciiTheme="majorHAnsi" w:hAnsiTheme="majorHAnsi"/>
                <w:color w:val="404040" w:themeColor="text1" w:themeTint="BF"/>
                <w:sz w:val="20"/>
                <w:szCs w:val="20"/>
              </w:rPr>
            </w:pPr>
            <w:r w:rsidRPr="00BA3A63">
              <w:rPr>
                <w:rFonts w:asciiTheme="majorHAnsi" w:hAnsiTheme="majorHAnsi"/>
                <w:color w:val="404040" w:themeColor="text1" w:themeTint="BF"/>
                <w:sz w:val="20"/>
                <w:szCs w:val="20"/>
              </w:rPr>
              <w:t>No AR direct journals in budget error or incomplete status;</w:t>
            </w:r>
          </w:p>
        </w:tc>
        <w:tc>
          <w:tcPr>
            <w:tcW w:w="1510" w:type="pct"/>
          </w:tcPr>
          <w:p w14:paraId="5CEB4460" w14:textId="77777777" w:rsidR="008A7E9A" w:rsidRPr="009534CA"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Run Atlas Query UN_PS_CLOSE_ARDJ_ERR_INCOMPL</w:t>
            </w:r>
          </w:p>
        </w:tc>
        <w:tc>
          <w:tcPr>
            <w:tcW w:w="1980" w:type="pct"/>
          </w:tcPr>
          <w:p w14:paraId="48AB0DC9" w14:textId="77777777" w:rsidR="008A7E9A"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Ensure no AR direct journals are found. If any, please review, correct the budget error and tick Check-box to complete the transaction.</w:t>
            </w:r>
          </w:p>
          <w:p w14:paraId="653CBBF9" w14:textId="77777777" w:rsidR="008A7E9A" w:rsidRPr="009534CA"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If it is created by mistake, please delete AR Deposit.</w:t>
            </w:r>
          </w:p>
        </w:tc>
      </w:tr>
      <w:tr w:rsidR="00E5285F" w:rsidRPr="009534CA" w14:paraId="35C87B7E" w14:textId="77777777" w:rsidTr="007464B7">
        <w:tc>
          <w:tcPr>
            <w:tcW w:w="275" w:type="pct"/>
          </w:tcPr>
          <w:p w14:paraId="60E2E045" w14:textId="77777777" w:rsidR="008A7E9A" w:rsidRDefault="008A7E9A" w:rsidP="00304C24">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16</w:t>
            </w:r>
          </w:p>
        </w:tc>
        <w:tc>
          <w:tcPr>
            <w:tcW w:w="1234" w:type="pct"/>
          </w:tcPr>
          <w:p w14:paraId="7AC29A1E" w14:textId="77777777" w:rsidR="008A7E9A" w:rsidRPr="00BA3A63" w:rsidRDefault="008A7E9A" w:rsidP="00304C24">
            <w:pPr>
              <w:rPr>
                <w:rFonts w:asciiTheme="majorHAnsi" w:hAnsiTheme="majorHAnsi"/>
                <w:color w:val="404040" w:themeColor="text1" w:themeTint="BF"/>
                <w:sz w:val="20"/>
                <w:szCs w:val="20"/>
              </w:rPr>
            </w:pPr>
            <w:r w:rsidRPr="00BA3A63">
              <w:rPr>
                <w:rFonts w:asciiTheme="majorHAnsi" w:hAnsiTheme="majorHAnsi"/>
                <w:color w:val="404040" w:themeColor="text1" w:themeTint="BF"/>
                <w:sz w:val="20"/>
                <w:szCs w:val="20"/>
              </w:rPr>
              <w:t>All assets are transferred or otherwise disposed of; Asset Transfer letters/documents are in place. (GL 18xxx Accounts) (Click Link for ISR Report)</w:t>
            </w:r>
          </w:p>
        </w:tc>
        <w:tc>
          <w:tcPr>
            <w:tcW w:w="1510" w:type="pct"/>
          </w:tcPr>
          <w:p w14:paraId="123987BE" w14:textId="0140112E" w:rsidR="007A2E3F" w:rsidRPr="00BC2657" w:rsidRDefault="007A2E3F" w:rsidP="00BC2657">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 xml:space="preserve">For </w:t>
            </w:r>
            <w:r w:rsidR="004B025E">
              <w:rPr>
                <w:rFonts w:asciiTheme="majorHAnsi" w:hAnsiTheme="majorHAnsi"/>
                <w:color w:val="404040" w:themeColor="text1" w:themeTint="BF"/>
                <w:sz w:val="20"/>
                <w:szCs w:val="20"/>
              </w:rPr>
              <w:t>Direct Implementation (</w:t>
            </w:r>
            <w:r>
              <w:rPr>
                <w:rFonts w:asciiTheme="majorHAnsi" w:hAnsiTheme="majorHAnsi"/>
                <w:color w:val="404040" w:themeColor="text1" w:themeTint="BF"/>
                <w:sz w:val="20"/>
                <w:szCs w:val="20"/>
              </w:rPr>
              <w:t>DIM</w:t>
            </w:r>
            <w:r w:rsidR="004B025E">
              <w:rPr>
                <w:rFonts w:asciiTheme="majorHAnsi" w:hAnsiTheme="majorHAnsi"/>
                <w:color w:val="404040" w:themeColor="text1" w:themeTint="BF"/>
                <w:sz w:val="20"/>
                <w:szCs w:val="20"/>
              </w:rPr>
              <w:t>)</w:t>
            </w:r>
            <w:r>
              <w:rPr>
                <w:rFonts w:asciiTheme="majorHAnsi" w:hAnsiTheme="majorHAnsi"/>
                <w:color w:val="404040" w:themeColor="text1" w:themeTint="BF"/>
                <w:sz w:val="20"/>
                <w:szCs w:val="20"/>
              </w:rPr>
              <w:t xml:space="preserve"> or CO Support projects,</w:t>
            </w:r>
          </w:p>
          <w:p w14:paraId="169F760D" w14:textId="69C052E8" w:rsidR="008A7E9A" w:rsidRPr="00955AFE" w:rsidRDefault="008A7E9A" w:rsidP="009A77F5">
            <w:pPr>
              <w:pStyle w:val="ListParagraph"/>
              <w:numPr>
                <w:ilvl w:val="0"/>
                <w:numId w:val="13"/>
              </w:numPr>
              <w:rPr>
                <w:rFonts w:asciiTheme="majorHAnsi" w:hAnsiTheme="majorHAnsi"/>
                <w:color w:val="404040" w:themeColor="text1" w:themeTint="BF"/>
                <w:sz w:val="20"/>
                <w:szCs w:val="20"/>
              </w:rPr>
            </w:pPr>
            <w:r w:rsidRPr="00955AFE">
              <w:rPr>
                <w:rFonts w:asciiTheme="majorHAnsi" w:hAnsiTheme="majorHAnsi"/>
                <w:color w:val="404040" w:themeColor="text1" w:themeTint="BF"/>
                <w:sz w:val="20"/>
                <w:szCs w:val="20"/>
              </w:rPr>
              <w:t>Run “Ledger Inquiry” to check GL balance</w:t>
            </w:r>
            <w:r>
              <w:rPr>
                <w:rFonts w:asciiTheme="majorHAnsi" w:hAnsiTheme="majorHAnsi"/>
                <w:color w:val="404040" w:themeColor="text1" w:themeTint="BF"/>
                <w:sz w:val="20"/>
                <w:szCs w:val="20"/>
              </w:rPr>
              <w:t xml:space="preserve"> for account 18% (refer to account 18XXX. The wildcard % symbol will retrieve all accounts begin with 18)</w:t>
            </w:r>
          </w:p>
          <w:p w14:paraId="7E807BA7" w14:textId="6A407513" w:rsidR="008A7E9A" w:rsidRDefault="008A7E9A" w:rsidP="009A77F5">
            <w:pPr>
              <w:pStyle w:val="BalloonText"/>
              <w:numPr>
                <w:ilvl w:val="0"/>
                <w:numId w:val="13"/>
              </w:num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Run IPSAS Asset In Service Report</w:t>
            </w:r>
            <w:r>
              <w:rPr>
                <w:rFonts w:asciiTheme="majorHAnsi" w:hAnsiTheme="majorHAnsi"/>
                <w:b/>
                <w:color w:val="404040" w:themeColor="text1" w:themeTint="BF"/>
                <w:sz w:val="20"/>
                <w:szCs w:val="20"/>
                <w:u w:val="single"/>
              </w:rPr>
              <w:t xml:space="preserve"> </w:t>
            </w:r>
            <w:r w:rsidRPr="00D815BF">
              <w:rPr>
                <w:rFonts w:asciiTheme="majorHAnsi" w:hAnsiTheme="majorHAnsi"/>
                <w:color w:val="404040" w:themeColor="text1" w:themeTint="BF"/>
                <w:sz w:val="20"/>
                <w:szCs w:val="20"/>
              </w:rPr>
              <w:t xml:space="preserve">to verify that an asset(s) is/are still sitting under a </w:t>
            </w:r>
            <w:r>
              <w:rPr>
                <w:rFonts w:asciiTheme="majorHAnsi" w:hAnsiTheme="majorHAnsi"/>
                <w:color w:val="404040" w:themeColor="text1" w:themeTint="BF"/>
                <w:sz w:val="20"/>
                <w:szCs w:val="20"/>
              </w:rPr>
              <w:t>particular</w:t>
            </w:r>
            <w:r w:rsidRPr="00D815BF">
              <w:rPr>
                <w:rFonts w:asciiTheme="majorHAnsi" w:hAnsiTheme="majorHAnsi"/>
                <w:color w:val="404040" w:themeColor="text1" w:themeTint="BF"/>
                <w:sz w:val="20"/>
                <w:szCs w:val="20"/>
              </w:rPr>
              <w:t xml:space="preserve"> closed project</w:t>
            </w:r>
            <w:r>
              <w:rPr>
                <w:rFonts w:asciiTheme="majorHAnsi" w:hAnsiTheme="majorHAnsi"/>
                <w:color w:val="404040" w:themeColor="text1" w:themeTint="BF"/>
                <w:sz w:val="20"/>
                <w:szCs w:val="20"/>
              </w:rPr>
              <w:t>.</w:t>
            </w:r>
          </w:p>
          <w:p w14:paraId="45D84FC4" w14:textId="77777777" w:rsidR="008A7E9A" w:rsidRDefault="008A7E9A" w:rsidP="00D815BF">
            <w:pPr>
              <w:pStyle w:val="BalloonText"/>
              <w:ind w:left="360"/>
              <w:rPr>
                <w:rFonts w:asciiTheme="majorHAnsi" w:hAnsiTheme="majorHAnsi"/>
                <w:color w:val="404040" w:themeColor="text1" w:themeTint="BF"/>
                <w:sz w:val="20"/>
                <w:szCs w:val="20"/>
              </w:rPr>
            </w:pPr>
          </w:p>
          <w:p w14:paraId="2677D89D" w14:textId="77777777" w:rsidR="008A7E9A" w:rsidRDefault="008A7E9A" w:rsidP="009A77F5">
            <w:pPr>
              <w:pStyle w:val="BalloonText"/>
              <w:numPr>
                <w:ilvl w:val="0"/>
                <w:numId w:val="13"/>
              </w:numPr>
              <w:rPr>
                <w:rFonts w:asciiTheme="majorHAnsi" w:hAnsiTheme="majorHAnsi"/>
                <w:color w:val="404040" w:themeColor="text1" w:themeTint="BF"/>
                <w:sz w:val="20"/>
                <w:szCs w:val="20"/>
              </w:rPr>
            </w:pPr>
            <w:r w:rsidRPr="00AE2690">
              <w:rPr>
                <w:rFonts w:asciiTheme="majorHAnsi" w:hAnsiTheme="majorHAnsi"/>
                <w:color w:val="404040" w:themeColor="text1" w:themeTint="BF"/>
                <w:sz w:val="20"/>
                <w:szCs w:val="20"/>
              </w:rPr>
              <w:t xml:space="preserve">Check </w:t>
            </w:r>
            <w:r>
              <w:rPr>
                <w:rFonts w:asciiTheme="majorHAnsi" w:hAnsiTheme="majorHAnsi"/>
                <w:color w:val="404040" w:themeColor="text1" w:themeTint="BF"/>
                <w:sz w:val="20"/>
                <w:szCs w:val="20"/>
              </w:rPr>
              <w:t xml:space="preserve">if any asset </w:t>
            </w:r>
            <w:r w:rsidRPr="00AE2690">
              <w:rPr>
                <w:rFonts w:asciiTheme="majorHAnsi" w:hAnsiTheme="majorHAnsi"/>
                <w:color w:val="404040" w:themeColor="text1" w:themeTint="BF"/>
                <w:sz w:val="20"/>
                <w:szCs w:val="20"/>
              </w:rPr>
              <w:t>balance in “Project closure workbench”</w:t>
            </w:r>
          </w:p>
          <w:p w14:paraId="6062E4FD" w14:textId="4B380D1D" w:rsidR="007A2E3F" w:rsidRDefault="007A2E3F" w:rsidP="00BC2657">
            <w:pPr>
              <w:rPr>
                <w:rFonts w:asciiTheme="majorHAnsi" w:hAnsiTheme="majorHAnsi"/>
                <w:color w:val="404040" w:themeColor="text1" w:themeTint="BF"/>
                <w:sz w:val="20"/>
                <w:szCs w:val="20"/>
              </w:rPr>
            </w:pPr>
          </w:p>
          <w:p w14:paraId="405BFD0F" w14:textId="77D05B14" w:rsidR="007A2E3F" w:rsidRPr="00BC2657" w:rsidRDefault="007A2E3F" w:rsidP="00BC2657">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For NIM projects,</w:t>
            </w:r>
          </w:p>
          <w:p w14:paraId="2214B8F2" w14:textId="69EFD4C4" w:rsidR="007A2E3F" w:rsidRPr="00AE2690" w:rsidRDefault="007A2E3F" w:rsidP="009A77F5">
            <w:pPr>
              <w:pStyle w:val="BalloonText"/>
              <w:numPr>
                <w:ilvl w:val="0"/>
                <w:numId w:val="13"/>
              </w:num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Since asset has not been recorded in Atlas, all assets should be transferred or disposed of outside Atlas</w:t>
            </w:r>
          </w:p>
        </w:tc>
        <w:tc>
          <w:tcPr>
            <w:tcW w:w="1980" w:type="pct"/>
          </w:tcPr>
          <w:p w14:paraId="431FCD62" w14:textId="02A6DC98" w:rsidR="007A2E3F" w:rsidRPr="00BC2657" w:rsidRDefault="007A2E3F" w:rsidP="009A77F5">
            <w:pPr>
              <w:pStyle w:val="ListParagraph"/>
              <w:numPr>
                <w:ilvl w:val="0"/>
                <w:numId w:val="37"/>
              </w:numPr>
              <w:ind w:left="346"/>
              <w:rPr>
                <w:rFonts w:asciiTheme="majorHAnsi" w:hAnsiTheme="majorHAnsi"/>
                <w:color w:val="404040" w:themeColor="text1" w:themeTint="BF"/>
                <w:sz w:val="20"/>
                <w:szCs w:val="20"/>
              </w:rPr>
            </w:pPr>
            <w:r w:rsidRPr="00BC2657">
              <w:rPr>
                <w:rFonts w:asciiTheme="majorHAnsi" w:hAnsiTheme="majorHAnsi"/>
                <w:color w:val="404040" w:themeColor="text1" w:themeTint="BF"/>
                <w:sz w:val="20"/>
                <w:szCs w:val="20"/>
              </w:rPr>
              <w:t xml:space="preserve">For DIM or CO Support to </w:t>
            </w:r>
            <w:r w:rsidR="004B025E">
              <w:rPr>
                <w:rFonts w:asciiTheme="majorHAnsi" w:hAnsiTheme="majorHAnsi"/>
                <w:color w:val="404040" w:themeColor="text1" w:themeTint="BF"/>
                <w:sz w:val="20"/>
                <w:szCs w:val="20"/>
              </w:rPr>
              <w:t>National Implementation (</w:t>
            </w:r>
            <w:r w:rsidRPr="00BC2657">
              <w:rPr>
                <w:rFonts w:asciiTheme="majorHAnsi" w:hAnsiTheme="majorHAnsi"/>
                <w:color w:val="404040" w:themeColor="text1" w:themeTint="BF"/>
                <w:sz w:val="20"/>
                <w:szCs w:val="20"/>
              </w:rPr>
              <w:t>NIM</w:t>
            </w:r>
            <w:r w:rsidR="004B025E">
              <w:rPr>
                <w:rFonts w:asciiTheme="majorHAnsi" w:hAnsiTheme="majorHAnsi"/>
                <w:color w:val="404040" w:themeColor="text1" w:themeTint="BF"/>
                <w:sz w:val="20"/>
                <w:szCs w:val="20"/>
              </w:rPr>
              <w:t>)</w:t>
            </w:r>
            <w:r w:rsidRPr="00BC2657">
              <w:rPr>
                <w:rFonts w:asciiTheme="majorHAnsi" w:hAnsiTheme="majorHAnsi"/>
                <w:color w:val="404040" w:themeColor="text1" w:themeTint="BF"/>
                <w:sz w:val="20"/>
                <w:szCs w:val="20"/>
              </w:rPr>
              <w:t xml:space="preserve"> Projects,</w:t>
            </w:r>
          </w:p>
          <w:p w14:paraId="1007D862" w14:textId="0B25C5BE" w:rsidR="008A7E9A" w:rsidRPr="00304C24" w:rsidRDefault="008A7E9A" w:rsidP="00304C24">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 xml:space="preserve">If the asset should be disposed of, </w:t>
            </w:r>
          </w:p>
          <w:p w14:paraId="1804F17C" w14:textId="26639237" w:rsidR="008A7E9A" w:rsidRPr="00AE2690" w:rsidRDefault="008A7E9A" w:rsidP="009A77F5">
            <w:pPr>
              <w:numPr>
                <w:ilvl w:val="0"/>
                <w:numId w:val="28"/>
              </w:numPr>
              <w:rPr>
                <w:rFonts w:asciiTheme="majorHAnsi" w:hAnsiTheme="majorHAnsi"/>
                <w:color w:val="1F497D"/>
                <w:sz w:val="20"/>
                <w:szCs w:val="20"/>
              </w:rPr>
            </w:pPr>
            <w:r w:rsidRPr="00AE2690">
              <w:rPr>
                <w:rFonts w:asciiTheme="majorHAnsi" w:hAnsiTheme="majorHAnsi"/>
                <w:sz w:val="20"/>
                <w:szCs w:val="20"/>
              </w:rPr>
              <w:t>Submit a</w:t>
            </w:r>
            <w:r w:rsidRPr="00AE2690">
              <w:rPr>
                <w:rFonts w:asciiTheme="majorHAnsi" w:hAnsiTheme="majorHAnsi"/>
                <w:color w:val="1F497D"/>
                <w:sz w:val="20"/>
                <w:szCs w:val="20"/>
              </w:rPr>
              <w:t xml:space="preserve"> </w:t>
            </w:r>
            <w:r w:rsidRPr="00AE2690">
              <w:rPr>
                <w:rFonts w:asciiTheme="majorHAnsi" w:hAnsiTheme="majorHAnsi"/>
                <w:sz w:val="20"/>
                <w:szCs w:val="20"/>
              </w:rPr>
              <w:t xml:space="preserve">request </w:t>
            </w:r>
            <w:r w:rsidR="00555A5B">
              <w:rPr>
                <w:rFonts w:asciiTheme="majorHAnsi" w:hAnsiTheme="majorHAnsi"/>
                <w:sz w:val="20"/>
                <w:szCs w:val="20"/>
              </w:rPr>
              <w:t xml:space="preserve">via the </w:t>
            </w:r>
            <w:hyperlink r:id="rId49" w:history="1">
              <w:r w:rsidR="00555A5B" w:rsidRPr="00555A5B">
                <w:rPr>
                  <w:rStyle w:val="Hyperlink"/>
                  <w:rFonts w:asciiTheme="majorHAnsi" w:hAnsiTheme="majorHAnsi"/>
                  <w:sz w:val="20"/>
                  <w:szCs w:val="20"/>
                </w:rPr>
                <w:t>UNDP Service Request Portal</w:t>
              </w:r>
            </w:hyperlink>
            <w:r w:rsidR="00555A5B">
              <w:rPr>
                <w:rFonts w:asciiTheme="majorHAnsi" w:hAnsiTheme="majorHAnsi"/>
                <w:sz w:val="20"/>
                <w:szCs w:val="20"/>
              </w:rPr>
              <w:t xml:space="preserve"> </w:t>
            </w:r>
            <w:r w:rsidRPr="00AE2690">
              <w:rPr>
                <w:rFonts w:asciiTheme="majorHAnsi" w:hAnsiTheme="majorHAnsi"/>
                <w:sz w:val="20"/>
                <w:szCs w:val="20"/>
              </w:rPr>
              <w:t>by selecting the category “</w:t>
            </w:r>
            <w:r w:rsidRPr="00AE2690">
              <w:rPr>
                <w:rFonts w:asciiTheme="majorHAnsi" w:hAnsiTheme="majorHAnsi"/>
                <w:i/>
                <w:iCs/>
                <w:sz w:val="20"/>
                <w:szCs w:val="20"/>
              </w:rPr>
              <w:t>Asset</w:t>
            </w:r>
            <w:r w:rsidR="001920B8">
              <w:rPr>
                <w:rFonts w:asciiTheme="majorHAnsi" w:hAnsiTheme="majorHAnsi"/>
                <w:i/>
                <w:iCs/>
                <w:sz w:val="20"/>
                <w:szCs w:val="20"/>
              </w:rPr>
              <w:t xml:space="preserve"> Management</w:t>
            </w:r>
            <w:r w:rsidRPr="00AE2690">
              <w:rPr>
                <w:rFonts w:asciiTheme="majorHAnsi" w:hAnsiTheme="majorHAnsi"/>
                <w:sz w:val="20"/>
                <w:szCs w:val="20"/>
              </w:rPr>
              <w:t>”, subcategory “</w:t>
            </w:r>
            <w:r w:rsidRPr="00AE2690">
              <w:rPr>
                <w:rFonts w:asciiTheme="majorHAnsi" w:hAnsiTheme="majorHAnsi"/>
                <w:i/>
                <w:iCs/>
                <w:sz w:val="20"/>
                <w:szCs w:val="20"/>
              </w:rPr>
              <w:t>Disposal</w:t>
            </w:r>
            <w:r w:rsidR="001920B8">
              <w:rPr>
                <w:rFonts w:asciiTheme="majorHAnsi" w:hAnsiTheme="majorHAnsi"/>
                <w:i/>
                <w:iCs/>
                <w:sz w:val="20"/>
                <w:szCs w:val="20"/>
              </w:rPr>
              <w:t xml:space="preserve"> (ATLAS Portal)</w:t>
            </w:r>
            <w:r w:rsidRPr="00AE2690">
              <w:rPr>
                <w:rFonts w:asciiTheme="majorHAnsi" w:hAnsiTheme="majorHAnsi"/>
                <w:sz w:val="20"/>
                <w:szCs w:val="20"/>
              </w:rPr>
              <w:t xml:space="preserve">”. </w:t>
            </w:r>
          </w:p>
          <w:p w14:paraId="10B0D946" w14:textId="7C74BD90" w:rsidR="008A7E9A" w:rsidRPr="00AE2690" w:rsidRDefault="008A7E9A" w:rsidP="009A77F5">
            <w:pPr>
              <w:numPr>
                <w:ilvl w:val="0"/>
                <w:numId w:val="28"/>
              </w:numPr>
              <w:rPr>
                <w:rFonts w:asciiTheme="majorHAnsi" w:hAnsiTheme="majorHAnsi"/>
                <w:color w:val="1F497D"/>
                <w:sz w:val="20"/>
                <w:szCs w:val="20"/>
              </w:rPr>
            </w:pPr>
            <w:r w:rsidRPr="00AE2690">
              <w:rPr>
                <w:rFonts w:asciiTheme="majorHAnsi" w:hAnsiTheme="majorHAnsi"/>
                <w:sz w:val="20"/>
                <w:szCs w:val="20"/>
              </w:rPr>
              <w:t xml:space="preserve">Ensure that the </w:t>
            </w:r>
            <w:hyperlink r:id="rId50" w:history="1">
              <w:r w:rsidRPr="00AE2690">
                <w:rPr>
                  <w:rStyle w:val="Hyperlink"/>
                  <w:rFonts w:asciiTheme="majorHAnsi" w:hAnsiTheme="majorHAnsi"/>
                  <w:sz w:val="20"/>
                  <w:szCs w:val="20"/>
                </w:rPr>
                <w:t>RAD form</w:t>
              </w:r>
            </w:hyperlink>
            <w:r w:rsidRPr="00AE2690">
              <w:rPr>
                <w:rFonts w:asciiTheme="majorHAnsi" w:hAnsiTheme="majorHAnsi"/>
                <w:color w:val="1F497D"/>
                <w:sz w:val="20"/>
                <w:szCs w:val="20"/>
              </w:rPr>
              <w:t xml:space="preserve"> </w:t>
            </w:r>
            <w:r w:rsidRPr="00AE2690">
              <w:rPr>
                <w:rFonts w:asciiTheme="majorHAnsi" w:hAnsiTheme="majorHAnsi"/>
                <w:sz w:val="20"/>
                <w:szCs w:val="20"/>
              </w:rPr>
              <w:t>is signed</w:t>
            </w:r>
            <w:r w:rsidR="00FC23DB">
              <w:rPr>
                <w:rFonts w:asciiTheme="majorHAnsi" w:hAnsiTheme="majorHAnsi"/>
                <w:sz w:val="20"/>
                <w:szCs w:val="20"/>
              </w:rPr>
              <w:t xml:space="preserve"> (Request for Asset Sale, Disposal Form)</w:t>
            </w:r>
            <w:r w:rsidRPr="00AE2690">
              <w:rPr>
                <w:rFonts w:asciiTheme="majorHAnsi" w:hAnsiTheme="majorHAnsi"/>
                <w:sz w:val="20"/>
                <w:szCs w:val="20"/>
              </w:rPr>
              <w:t>, and uploaded into</w:t>
            </w:r>
            <w:r w:rsidR="00555A5B">
              <w:rPr>
                <w:rFonts w:asciiTheme="majorHAnsi" w:hAnsiTheme="majorHAnsi"/>
                <w:sz w:val="20"/>
                <w:szCs w:val="20"/>
              </w:rPr>
              <w:t xml:space="preserve"> the </w:t>
            </w:r>
            <w:hyperlink r:id="rId51" w:history="1">
              <w:r w:rsidR="00555A5B" w:rsidRPr="00555A5B">
                <w:rPr>
                  <w:rStyle w:val="Hyperlink"/>
                  <w:rFonts w:asciiTheme="majorHAnsi" w:hAnsiTheme="majorHAnsi"/>
                  <w:sz w:val="20"/>
                  <w:szCs w:val="20"/>
                </w:rPr>
                <w:t>UNDP Service Request Portal</w:t>
              </w:r>
            </w:hyperlink>
            <w:r w:rsidRPr="00AE2690">
              <w:rPr>
                <w:rFonts w:asciiTheme="majorHAnsi" w:hAnsiTheme="majorHAnsi"/>
                <w:sz w:val="20"/>
                <w:szCs w:val="20"/>
              </w:rPr>
              <w:t xml:space="preserve">. In all scenarios the RAD is mandatory. But depending of the disposal method selected, additional supporting documents is required. Please refer to </w:t>
            </w:r>
            <w:hyperlink r:id="rId52" w:history="1">
              <w:r w:rsidRPr="00032D1A">
                <w:rPr>
                  <w:rStyle w:val="Hyperlink"/>
                  <w:rFonts w:asciiTheme="majorHAnsi" w:hAnsiTheme="majorHAnsi"/>
                  <w:sz w:val="20"/>
                  <w:szCs w:val="20"/>
                </w:rPr>
                <w:t>POPP -Asset Management – Property, Plant and Equipment - Disposal and Write Off</w:t>
              </w:r>
            </w:hyperlink>
            <w:r>
              <w:rPr>
                <w:rFonts w:asciiTheme="majorHAnsi" w:hAnsiTheme="majorHAnsi"/>
                <w:color w:val="1F497D"/>
                <w:sz w:val="20"/>
                <w:szCs w:val="20"/>
              </w:rPr>
              <w:t xml:space="preserve">. </w:t>
            </w:r>
          </w:p>
          <w:p w14:paraId="6B8C00E2" w14:textId="77777777" w:rsidR="008A7E9A" w:rsidRPr="00AE2690" w:rsidRDefault="008A7E9A" w:rsidP="009A77F5">
            <w:pPr>
              <w:numPr>
                <w:ilvl w:val="0"/>
                <w:numId w:val="28"/>
              </w:numPr>
              <w:rPr>
                <w:rFonts w:asciiTheme="majorHAnsi" w:hAnsiTheme="majorHAnsi"/>
                <w:sz w:val="20"/>
                <w:szCs w:val="20"/>
                <w:lang w:val="en-MY"/>
              </w:rPr>
            </w:pPr>
            <w:r w:rsidRPr="00AE2690">
              <w:rPr>
                <w:rFonts w:asciiTheme="majorHAnsi" w:hAnsiTheme="majorHAnsi"/>
                <w:sz w:val="20"/>
                <w:szCs w:val="20"/>
                <w:lang w:val="en-MY"/>
              </w:rPr>
              <w:t xml:space="preserve">Any asset to be disposed from books </w:t>
            </w:r>
            <w:r w:rsidRPr="00AE2690">
              <w:rPr>
                <w:rFonts w:asciiTheme="majorHAnsi" w:hAnsiTheme="majorHAnsi"/>
                <w:b/>
                <w:bCs/>
                <w:sz w:val="20"/>
                <w:szCs w:val="20"/>
                <w:u w:val="single"/>
                <w:lang w:val="en-MY"/>
              </w:rPr>
              <w:t>must have been physically</w:t>
            </w:r>
            <w:r w:rsidRPr="00AE2690">
              <w:rPr>
                <w:rFonts w:asciiTheme="majorHAnsi" w:hAnsiTheme="majorHAnsi"/>
                <w:sz w:val="20"/>
                <w:szCs w:val="20"/>
                <w:lang w:val="en-MY"/>
              </w:rPr>
              <w:t xml:space="preserve"> removed from premises.</w:t>
            </w:r>
          </w:p>
          <w:p w14:paraId="32FD51FD" w14:textId="77777777" w:rsidR="008A7E9A" w:rsidRPr="00304C24" w:rsidRDefault="008A7E9A" w:rsidP="00D815BF">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lastRenderedPageBreak/>
              <w:t xml:space="preserve">If the asset should be transferred of, </w:t>
            </w:r>
          </w:p>
          <w:p w14:paraId="3B3F297B" w14:textId="57C319D2" w:rsidR="008A7E9A" w:rsidRPr="00AE2690" w:rsidRDefault="008A7E9A" w:rsidP="009A77F5">
            <w:pPr>
              <w:numPr>
                <w:ilvl w:val="0"/>
                <w:numId w:val="28"/>
              </w:numPr>
              <w:rPr>
                <w:rFonts w:asciiTheme="majorHAnsi" w:hAnsiTheme="majorHAnsi"/>
                <w:color w:val="1F497D"/>
                <w:sz w:val="20"/>
                <w:szCs w:val="20"/>
              </w:rPr>
            </w:pPr>
            <w:r w:rsidRPr="00AE2690">
              <w:rPr>
                <w:rFonts w:asciiTheme="majorHAnsi" w:hAnsiTheme="majorHAnsi"/>
                <w:sz w:val="20"/>
                <w:szCs w:val="20"/>
              </w:rPr>
              <w:t>Submit a</w:t>
            </w:r>
            <w:r w:rsidRPr="00AE2690">
              <w:rPr>
                <w:rFonts w:asciiTheme="majorHAnsi" w:hAnsiTheme="majorHAnsi"/>
                <w:color w:val="1F497D"/>
                <w:sz w:val="20"/>
                <w:szCs w:val="20"/>
              </w:rPr>
              <w:t xml:space="preserve"> </w:t>
            </w:r>
            <w:r w:rsidRPr="00AE2690">
              <w:rPr>
                <w:rFonts w:asciiTheme="majorHAnsi" w:hAnsiTheme="majorHAnsi"/>
                <w:sz w:val="20"/>
                <w:szCs w:val="20"/>
              </w:rPr>
              <w:t>request</w:t>
            </w:r>
            <w:r w:rsidR="00555A5B">
              <w:rPr>
                <w:rFonts w:asciiTheme="majorHAnsi" w:hAnsiTheme="majorHAnsi"/>
                <w:sz w:val="20"/>
                <w:szCs w:val="20"/>
              </w:rPr>
              <w:t xml:space="preserve"> via the </w:t>
            </w:r>
            <w:hyperlink r:id="rId53" w:history="1">
              <w:r w:rsidR="00555A5B" w:rsidRPr="00B81A63">
                <w:rPr>
                  <w:rStyle w:val="Hyperlink"/>
                  <w:rFonts w:asciiTheme="majorHAnsi" w:hAnsiTheme="majorHAnsi"/>
                  <w:sz w:val="20"/>
                  <w:szCs w:val="20"/>
                </w:rPr>
                <w:t>UNDP Service Request Portal</w:t>
              </w:r>
            </w:hyperlink>
            <w:r w:rsidRPr="00AE2690">
              <w:rPr>
                <w:rFonts w:asciiTheme="majorHAnsi" w:hAnsiTheme="majorHAnsi"/>
                <w:sz w:val="20"/>
                <w:szCs w:val="20"/>
              </w:rPr>
              <w:t xml:space="preserve"> by selecting the category “</w:t>
            </w:r>
            <w:r w:rsidRPr="00AE2690">
              <w:rPr>
                <w:rFonts w:asciiTheme="majorHAnsi" w:hAnsiTheme="majorHAnsi"/>
                <w:i/>
                <w:iCs/>
                <w:sz w:val="20"/>
                <w:szCs w:val="20"/>
              </w:rPr>
              <w:t>Asset</w:t>
            </w:r>
            <w:r w:rsidR="001920B8">
              <w:rPr>
                <w:rFonts w:asciiTheme="majorHAnsi" w:hAnsiTheme="majorHAnsi"/>
                <w:i/>
                <w:iCs/>
                <w:sz w:val="20"/>
                <w:szCs w:val="20"/>
              </w:rPr>
              <w:t xml:space="preserve"> Management</w:t>
            </w:r>
            <w:r w:rsidRPr="00AE2690">
              <w:rPr>
                <w:rFonts w:asciiTheme="majorHAnsi" w:hAnsiTheme="majorHAnsi"/>
                <w:sz w:val="20"/>
                <w:szCs w:val="20"/>
              </w:rPr>
              <w:t>”, subcategory “</w:t>
            </w:r>
            <w:r w:rsidR="001920B8" w:rsidRPr="001920B8">
              <w:rPr>
                <w:rFonts w:asciiTheme="majorHAnsi" w:hAnsiTheme="majorHAnsi"/>
                <w:i/>
                <w:iCs/>
                <w:sz w:val="20"/>
                <w:szCs w:val="20"/>
              </w:rPr>
              <w:t>Adjustment (Atlas Portal)</w:t>
            </w:r>
            <w:r w:rsidRPr="00AE2690">
              <w:rPr>
                <w:rFonts w:asciiTheme="majorHAnsi" w:hAnsiTheme="majorHAnsi"/>
                <w:sz w:val="20"/>
                <w:szCs w:val="20"/>
              </w:rPr>
              <w:t>”.  </w:t>
            </w:r>
          </w:p>
          <w:p w14:paraId="012733F8" w14:textId="009D6B50" w:rsidR="008A7E9A" w:rsidRPr="00AE2690" w:rsidRDefault="008A7E9A" w:rsidP="009A77F5">
            <w:pPr>
              <w:numPr>
                <w:ilvl w:val="0"/>
                <w:numId w:val="28"/>
              </w:numPr>
              <w:rPr>
                <w:rFonts w:asciiTheme="majorHAnsi" w:hAnsiTheme="majorHAnsi"/>
                <w:color w:val="1F497D"/>
                <w:sz w:val="20"/>
                <w:szCs w:val="20"/>
              </w:rPr>
            </w:pPr>
            <w:r w:rsidRPr="00AE2690">
              <w:rPr>
                <w:rFonts w:asciiTheme="majorHAnsi" w:hAnsiTheme="majorHAnsi"/>
                <w:sz w:val="20"/>
                <w:szCs w:val="20"/>
              </w:rPr>
              <w:t xml:space="preserve">Ensure that the </w:t>
            </w:r>
            <w:hyperlink r:id="rId54" w:history="1">
              <w:r>
                <w:rPr>
                  <w:rStyle w:val="Hyperlink"/>
                  <w:rFonts w:asciiTheme="majorHAnsi" w:hAnsiTheme="majorHAnsi"/>
                  <w:sz w:val="20"/>
                  <w:szCs w:val="20"/>
                </w:rPr>
                <w:t xml:space="preserve">transfer </w:t>
              </w:r>
              <w:r w:rsidRPr="00AE2690">
                <w:rPr>
                  <w:rStyle w:val="Hyperlink"/>
                  <w:rFonts w:asciiTheme="majorHAnsi" w:hAnsiTheme="majorHAnsi"/>
                  <w:sz w:val="20"/>
                  <w:szCs w:val="20"/>
                </w:rPr>
                <w:t>form</w:t>
              </w:r>
            </w:hyperlink>
            <w:r w:rsidRPr="00AE2690">
              <w:rPr>
                <w:rFonts w:asciiTheme="majorHAnsi" w:hAnsiTheme="majorHAnsi"/>
                <w:color w:val="1F497D"/>
                <w:sz w:val="20"/>
                <w:szCs w:val="20"/>
              </w:rPr>
              <w:t xml:space="preserve"> </w:t>
            </w:r>
            <w:r w:rsidRPr="00AE2690">
              <w:rPr>
                <w:rFonts w:asciiTheme="majorHAnsi" w:hAnsiTheme="majorHAnsi"/>
                <w:sz w:val="20"/>
                <w:szCs w:val="20"/>
              </w:rPr>
              <w:t>is signed, and uploaded into</w:t>
            </w:r>
            <w:r w:rsidR="00B81A63">
              <w:rPr>
                <w:rFonts w:asciiTheme="majorHAnsi" w:hAnsiTheme="majorHAnsi"/>
                <w:sz w:val="20"/>
                <w:szCs w:val="20"/>
              </w:rPr>
              <w:t xml:space="preserve"> the </w:t>
            </w:r>
            <w:hyperlink r:id="rId55" w:history="1">
              <w:r w:rsidR="00B81A63" w:rsidRPr="00B81A63">
                <w:rPr>
                  <w:rStyle w:val="Hyperlink"/>
                  <w:rFonts w:asciiTheme="majorHAnsi" w:hAnsiTheme="majorHAnsi"/>
                  <w:sz w:val="20"/>
                  <w:szCs w:val="20"/>
                </w:rPr>
                <w:t>UNDP Service Request Portal</w:t>
              </w:r>
            </w:hyperlink>
            <w:r w:rsidRPr="00AE2690">
              <w:rPr>
                <w:rFonts w:asciiTheme="majorHAnsi" w:hAnsiTheme="majorHAnsi"/>
                <w:sz w:val="20"/>
                <w:szCs w:val="20"/>
              </w:rPr>
              <w:t xml:space="preserve">. In all scenarios </w:t>
            </w:r>
            <w:r>
              <w:rPr>
                <w:rFonts w:asciiTheme="majorHAnsi" w:hAnsiTheme="majorHAnsi"/>
                <w:sz w:val="20"/>
                <w:szCs w:val="20"/>
              </w:rPr>
              <w:t xml:space="preserve">any asset must be transferred WITH resources. </w:t>
            </w:r>
          </w:p>
          <w:p w14:paraId="51F6E66A" w14:textId="55EFC2FE" w:rsidR="008A7E9A" w:rsidRDefault="008A7E9A" w:rsidP="00D815BF">
            <w:pPr>
              <w:rPr>
                <w:rFonts w:asciiTheme="majorHAnsi" w:hAnsiTheme="majorHAnsi"/>
                <w:color w:val="404040" w:themeColor="text1" w:themeTint="BF"/>
                <w:sz w:val="20"/>
                <w:szCs w:val="20"/>
                <w:lang w:val="en-MY"/>
              </w:rPr>
            </w:pPr>
            <w:r w:rsidRPr="00AE2690">
              <w:rPr>
                <w:rFonts w:asciiTheme="majorHAnsi" w:hAnsiTheme="majorHAnsi"/>
                <w:sz w:val="20"/>
                <w:szCs w:val="20"/>
                <w:lang w:val="en-MY"/>
              </w:rPr>
              <w:t xml:space="preserve">For </w:t>
            </w:r>
            <w:r w:rsidRPr="00D815BF">
              <w:rPr>
                <w:rFonts w:asciiTheme="majorHAnsi" w:hAnsiTheme="majorHAnsi"/>
                <w:sz w:val="20"/>
                <w:szCs w:val="20"/>
                <w:lang w:val="en-MY"/>
              </w:rPr>
              <w:t>Asset transfers and disposals</w:t>
            </w:r>
            <w:r w:rsidRPr="00AE2690">
              <w:rPr>
                <w:rFonts w:asciiTheme="majorHAnsi" w:hAnsiTheme="majorHAnsi"/>
                <w:sz w:val="20"/>
                <w:szCs w:val="20"/>
                <w:lang w:val="en-MY"/>
              </w:rPr>
              <w:t>, please submit the request</w:t>
            </w:r>
            <w:r>
              <w:rPr>
                <w:rFonts w:asciiTheme="majorHAnsi" w:hAnsiTheme="majorHAnsi"/>
                <w:sz w:val="20"/>
                <w:szCs w:val="20"/>
                <w:lang w:val="en-MY"/>
              </w:rPr>
              <w:t>s</w:t>
            </w:r>
            <w:r w:rsidRPr="00AE2690">
              <w:rPr>
                <w:rFonts w:asciiTheme="majorHAnsi" w:hAnsiTheme="majorHAnsi"/>
                <w:sz w:val="20"/>
                <w:szCs w:val="20"/>
                <w:lang w:val="en-MY"/>
              </w:rPr>
              <w:t xml:space="preserve"> to</w:t>
            </w:r>
            <w:r w:rsidR="00B81A63">
              <w:rPr>
                <w:rFonts w:asciiTheme="majorHAnsi" w:hAnsiTheme="majorHAnsi"/>
                <w:sz w:val="20"/>
                <w:szCs w:val="20"/>
              </w:rPr>
              <w:t xml:space="preserve"> </w:t>
            </w:r>
            <w:hyperlink r:id="rId56" w:history="1">
              <w:r w:rsidR="00B81A63" w:rsidRPr="00B81A63">
                <w:rPr>
                  <w:rStyle w:val="Hyperlink"/>
                  <w:rFonts w:asciiTheme="majorHAnsi" w:hAnsiTheme="majorHAnsi"/>
                  <w:sz w:val="20"/>
                  <w:szCs w:val="20"/>
                </w:rPr>
                <w:t>UNDP Service Request Portal</w:t>
              </w:r>
            </w:hyperlink>
            <w:r w:rsidR="00B81A63">
              <w:rPr>
                <w:rFonts w:asciiTheme="majorHAnsi" w:hAnsiTheme="majorHAnsi"/>
                <w:sz w:val="20"/>
                <w:szCs w:val="20"/>
              </w:rPr>
              <w:t xml:space="preserve"> </w:t>
            </w:r>
            <w:r w:rsidRPr="00AE2690">
              <w:rPr>
                <w:rFonts w:asciiTheme="majorHAnsi" w:hAnsiTheme="majorHAnsi"/>
                <w:sz w:val="20"/>
                <w:szCs w:val="20"/>
                <w:lang w:val="en-MY"/>
              </w:rPr>
              <w:t xml:space="preserve">Asset management or contact </w:t>
            </w:r>
            <w:hyperlink r:id="rId57" w:history="1">
              <w:r w:rsidRPr="00A005AE">
                <w:rPr>
                  <w:rStyle w:val="Hyperlink"/>
                  <w:rFonts w:asciiTheme="majorHAnsi" w:hAnsiTheme="majorHAnsi"/>
                  <w:sz w:val="20"/>
                  <w:szCs w:val="20"/>
                  <w:lang w:val="en-MY"/>
                </w:rPr>
                <w:t>gssu.assets@undp.org</w:t>
              </w:r>
            </w:hyperlink>
            <w:r>
              <w:rPr>
                <w:rFonts w:asciiTheme="majorHAnsi" w:hAnsiTheme="majorHAnsi"/>
                <w:color w:val="404040" w:themeColor="text1" w:themeTint="BF"/>
                <w:sz w:val="20"/>
                <w:szCs w:val="20"/>
                <w:lang w:val="en-MY"/>
              </w:rPr>
              <w:t xml:space="preserve"> for additional information.</w:t>
            </w:r>
          </w:p>
          <w:p w14:paraId="750ACF9D" w14:textId="599B2FBD" w:rsidR="007A2E3F" w:rsidRPr="00BC2657" w:rsidRDefault="007A2E3F" w:rsidP="009A77F5">
            <w:pPr>
              <w:pStyle w:val="ListParagraph"/>
              <w:numPr>
                <w:ilvl w:val="0"/>
                <w:numId w:val="37"/>
              </w:numPr>
              <w:ind w:left="346"/>
              <w:rPr>
                <w:rFonts w:asciiTheme="majorHAnsi" w:hAnsiTheme="majorHAnsi"/>
                <w:color w:val="404040" w:themeColor="text1" w:themeTint="BF"/>
                <w:sz w:val="20"/>
                <w:szCs w:val="20"/>
                <w:lang w:val="en-MY"/>
              </w:rPr>
            </w:pPr>
            <w:r>
              <w:rPr>
                <w:rFonts w:asciiTheme="majorHAnsi" w:hAnsiTheme="majorHAnsi"/>
                <w:color w:val="404040" w:themeColor="text1" w:themeTint="BF"/>
                <w:sz w:val="20"/>
                <w:szCs w:val="20"/>
                <w:lang w:val="en-MY"/>
              </w:rPr>
              <w:t xml:space="preserve">For NIM projects, please ensure that the assets under the government system is transferred </w:t>
            </w:r>
            <w:r w:rsidR="0067185A">
              <w:rPr>
                <w:rFonts w:asciiTheme="majorHAnsi" w:hAnsiTheme="majorHAnsi"/>
                <w:color w:val="404040" w:themeColor="text1" w:themeTint="BF"/>
                <w:sz w:val="20"/>
                <w:szCs w:val="20"/>
                <w:lang w:val="en-MY"/>
              </w:rPr>
              <w:t>or disposed of as per the mutual agreement; for example, it may be transferred to the local community for their public use.</w:t>
            </w:r>
          </w:p>
        </w:tc>
      </w:tr>
      <w:tr w:rsidR="00E5285F" w:rsidRPr="009534CA" w14:paraId="5D69364D" w14:textId="77777777" w:rsidTr="007464B7">
        <w:tc>
          <w:tcPr>
            <w:tcW w:w="275" w:type="pct"/>
          </w:tcPr>
          <w:p w14:paraId="67366524" w14:textId="77777777" w:rsidR="008A7E9A"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lastRenderedPageBreak/>
              <w:t>17</w:t>
            </w:r>
          </w:p>
        </w:tc>
        <w:tc>
          <w:tcPr>
            <w:tcW w:w="1234" w:type="pct"/>
          </w:tcPr>
          <w:p w14:paraId="2CD30426" w14:textId="77777777" w:rsidR="008A7E9A" w:rsidRPr="00BA3A63" w:rsidRDefault="008A7E9A" w:rsidP="006A77CA">
            <w:pPr>
              <w:rPr>
                <w:rFonts w:asciiTheme="majorHAnsi" w:hAnsiTheme="majorHAnsi"/>
                <w:color w:val="404040" w:themeColor="text1" w:themeTint="BF"/>
                <w:sz w:val="20"/>
                <w:szCs w:val="20"/>
              </w:rPr>
            </w:pPr>
            <w:r w:rsidRPr="00BA3A63">
              <w:rPr>
                <w:rFonts w:asciiTheme="majorHAnsi" w:hAnsiTheme="majorHAnsi"/>
                <w:color w:val="404040" w:themeColor="text1" w:themeTint="BF"/>
                <w:sz w:val="20"/>
                <w:szCs w:val="20"/>
              </w:rPr>
              <w:t>All un-used inventory items held at the end of the project has been disposed of or transferred to other projects</w:t>
            </w:r>
          </w:p>
        </w:tc>
        <w:tc>
          <w:tcPr>
            <w:tcW w:w="1510" w:type="pct"/>
          </w:tcPr>
          <w:p w14:paraId="3652F920" w14:textId="77777777" w:rsidR="008A7E9A" w:rsidRPr="009534CA"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Check to ensure that no physical un-used inventory items held.</w:t>
            </w:r>
          </w:p>
        </w:tc>
        <w:tc>
          <w:tcPr>
            <w:tcW w:w="1980" w:type="pct"/>
          </w:tcPr>
          <w:p w14:paraId="282C19DE" w14:textId="6EF62732" w:rsidR="008A7E9A" w:rsidRPr="009534CA"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Refer to the last inventory certification report that was submitted by your office</w:t>
            </w:r>
            <w:r w:rsidR="00C115BE">
              <w:rPr>
                <w:rFonts w:asciiTheme="majorHAnsi" w:hAnsiTheme="majorHAnsi"/>
                <w:color w:val="404040" w:themeColor="text1" w:themeTint="BF"/>
                <w:sz w:val="20"/>
                <w:szCs w:val="20"/>
              </w:rPr>
              <w:t xml:space="preserve"> </w:t>
            </w:r>
            <w:r w:rsidR="00C115BE" w:rsidRPr="00C115BE">
              <w:rPr>
                <w:rFonts w:asciiTheme="majorHAnsi" w:hAnsiTheme="majorHAnsi"/>
                <w:color w:val="404040" w:themeColor="text1" w:themeTint="BF"/>
                <w:sz w:val="20"/>
                <w:szCs w:val="20"/>
              </w:rPr>
              <w:t>to confirm nil outstanding inventory</w:t>
            </w:r>
            <w:r>
              <w:rPr>
                <w:rFonts w:asciiTheme="majorHAnsi" w:hAnsiTheme="majorHAnsi"/>
                <w:color w:val="404040" w:themeColor="text1" w:themeTint="BF"/>
                <w:sz w:val="20"/>
                <w:szCs w:val="20"/>
              </w:rPr>
              <w:t>.</w:t>
            </w:r>
          </w:p>
        </w:tc>
      </w:tr>
      <w:tr w:rsidR="00E5285F" w:rsidRPr="009534CA" w14:paraId="41E65299" w14:textId="77777777" w:rsidTr="007464B7">
        <w:tc>
          <w:tcPr>
            <w:tcW w:w="275" w:type="pct"/>
          </w:tcPr>
          <w:p w14:paraId="28550FE6" w14:textId="77777777" w:rsidR="008A7E9A"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18</w:t>
            </w:r>
          </w:p>
        </w:tc>
        <w:tc>
          <w:tcPr>
            <w:tcW w:w="1234" w:type="pct"/>
          </w:tcPr>
          <w:p w14:paraId="624FC1EB" w14:textId="77777777" w:rsidR="008A7E9A" w:rsidRPr="00BA3A63" w:rsidRDefault="008A7E9A" w:rsidP="006A77CA">
            <w:pPr>
              <w:rPr>
                <w:rFonts w:asciiTheme="majorHAnsi" w:hAnsiTheme="majorHAnsi"/>
                <w:color w:val="404040" w:themeColor="text1" w:themeTint="BF"/>
                <w:sz w:val="20"/>
                <w:szCs w:val="20"/>
              </w:rPr>
            </w:pPr>
            <w:r w:rsidRPr="00BA3A63">
              <w:rPr>
                <w:rFonts w:asciiTheme="majorHAnsi" w:hAnsiTheme="majorHAnsi"/>
                <w:color w:val="404040" w:themeColor="text1" w:themeTint="BF"/>
                <w:sz w:val="20"/>
                <w:szCs w:val="20"/>
              </w:rPr>
              <w:t>Ensure all transactions for sale/transfer/donation/disposal etc. of assets have been processed and GMS charged.</w:t>
            </w:r>
          </w:p>
        </w:tc>
        <w:tc>
          <w:tcPr>
            <w:tcW w:w="1510" w:type="pct"/>
          </w:tcPr>
          <w:p w14:paraId="28CF4CA2" w14:textId="77777777" w:rsidR="008A7E9A" w:rsidRPr="009534CA" w:rsidRDefault="008A7E9A" w:rsidP="006A77CA">
            <w:pPr>
              <w:rPr>
                <w:rFonts w:asciiTheme="majorHAnsi" w:hAnsiTheme="majorHAnsi"/>
                <w:color w:val="404040" w:themeColor="text1" w:themeTint="BF"/>
                <w:sz w:val="20"/>
                <w:szCs w:val="20"/>
              </w:rPr>
            </w:pPr>
            <w:r w:rsidRPr="00955AFE">
              <w:rPr>
                <w:rFonts w:asciiTheme="majorHAnsi" w:hAnsiTheme="majorHAnsi"/>
                <w:color w:val="404040" w:themeColor="text1" w:themeTint="BF"/>
                <w:sz w:val="20"/>
                <w:szCs w:val="20"/>
              </w:rPr>
              <w:t xml:space="preserve">Run “Ledger Inquiry” to </w:t>
            </w:r>
            <w:r>
              <w:rPr>
                <w:rFonts w:asciiTheme="majorHAnsi" w:hAnsiTheme="majorHAnsi"/>
                <w:color w:val="404040" w:themeColor="text1" w:themeTint="BF"/>
                <w:sz w:val="20"/>
                <w:szCs w:val="20"/>
              </w:rPr>
              <w:t xml:space="preserve">ensure that </w:t>
            </w:r>
            <w:r w:rsidRPr="00955AFE">
              <w:rPr>
                <w:rFonts w:asciiTheme="majorHAnsi" w:hAnsiTheme="majorHAnsi"/>
                <w:color w:val="404040" w:themeColor="text1" w:themeTint="BF"/>
                <w:sz w:val="20"/>
                <w:szCs w:val="20"/>
              </w:rPr>
              <w:t>GL</w:t>
            </w:r>
            <w:r>
              <w:rPr>
                <w:rFonts w:asciiTheme="majorHAnsi" w:hAnsiTheme="majorHAnsi"/>
                <w:color w:val="404040" w:themeColor="text1" w:themeTint="BF"/>
                <w:sz w:val="20"/>
                <w:szCs w:val="20"/>
              </w:rPr>
              <w:t xml:space="preserve"> balance for account 18xxx is zero at project – OU - fund – donor level.</w:t>
            </w:r>
          </w:p>
        </w:tc>
        <w:tc>
          <w:tcPr>
            <w:tcW w:w="1980" w:type="pct"/>
          </w:tcPr>
          <w:p w14:paraId="1CEA476F" w14:textId="70F660D3" w:rsidR="008A7E9A"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If a recent</w:t>
            </w:r>
            <w:r w:rsidR="00353777">
              <w:rPr>
                <w:rFonts w:asciiTheme="majorHAnsi" w:hAnsiTheme="majorHAnsi"/>
                <w:color w:val="404040" w:themeColor="text1" w:themeTint="BF"/>
                <w:sz w:val="20"/>
                <w:szCs w:val="20"/>
              </w:rPr>
              <w:t xml:space="preserve"> </w:t>
            </w:r>
            <w:hyperlink r:id="rId58" w:history="1">
              <w:r w:rsidR="00353777" w:rsidRPr="00353777">
                <w:rPr>
                  <w:rStyle w:val="Hyperlink"/>
                  <w:rFonts w:asciiTheme="majorHAnsi" w:hAnsiTheme="majorHAnsi"/>
                  <w:sz w:val="20"/>
                  <w:szCs w:val="20"/>
                </w:rPr>
                <w:t>UNDP Service Portal</w:t>
              </w:r>
            </w:hyperlink>
            <w:r w:rsidR="00353777">
              <w:rPr>
                <w:rFonts w:asciiTheme="majorHAnsi" w:hAnsiTheme="majorHAnsi"/>
                <w:color w:val="404040" w:themeColor="text1" w:themeTint="BF"/>
                <w:sz w:val="20"/>
                <w:szCs w:val="20"/>
              </w:rPr>
              <w:t xml:space="preserve"> </w:t>
            </w:r>
            <w:r>
              <w:rPr>
                <w:rFonts w:asciiTheme="majorHAnsi" w:hAnsiTheme="majorHAnsi"/>
                <w:color w:val="404040" w:themeColor="text1" w:themeTint="BF"/>
                <w:sz w:val="20"/>
                <w:szCs w:val="20"/>
              </w:rPr>
              <w:t xml:space="preserve">request has been submitted to GSSC Asset team, please confirm with </w:t>
            </w:r>
            <w:r w:rsidR="00D528F1">
              <w:rPr>
                <w:rFonts w:asciiTheme="majorHAnsi" w:hAnsiTheme="majorHAnsi"/>
                <w:color w:val="404040" w:themeColor="text1" w:themeTint="BF"/>
                <w:sz w:val="20"/>
                <w:szCs w:val="20"/>
              </w:rPr>
              <w:t>them</w:t>
            </w:r>
            <w:r>
              <w:rPr>
                <w:rFonts w:asciiTheme="majorHAnsi" w:hAnsiTheme="majorHAnsi"/>
                <w:color w:val="404040" w:themeColor="text1" w:themeTint="BF"/>
                <w:sz w:val="20"/>
                <w:szCs w:val="20"/>
              </w:rPr>
              <w:t xml:space="preserve"> that action is completed </w:t>
            </w:r>
            <w:r w:rsidRPr="00105299">
              <w:rPr>
                <w:rFonts w:asciiTheme="majorHAnsi" w:hAnsiTheme="majorHAnsi"/>
                <w:b/>
                <w:color w:val="404040" w:themeColor="text1" w:themeTint="BF"/>
                <w:sz w:val="20"/>
                <w:szCs w:val="20"/>
                <w:u w:val="single"/>
              </w:rPr>
              <w:t>and processed</w:t>
            </w:r>
            <w:r w:rsidRPr="00517DCD">
              <w:rPr>
                <w:rFonts w:asciiTheme="majorHAnsi" w:hAnsiTheme="majorHAnsi"/>
                <w:b/>
                <w:bCs/>
                <w:color w:val="404040" w:themeColor="text1" w:themeTint="BF"/>
                <w:sz w:val="20"/>
                <w:szCs w:val="20"/>
                <w:u w:val="single"/>
              </w:rPr>
              <w:t xml:space="preserve"> </w:t>
            </w:r>
            <w:r>
              <w:rPr>
                <w:rFonts w:asciiTheme="majorHAnsi" w:hAnsiTheme="majorHAnsi"/>
                <w:b/>
                <w:color w:val="404040" w:themeColor="text1" w:themeTint="BF"/>
                <w:sz w:val="20"/>
                <w:szCs w:val="20"/>
                <w:u w:val="single"/>
              </w:rPr>
              <w:t xml:space="preserve">in both </w:t>
            </w:r>
            <w:r w:rsidR="00761F0D">
              <w:rPr>
                <w:rFonts w:asciiTheme="majorHAnsi" w:hAnsiTheme="majorHAnsi"/>
                <w:b/>
                <w:color w:val="404040" w:themeColor="text1" w:themeTint="BF"/>
                <w:sz w:val="20"/>
                <w:szCs w:val="20"/>
                <w:u w:val="single"/>
              </w:rPr>
              <w:t>Asset Management (</w:t>
            </w:r>
            <w:r>
              <w:rPr>
                <w:rFonts w:asciiTheme="majorHAnsi" w:hAnsiTheme="majorHAnsi"/>
                <w:b/>
                <w:color w:val="404040" w:themeColor="text1" w:themeTint="BF"/>
                <w:sz w:val="20"/>
                <w:szCs w:val="20"/>
                <w:u w:val="single"/>
              </w:rPr>
              <w:t>AM</w:t>
            </w:r>
            <w:r w:rsidR="00761F0D">
              <w:rPr>
                <w:rFonts w:asciiTheme="majorHAnsi" w:hAnsiTheme="majorHAnsi"/>
                <w:b/>
                <w:color w:val="404040" w:themeColor="text1" w:themeTint="BF"/>
                <w:sz w:val="20"/>
                <w:szCs w:val="20"/>
                <w:u w:val="single"/>
              </w:rPr>
              <w:t>)</w:t>
            </w:r>
            <w:r>
              <w:rPr>
                <w:rFonts w:asciiTheme="majorHAnsi" w:hAnsiTheme="majorHAnsi"/>
                <w:b/>
                <w:color w:val="404040" w:themeColor="text1" w:themeTint="BF"/>
                <w:sz w:val="20"/>
                <w:szCs w:val="20"/>
                <w:u w:val="single"/>
              </w:rPr>
              <w:t xml:space="preserve"> and </w:t>
            </w:r>
            <w:r w:rsidR="00761F0D">
              <w:rPr>
                <w:rFonts w:asciiTheme="majorHAnsi" w:hAnsiTheme="majorHAnsi"/>
                <w:b/>
                <w:color w:val="404040" w:themeColor="text1" w:themeTint="BF"/>
                <w:sz w:val="20"/>
                <w:szCs w:val="20"/>
                <w:u w:val="single"/>
              </w:rPr>
              <w:t>General Ledger (</w:t>
            </w:r>
            <w:r>
              <w:rPr>
                <w:rFonts w:asciiTheme="majorHAnsi" w:hAnsiTheme="majorHAnsi"/>
                <w:b/>
                <w:color w:val="404040" w:themeColor="text1" w:themeTint="BF"/>
                <w:sz w:val="20"/>
                <w:szCs w:val="20"/>
                <w:u w:val="single"/>
              </w:rPr>
              <w:t>GL</w:t>
            </w:r>
            <w:r w:rsidR="00761F0D">
              <w:rPr>
                <w:rFonts w:asciiTheme="majorHAnsi" w:hAnsiTheme="majorHAnsi"/>
                <w:b/>
                <w:color w:val="404040" w:themeColor="text1" w:themeTint="BF"/>
                <w:sz w:val="20"/>
                <w:szCs w:val="20"/>
                <w:u w:val="single"/>
              </w:rPr>
              <w:t>)</w:t>
            </w:r>
            <w:r>
              <w:rPr>
                <w:rFonts w:asciiTheme="majorHAnsi" w:hAnsiTheme="majorHAnsi"/>
                <w:b/>
                <w:color w:val="404040" w:themeColor="text1" w:themeTint="BF"/>
                <w:sz w:val="20"/>
                <w:szCs w:val="20"/>
                <w:u w:val="single"/>
              </w:rPr>
              <w:t xml:space="preserve"> modules</w:t>
            </w:r>
            <w:r>
              <w:rPr>
                <w:rFonts w:asciiTheme="majorHAnsi" w:hAnsiTheme="majorHAnsi"/>
                <w:color w:val="404040" w:themeColor="text1" w:themeTint="BF"/>
                <w:sz w:val="20"/>
                <w:szCs w:val="20"/>
              </w:rPr>
              <w:t xml:space="preserve">. </w:t>
            </w:r>
          </w:p>
          <w:p w14:paraId="33BBAAC9" w14:textId="1F6D2654" w:rsidR="00D528F1" w:rsidRPr="009534CA" w:rsidRDefault="00D528F1" w:rsidP="006A77CA">
            <w:pPr>
              <w:rPr>
                <w:rFonts w:asciiTheme="majorHAnsi" w:hAnsiTheme="majorHAnsi"/>
                <w:color w:val="404040" w:themeColor="text1" w:themeTint="BF"/>
                <w:sz w:val="20"/>
                <w:szCs w:val="20"/>
              </w:rPr>
            </w:pPr>
            <w:r w:rsidRPr="00D528F1">
              <w:rPr>
                <w:rFonts w:asciiTheme="majorHAnsi" w:hAnsiTheme="majorHAnsi"/>
                <w:color w:val="404040" w:themeColor="text1" w:themeTint="BF"/>
                <w:sz w:val="20"/>
                <w:szCs w:val="20"/>
              </w:rPr>
              <w:t xml:space="preserve">To ensure that the corresponding GMS is charged, GSSU Clustering team should check the project expenditure report or </w:t>
            </w:r>
            <w:r w:rsidRPr="00D528F1">
              <w:rPr>
                <w:rFonts w:asciiTheme="majorHAnsi" w:hAnsiTheme="majorHAnsi"/>
                <w:color w:val="404040" w:themeColor="text1" w:themeTint="BF"/>
                <w:sz w:val="20"/>
                <w:szCs w:val="20"/>
              </w:rPr>
              <w:lastRenderedPageBreak/>
              <w:t>AAA report whether the GMS Expense (Account 75105) has been charged or not.</w:t>
            </w:r>
          </w:p>
        </w:tc>
      </w:tr>
      <w:tr w:rsidR="00E5285F" w:rsidRPr="009534CA" w14:paraId="3656D162" w14:textId="77777777" w:rsidTr="007464B7">
        <w:tc>
          <w:tcPr>
            <w:tcW w:w="275" w:type="pct"/>
          </w:tcPr>
          <w:p w14:paraId="3BFB8103" w14:textId="77777777" w:rsidR="008A7E9A"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lastRenderedPageBreak/>
              <w:t>19</w:t>
            </w:r>
          </w:p>
        </w:tc>
        <w:tc>
          <w:tcPr>
            <w:tcW w:w="1234" w:type="pct"/>
          </w:tcPr>
          <w:p w14:paraId="3A912A3B" w14:textId="3455BCA9" w:rsidR="008A7E9A" w:rsidRPr="00BA3A63" w:rsidRDefault="008A7E9A" w:rsidP="006A77CA">
            <w:pPr>
              <w:rPr>
                <w:rFonts w:asciiTheme="majorHAnsi" w:hAnsiTheme="majorHAnsi"/>
                <w:color w:val="404040" w:themeColor="text1" w:themeTint="BF"/>
                <w:sz w:val="20"/>
                <w:szCs w:val="20"/>
              </w:rPr>
            </w:pPr>
            <w:r w:rsidRPr="00BA3A63">
              <w:rPr>
                <w:rFonts w:asciiTheme="majorHAnsi" w:hAnsiTheme="majorHAnsi"/>
                <w:color w:val="404040" w:themeColor="text1" w:themeTint="BF"/>
                <w:sz w:val="20"/>
                <w:szCs w:val="20"/>
              </w:rPr>
              <w:t xml:space="preserve">All items held as inventory </w:t>
            </w:r>
            <w:r>
              <w:rPr>
                <w:rFonts w:asciiTheme="majorHAnsi" w:hAnsiTheme="majorHAnsi"/>
                <w:color w:val="404040" w:themeColor="text1" w:themeTint="BF"/>
                <w:sz w:val="20"/>
                <w:szCs w:val="20"/>
              </w:rPr>
              <w:t xml:space="preserve">(GL account 14602) </w:t>
            </w:r>
            <w:r w:rsidRPr="00BA3A63">
              <w:rPr>
                <w:rFonts w:asciiTheme="majorHAnsi" w:hAnsiTheme="majorHAnsi"/>
                <w:color w:val="404040" w:themeColor="text1" w:themeTint="BF"/>
                <w:sz w:val="20"/>
                <w:szCs w:val="20"/>
              </w:rPr>
              <w:t>should be distributed or transferred to recipient or returned to donor as specified in the donor agreement.</w:t>
            </w:r>
          </w:p>
        </w:tc>
        <w:tc>
          <w:tcPr>
            <w:tcW w:w="1510" w:type="pct"/>
          </w:tcPr>
          <w:p w14:paraId="6E0DE09D" w14:textId="3BE7322D" w:rsidR="008A7E9A" w:rsidRPr="009534CA"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Check last Inventory Certification report, and r</w:t>
            </w:r>
            <w:r w:rsidRPr="00517DCD">
              <w:rPr>
                <w:rFonts w:asciiTheme="majorHAnsi" w:hAnsiTheme="majorHAnsi"/>
                <w:color w:val="404040" w:themeColor="text1" w:themeTint="BF"/>
                <w:sz w:val="20"/>
                <w:szCs w:val="20"/>
              </w:rPr>
              <w:t>un AAA Report for the GL account 14602 to confirm the GL account is zero at project level as well as at the COA level</w:t>
            </w:r>
            <w:r>
              <w:rPr>
                <w:rFonts w:asciiTheme="majorHAnsi" w:hAnsiTheme="majorHAnsi"/>
                <w:color w:val="404040" w:themeColor="text1" w:themeTint="BF"/>
                <w:sz w:val="20"/>
                <w:szCs w:val="20"/>
              </w:rPr>
              <w:t>.</w:t>
            </w:r>
          </w:p>
        </w:tc>
        <w:tc>
          <w:tcPr>
            <w:tcW w:w="1980" w:type="pct"/>
          </w:tcPr>
          <w:p w14:paraId="256ED64E" w14:textId="4B75135E" w:rsidR="008A7E9A"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 xml:space="preserve">If Inventory Certification and/or GL account 14602 reported </w:t>
            </w:r>
            <w:r w:rsidR="00D528F1">
              <w:rPr>
                <w:rFonts w:asciiTheme="majorHAnsi" w:hAnsiTheme="majorHAnsi"/>
                <w:color w:val="404040" w:themeColor="text1" w:themeTint="BF"/>
                <w:sz w:val="20"/>
                <w:szCs w:val="20"/>
              </w:rPr>
              <w:t>a</w:t>
            </w:r>
            <w:r>
              <w:rPr>
                <w:rFonts w:asciiTheme="majorHAnsi" w:hAnsiTheme="majorHAnsi"/>
                <w:color w:val="404040" w:themeColor="text1" w:themeTint="BF"/>
                <w:sz w:val="20"/>
                <w:szCs w:val="20"/>
              </w:rPr>
              <w:t xml:space="preserve"> balance, please ensure proper action is taken and recorded in Atlas for any distribution or transfer to another project or return to donor.</w:t>
            </w:r>
          </w:p>
          <w:p w14:paraId="3071778A" w14:textId="22EA875B" w:rsidR="008A7E9A" w:rsidRDefault="008A7E9A" w:rsidP="00FD5C7D">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 xml:space="preserve">If inventory is transferred to another project, please provide GLJE ID in the Inventory Control Template in the next Inventory Certification submission. </w:t>
            </w:r>
          </w:p>
          <w:p w14:paraId="28203E23" w14:textId="77777777" w:rsidR="008A7E9A" w:rsidRPr="009534CA"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 xml:space="preserve">Please contact </w:t>
            </w:r>
            <w:hyperlink r:id="rId59" w:history="1">
              <w:r w:rsidRPr="00B90DB6">
                <w:rPr>
                  <w:rStyle w:val="Hyperlink"/>
                  <w:rFonts w:asciiTheme="majorHAnsi" w:hAnsiTheme="majorHAnsi"/>
                  <w:sz w:val="20"/>
                  <w:szCs w:val="20"/>
                </w:rPr>
                <w:t>gssu.inventory@undp.org</w:t>
              </w:r>
            </w:hyperlink>
            <w:r>
              <w:rPr>
                <w:rFonts w:asciiTheme="majorHAnsi" w:hAnsiTheme="majorHAnsi"/>
                <w:color w:val="404040" w:themeColor="text1" w:themeTint="BF"/>
                <w:sz w:val="20"/>
                <w:szCs w:val="20"/>
              </w:rPr>
              <w:t xml:space="preserve"> for any support.</w:t>
            </w:r>
          </w:p>
        </w:tc>
      </w:tr>
      <w:tr w:rsidR="00E5285F" w:rsidRPr="009534CA" w14:paraId="20215D2D" w14:textId="77777777" w:rsidTr="007464B7">
        <w:tc>
          <w:tcPr>
            <w:tcW w:w="275" w:type="pct"/>
          </w:tcPr>
          <w:p w14:paraId="3BAB7ADD" w14:textId="77777777" w:rsidR="008A7E9A" w:rsidRDefault="008A7E9A" w:rsidP="006A77CA">
            <w:pPr>
              <w:rPr>
                <w:rFonts w:asciiTheme="majorHAnsi" w:hAnsiTheme="majorHAnsi"/>
                <w:color w:val="404040" w:themeColor="text1" w:themeTint="BF"/>
                <w:sz w:val="20"/>
                <w:szCs w:val="20"/>
              </w:rPr>
            </w:pPr>
            <w:r w:rsidRPr="000F15D0">
              <w:rPr>
                <w:rFonts w:asciiTheme="majorHAnsi" w:hAnsiTheme="majorHAnsi"/>
                <w:color w:val="404040" w:themeColor="text1" w:themeTint="BF"/>
                <w:sz w:val="20"/>
                <w:szCs w:val="20"/>
              </w:rPr>
              <w:t>20</w:t>
            </w:r>
          </w:p>
        </w:tc>
        <w:tc>
          <w:tcPr>
            <w:tcW w:w="1234" w:type="pct"/>
          </w:tcPr>
          <w:p w14:paraId="3C953718" w14:textId="77777777" w:rsidR="008A7E9A" w:rsidRPr="00BA3A63" w:rsidRDefault="008A7E9A" w:rsidP="006A77CA">
            <w:pPr>
              <w:rPr>
                <w:rFonts w:asciiTheme="majorHAnsi" w:hAnsiTheme="majorHAnsi"/>
                <w:color w:val="404040" w:themeColor="text1" w:themeTint="BF"/>
                <w:sz w:val="20"/>
                <w:szCs w:val="20"/>
              </w:rPr>
            </w:pPr>
            <w:r w:rsidRPr="00B21999">
              <w:rPr>
                <w:rFonts w:asciiTheme="majorHAnsi" w:hAnsiTheme="majorHAnsi"/>
                <w:color w:val="404040" w:themeColor="text1" w:themeTint="BF"/>
                <w:sz w:val="20"/>
                <w:szCs w:val="20"/>
              </w:rPr>
              <w:t xml:space="preserve">All Project Petty Cash </w:t>
            </w:r>
            <w:r w:rsidRPr="00D00062">
              <w:rPr>
                <w:rFonts w:asciiTheme="majorHAnsi" w:hAnsiTheme="majorHAnsi"/>
                <w:i/>
                <w:iCs/>
                <w:color w:val="404040" w:themeColor="text1" w:themeTint="BF"/>
                <w:sz w:val="20"/>
                <w:szCs w:val="20"/>
              </w:rPr>
              <w:t>(11015 (old), 16105(new))</w:t>
            </w:r>
            <w:r w:rsidRPr="00B21999">
              <w:rPr>
                <w:rFonts w:asciiTheme="majorHAnsi" w:hAnsiTheme="majorHAnsi"/>
                <w:color w:val="404040" w:themeColor="text1" w:themeTint="BF"/>
                <w:sz w:val="20"/>
                <w:szCs w:val="20"/>
              </w:rPr>
              <w:t xml:space="preserve"> and Project Cash Advance Accounts </w:t>
            </w:r>
            <w:r w:rsidRPr="00D00062">
              <w:rPr>
                <w:rFonts w:asciiTheme="majorHAnsi" w:hAnsiTheme="majorHAnsi"/>
                <w:i/>
                <w:iCs/>
                <w:color w:val="404040" w:themeColor="text1" w:themeTint="BF"/>
                <w:sz w:val="20"/>
                <w:szCs w:val="20"/>
              </w:rPr>
              <w:t>(Acc. 16106, 16107, 16108 and 16007)</w:t>
            </w:r>
            <w:r w:rsidRPr="00B21999">
              <w:rPr>
                <w:rFonts w:asciiTheme="majorHAnsi" w:hAnsiTheme="majorHAnsi"/>
                <w:color w:val="404040" w:themeColor="text1" w:themeTint="BF"/>
                <w:sz w:val="20"/>
                <w:szCs w:val="20"/>
              </w:rPr>
              <w:t xml:space="preserve"> are cleared;</w:t>
            </w:r>
          </w:p>
        </w:tc>
        <w:tc>
          <w:tcPr>
            <w:tcW w:w="1510" w:type="pct"/>
          </w:tcPr>
          <w:p w14:paraId="194BF6A4" w14:textId="77777777" w:rsidR="008A7E9A" w:rsidRDefault="008A7E9A" w:rsidP="006A77CA">
            <w:pPr>
              <w:pStyle w:val="NormalWeb"/>
              <w:rPr>
                <w:rFonts w:ascii="Cambria" w:hAnsi="Cambria"/>
                <w:color w:val="404040" w:themeColor="text1" w:themeTint="BF"/>
                <w:sz w:val="20"/>
                <w:szCs w:val="20"/>
              </w:rPr>
            </w:pPr>
            <w:r w:rsidRPr="00C6142B">
              <w:rPr>
                <w:rFonts w:ascii="Cambria" w:hAnsi="Cambria" w:cs="Calibri"/>
                <w:sz w:val="20"/>
                <w:szCs w:val="20"/>
              </w:rPr>
              <w:t xml:space="preserve">Run </w:t>
            </w:r>
            <w:hyperlink r:id="rId60" w:tgtFrame="_blank" w:history="1">
              <w:r w:rsidRPr="00C6142B">
                <w:rPr>
                  <w:rStyle w:val="Hyperlink"/>
                  <w:rFonts w:ascii="Cambria" w:hAnsi="Cambria" w:cs="Calibri"/>
                  <w:sz w:val="20"/>
                  <w:szCs w:val="20"/>
                </w:rPr>
                <w:t>Petty Cash &amp; Cash Advance</w:t>
              </w:r>
            </w:hyperlink>
            <w:r w:rsidRPr="00C6142B">
              <w:rPr>
                <w:rFonts w:ascii="Cambria" w:hAnsi="Cambria" w:cs="Calibri"/>
                <w:sz w:val="20"/>
                <w:szCs w:val="20"/>
              </w:rPr>
              <w:t xml:space="preserve">, </w:t>
            </w:r>
            <w:r w:rsidRPr="00C6142B">
              <w:rPr>
                <w:rFonts w:ascii="Cambria" w:hAnsi="Cambria" w:cstheme="minorBidi"/>
                <w:color w:val="404040" w:themeColor="text1" w:themeTint="BF"/>
                <w:sz w:val="20"/>
                <w:szCs w:val="20"/>
              </w:rPr>
              <w:t xml:space="preserve">in the </w:t>
            </w:r>
            <w:r w:rsidRPr="00C6142B">
              <w:rPr>
                <w:rFonts w:ascii="Cambria" w:hAnsi="Cambria"/>
                <w:color w:val="404040" w:themeColor="text1" w:themeTint="BF"/>
                <w:sz w:val="20"/>
                <w:szCs w:val="20"/>
              </w:rPr>
              <w:t>“</w:t>
            </w:r>
            <w:r w:rsidRPr="00C6142B">
              <w:rPr>
                <w:rFonts w:ascii="Cambria" w:hAnsi="Cambria" w:cstheme="minorBidi"/>
                <w:color w:val="404040" w:themeColor="text1" w:themeTint="BF"/>
                <w:sz w:val="20"/>
                <w:szCs w:val="20"/>
              </w:rPr>
              <w:t>project closure workbench</w:t>
            </w:r>
            <w:r w:rsidRPr="00C6142B">
              <w:rPr>
                <w:rFonts w:ascii="Cambria" w:hAnsi="Cambria"/>
                <w:color w:val="404040" w:themeColor="text1" w:themeTint="BF"/>
                <w:sz w:val="20"/>
                <w:szCs w:val="20"/>
              </w:rPr>
              <w:t xml:space="preserve">”. </w:t>
            </w:r>
          </w:p>
          <w:p w14:paraId="6029B775" w14:textId="19529BF8" w:rsidR="008A7E9A" w:rsidRDefault="008A7E9A" w:rsidP="006A77CA">
            <w:pPr>
              <w:pStyle w:val="NormalWeb"/>
              <w:rPr>
                <w:rFonts w:ascii="Cambria" w:hAnsi="Cambria" w:cstheme="minorBidi"/>
                <w:color w:val="404040" w:themeColor="text1" w:themeTint="BF"/>
                <w:sz w:val="20"/>
                <w:szCs w:val="20"/>
              </w:rPr>
            </w:pPr>
            <w:r>
              <w:rPr>
                <w:rFonts w:asciiTheme="majorHAnsi" w:hAnsiTheme="majorHAnsi"/>
                <w:color w:val="404040" w:themeColor="text1" w:themeTint="BF"/>
                <w:sz w:val="20"/>
                <w:szCs w:val="20"/>
              </w:rPr>
              <w:t>-or-</w:t>
            </w:r>
            <w:r w:rsidRPr="00C6142B">
              <w:rPr>
                <w:rFonts w:ascii="Cambria" w:hAnsi="Cambria" w:cstheme="minorBidi"/>
                <w:color w:val="404040" w:themeColor="text1" w:themeTint="BF"/>
                <w:sz w:val="20"/>
                <w:szCs w:val="20"/>
              </w:rPr>
              <w:t xml:space="preserve"> </w:t>
            </w:r>
          </w:p>
          <w:p w14:paraId="436F6025" w14:textId="3E5F115B" w:rsidR="008A7E9A" w:rsidRPr="00C6142B" w:rsidRDefault="008A7E9A" w:rsidP="006A77CA">
            <w:pPr>
              <w:pStyle w:val="NormalWeb"/>
              <w:rPr>
                <w:rFonts w:ascii="Cambria" w:hAnsi="Cambria" w:cstheme="minorBidi"/>
                <w:color w:val="404040" w:themeColor="text1" w:themeTint="BF"/>
                <w:sz w:val="20"/>
                <w:szCs w:val="20"/>
              </w:rPr>
            </w:pPr>
            <w:r w:rsidRPr="00C6142B">
              <w:rPr>
                <w:rFonts w:ascii="Cambria" w:hAnsi="Cambria" w:cstheme="minorBidi"/>
                <w:color w:val="404040" w:themeColor="text1" w:themeTint="BF"/>
                <w:sz w:val="20"/>
                <w:szCs w:val="20"/>
              </w:rPr>
              <w:t>Query</w:t>
            </w:r>
            <w:r w:rsidRPr="00C6142B">
              <w:rPr>
                <w:rFonts w:ascii="Cambria" w:hAnsi="Cambria"/>
                <w:color w:val="404040" w:themeColor="text1" w:themeTint="BF"/>
                <w:sz w:val="20"/>
                <w:szCs w:val="20"/>
              </w:rPr>
              <w:t xml:space="preserve"> </w:t>
            </w:r>
            <w:r w:rsidRPr="00C6142B">
              <w:rPr>
                <w:rFonts w:ascii="Cambria" w:hAnsi="Cambria" w:cstheme="minorBidi"/>
                <w:color w:val="404040" w:themeColor="text1" w:themeTint="BF"/>
                <w:sz w:val="20"/>
                <w:szCs w:val="20"/>
              </w:rPr>
              <w:t>UN_PS_CLOSE_PETTYCASH_ADVCASH</w:t>
            </w:r>
          </w:p>
          <w:p w14:paraId="7B9A3CA7" w14:textId="78E48C74" w:rsidR="008A7E9A" w:rsidRDefault="008A7E9A" w:rsidP="006A77CA">
            <w:pPr>
              <w:pStyle w:val="NormalWeb"/>
              <w:rPr>
                <w:rFonts w:ascii="Cambria" w:hAnsi="Cambria" w:cstheme="minorBidi"/>
                <w:color w:val="404040" w:themeColor="text1" w:themeTint="BF"/>
                <w:sz w:val="20"/>
                <w:szCs w:val="20"/>
              </w:rPr>
            </w:pPr>
            <w:r>
              <w:rPr>
                <w:rFonts w:asciiTheme="majorHAnsi" w:hAnsiTheme="majorHAnsi"/>
                <w:color w:val="404040" w:themeColor="text1" w:themeTint="BF"/>
                <w:sz w:val="20"/>
                <w:szCs w:val="20"/>
              </w:rPr>
              <w:t>-or-</w:t>
            </w:r>
          </w:p>
          <w:p w14:paraId="79A91AB8" w14:textId="2E6BE0C2" w:rsidR="008A7E9A" w:rsidRPr="00D61A4E" w:rsidRDefault="008A7E9A" w:rsidP="006A77CA">
            <w:pPr>
              <w:pStyle w:val="NormalWeb"/>
              <w:rPr>
                <w:rFonts w:ascii="Cambria" w:hAnsi="Cambria" w:cstheme="minorBidi"/>
                <w:color w:val="404040" w:themeColor="text1" w:themeTint="BF"/>
                <w:sz w:val="20"/>
                <w:szCs w:val="20"/>
              </w:rPr>
            </w:pPr>
            <w:r w:rsidRPr="00D61A4E">
              <w:rPr>
                <w:rFonts w:ascii="Cambria" w:hAnsi="Cambria" w:cstheme="minorBidi"/>
                <w:color w:val="404040" w:themeColor="text1" w:themeTint="BF"/>
                <w:sz w:val="20"/>
                <w:szCs w:val="20"/>
              </w:rPr>
              <w:t>Run AAA Report for the respective GL account(s) to confirm the GL account local currency balances are zero at the account level as well as at the COA and Open Item Key level.</w:t>
            </w:r>
          </w:p>
          <w:p w14:paraId="67730319" w14:textId="77777777" w:rsidR="008A7E9A" w:rsidRPr="002429AC" w:rsidRDefault="008A7E9A" w:rsidP="006A77CA">
            <w:pPr>
              <w:pStyle w:val="NormalWeb"/>
              <w:rPr>
                <w:rFonts w:asciiTheme="majorHAnsi" w:hAnsiTheme="majorHAnsi"/>
                <w:color w:val="404040" w:themeColor="text1" w:themeTint="BF"/>
                <w:sz w:val="18"/>
                <w:szCs w:val="18"/>
              </w:rPr>
            </w:pPr>
          </w:p>
        </w:tc>
        <w:tc>
          <w:tcPr>
            <w:tcW w:w="1980" w:type="pct"/>
          </w:tcPr>
          <w:p w14:paraId="424AB278" w14:textId="77777777" w:rsidR="008A7E9A" w:rsidRDefault="008A7E9A" w:rsidP="00D61A4E">
            <w:pPr>
              <w:pStyle w:val="NormalWeb"/>
              <w:numPr>
                <w:ilvl w:val="0"/>
                <w:numId w:val="10"/>
              </w:numPr>
              <w:spacing w:before="0" w:beforeAutospacing="0" w:after="0" w:afterAutospacing="0"/>
              <w:rPr>
                <w:rFonts w:asciiTheme="majorHAnsi" w:hAnsiTheme="majorHAnsi"/>
                <w:color w:val="404040" w:themeColor="text1" w:themeTint="BF"/>
                <w:sz w:val="20"/>
                <w:szCs w:val="20"/>
              </w:rPr>
            </w:pPr>
            <w:r w:rsidRPr="0038070C">
              <w:rPr>
                <w:rFonts w:asciiTheme="majorHAnsi" w:hAnsiTheme="majorHAnsi"/>
                <w:color w:val="404040" w:themeColor="text1" w:themeTint="BF"/>
                <w:sz w:val="20"/>
                <w:szCs w:val="20"/>
              </w:rPr>
              <w:t xml:space="preserve">If the GL account balances </w:t>
            </w:r>
            <w:r>
              <w:rPr>
                <w:rFonts w:asciiTheme="majorHAnsi" w:hAnsiTheme="majorHAnsi"/>
                <w:color w:val="404040" w:themeColor="text1" w:themeTint="BF"/>
                <w:sz w:val="20"/>
                <w:szCs w:val="20"/>
              </w:rPr>
              <w:t xml:space="preserve">at local currency level </w:t>
            </w:r>
            <w:r w:rsidRPr="0038070C">
              <w:rPr>
                <w:rFonts w:asciiTheme="majorHAnsi" w:hAnsiTheme="majorHAnsi"/>
                <w:color w:val="404040" w:themeColor="text1" w:themeTint="BF"/>
                <w:sz w:val="20"/>
                <w:szCs w:val="20"/>
              </w:rPr>
              <w:t>are not zero, investigate and correct the error(s).</w:t>
            </w:r>
          </w:p>
          <w:p w14:paraId="46AD7E02" w14:textId="4DAE783C" w:rsidR="008A7E9A" w:rsidRPr="0038070C" w:rsidRDefault="008A7E9A" w:rsidP="00D61A4E">
            <w:pPr>
              <w:pStyle w:val="NormalWeb"/>
              <w:numPr>
                <w:ilvl w:val="0"/>
                <w:numId w:val="10"/>
              </w:numPr>
              <w:spacing w:before="0" w:beforeAutospacing="0" w:after="0" w:afterAutospacing="0"/>
              <w:rPr>
                <w:rFonts w:asciiTheme="majorHAnsi" w:hAnsiTheme="majorHAnsi"/>
                <w:color w:val="404040" w:themeColor="text1" w:themeTint="BF"/>
                <w:sz w:val="20"/>
                <w:szCs w:val="20"/>
              </w:rPr>
            </w:pPr>
            <w:r w:rsidRPr="00685352">
              <w:rPr>
                <w:rFonts w:asciiTheme="majorHAnsi" w:hAnsiTheme="majorHAnsi"/>
                <w:color w:val="404040" w:themeColor="text1" w:themeTint="BF"/>
                <w:sz w:val="20"/>
                <w:szCs w:val="20"/>
              </w:rPr>
              <w:t xml:space="preserve">COs must never use any GLJEs to record </w:t>
            </w:r>
            <w:r w:rsidR="00B23490">
              <w:rPr>
                <w:rFonts w:asciiTheme="majorHAnsi" w:hAnsiTheme="majorHAnsi"/>
                <w:color w:val="404040" w:themeColor="text1" w:themeTint="BF"/>
                <w:sz w:val="20"/>
                <w:szCs w:val="20"/>
              </w:rPr>
              <w:t>any</w:t>
            </w:r>
            <w:r w:rsidRPr="00685352">
              <w:rPr>
                <w:rFonts w:asciiTheme="majorHAnsi" w:hAnsiTheme="majorHAnsi"/>
                <w:color w:val="404040" w:themeColor="text1" w:themeTint="BF"/>
                <w:sz w:val="20"/>
                <w:szCs w:val="20"/>
              </w:rPr>
              <w:t xml:space="preserve"> transactions and should never record any FX gain/loss.</w:t>
            </w:r>
          </w:p>
          <w:p w14:paraId="08C7F975" w14:textId="6D45E5D1" w:rsidR="008A7E9A" w:rsidRDefault="008A7E9A" w:rsidP="00D61A4E">
            <w:pPr>
              <w:pStyle w:val="NormalWeb"/>
              <w:numPr>
                <w:ilvl w:val="0"/>
                <w:numId w:val="10"/>
              </w:numPr>
              <w:spacing w:before="0" w:beforeAutospacing="0" w:after="0" w:afterAutospacing="0"/>
              <w:rPr>
                <w:rFonts w:asciiTheme="majorHAnsi" w:hAnsiTheme="majorHAnsi"/>
                <w:color w:val="404040" w:themeColor="text1" w:themeTint="BF"/>
                <w:sz w:val="20"/>
                <w:szCs w:val="20"/>
              </w:rPr>
            </w:pPr>
            <w:r>
              <w:rPr>
                <w:rFonts w:asciiTheme="majorHAnsi" w:hAnsiTheme="majorHAnsi"/>
                <w:color w:val="404040" w:themeColor="text1" w:themeTint="BF"/>
                <w:sz w:val="20"/>
                <w:szCs w:val="20"/>
              </w:rPr>
              <w:t>If the GL account balances at local currency level is zero at the full COA level and there is remaining b</w:t>
            </w:r>
            <w:r w:rsidRPr="0038070C">
              <w:rPr>
                <w:rFonts w:asciiTheme="majorHAnsi" w:hAnsiTheme="majorHAnsi"/>
                <w:color w:val="404040" w:themeColor="text1" w:themeTint="BF"/>
                <w:sz w:val="20"/>
                <w:szCs w:val="20"/>
              </w:rPr>
              <w:t>alance in USD</w:t>
            </w:r>
            <w:r>
              <w:rPr>
                <w:rFonts w:asciiTheme="majorHAnsi" w:hAnsiTheme="majorHAnsi"/>
                <w:color w:val="404040" w:themeColor="text1" w:themeTint="BF"/>
                <w:sz w:val="20"/>
                <w:szCs w:val="20"/>
              </w:rPr>
              <w:t>, this</w:t>
            </w:r>
            <w:r w:rsidRPr="0038070C">
              <w:rPr>
                <w:rFonts w:asciiTheme="majorHAnsi" w:hAnsiTheme="majorHAnsi"/>
                <w:color w:val="404040" w:themeColor="text1" w:themeTint="BF"/>
                <w:sz w:val="20"/>
                <w:szCs w:val="20"/>
              </w:rPr>
              <w:t xml:space="preserve"> should only reflect the exchange gain/loss </w:t>
            </w:r>
            <w:r>
              <w:rPr>
                <w:rFonts w:asciiTheme="majorHAnsi" w:hAnsiTheme="majorHAnsi"/>
                <w:color w:val="404040" w:themeColor="text1" w:themeTint="BF"/>
                <w:sz w:val="20"/>
                <w:szCs w:val="20"/>
              </w:rPr>
              <w:t xml:space="preserve">(FX) </w:t>
            </w:r>
            <w:r w:rsidRPr="0038070C">
              <w:rPr>
                <w:rFonts w:asciiTheme="majorHAnsi" w:hAnsiTheme="majorHAnsi"/>
                <w:color w:val="404040" w:themeColor="text1" w:themeTint="BF"/>
                <w:sz w:val="20"/>
                <w:szCs w:val="20"/>
              </w:rPr>
              <w:t xml:space="preserve">which is to be cleared by </w:t>
            </w:r>
            <w:r>
              <w:rPr>
                <w:rFonts w:asciiTheme="majorHAnsi" w:hAnsiTheme="majorHAnsi"/>
                <w:color w:val="404040" w:themeColor="text1" w:themeTint="BF"/>
                <w:sz w:val="20"/>
                <w:szCs w:val="20"/>
              </w:rPr>
              <w:t xml:space="preserve">GSSU. </w:t>
            </w:r>
          </w:p>
          <w:p w14:paraId="7AB9B21A" w14:textId="1844D466" w:rsidR="008A7E9A" w:rsidRPr="00A610ED" w:rsidRDefault="008A7E9A" w:rsidP="00D61A4E">
            <w:pPr>
              <w:pStyle w:val="NormalWeb"/>
              <w:numPr>
                <w:ilvl w:val="0"/>
                <w:numId w:val="10"/>
              </w:numPr>
              <w:spacing w:before="0" w:beforeAutospacing="0" w:after="0" w:afterAutospacing="0"/>
              <w:rPr>
                <w:rFonts w:asciiTheme="majorHAnsi" w:hAnsiTheme="majorHAnsi"/>
                <w:color w:val="404040" w:themeColor="text1" w:themeTint="BF"/>
                <w:sz w:val="20"/>
                <w:szCs w:val="20"/>
              </w:rPr>
            </w:pPr>
            <w:r>
              <w:rPr>
                <w:rFonts w:asciiTheme="majorHAnsi" w:hAnsiTheme="majorHAnsi"/>
                <w:color w:val="404040" w:themeColor="text1" w:themeTint="BF"/>
                <w:sz w:val="20"/>
                <w:szCs w:val="20"/>
              </w:rPr>
              <w:t xml:space="preserve">For FX balance, please write to </w:t>
            </w:r>
            <w:hyperlink r:id="rId61" w:history="1">
              <w:r w:rsidRPr="00AE2690">
                <w:rPr>
                  <w:rFonts w:asciiTheme="majorHAnsi" w:hAnsiTheme="majorHAnsi"/>
                  <w:i/>
                  <w:color w:val="0000FF"/>
                  <w:sz w:val="20"/>
                  <w:szCs w:val="20"/>
                </w:rPr>
                <w:t>GSSU.Cashmanagement@undp.org</w:t>
              </w:r>
            </w:hyperlink>
            <w:r w:rsidRPr="00AE2690">
              <w:rPr>
                <w:rFonts w:asciiTheme="majorHAnsi" w:hAnsiTheme="majorHAnsi"/>
                <w:color w:val="0000FF"/>
                <w:sz w:val="20"/>
                <w:szCs w:val="20"/>
              </w:rPr>
              <w:t xml:space="preserve"> </w:t>
            </w:r>
            <w:r w:rsidRPr="00A610ED">
              <w:rPr>
                <w:rFonts w:asciiTheme="majorHAnsi" w:hAnsiTheme="majorHAnsi"/>
                <w:color w:val="404040" w:themeColor="text1" w:themeTint="BF"/>
                <w:sz w:val="20"/>
                <w:szCs w:val="20"/>
              </w:rPr>
              <w:t>requesting them to clear this FX balance.</w:t>
            </w:r>
            <w:r>
              <w:rPr>
                <w:rFonts w:asciiTheme="majorHAnsi" w:hAnsiTheme="majorHAnsi"/>
                <w:color w:val="404040" w:themeColor="text1" w:themeTint="BF"/>
                <w:sz w:val="20"/>
                <w:szCs w:val="20"/>
              </w:rPr>
              <w:t xml:space="preserve"> Before GSSU can clear the FX balance through GLJE, it requires budget in both Budget Level 1 (ALT_DP or AX1_DP) and Budget Level 2 (PAR_DP). If any budget exceptions, </w:t>
            </w:r>
            <w:r w:rsidRPr="00A610ED">
              <w:rPr>
                <w:rFonts w:asciiTheme="majorHAnsi" w:hAnsiTheme="majorHAnsi"/>
                <w:color w:val="404040" w:themeColor="text1" w:themeTint="BF"/>
                <w:sz w:val="20"/>
                <w:szCs w:val="20"/>
              </w:rPr>
              <w:t xml:space="preserve"> </w:t>
            </w:r>
          </w:p>
          <w:p w14:paraId="36852C2E" w14:textId="4C1E3D7F" w:rsidR="008A7E9A" w:rsidRPr="00A610ED" w:rsidRDefault="008A7E9A" w:rsidP="00C03FA3">
            <w:pPr>
              <w:pStyle w:val="NormalWeb"/>
              <w:numPr>
                <w:ilvl w:val="1"/>
                <w:numId w:val="10"/>
              </w:numPr>
              <w:spacing w:before="0" w:beforeAutospacing="0" w:after="0" w:afterAutospacing="0"/>
              <w:rPr>
                <w:rFonts w:asciiTheme="majorHAnsi" w:hAnsiTheme="majorHAnsi"/>
                <w:color w:val="404040" w:themeColor="text1" w:themeTint="BF"/>
                <w:sz w:val="20"/>
                <w:szCs w:val="20"/>
              </w:rPr>
            </w:pPr>
            <w:r w:rsidRPr="00A610ED">
              <w:rPr>
                <w:rFonts w:asciiTheme="majorHAnsi" w:hAnsiTheme="majorHAnsi"/>
                <w:color w:val="404040" w:themeColor="text1" w:themeTint="BF"/>
                <w:sz w:val="20"/>
                <w:szCs w:val="20"/>
              </w:rPr>
              <w:t xml:space="preserve">ALT_DP “No Budget Exists”, </w:t>
            </w:r>
            <w:r>
              <w:rPr>
                <w:rFonts w:asciiTheme="majorHAnsi" w:hAnsiTheme="majorHAnsi"/>
                <w:color w:val="404040" w:themeColor="text1" w:themeTint="BF"/>
                <w:sz w:val="20"/>
                <w:szCs w:val="20"/>
              </w:rPr>
              <w:t xml:space="preserve">The CO to request fund manager (fund XXXXX) to set up the ASL for the respective amount they wish to clear. If the net impact of GLJE for clearance of FX entries will net off to zero </w:t>
            </w:r>
            <w:r>
              <w:rPr>
                <w:rFonts w:asciiTheme="majorHAnsi" w:hAnsiTheme="majorHAnsi"/>
                <w:color w:val="404040" w:themeColor="text1" w:themeTint="BF"/>
                <w:sz w:val="20"/>
                <w:szCs w:val="20"/>
              </w:rPr>
              <w:lastRenderedPageBreak/>
              <w:t>amount, please c</w:t>
            </w:r>
            <w:r w:rsidRPr="00A610ED">
              <w:rPr>
                <w:rFonts w:asciiTheme="majorHAnsi" w:hAnsiTheme="majorHAnsi"/>
                <w:color w:val="404040" w:themeColor="text1" w:themeTint="BF"/>
                <w:sz w:val="20"/>
                <w:szCs w:val="20"/>
              </w:rPr>
              <w:t>ontact relevant unit to allocate $1 to budget level 1</w:t>
            </w:r>
            <w:r>
              <w:rPr>
                <w:rFonts w:asciiTheme="majorHAnsi" w:hAnsiTheme="majorHAnsi"/>
                <w:color w:val="404040" w:themeColor="text1" w:themeTint="BF"/>
                <w:sz w:val="20"/>
                <w:szCs w:val="20"/>
              </w:rPr>
              <w:t>. Please provide them the FX Accounting entries or GLJE entries.</w:t>
            </w:r>
          </w:p>
          <w:p w14:paraId="2DFCADAA" w14:textId="6CAE1FDF" w:rsidR="008A7E9A" w:rsidRPr="0038070C" w:rsidRDefault="008A7E9A" w:rsidP="00C03FA3">
            <w:pPr>
              <w:pStyle w:val="NormalWeb"/>
              <w:numPr>
                <w:ilvl w:val="1"/>
                <w:numId w:val="10"/>
              </w:numPr>
              <w:spacing w:before="0" w:beforeAutospacing="0" w:after="0" w:afterAutospacing="0"/>
              <w:rPr>
                <w:rFonts w:asciiTheme="majorHAnsi" w:hAnsiTheme="majorHAnsi"/>
                <w:color w:val="404040" w:themeColor="text1" w:themeTint="BF"/>
                <w:sz w:val="20"/>
                <w:szCs w:val="20"/>
              </w:rPr>
            </w:pPr>
            <w:r w:rsidRPr="00A32147">
              <w:rPr>
                <w:rFonts w:asciiTheme="majorHAnsi" w:hAnsiTheme="majorHAnsi"/>
                <w:color w:val="404040" w:themeColor="text1" w:themeTint="BF"/>
                <w:sz w:val="20"/>
                <w:szCs w:val="20"/>
              </w:rPr>
              <w:t>PAR_DP “No Budget Exists”</w:t>
            </w:r>
            <w:r>
              <w:rPr>
                <w:rFonts w:asciiTheme="majorHAnsi" w:hAnsiTheme="majorHAnsi"/>
                <w:color w:val="404040" w:themeColor="text1" w:themeTint="BF"/>
                <w:sz w:val="20"/>
                <w:szCs w:val="20"/>
              </w:rPr>
              <w:t xml:space="preserve">, The CO to create a project budget for the respective amounts and finalize the budget (send to </w:t>
            </w:r>
            <w:r w:rsidR="00E14F3B">
              <w:rPr>
                <w:rFonts w:asciiTheme="majorHAnsi" w:hAnsiTheme="majorHAnsi"/>
                <w:color w:val="404040" w:themeColor="text1" w:themeTint="BF"/>
                <w:sz w:val="20"/>
                <w:szCs w:val="20"/>
              </w:rPr>
              <w:t>Commitment Control {</w:t>
            </w:r>
            <w:r>
              <w:rPr>
                <w:rFonts w:asciiTheme="majorHAnsi" w:hAnsiTheme="majorHAnsi"/>
                <w:color w:val="404040" w:themeColor="text1" w:themeTint="BF"/>
                <w:sz w:val="20"/>
                <w:szCs w:val="20"/>
              </w:rPr>
              <w:t>KK</w:t>
            </w:r>
            <w:r w:rsidR="00E14F3B">
              <w:rPr>
                <w:rFonts w:asciiTheme="majorHAnsi" w:hAnsiTheme="majorHAnsi"/>
                <w:color w:val="404040" w:themeColor="text1" w:themeTint="BF"/>
                <w:sz w:val="20"/>
                <w:szCs w:val="20"/>
              </w:rPr>
              <w:t>}</w:t>
            </w:r>
            <w:r>
              <w:rPr>
                <w:rFonts w:asciiTheme="majorHAnsi" w:hAnsiTheme="majorHAnsi"/>
                <w:color w:val="404040" w:themeColor="text1" w:themeTint="BF"/>
                <w:sz w:val="20"/>
                <w:szCs w:val="20"/>
              </w:rPr>
              <w:t xml:space="preserve">). </w:t>
            </w:r>
            <w:r w:rsidRPr="00A32147">
              <w:rPr>
                <w:rFonts w:asciiTheme="majorHAnsi" w:hAnsiTheme="majorHAnsi"/>
                <w:color w:val="404040" w:themeColor="text1" w:themeTint="BF"/>
                <w:sz w:val="20"/>
                <w:szCs w:val="20"/>
              </w:rPr>
              <w:t>Set up project budget $1 in Grants module.</w:t>
            </w:r>
            <w:r>
              <w:rPr>
                <w:rFonts w:asciiTheme="majorHAnsi" w:hAnsiTheme="majorHAnsi"/>
                <w:color w:val="404040" w:themeColor="text1" w:themeTint="BF"/>
                <w:sz w:val="20"/>
                <w:szCs w:val="20"/>
              </w:rPr>
              <w:t xml:space="preserve"> The approved budget should be only one dollar when the net impact of GLJE for clearance of FX entries will net off to zero amount.</w:t>
            </w:r>
          </w:p>
          <w:p w14:paraId="226E5B6B" w14:textId="77777777" w:rsidR="008A7E9A" w:rsidRPr="009534CA" w:rsidRDefault="008A7E9A" w:rsidP="006A77CA">
            <w:pPr>
              <w:rPr>
                <w:rFonts w:asciiTheme="majorHAnsi" w:hAnsiTheme="majorHAnsi"/>
                <w:color w:val="404040" w:themeColor="text1" w:themeTint="BF"/>
                <w:sz w:val="20"/>
                <w:szCs w:val="20"/>
              </w:rPr>
            </w:pPr>
          </w:p>
        </w:tc>
      </w:tr>
      <w:tr w:rsidR="00E5285F" w:rsidRPr="009534CA" w14:paraId="1F8E2EAE" w14:textId="77777777" w:rsidTr="007464B7">
        <w:tc>
          <w:tcPr>
            <w:tcW w:w="275" w:type="pct"/>
          </w:tcPr>
          <w:p w14:paraId="3B005A98" w14:textId="77777777" w:rsidR="008A7E9A"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lastRenderedPageBreak/>
              <w:t>21</w:t>
            </w:r>
          </w:p>
        </w:tc>
        <w:tc>
          <w:tcPr>
            <w:tcW w:w="1234" w:type="pct"/>
          </w:tcPr>
          <w:p w14:paraId="17A04B7E" w14:textId="77777777" w:rsidR="008A7E9A" w:rsidRPr="00BA3A63" w:rsidRDefault="008A7E9A" w:rsidP="006A77CA">
            <w:pPr>
              <w:rPr>
                <w:rFonts w:asciiTheme="majorHAnsi" w:hAnsiTheme="majorHAnsi"/>
                <w:color w:val="404040" w:themeColor="text1" w:themeTint="BF"/>
                <w:sz w:val="20"/>
                <w:szCs w:val="20"/>
              </w:rPr>
            </w:pPr>
            <w:r w:rsidRPr="00B21999">
              <w:rPr>
                <w:rFonts w:asciiTheme="majorHAnsi" w:hAnsiTheme="majorHAnsi"/>
                <w:color w:val="404040" w:themeColor="text1" w:themeTint="BF"/>
                <w:sz w:val="20"/>
                <w:szCs w:val="20"/>
              </w:rPr>
              <w:t>Project Bank Account is fully reconciled and closed.</w:t>
            </w:r>
          </w:p>
        </w:tc>
        <w:tc>
          <w:tcPr>
            <w:tcW w:w="1510" w:type="pct"/>
          </w:tcPr>
          <w:p w14:paraId="7B7CE52E" w14:textId="77777777" w:rsidR="008A7E9A" w:rsidRPr="009534CA"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Project staff should coordinate with Implementing partner to close Project Bank account.</w:t>
            </w:r>
          </w:p>
        </w:tc>
        <w:tc>
          <w:tcPr>
            <w:tcW w:w="1980" w:type="pct"/>
          </w:tcPr>
          <w:p w14:paraId="4210F744" w14:textId="77777777" w:rsidR="008A7E9A"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Request the Implementing partner to provide the bank reconciliation and the evidence document that all Project Bank Account is closed.</w:t>
            </w:r>
          </w:p>
          <w:p w14:paraId="01710FB3" w14:textId="710787A7" w:rsidR="00DB212D" w:rsidRPr="009534CA" w:rsidRDefault="00DB212D" w:rsidP="006A77CA">
            <w:pPr>
              <w:rPr>
                <w:rFonts w:asciiTheme="majorHAnsi" w:hAnsiTheme="majorHAnsi"/>
                <w:color w:val="404040" w:themeColor="text1" w:themeTint="BF"/>
                <w:sz w:val="20"/>
                <w:szCs w:val="20"/>
              </w:rPr>
            </w:pPr>
            <w:r w:rsidRPr="00DB212D">
              <w:rPr>
                <w:rFonts w:asciiTheme="majorHAnsi" w:hAnsiTheme="majorHAnsi"/>
                <w:color w:val="404040" w:themeColor="text1" w:themeTint="BF"/>
                <w:sz w:val="20"/>
                <w:szCs w:val="20"/>
              </w:rPr>
              <w:t>All supporting supports should be uploaded to Project Document Centre (</w:t>
            </w:r>
            <w:hyperlink r:id="rId62" w:history="1">
              <w:r w:rsidRPr="00DB212D">
                <w:rPr>
                  <w:rStyle w:val="Hyperlink"/>
                  <w:rFonts w:asciiTheme="majorHAnsi" w:hAnsiTheme="majorHAnsi"/>
                  <w:sz w:val="20"/>
                  <w:szCs w:val="20"/>
                </w:rPr>
                <w:t>https://intranet.undp.org/docs/pdc/default.aspx</w:t>
              </w:r>
            </w:hyperlink>
            <w:r w:rsidRPr="00DB212D">
              <w:rPr>
                <w:rFonts w:asciiTheme="majorHAnsi" w:hAnsiTheme="majorHAnsi"/>
                <w:color w:val="404040" w:themeColor="text1" w:themeTint="BF"/>
                <w:sz w:val="20"/>
                <w:szCs w:val="20"/>
              </w:rPr>
              <w:t>)</w:t>
            </w:r>
          </w:p>
        </w:tc>
      </w:tr>
      <w:tr w:rsidR="00E5285F" w:rsidRPr="009534CA" w14:paraId="5F50EE25" w14:textId="77777777" w:rsidTr="007464B7">
        <w:tc>
          <w:tcPr>
            <w:tcW w:w="275" w:type="pct"/>
          </w:tcPr>
          <w:p w14:paraId="2CA183CE" w14:textId="77777777" w:rsidR="008A7E9A"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22</w:t>
            </w:r>
          </w:p>
        </w:tc>
        <w:tc>
          <w:tcPr>
            <w:tcW w:w="1234" w:type="pct"/>
          </w:tcPr>
          <w:p w14:paraId="4B4A5153" w14:textId="77777777" w:rsidR="008A7E9A" w:rsidRPr="00BA3A63" w:rsidRDefault="008A7E9A" w:rsidP="006A77CA">
            <w:pPr>
              <w:rPr>
                <w:rFonts w:asciiTheme="majorHAnsi" w:hAnsiTheme="majorHAnsi"/>
                <w:color w:val="404040" w:themeColor="text1" w:themeTint="BF"/>
                <w:sz w:val="20"/>
                <w:szCs w:val="20"/>
              </w:rPr>
            </w:pPr>
            <w:r w:rsidRPr="00B21999">
              <w:rPr>
                <w:rFonts w:asciiTheme="majorHAnsi" w:hAnsiTheme="majorHAnsi"/>
                <w:color w:val="404040" w:themeColor="text1" w:themeTint="BF"/>
                <w:sz w:val="20"/>
                <w:szCs w:val="20"/>
              </w:rPr>
              <w:t>All Staff Receivables in USD Only (Acc. 14005, 14020, 14022, 14023, 14025, 14030, 14035, 14040, 14042, 14045, 14046, 14050, 14055, 14085) are cleared;</w:t>
            </w:r>
          </w:p>
        </w:tc>
        <w:tc>
          <w:tcPr>
            <w:tcW w:w="1510" w:type="pct"/>
          </w:tcPr>
          <w:p w14:paraId="7D1EAEAC" w14:textId="77777777" w:rsidR="008A7E9A" w:rsidRPr="00AE2690" w:rsidRDefault="008A7E9A" w:rsidP="009A77F5">
            <w:pPr>
              <w:pStyle w:val="BalloonText"/>
              <w:numPr>
                <w:ilvl w:val="0"/>
                <w:numId w:val="29"/>
              </w:numPr>
              <w:ind w:left="346"/>
              <w:rPr>
                <w:rFonts w:asciiTheme="majorHAnsi" w:hAnsiTheme="majorHAnsi"/>
                <w:color w:val="404040" w:themeColor="text1" w:themeTint="BF"/>
                <w:sz w:val="20"/>
                <w:szCs w:val="20"/>
              </w:rPr>
            </w:pPr>
            <w:r w:rsidRPr="00AE2690">
              <w:rPr>
                <w:rFonts w:asciiTheme="majorHAnsi" w:hAnsiTheme="majorHAnsi"/>
                <w:color w:val="404040" w:themeColor="text1" w:themeTint="BF"/>
                <w:sz w:val="20"/>
                <w:szCs w:val="20"/>
              </w:rPr>
              <w:t>Run “Ledger Inquiry” to ensure zero GL balance</w:t>
            </w:r>
          </w:p>
          <w:p w14:paraId="1D1FEE4E" w14:textId="77777777" w:rsidR="008A7E9A" w:rsidRPr="00AE2690" w:rsidRDefault="008A7E9A" w:rsidP="009A77F5">
            <w:pPr>
              <w:pStyle w:val="BalloonText"/>
              <w:numPr>
                <w:ilvl w:val="0"/>
                <w:numId w:val="29"/>
              </w:numPr>
              <w:ind w:left="346"/>
              <w:rPr>
                <w:rFonts w:asciiTheme="majorHAnsi" w:hAnsiTheme="majorHAnsi"/>
                <w:color w:val="404040" w:themeColor="text1" w:themeTint="BF"/>
                <w:sz w:val="20"/>
                <w:szCs w:val="20"/>
              </w:rPr>
            </w:pPr>
            <w:r w:rsidRPr="00AE2690">
              <w:rPr>
                <w:rFonts w:asciiTheme="majorHAnsi" w:hAnsiTheme="majorHAnsi"/>
                <w:color w:val="404040" w:themeColor="text1" w:themeTint="BF"/>
                <w:sz w:val="20"/>
                <w:szCs w:val="20"/>
              </w:rPr>
              <w:t>Check if any pending in “Project closure workbench”, or Query UN_PS_CLOSE_PENDING_LIAB</w:t>
            </w:r>
          </w:p>
        </w:tc>
        <w:tc>
          <w:tcPr>
            <w:tcW w:w="1980" w:type="pct"/>
          </w:tcPr>
          <w:p w14:paraId="6D05D683" w14:textId="346E6784" w:rsidR="008A7E9A" w:rsidRPr="009534CA" w:rsidRDefault="00DB212D" w:rsidP="006A77CA">
            <w:pPr>
              <w:rPr>
                <w:rFonts w:asciiTheme="majorHAnsi" w:hAnsiTheme="majorHAnsi"/>
                <w:color w:val="404040" w:themeColor="text1" w:themeTint="BF"/>
                <w:sz w:val="20"/>
                <w:szCs w:val="20"/>
              </w:rPr>
            </w:pPr>
            <w:r w:rsidRPr="00DB212D">
              <w:rPr>
                <w:rFonts w:asciiTheme="majorHAnsi" w:hAnsiTheme="majorHAnsi"/>
                <w:color w:val="404040" w:themeColor="text1" w:themeTint="BF"/>
                <w:sz w:val="20"/>
                <w:szCs w:val="20"/>
              </w:rPr>
              <w:t>Follow up with the respective staff(s) to clear the balance against the appropriate project and fund code. If a balance cannot be cleared</w:t>
            </w:r>
            <w:r>
              <w:rPr>
                <w:rFonts w:asciiTheme="majorHAnsi" w:hAnsiTheme="majorHAnsi"/>
                <w:color w:val="404040" w:themeColor="text1" w:themeTint="BF"/>
                <w:sz w:val="20"/>
                <w:szCs w:val="20"/>
              </w:rPr>
              <w:t>,</w:t>
            </w:r>
            <w:r w:rsidR="008A7E9A">
              <w:rPr>
                <w:rFonts w:asciiTheme="majorHAnsi" w:hAnsiTheme="majorHAnsi"/>
                <w:color w:val="404040" w:themeColor="text1" w:themeTint="BF"/>
                <w:sz w:val="20"/>
                <w:szCs w:val="20"/>
              </w:rPr>
              <w:t xml:space="preserve"> please contact </w:t>
            </w:r>
            <w:hyperlink r:id="rId63" w:history="1">
              <w:r w:rsidR="008A7E9A" w:rsidRPr="00B90DB6">
                <w:rPr>
                  <w:rStyle w:val="Hyperlink"/>
                  <w:rFonts w:asciiTheme="majorHAnsi" w:hAnsiTheme="majorHAnsi"/>
                  <w:sz w:val="20"/>
                  <w:szCs w:val="20"/>
                </w:rPr>
                <w:t>pfu.enquiry@undp.org</w:t>
              </w:r>
            </w:hyperlink>
            <w:r w:rsidR="008A7E9A">
              <w:rPr>
                <w:rFonts w:asciiTheme="majorHAnsi" w:hAnsiTheme="majorHAnsi"/>
                <w:color w:val="404040" w:themeColor="text1" w:themeTint="BF"/>
                <w:sz w:val="20"/>
                <w:szCs w:val="20"/>
              </w:rPr>
              <w:t xml:space="preserve"> for further guidance.</w:t>
            </w:r>
          </w:p>
        </w:tc>
      </w:tr>
      <w:tr w:rsidR="00E5285F" w:rsidRPr="009534CA" w14:paraId="1E024172" w14:textId="77777777" w:rsidTr="007464B7">
        <w:tc>
          <w:tcPr>
            <w:tcW w:w="275" w:type="pct"/>
          </w:tcPr>
          <w:p w14:paraId="3ECCF37C" w14:textId="77777777" w:rsidR="008A7E9A"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23</w:t>
            </w:r>
          </w:p>
        </w:tc>
        <w:tc>
          <w:tcPr>
            <w:tcW w:w="1234" w:type="pct"/>
          </w:tcPr>
          <w:p w14:paraId="57A5A10E" w14:textId="77777777" w:rsidR="008A7E9A" w:rsidRPr="00BA3A63" w:rsidRDefault="008A7E9A" w:rsidP="006A77CA">
            <w:pPr>
              <w:rPr>
                <w:rFonts w:asciiTheme="majorHAnsi" w:hAnsiTheme="majorHAnsi"/>
                <w:color w:val="404040" w:themeColor="text1" w:themeTint="BF"/>
                <w:sz w:val="20"/>
                <w:szCs w:val="20"/>
              </w:rPr>
            </w:pPr>
            <w:r w:rsidRPr="00B21999">
              <w:rPr>
                <w:rFonts w:asciiTheme="majorHAnsi" w:hAnsiTheme="majorHAnsi"/>
                <w:color w:val="404040" w:themeColor="text1" w:themeTint="BF"/>
                <w:sz w:val="20"/>
                <w:szCs w:val="20"/>
              </w:rPr>
              <w:t>All accrued employee benefits are fully accounted.</w:t>
            </w:r>
          </w:p>
        </w:tc>
        <w:tc>
          <w:tcPr>
            <w:tcW w:w="1510" w:type="pct"/>
          </w:tcPr>
          <w:p w14:paraId="08207B18" w14:textId="77777777" w:rsidR="008A7E9A" w:rsidRPr="009534CA" w:rsidRDefault="008A7E9A" w:rsidP="006A77CA">
            <w:pPr>
              <w:rPr>
                <w:rFonts w:asciiTheme="majorHAnsi" w:hAnsiTheme="majorHAnsi"/>
                <w:color w:val="404040" w:themeColor="text1" w:themeTint="BF"/>
                <w:sz w:val="20"/>
                <w:szCs w:val="20"/>
              </w:rPr>
            </w:pPr>
            <w:r w:rsidRPr="00006F31">
              <w:rPr>
                <w:rFonts w:asciiTheme="majorHAnsi" w:hAnsiTheme="majorHAnsi"/>
                <w:color w:val="404040" w:themeColor="text1" w:themeTint="BF"/>
                <w:sz w:val="20"/>
                <w:szCs w:val="20"/>
              </w:rPr>
              <w:t>Check if any pending in “Project closure workbench”, or Query UN_PS</w:t>
            </w:r>
            <w:r>
              <w:rPr>
                <w:rFonts w:asciiTheme="majorHAnsi" w:hAnsiTheme="majorHAnsi"/>
                <w:color w:val="404040" w:themeColor="text1" w:themeTint="BF"/>
                <w:sz w:val="20"/>
                <w:szCs w:val="20"/>
              </w:rPr>
              <w:t>_CLOSE_STAFF_BEN_LIAB</w:t>
            </w:r>
          </w:p>
        </w:tc>
        <w:tc>
          <w:tcPr>
            <w:tcW w:w="1980" w:type="pct"/>
          </w:tcPr>
          <w:p w14:paraId="611EF580" w14:textId="77777777" w:rsidR="008A7E9A" w:rsidRPr="009534CA"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 xml:space="preserve">If any balance, please contact </w:t>
            </w:r>
            <w:hyperlink r:id="rId64" w:history="1">
              <w:r w:rsidRPr="00913F0A">
                <w:rPr>
                  <w:rStyle w:val="Hyperlink"/>
                  <w:rFonts w:asciiTheme="majorHAnsi" w:hAnsiTheme="majorHAnsi"/>
                  <w:color w:val="404040" w:themeColor="text1" w:themeTint="BF"/>
                  <w:sz w:val="20"/>
                  <w:szCs w:val="20"/>
                </w:rPr>
                <w:t>pfu.enquiry@undp.org</w:t>
              </w:r>
            </w:hyperlink>
            <w:r w:rsidRPr="00913F0A">
              <w:rPr>
                <w:rFonts w:asciiTheme="majorHAnsi" w:hAnsiTheme="majorHAnsi"/>
                <w:color w:val="404040" w:themeColor="text1" w:themeTint="BF"/>
                <w:sz w:val="20"/>
                <w:szCs w:val="20"/>
              </w:rPr>
              <w:t xml:space="preserve"> and/or </w:t>
            </w:r>
            <w:hyperlink r:id="rId65" w:history="1">
              <w:r w:rsidRPr="00913F0A">
                <w:rPr>
                  <w:rStyle w:val="Hyperlink"/>
                  <w:rFonts w:asciiTheme="majorHAnsi" w:hAnsiTheme="majorHAnsi"/>
                  <w:color w:val="404040" w:themeColor="text1" w:themeTint="BF"/>
                  <w:sz w:val="20"/>
                  <w:szCs w:val="20"/>
                </w:rPr>
                <w:t>gps.pension@undp.org</w:t>
              </w:r>
            </w:hyperlink>
            <w:r w:rsidRPr="00913F0A">
              <w:rPr>
                <w:rFonts w:asciiTheme="majorHAnsi" w:hAnsiTheme="majorHAnsi"/>
                <w:color w:val="404040" w:themeColor="text1" w:themeTint="BF"/>
                <w:sz w:val="20"/>
                <w:szCs w:val="20"/>
              </w:rPr>
              <w:t xml:space="preserve">  </w:t>
            </w:r>
            <w:r>
              <w:rPr>
                <w:rFonts w:asciiTheme="majorHAnsi" w:hAnsiTheme="majorHAnsi"/>
                <w:color w:val="404040" w:themeColor="text1" w:themeTint="BF"/>
                <w:sz w:val="20"/>
                <w:szCs w:val="20"/>
              </w:rPr>
              <w:t>for further guidance.</w:t>
            </w:r>
          </w:p>
        </w:tc>
      </w:tr>
      <w:tr w:rsidR="00E5285F" w:rsidRPr="009534CA" w14:paraId="2178E28C" w14:textId="77777777" w:rsidTr="007464B7">
        <w:tc>
          <w:tcPr>
            <w:tcW w:w="275" w:type="pct"/>
          </w:tcPr>
          <w:p w14:paraId="5795643E" w14:textId="77777777" w:rsidR="008A7E9A"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lastRenderedPageBreak/>
              <w:t>24</w:t>
            </w:r>
          </w:p>
        </w:tc>
        <w:tc>
          <w:tcPr>
            <w:tcW w:w="1234" w:type="pct"/>
          </w:tcPr>
          <w:p w14:paraId="19337059" w14:textId="77777777" w:rsidR="008A7E9A" w:rsidRPr="00B21999" w:rsidRDefault="008A7E9A" w:rsidP="006A77CA">
            <w:pPr>
              <w:rPr>
                <w:rFonts w:asciiTheme="majorHAnsi" w:hAnsiTheme="majorHAnsi"/>
                <w:color w:val="404040" w:themeColor="text1" w:themeTint="BF"/>
                <w:sz w:val="20"/>
                <w:szCs w:val="20"/>
              </w:rPr>
            </w:pPr>
            <w:r w:rsidRPr="00B21999">
              <w:rPr>
                <w:rFonts w:asciiTheme="majorHAnsi" w:hAnsiTheme="majorHAnsi"/>
                <w:color w:val="404040" w:themeColor="text1" w:themeTint="BF"/>
                <w:sz w:val="20"/>
                <w:szCs w:val="20"/>
              </w:rPr>
              <w:t>No other pending liabilities in USD Only; (GL 2xxxx Accounts - Excluding 21005)</w:t>
            </w:r>
          </w:p>
        </w:tc>
        <w:tc>
          <w:tcPr>
            <w:tcW w:w="1510" w:type="pct"/>
          </w:tcPr>
          <w:p w14:paraId="6569C74B" w14:textId="77777777" w:rsidR="008A7E9A" w:rsidRPr="009534CA" w:rsidRDefault="008A7E9A" w:rsidP="006A77CA">
            <w:pPr>
              <w:rPr>
                <w:rFonts w:asciiTheme="majorHAnsi" w:hAnsiTheme="majorHAnsi"/>
                <w:color w:val="404040" w:themeColor="text1" w:themeTint="BF"/>
                <w:sz w:val="20"/>
                <w:szCs w:val="20"/>
              </w:rPr>
            </w:pPr>
            <w:r w:rsidRPr="009534CA">
              <w:rPr>
                <w:rFonts w:asciiTheme="majorHAnsi" w:hAnsiTheme="majorHAnsi"/>
                <w:color w:val="404040" w:themeColor="text1" w:themeTint="BF"/>
                <w:sz w:val="20"/>
                <w:szCs w:val="20"/>
              </w:rPr>
              <w:t xml:space="preserve">Check </w:t>
            </w:r>
            <w:r>
              <w:rPr>
                <w:rFonts w:asciiTheme="majorHAnsi" w:hAnsiTheme="majorHAnsi"/>
                <w:color w:val="404040" w:themeColor="text1" w:themeTint="BF"/>
                <w:sz w:val="20"/>
                <w:szCs w:val="20"/>
              </w:rPr>
              <w:t>if any pending</w:t>
            </w:r>
            <w:r w:rsidRPr="009534CA">
              <w:rPr>
                <w:rFonts w:asciiTheme="majorHAnsi" w:hAnsiTheme="majorHAnsi"/>
                <w:color w:val="404040" w:themeColor="text1" w:themeTint="BF"/>
                <w:sz w:val="20"/>
                <w:szCs w:val="20"/>
              </w:rPr>
              <w:t xml:space="preserve"> in “Project closure workbench”</w:t>
            </w:r>
            <w:r>
              <w:rPr>
                <w:rFonts w:asciiTheme="majorHAnsi" w:hAnsiTheme="majorHAnsi"/>
                <w:color w:val="404040" w:themeColor="text1" w:themeTint="BF"/>
                <w:sz w:val="20"/>
                <w:szCs w:val="20"/>
              </w:rPr>
              <w:t>, or Query UN_PS_CLOSE_PENDING_LIAB</w:t>
            </w:r>
          </w:p>
        </w:tc>
        <w:tc>
          <w:tcPr>
            <w:tcW w:w="1980" w:type="pct"/>
          </w:tcPr>
          <w:p w14:paraId="083439A9" w14:textId="6411C3E9" w:rsidR="008A7E9A" w:rsidRPr="00FB07FE" w:rsidRDefault="008A7E9A" w:rsidP="009A77F5">
            <w:pPr>
              <w:numPr>
                <w:ilvl w:val="0"/>
                <w:numId w:val="32"/>
              </w:numPr>
              <w:contextualSpacing/>
              <w:rPr>
                <w:rFonts w:asciiTheme="majorHAnsi" w:eastAsia="Times New Roman" w:hAnsiTheme="majorHAnsi"/>
                <w:color w:val="404040" w:themeColor="text1" w:themeTint="BF"/>
                <w:sz w:val="20"/>
                <w:szCs w:val="20"/>
              </w:rPr>
            </w:pPr>
            <w:r w:rsidRPr="00FB07FE">
              <w:rPr>
                <w:rFonts w:asciiTheme="majorHAnsi" w:eastAsia="Times New Roman" w:hAnsiTheme="majorHAnsi"/>
                <w:color w:val="404040" w:themeColor="text1" w:themeTint="BF"/>
                <w:sz w:val="20"/>
                <w:szCs w:val="20"/>
              </w:rPr>
              <w:t>If the balance is under 23xxx, please contact GSSU PFU &lt;pfu.enquiry@undp.org&gt; and seek advice.</w:t>
            </w:r>
          </w:p>
          <w:p w14:paraId="5694AAC9" w14:textId="77777777" w:rsidR="008A7E9A" w:rsidRPr="00FB07FE" w:rsidRDefault="008A7E9A" w:rsidP="009A77F5">
            <w:pPr>
              <w:numPr>
                <w:ilvl w:val="0"/>
                <w:numId w:val="32"/>
              </w:numPr>
              <w:contextualSpacing/>
              <w:rPr>
                <w:rFonts w:asciiTheme="majorHAnsi" w:eastAsia="Times New Roman" w:hAnsiTheme="majorHAnsi"/>
                <w:color w:val="404040" w:themeColor="text1" w:themeTint="BF"/>
                <w:sz w:val="20"/>
                <w:szCs w:val="20"/>
              </w:rPr>
            </w:pPr>
            <w:r w:rsidRPr="00FB07FE">
              <w:rPr>
                <w:rFonts w:asciiTheme="majorHAnsi" w:eastAsia="Times New Roman" w:hAnsiTheme="majorHAnsi"/>
                <w:color w:val="404040" w:themeColor="text1" w:themeTint="BF"/>
                <w:sz w:val="20"/>
                <w:szCs w:val="20"/>
              </w:rPr>
              <w:t>If the balance is under 21020, please clear the balance locally.</w:t>
            </w:r>
          </w:p>
          <w:p w14:paraId="2068C92C" w14:textId="509FD558" w:rsidR="008A7E9A" w:rsidRPr="00FB07FE" w:rsidRDefault="008A7E9A" w:rsidP="009A77F5">
            <w:pPr>
              <w:numPr>
                <w:ilvl w:val="0"/>
                <w:numId w:val="32"/>
              </w:numPr>
              <w:spacing w:after="0"/>
              <w:contextualSpacing/>
              <w:rPr>
                <w:rFonts w:asciiTheme="majorHAnsi" w:eastAsia="Times New Roman" w:hAnsiTheme="majorHAnsi"/>
                <w:color w:val="404040" w:themeColor="text1" w:themeTint="BF"/>
                <w:sz w:val="20"/>
                <w:szCs w:val="20"/>
              </w:rPr>
            </w:pPr>
            <w:r w:rsidRPr="00FB07FE">
              <w:rPr>
                <w:rFonts w:asciiTheme="majorHAnsi" w:eastAsia="Times New Roman" w:hAnsiTheme="majorHAnsi"/>
                <w:color w:val="404040" w:themeColor="text1" w:themeTint="BF"/>
                <w:sz w:val="20"/>
                <w:szCs w:val="20"/>
              </w:rPr>
              <w:t xml:space="preserve">If the balance is under 21015, please contact </w:t>
            </w:r>
            <w:r w:rsidR="002A5CF0">
              <w:rPr>
                <w:rFonts w:asciiTheme="majorHAnsi" w:eastAsia="Times New Roman" w:hAnsiTheme="majorHAnsi"/>
                <w:color w:val="404040" w:themeColor="text1" w:themeTint="BF"/>
                <w:sz w:val="20"/>
                <w:szCs w:val="20"/>
              </w:rPr>
              <w:t>GSSU AGENCIES</w:t>
            </w:r>
            <w:r>
              <w:rPr>
                <w:rFonts w:asciiTheme="majorHAnsi" w:eastAsia="Times New Roman" w:hAnsiTheme="majorHAnsi"/>
                <w:color w:val="404040" w:themeColor="text1" w:themeTint="BF"/>
                <w:sz w:val="20"/>
                <w:szCs w:val="20"/>
              </w:rPr>
              <w:t xml:space="preserve"> </w:t>
            </w:r>
            <w:r w:rsidRPr="00913F0A">
              <w:rPr>
                <w:rFonts w:asciiTheme="majorHAnsi" w:eastAsia="Times New Roman" w:hAnsiTheme="majorHAnsi"/>
                <w:color w:val="404040" w:themeColor="text1" w:themeTint="BF"/>
                <w:sz w:val="20"/>
                <w:szCs w:val="20"/>
              </w:rPr>
              <w:t>&lt;gssu.agencies@undp.org&gt;</w:t>
            </w:r>
            <w:r w:rsidRPr="00FB07FE">
              <w:rPr>
                <w:rFonts w:asciiTheme="majorHAnsi" w:eastAsia="Times New Roman" w:hAnsiTheme="majorHAnsi"/>
                <w:color w:val="404040" w:themeColor="text1" w:themeTint="BF"/>
                <w:sz w:val="20"/>
                <w:szCs w:val="20"/>
              </w:rPr>
              <w:t>.</w:t>
            </w:r>
          </w:p>
          <w:p w14:paraId="264A08CD" w14:textId="62ACB4F7" w:rsidR="008A7E9A" w:rsidRPr="00FD0A7D" w:rsidRDefault="008A7E9A" w:rsidP="009A77F5">
            <w:pPr>
              <w:pStyle w:val="ListParagraph"/>
              <w:numPr>
                <w:ilvl w:val="0"/>
                <w:numId w:val="12"/>
              </w:numPr>
              <w:spacing w:after="0"/>
              <w:rPr>
                <w:rFonts w:asciiTheme="majorHAnsi" w:hAnsiTheme="majorHAnsi"/>
                <w:color w:val="404040" w:themeColor="text1" w:themeTint="BF"/>
                <w:lang w:val="en-GB"/>
              </w:rPr>
            </w:pPr>
            <w:r>
              <w:rPr>
                <w:rFonts w:asciiTheme="majorHAnsi" w:eastAsia="Times New Roman" w:hAnsiTheme="majorHAnsi"/>
                <w:color w:val="404040" w:themeColor="text1" w:themeTint="BF"/>
                <w:sz w:val="20"/>
                <w:szCs w:val="20"/>
              </w:rPr>
              <w:t>For the balance under 21005, please refer to Item 8 (the clean-up is required only for the pending payment vouchers (not yet processed in pay cycle) and the vouchers pending to be posted.</w:t>
            </w:r>
          </w:p>
        </w:tc>
      </w:tr>
      <w:tr w:rsidR="00E5285F" w:rsidRPr="009534CA" w14:paraId="6EE86C3B" w14:textId="77777777" w:rsidTr="007464B7">
        <w:tc>
          <w:tcPr>
            <w:tcW w:w="275" w:type="pct"/>
          </w:tcPr>
          <w:p w14:paraId="3597DB38" w14:textId="77777777" w:rsidR="008A7E9A"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25</w:t>
            </w:r>
          </w:p>
        </w:tc>
        <w:tc>
          <w:tcPr>
            <w:tcW w:w="1234" w:type="pct"/>
          </w:tcPr>
          <w:p w14:paraId="1DC1C7D4" w14:textId="6B395155" w:rsidR="008A7E9A" w:rsidRPr="00B21999"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T</w:t>
            </w:r>
            <w:r w:rsidRPr="00B21999">
              <w:rPr>
                <w:rFonts w:asciiTheme="majorHAnsi" w:hAnsiTheme="majorHAnsi"/>
                <w:color w:val="404040" w:themeColor="text1" w:themeTint="BF"/>
                <w:sz w:val="20"/>
                <w:szCs w:val="20"/>
              </w:rPr>
              <w:t xml:space="preserve">he </w:t>
            </w:r>
            <w:r w:rsidR="00E14F3B">
              <w:rPr>
                <w:rFonts w:asciiTheme="majorHAnsi" w:hAnsiTheme="majorHAnsi"/>
                <w:color w:val="404040" w:themeColor="text1" w:themeTint="BF"/>
                <w:sz w:val="20"/>
                <w:szCs w:val="20"/>
              </w:rPr>
              <w:t>Combined Delivery Report</w:t>
            </w:r>
            <w:r w:rsidR="00AB043B">
              <w:rPr>
                <w:rFonts w:asciiTheme="majorHAnsi" w:hAnsiTheme="majorHAnsi"/>
                <w:color w:val="404040" w:themeColor="text1" w:themeTint="BF"/>
                <w:sz w:val="20"/>
                <w:szCs w:val="20"/>
              </w:rPr>
              <w:t xml:space="preserve"> </w:t>
            </w:r>
            <w:r w:rsidR="00E14F3B">
              <w:rPr>
                <w:rFonts w:asciiTheme="majorHAnsi" w:hAnsiTheme="majorHAnsi"/>
                <w:color w:val="404040" w:themeColor="text1" w:themeTint="BF"/>
                <w:sz w:val="20"/>
                <w:szCs w:val="20"/>
              </w:rPr>
              <w:t>(</w:t>
            </w:r>
            <w:r w:rsidRPr="00B21999">
              <w:rPr>
                <w:rFonts w:asciiTheme="majorHAnsi" w:hAnsiTheme="majorHAnsi"/>
                <w:color w:val="404040" w:themeColor="text1" w:themeTint="BF"/>
                <w:sz w:val="20"/>
                <w:szCs w:val="20"/>
              </w:rPr>
              <w:t>CDR</w:t>
            </w:r>
            <w:r w:rsidR="00E14F3B">
              <w:rPr>
                <w:rFonts w:asciiTheme="majorHAnsi" w:hAnsiTheme="majorHAnsi"/>
                <w:color w:val="404040" w:themeColor="text1" w:themeTint="BF"/>
                <w:sz w:val="20"/>
                <w:szCs w:val="20"/>
              </w:rPr>
              <w:t>)</w:t>
            </w:r>
            <w:r w:rsidRPr="00B21999">
              <w:rPr>
                <w:rFonts w:asciiTheme="majorHAnsi" w:hAnsiTheme="majorHAnsi"/>
                <w:color w:val="404040" w:themeColor="text1" w:themeTint="BF"/>
                <w:sz w:val="20"/>
                <w:szCs w:val="20"/>
              </w:rPr>
              <w:t xml:space="preserve"> for the previous quarter shows Zero future expenses (commitments).</w:t>
            </w:r>
          </w:p>
        </w:tc>
        <w:tc>
          <w:tcPr>
            <w:tcW w:w="1510" w:type="pct"/>
          </w:tcPr>
          <w:p w14:paraId="2E1BCEF5" w14:textId="77777777" w:rsidR="008A7E9A" w:rsidRPr="009534CA"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Uploaded to Atlas – Project Mgt. and hard copy retained in project file.</w:t>
            </w:r>
          </w:p>
        </w:tc>
        <w:tc>
          <w:tcPr>
            <w:tcW w:w="1980" w:type="pct"/>
          </w:tcPr>
          <w:p w14:paraId="7BDF56A8" w14:textId="77777777" w:rsidR="008A7E9A" w:rsidRPr="009534CA"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CDR to be retained in both Atlas and in hard copy in the project file. Documentation to be uploaded in Atlas Project Management (Grants &gt; Project Mgt. &gt; Approved Projects &gt; Monitoring/Attachments Tabs</w:t>
            </w:r>
          </w:p>
        </w:tc>
      </w:tr>
      <w:tr w:rsidR="00E5285F" w:rsidRPr="009534CA" w14:paraId="0EFED0C5" w14:textId="77777777" w:rsidTr="007464B7">
        <w:tc>
          <w:tcPr>
            <w:tcW w:w="275" w:type="pct"/>
          </w:tcPr>
          <w:p w14:paraId="658D11C3" w14:textId="77777777" w:rsidR="008A7E9A"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26</w:t>
            </w:r>
          </w:p>
        </w:tc>
        <w:tc>
          <w:tcPr>
            <w:tcW w:w="1234" w:type="pct"/>
          </w:tcPr>
          <w:p w14:paraId="6FEF4944" w14:textId="5A8BB5BB" w:rsidR="008A7E9A" w:rsidRPr="00B21999" w:rsidRDefault="008A7E9A" w:rsidP="006A77CA">
            <w:pPr>
              <w:rPr>
                <w:rFonts w:asciiTheme="majorHAnsi" w:hAnsiTheme="majorHAnsi"/>
                <w:color w:val="404040" w:themeColor="text1" w:themeTint="BF"/>
                <w:sz w:val="20"/>
                <w:szCs w:val="20"/>
              </w:rPr>
            </w:pPr>
            <w:r w:rsidRPr="00B21999">
              <w:rPr>
                <w:rFonts w:asciiTheme="majorHAnsi" w:hAnsiTheme="majorHAnsi"/>
                <w:color w:val="404040" w:themeColor="text1" w:themeTint="BF"/>
                <w:sz w:val="20"/>
                <w:szCs w:val="20"/>
              </w:rPr>
              <w:t xml:space="preserve">Final </w:t>
            </w:r>
            <w:r w:rsidR="00E14F3B">
              <w:rPr>
                <w:rFonts w:asciiTheme="majorHAnsi" w:hAnsiTheme="majorHAnsi"/>
                <w:color w:val="404040" w:themeColor="text1" w:themeTint="BF"/>
                <w:sz w:val="20"/>
                <w:szCs w:val="20"/>
              </w:rPr>
              <w:t>Local Project Appraisal Committee (</w:t>
            </w:r>
            <w:r w:rsidRPr="00B21999">
              <w:rPr>
                <w:rFonts w:asciiTheme="majorHAnsi" w:hAnsiTheme="majorHAnsi"/>
                <w:color w:val="404040" w:themeColor="text1" w:themeTint="BF"/>
                <w:sz w:val="20"/>
                <w:szCs w:val="20"/>
              </w:rPr>
              <w:t>LPAC</w:t>
            </w:r>
            <w:r w:rsidR="00E14F3B">
              <w:rPr>
                <w:rFonts w:asciiTheme="majorHAnsi" w:hAnsiTheme="majorHAnsi"/>
                <w:color w:val="404040" w:themeColor="text1" w:themeTint="BF"/>
                <w:sz w:val="20"/>
                <w:szCs w:val="20"/>
              </w:rPr>
              <w:t>)</w:t>
            </w:r>
            <w:r w:rsidRPr="00B21999">
              <w:rPr>
                <w:rFonts w:asciiTheme="majorHAnsi" w:hAnsiTheme="majorHAnsi"/>
                <w:color w:val="404040" w:themeColor="text1" w:themeTint="BF"/>
                <w:sz w:val="20"/>
                <w:szCs w:val="20"/>
              </w:rPr>
              <w:t xml:space="preserve"> / Steering committee minutes are available.</w:t>
            </w:r>
          </w:p>
        </w:tc>
        <w:tc>
          <w:tcPr>
            <w:tcW w:w="1510" w:type="pct"/>
          </w:tcPr>
          <w:p w14:paraId="49DAB754" w14:textId="77777777" w:rsidR="008A7E9A" w:rsidRPr="009534CA"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Uploaded to Atlas – Project Mgt. and hard copy retained in project file.</w:t>
            </w:r>
          </w:p>
        </w:tc>
        <w:tc>
          <w:tcPr>
            <w:tcW w:w="1980" w:type="pct"/>
          </w:tcPr>
          <w:p w14:paraId="66B7F4A5" w14:textId="77777777" w:rsidR="008A7E9A" w:rsidRPr="009534CA"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Final LPAC/Steering Committee minutes to be retained in both Atlas and in hard copy in the project file. Documentation to be uploaded in Atlas Project Management (Grants &gt; Project Mgt. &gt; Approved Projects &gt; Monitoring/Attachments Tabs</w:t>
            </w:r>
          </w:p>
        </w:tc>
      </w:tr>
      <w:tr w:rsidR="00E5285F" w:rsidRPr="009534CA" w14:paraId="5AECDF96" w14:textId="77777777" w:rsidTr="007464B7">
        <w:tc>
          <w:tcPr>
            <w:tcW w:w="275" w:type="pct"/>
          </w:tcPr>
          <w:p w14:paraId="609BC585" w14:textId="77777777" w:rsidR="008A7E9A"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27</w:t>
            </w:r>
          </w:p>
        </w:tc>
        <w:tc>
          <w:tcPr>
            <w:tcW w:w="1234" w:type="pct"/>
          </w:tcPr>
          <w:p w14:paraId="52F562BF" w14:textId="77777777" w:rsidR="008A7E9A" w:rsidRPr="00B21999" w:rsidRDefault="008A7E9A" w:rsidP="006A77CA">
            <w:pPr>
              <w:rPr>
                <w:rFonts w:asciiTheme="majorHAnsi" w:hAnsiTheme="majorHAnsi"/>
                <w:color w:val="404040" w:themeColor="text1" w:themeTint="BF"/>
                <w:sz w:val="20"/>
                <w:szCs w:val="20"/>
              </w:rPr>
            </w:pPr>
            <w:r w:rsidRPr="00B21999">
              <w:rPr>
                <w:rFonts w:asciiTheme="majorHAnsi" w:hAnsiTheme="majorHAnsi"/>
                <w:color w:val="404040" w:themeColor="text1" w:themeTint="BF"/>
                <w:sz w:val="20"/>
                <w:szCs w:val="20"/>
              </w:rPr>
              <w:t>All audit observations are closed with supporting documentation.</w:t>
            </w:r>
          </w:p>
        </w:tc>
        <w:tc>
          <w:tcPr>
            <w:tcW w:w="1510" w:type="pct"/>
          </w:tcPr>
          <w:p w14:paraId="2ADA14A7" w14:textId="77777777" w:rsidR="008A7E9A" w:rsidRPr="009534CA"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 xml:space="preserve">Uploaded to Atlas – Project Mgt. module; </w:t>
            </w:r>
            <w:hyperlink r:id="rId66" w:history="1">
              <w:r w:rsidRPr="00A4451F">
                <w:rPr>
                  <w:rStyle w:val="Hyperlink"/>
                  <w:rFonts w:asciiTheme="majorHAnsi" w:hAnsiTheme="majorHAnsi"/>
                  <w:sz w:val="20"/>
                  <w:szCs w:val="20"/>
                </w:rPr>
                <w:t>CARDS</w:t>
              </w:r>
            </w:hyperlink>
            <w:r>
              <w:rPr>
                <w:rFonts w:asciiTheme="majorHAnsi" w:hAnsiTheme="majorHAnsi"/>
                <w:color w:val="404040" w:themeColor="text1" w:themeTint="BF"/>
                <w:sz w:val="20"/>
                <w:szCs w:val="20"/>
              </w:rPr>
              <w:t xml:space="preserve"> and hard copy retained in project file.</w:t>
            </w:r>
          </w:p>
        </w:tc>
        <w:tc>
          <w:tcPr>
            <w:tcW w:w="1980" w:type="pct"/>
          </w:tcPr>
          <w:p w14:paraId="0B57074A" w14:textId="113AA270" w:rsidR="008A7E9A" w:rsidRPr="009534CA"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 xml:space="preserve">Audit observations and Management. </w:t>
            </w:r>
            <w:r w:rsidR="008F088A">
              <w:rPr>
                <w:rFonts w:asciiTheme="majorHAnsi" w:hAnsiTheme="majorHAnsi"/>
                <w:color w:val="404040" w:themeColor="text1" w:themeTint="BF"/>
                <w:sz w:val="20"/>
                <w:szCs w:val="20"/>
              </w:rPr>
              <w:t>Responses</w:t>
            </w:r>
            <w:r>
              <w:rPr>
                <w:rFonts w:asciiTheme="majorHAnsi" w:hAnsiTheme="majorHAnsi"/>
                <w:color w:val="404040" w:themeColor="text1" w:themeTint="BF"/>
                <w:sz w:val="20"/>
                <w:szCs w:val="20"/>
              </w:rPr>
              <w:t xml:space="preserve"> to be retained in both Atlas and in hard copy in the project file.  Supporting documentation to be uploaded in Atlas Project Management (Grants &gt; Project Mgt. &gt; Approved Projects &gt; Monitoring/Attachments Tabs</w:t>
            </w:r>
          </w:p>
        </w:tc>
      </w:tr>
      <w:tr w:rsidR="00E5285F" w:rsidRPr="009534CA" w14:paraId="3994D6BE" w14:textId="77777777" w:rsidTr="007464B7">
        <w:tc>
          <w:tcPr>
            <w:tcW w:w="275" w:type="pct"/>
          </w:tcPr>
          <w:p w14:paraId="4C4A530F" w14:textId="77777777" w:rsidR="008A7E9A"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28</w:t>
            </w:r>
          </w:p>
        </w:tc>
        <w:tc>
          <w:tcPr>
            <w:tcW w:w="1234" w:type="pct"/>
          </w:tcPr>
          <w:p w14:paraId="5A6150EC" w14:textId="3C89A660" w:rsidR="008A7E9A" w:rsidRPr="00B21999" w:rsidRDefault="008A7E9A" w:rsidP="006A77CA">
            <w:pPr>
              <w:rPr>
                <w:rFonts w:asciiTheme="majorHAnsi" w:hAnsiTheme="majorHAnsi"/>
                <w:color w:val="404040" w:themeColor="text1" w:themeTint="BF"/>
                <w:sz w:val="20"/>
                <w:szCs w:val="20"/>
              </w:rPr>
            </w:pPr>
            <w:r w:rsidRPr="00B21999">
              <w:rPr>
                <w:rFonts w:asciiTheme="majorHAnsi" w:hAnsiTheme="majorHAnsi"/>
                <w:color w:val="404040" w:themeColor="text1" w:themeTint="BF"/>
                <w:sz w:val="20"/>
                <w:szCs w:val="20"/>
              </w:rPr>
              <w:t>The final CDR is signed by UNDP and the Implementing Partner</w:t>
            </w:r>
            <w:r w:rsidR="00DB212D">
              <w:rPr>
                <w:rFonts w:asciiTheme="majorHAnsi" w:hAnsiTheme="majorHAnsi"/>
                <w:color w:val="404040" w:themeColor="text1" w:themeTint="BF"/>
                <w:sz w:val="20"/>
                <w:szCs w:val="20"/>
              </w:rPr>
              <w:t xml:space="preserve">/Responsible Party through the CDR </w:t>
            </w:r>
            <w:r w:rsidR="00DB212D">
              <w:rPr>
                <w:rFonts w:asciiTheme="majorHAnsi" w:hAnsiTheme="majorHAnsi"/>
                <w:color w:val="404040" w:themeColor="text1" w:themeTint="BF"/>
                <w:sz w:val="20"/>
                <w:szCs w:val="20"/>
              </w:rPr>
              <w:lastRenderedPageBreak/>
              <w:t xml:space="preserve">Bridge according to </w:t>
            </w:r>
            <w:hyperlink r:id="rId67" w:history="1">
              <w:r w:rsidR="00DB212D" w:rsidRPr="00DB212D">
                <w:rPr>
                  <w:rStyle w:val="Hyperlink"/>
                  <w:rFonts w:asciiTheme="majorHAnsi" w:hAnsiTheme="majorHAnsi"/>
                  <w:sz w:val="20"/>
                  <w:szCs w:val="20"/>
                </w:rPr>
                <w:t>POPP</w:t>
              </w:r>
            </w:hyperlink>
          </w:p>
        </w:tc>
        <w:tc>
          <w:tcPr>
            <w:tcW w:w="1510" w:type="pct"/>
          </w:tcPr>
          <w:p w14:paraId="626A4BD8" w14:textId="4271C8CF" w:rsidR="008A7E9A" w:rsidRPr="009534CA"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lastRenderedPageBreak/>
              <w:t xml:space="preserve">Final signed CDR uploaded </w:t>
            </w:r>
            <w:r w:rsidR="00DB212D">
              <w:rPr>
                <w:rFonts w:asciiTheme="majorHAnsi" w:hAnsiTheme="majorHAnsi"/>
                <w:color w:val="404040" w:themeColor="text1" w:themeTint="BF"/>
                <w:sz w:val="20"/>
                <w:szCs w:val="20"/>
              </w:rPr>
              <w:t xml:space="preserve">through the CDR Bridge according to </w:t>
            </w:r>
            <w:hyperlink r:id="rId68" w:history="1">
              <w:r w:rsidR="00DB212D" w:rsidRPr="00DB212D">
                <w:rPr>
                  <w:rStyle w:val="Hyperlink"/>
                  <w:rFonts w:asciiTheme="majorHAnsi" w:hAnsiTheme="majorHAnsi"/>
                  <w:sz w:val="20"/>
                  <w:szCs w:val="20"/>
                </w:rPr>
                <w:t>POPP</w:t>
              </w:r>
            </w:hyperlink>
            <w:r>
              <w:rPr>
                <w:rFonts w:asciiTheme="majorHAnsi" w:hAnsiTheme="majorHAnsi"/>
                <w:color w:val="404040" w:themeColor="text1" w:themeTint="BF"/>
                <w:sz w:val="20"/>
                <w:szCs w:val="20"/>
              </w:rPr>
              <w:t>.</w:t>
            </w:r>
          </w:p>
        </w:tc>
        <w:tc>
          <w:tcPr>
            <w:tcW w:w="1980" w:type="pct"/>
          </w:tcPr>
          <w:p w14:paraId="22EC7CB4" w14:textId="2DEC8360" w:rsidR="008A7E9A" w:rsidRPr="00D7789A" w:rsidRDefault="008A7E9A" w:rsidP="006A77CA">
            <w:pPr>
              <w:spacing w:before="100" w:beforeAutospacing="1" w:after="100" w:afterAutospacing="1"/>
              <w:rPr>
                <w:rFonts w:ascii="Cambria" w:eastAsia="Times New Roman" w:hAnsi="Cambria" w:cs="Times New Roman"/>
                <w:sz w:val="20"/>
                <w:szCs w:val="20"/>
              </w:rPr>
            </w:pPr>
            <w:r w:rsidRPr="00AC183D">
              <w:rPr>
                <w:rFonts w:ascii="Cambria" w:eastAsia="Times New Roman" w:hAnsi="Cambria" w:cs="Times New Roman"/>
                <w:color w:val="404040" w:themeColor="text1" w:themeTint="BF"/>
                <w:sz w:val="20"/>
                <w:szCs w:val="20"/>
              </w:rPr>
              <w:t>The final CDR must be signed by UNDP and implementing partner, confirming final project financial accounts and expenditures.</w:t>
            </w:r>
            <w:r w:rsidRPr="00AC183D">
              <w:rPr>
                <w:rFonts w:asciiTheme="majorHAnsi" w:hAnsiTheme="majorHAnsi"/>
                <w:color w:val="404040" w:themeColor="text1" w:themeTint="BF"/>
                <w:sz w:val="20"/>
                <w:szCs w:val="20"/>
              </w:rPr>
              <w:t xml:space="preserve">  </w:t>
            </w:r>
            <w:r>
              <w:rPr>
                <w:rFonts w:asciiTheme="majorHAnsi" w:hAnsiTheme="majorHAnsi"/>
                <w:color w:val="404040" w:themeColor="text1" w:themeTint="BF"/>
                <w:sz w:val="20"/>
                <w:szCs w:val="20"/>
              </w:rPr>
              <w:t xml:space="preserve">Supporting documentation </w:t>
            </w:r>
            <w:r w:rsidR="00DB212D">
              <w:rPr>
                <w:rFonts w:asciiTheme="majorHAnsi" w:hAnsiTheme="majorHAnsi"/>
                <w:color w:val="404040" w:themeColor="text1" w:themeTint="BF"/>
                <w:sz w:val="20"/>
                <w:szCs w:val="20"/>
              </w:rPr>
              <w:lastRenderedPageBreak/>
              <w:t xml:space="preserve">uploaded through the CDR Bridge according to </w:t>
            </w:r>
            <w:hyperlink r:id="rId69" w:history="1">
              <w:r w:rsidR="00DB212D" w:rsidRPr="00DB212D">
                <w:rPr>
                  <w:rStyle w:val="Hyperlink"/>
                  <w:rFonts w:asciiTheme="majorHAnsi" w:hAnsiTheme="majorHAnsi"/>
                  <w:sz w:val="20"/>
                  <w:szCs w:val="20"/>
                </w:rPr>
                <w:t>POPP</w:t>
              </w:r>
            </w:hyperlink>
          </w:p>
          <w:p w14:paraId="6578DA0F" w14:textId="77777777" w:rsidR="008A7E9A" w:rsidRPr="009534CA" w:rsidRDefault="008A7E9A" w:rsidP="006A77CA">
            <w:pPr>
              <w:rPr>
                <w:rFonts w:asciiTheme="majorHAnsi" w:hAnsiTheme="majorHAnsi"/>
                <w:color w:val="404040" w:themeColor="text1" w:themeTint="BF"/>
                <w:sz w:val="20"/>
                <w:szCs w:val="20"/>
              </w:rPr>
            </w:pPr>
          </w:p>
        </w:tc>
      </w:tr>
      <w:tr w:rsidR="00E5285F" w:rsidRPr="009534CA" w14:paraId="56716FC3" w14:textId="77777777" w:rsidTr="007464B7">
        <w:tc>
          <w:tcPr>
            <w:tcW w:w="275" w:type="pct"/>
            <w:vMerge w:val="restart"/>
          </w:tcPr>
          <w:p w14:paraId="1DFF11C4" w14:textId="77777777" w:rsidR="008A7E9A"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lastRenderedPageBreak/>
              <w:t>29</w:t>
            </w:r>
          </w:p>
          <w:p w14:paraId="5D593E67" w14:textId="77777777" w:rsidR="008A7E9A" w:rsidRDefault="008A7E9A" w:rsidP="006A77CA">
            <w:pPr>
              <w:rPr>
                <w:rFonts w:asciiTheme="majorHAnsi" w:hAnsiTheme="majorHAnsi"/>
                <w:color w:val="404040" w:themeColor="text1" w:themeTint="BF"/>
                <w:sz w:val="20"/>
                <w:szCs w:val="20"/>
              </w:rPr>
            </w:pPr>
          </w:p>
          <w:p w14:paraId="43BBEA15" w14:textId="77777777" w:rsidR="008A7E9A" w:rsidRDefault="008A7E9A" w:rsidP="006A77CA">
            <w:pPr>
              <w:rPr>
                <w:rFonts w:asciiTheme="majorHAnsi" w:hAnsiTheme="majorHAnsi"/>
                <w:color w:val="404040" w:themeColor="text1" w:themeTint="BF"/>
                <w:sz w:val="20"/>
                <w:szCs w:val="20"/>
              </w:rPr>
            </w:pPr>
          </w:p>
        </w:tc>
        <w:tc>
          <w:tcPr>
            <w:tcW w:w="1234" w:type="pct"/>
            <w:vMerge w:val="restart"/>
          </w:tcPr>
          <w:p w14:paraId="1B0FFA5A" w14:textId="77777777" w:rsidR="008A7E9A" w:rsidRPr="00B21999" w:rsidRDefault="008A7E9A" w:rsidP="006A77CA">
            <w:pPr>
              <w:rPr>
                <w:rFonts w:asciiTheme="majorHAnsi" w:hAnsiTheme="majorHAnsi"/>
                <w:color w:val="404040" w:themeColor="text1" w:themeTint="BF"/>
                <w:sz w:val="20"/>
                <w:szCs w:val="20"/>
              </w:rPr>
            </w:pPr>
            <w:r w:rsidRPr="00B21999">
              <w:rPr>
                <w:rFonts w:asciiTheme="majorHAnsi" w:hAnsiTheme="majorHAnsi"/>
                <w:color w:val="404040" w:themeColor="text1" w:themeTint="BF"/>
                <w:sz w:val="20"/>
                <w:szCs w:val="20"/>
              </w:rPr>
              <w:t>If cost sharing project, the unexpended balance has been agreed to the general ledger. (The Balances excludes Open Purchase Orders reflected in the Output Financials) AND (Excludes Outstanding Contribution Receivable to be collected from donor) if any.</w:t>
            </w:r>
          </w:p>
        </w:tc>
        <w:tc>
          <w:tcPr>
            <w:tcW w:w="1510" w:type="pct"/>
          </w:tcPr>
          <w:p w14:paraId="4F04168D" w14:textId="77777777" w:rsidR="008A7E9A" w:rsidRDefault="008A7E9A" w:rsidP="006A77CA">
            <w:pPr>
              <w:rPr>
                <w:rFonts w:asciiTheme="majorHAnsi" w:hAnsiTheme="majorHAnsi"/>
                <w:color w:val="404040" w:themeColor="text1" w:themeTint="BF"/>
                <w:sz w:val="20"/>
                <w:szCs w:val="20"/>
              </w:rPr>
            </w:pPr>
            <w:r w:rsidRPr="009534CA">
              <w:rPr>
                <w:rFonts w:asciiTheme="majorHAnsi" w:hAnsiTheme="majorHAnsi"/>
                <w:color w:val="404040" w:themeColor="text1" w:themeTint="BF"/>
                <w:sz w:val="20"/>
                <w:szCs w:val="20"/>
              </w:rPr>
              <w:t xml:space="preserve">Check </w:t>
            </w:r>
            <w:r>
              <w:rPr>
                <w:rFonts w:asciiTheme="majorHAnsi" w:hAnsiTheme="majorHAnsi"/>
                <w:color w:val="404040" w:themeColor="text1" w:themeTint="BF"/>
                <w:sz w:val="20"/>
                <w:szCs w:val="20"/>
              </w:rPr>
              <w:t>if any GL Cash Balance at Output - Fund - Donor</w:t>
            </w:r>
            <w:r w:rsidRPr="009534CA">
              <w:rPr>
                <w:rFonts w:asciiTheme="majorHAnsi" w:hAnsiTheme="majorHAnsi"/>
                <w:color w:val="404040" w:themeColor="text1" w:themeTint="BF"/>
                <w:sz w:val="20"/>
                <w:szCs w:val="20"/>
              </w:rPr>
              <w:t xml:space="preserve"> in “Project closure workbench”</w:t>
            </w:r>
          </w:p>
          <w:p w14:paraId="6AE2007A" w14:textId="77777777" w:rsidR="008A7E9A" w:rsidRDefault="008A7E9A" w:rsidP="006A77CA">
            <w:pPr>
              <w:rPr>
                <w:rFonts w:asciiTheme="majorHAnsi" w:hAnsiTheme="majorHAnsi"/>
                <w:color w:val="404040" w:themeColor="text1" w:themeTint="BF"/>
                <w:sz w:val="20"/>
                <w:szCs w:val="20"/>
              </w:rPr>
            </w:pPr>
          </w:p>
          <w:p w14:paraId="7B393FAE" w14:textId="77777777" w:rsidR="008A7E9A"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 xml:space="preserve">  -or-</w:t>
            </w:r>
          </w:p>
          <w:p w14:paraId="5E4CDDAF" w14:textId="77777777" w:rsidR="008A7E9A" w:rsidRPr="00480379" w:rsidRDefault="008A7E9A" w:rsidP="006A77CA">
            <w:pPr>
              <w:rPr>
                <w:rFonts w:asciiTheme="majorHAnsi" w:hAnsiTheme="majorHAnsi"/>
                <w:color w:val="404040" w:themeColor="text1" w:themeTint="BF"/>
                <w:sz w:val="20"/>
                <w:szCs w:val="20"/>
              </w:rPr>
            </w:pPr>
          </w:p>
          <w:p w14:paraId="45E17CEF" w14:textId="0F5324EC" w:rsidR="008A7E9A"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 xml:space="preserve">Run IPSAS Interim Donor Report or </w:t>
            </w:r>
            <w:bookmarkStart w:id="18" w:name="_Toc336257824"/>
            <w:r w:rsidRPr="00DA41E9">
              <w:rPr>
                <w:rFonts w:asciiTheme="majorHAnsi" w:hAnsiTheme="majorHAnsi"/>
                <w:color w:val="404040" w:themeColor="text1" w:themeTint="BF"/>
                <w:sz w:val="20"/>
                <w:szCs w:val="20"/>
              </w:rPr>
              <w:t>Cumulative Project Interim Financial Report (</w:t>
            </w:r>
            <w:hyperlink r:id="rId70" w:history="1">
              <w:r w:rsidRPr="00C91791">
                <w:rPr>
                  <w:rStyle w:val="Hyperlink"/>
                  <w:rFonts w:asciiTheme="majorHAnsi" w:hAnsiTheme="majorHAnsi"/>
                  <w:sz w:val="20"/>
                  <w:szCs w:val="20"/>
                </w:rPr>
                <w:t>CPFR</w:t>
              </w:r>
            </w:hyperlink>
            <w:r w:rsidRPr="00DA41E9">
              <w:rPr>
                <w:rFonts w:asciiTheme="majorHAnsi" w:hAnsiTheme="majorHAnsi"/>
                <w:color w:val="404040" w:themeColor="text1" w:themeTint="BF"/>
                <w:sz w:val="20"/>
                <w:szCs w:val="20"/>
              </w:rPr>
              <w:t>)</w:t>
            </w:r>
            <w:bookmarkEnd w:id="18"/>
          </w:p>
          <w:p w14:paraId="7682A80D" w14:textId="77777777" w:rsidR="008A7E9A" w:rsidRPr="00480379" w:rsidRDefault="008A7E9A" w:rsidP="006A77CA">
            <w:pPr>
              <w:rPr>
                <w:rFonts w:asciiTheme="majorHAnsi" w:hAnsiTheme="majorHAnsi"/>
                <w:color w:val="404040" w:themeColor="text1" w:themeTint="BF"/>
                <w:sz w:val="20"/>
                <w:szCs w:val="20"/>
              </w:rPr>
            </w:pPr>
          </w:p>
          <w:p w14:paraId="0D75E2A7" w14:textId="77777777" w:rsidR="008A7E9A"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 xml:space="preserve">  -or-</w:t>
            </w:r>
          </w:p>
          <w:p w14:paraId="7E84D1BE" w14:textId="77777777" w:rsidR="008A7E9A" w:rsidRPr="00480379" w:rsidRDefault="008A7E9A" w:rsidP="006A77CA">
            <w:pPr>
              <w:rPr>
                <w:rFonts w:asciiTheme="majorHAnsi" w:hAnsiTheme="majorHAnsi"/>
                <w:color w:val="404040" w:themeColor="text1" w:themeTint="BF"/>
                <w:sz w:val="20"/>
                <w:szCs w:val="20"/>
              </w:rPr>
            </w:pPr>
          </w:p>
          <w:p w14:paraId="486F6540" w14:textId="77777777" w:rsidR="008A7E9A"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Run AAA Report</w:t>
            </w:r>
          </w:p>
          <w:p w14:paraId="748C3292" w14:textId="77777777" w:rsidR="008A7E9A" w:rsidRDefault="008A7E9A" w:rsidP="006A77CA">
            <w:pPr>
              <w:rPr>
                <w:rFonts w:asciiTheme="majorHAnsi" w:hAnsiTheme="majorHAnsi"/>
                <w:color w:val="404040" w:themeColor="text1" w:themeTint="BF"/>
                <w:sz w:val="20"/>
                <w:szCs w:val="20"/>
              </w:rPr>
            </w:pPr>
          </w:p>
          <w:p w14:paraId="417D0193" w14:textId="77777777" w:rsidR="008A7E9A" w:rsidRDefault="008A7E9A" w:rsidP="00990C1F">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 xml:space="preserve">  -or-</w:t>
            </w:r>
          </w:p>
          <w:p w14:paraId="73B24C06" w14:textId="77777777" w:rsidR="008A7E9A" w:rsidRPr="00480379" w:rsidRDefault="008A7E9A" w:rsidP="00990C1F">
            <w:pPr>
              <w:rPr>
                <w:rFonts w:asciiTheme="majorHAnsi" w:hAnsiTheme="majorHAnsi"/>
                <w:color w:val="404040" w:themeColor="text1" w:themeTint="BF"/>
                <w:sz w:val="20"/>
                <w:szCs w:val="20"/>
              </w:rPr>
            </w:pPr>
          </w:p>
          <w:p w14:paraId="1A1B8A67" w14:textId="615D3DF4" w:rsidR="008A7E9A" w:rsidRPr="00AE2690" w:rsidRDefault="008A7E9A" w:rsidP="00990C1F">
            <w:pPr>
              <w:rPr>
                <w:rFonts w:asciiTheme="majorHAnsi" w:hAnsiTheme="majorHAnsi"/>
                <w:color w:val="404040" w:themeColor="text1" w:themeTint="BF"/>
                <w:sz w:val="20"/>
                <w:szCs w:val="20"/>
              </w:rPr>
            </w:pPr>
            <w:r w:rsidRPr="00AE2690">
              <w:rPr>
                <w:rFonts w:asciiTheme="majorHAnsi" w:hAnsiTheme="majorHAnsi"/>
                <w:color w:val="404040" w:themeColor="text1" w:themeTint="BF"/>
                <w:sz w:val="20"/>
                <w:szCs w:val="20"/>
              </w:rPr>
              <w:t>Run Atlas Query OF</w:t>
            </w:r>
            <w:r w:rsidR="00CD5A74">
              <w:rPr>
                <w:rFonts w:asciiTheme="majorHAnsi" w:hAnsiTheme="majorHAnsi"/>
                <w:color w:val="404040" w:themeColor="text1" w:themeTint="BF"/>
                <w:sz w:val="20"/>
                <w:szCs w:val="20"/>
              </w:rPr>
              <w:t>R</w:t>
            </w:r>
            <w:r w:rsidRPr="00AE2690">
              <w:rPr>
                <w:rFonts w:asciiTheme="majorHAnsi" w:hAnsiTheme="majorHAnsi"/>
                <w:color w:val="404040" w:themeColor="text1" w:themeTint="BF"/>
                <w:sz w:val="20"/>
                <w:szCs w:val="20"/>
              </w:rPr>
              <w:t>M_FND_PRJ_CLOSURE_COA_DTL</w:t>
            </w:r>
          </w:p>
          <w:p w14:paraId="2D994D96" w14:textId="77777777" w:rsidR="008A7E9A" w:rsidRPr="00AE2690" w:rsidRDefault="008A7E9A" w:rsidP="00990C1F">
            <w:pPr>
              <w:rPr>
                <w:rFonts w:asciiTheme="majorHAnsi" w:hAnsiTheme="majorHAnsi"/>
                <w:color w:val="404040" w:themeColor="text1" w:themeTint="BF"/>
                <w:sz w:val="20"/>
                <w:szCs w:val="20"/>
              </w:rPr>
            </w:pPr>
          </w:p>
          <w:p w14:paraId="6D4247DC" w14:textId="511E9E7E" w:rsidR="008A7E9A" w:rsidRPr="009534CA" w:rsidRDefault="008A7E9A" w:rsidP="00990C1F">
            <w:pPr>
              <w:rPr>
                <w:rFonts w:asciiTheme="majorHAnsi" w:hAnsiTheme="majorHAnsi"/>
                <w:color w:val="404040" w:themeColor="text1" w:themeTint="BF"/>
                <w:sz w:val="20"/>
                <w:szCs w:val="20"/>
              </w:rPr>
            </w:pPr>
            <w:r w:rsidRPr="00AE2690">
              <w:rPr>
                <w:rFonts w:asciiTheme="majorHAnsi" w:hAnsiTheme="majorHAnsi"/>
                <w:color w:val="404040" w:themeColor="text1" w:themeTint="BF"/>
                <w:sz w:val="20"/>
                <w:szCs w:val="20"/>
              </w:rPr>
              <w:t>Run Atlas Query OF</w:t>
            </w:r>
            <w:r w:rsidR="00CD5A74">
              <w:rPr>
                <w:rFonts w:asciiTheme="majorHAnsi" w:hAnsiTheme="majorHAnsi"/>
                <w:color w:val="404040" w:themeColor="text1" w:themeTint="BF"/>
                <w:sz w:val="20"/>
                <w:szCs w:val="20"/>
              </w:rPr>
              <w:t>R</w:t>
            </w:r>
            <w:r w:rsidRPr="00AE2690">
              <w:rPr>
                <w:rFonts w:asciiTheme="majorHAnsi" w:hAnsiTheme="majorHAnsi"/>
                <w:color w:val="404040" w:themeColor="text1" w:themeTint="BF"/>
                <w:sz w:val="20"/>
                <w:szCs w:val="20"/>
              </w:rPr>
              <w:t>M_FND_PRJ_CLOSURE_BALANCE</w:t>
            </w:r>
          </w:p>
        </w:tc>
        <w:tc>
          <w:tcPr>
            <w:tcW w:w="1980" w:type="pct"/>
          </w:tcPr>
          <w:p w14:paraId="22CBB0FE" w14:textId="77777777" w:rsidR="008A7E9A"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 xml:space="preserve">Ensure no Open PO and no Outstanding Contribution Receivable prior to check GL Cash Balance. </w:t>
            </w:r>
          </w:p>
          <w:p w14:paraId="7B51D3AA" w14:textId="77777777" w:rsidR="008A7E9A" w:rsidRPr="00E45C26" w:rsidRDefault="008A7E9A" w:rsidP="009A77F5">
            <w:pPr>
              <w:pStyle w:val="ListParagraph"/>
              <w:numPr>
                <w:ilvl w:val="0"/>
                <w:numId w:val="14"/>
              </w:numPr>
              <w:rPr>
                <w:rFonts w:asciiTheme="majorHAnsi" w:hAnsiTheme="majorHAnsi"/>
                <w:color w:val="404040" w:themeColor="text1" w:themeTint="BF"/>
                <w:sz w:val="20"/>
                <w:szCs w:val="20"/>
              </w:rPr>
            </w:pPr>
            <w:r w:rsidRPr="00E45C26">
              <w:rPr>
                <w:rFonts w:asciiTheme="majorHAnsi" w:hAnsiTheme="majorHAnsi"/>
                <w:color w:val="404040" w:themeColor="text1" w:themeTint="BF"/>
                <w:sz w:val="20"/>
                <w:szCs w:val="20"/>
              </w:rPr>
              <w:t>If</w:t>
            </w:r>
            <w:r>
              <w:rPr>
                <w:rFonts w:asciiTheme="majorHAnsi" w:hAnsiTheme="majorHAnsi"/>
                <w:color w:val="404040" w:themeColor="text1" w:themeTint="BF"/>
                <w:sz w:val="20"/>
                <w:szCs w:val="20"/>
              </w:rPr>
              <w:t xml:space="preserve"> any</w:t>
            </w:r>
            <w:r w:rsidRPr="00E45C26">
              <w:rPr>
                <w:rFonts w:asciiTheme="majorHAnsi" w:hAnsiTheme="majorHAnsi"/>
                <w:color w:val="404040" w:themeColor="text1" w:themeTint="BF"/>
                <w:sz w:val="20"/>
                <w:szCs w:val="20"/>
              </w:rPr>
              <w:t xml:space="preserve"> deficit balance, please reverse expenses to resolve the deficit.</w:t>
            </w:r>
          </w:p>
          <w:p w14:paraId="0D322755" w14:textId="77777777" w:rsidR="008A7E9A" w:rsidRPr="00E45C26" w:rsidRDefault="008A7E9A" w:rsidP="009A77F5">
            <w:pPr>
              <w:pStyle w:val="ListParagraph"/>
              <w:numPr>
                <w:ilvl w:val="0"/>
                <w:numId w:val="14"/>
              </w:numPr>
              <w:rPr>
                <w:rFonts w:asciiTheme="majorHAnsi" w:hAnsiTheme="majorHAnsi"/>
                <w:color w:val="404040" w:themeColor="text1" w:themeTint="BF"/>
                <w:sz w:val="20"/>
                <w:szCs w:val="20"/>
              </w:rPr>
            </w:pPr>
            <w:r w:rsidRPr="00E45C26">
              <w:rPr>
                <w:rFonts w:asciiTheme="majorHAnsi" w:hAnsiTheme="majorHAnsi"/>
                <w:color w:val="404040" w:themeColor="text1" w:themeTint="BF"/>
                <w:sz w:val="20"/>
                <w:szCs w:val="20"/>
              </w:rPr>
              <w:t>If GL Cash Balance is between $</w:t>
            </w:r>
            <w:r>
              <w:rPr>
                <w:rFonts w:asciiTheme="majorHAnsi" w:hAnsiTheme="majorHAnsi"/>
                <w:color w:val="404040" w:themeColor="text1" w:themeTint="BF"/>
                <w:sz w:val="20"/>
                <w:szCs w:val="20"/>
              </w:rPr>
              <w:t>-0.04</w:t>
            </w:r>
            <w:r w:rsidRPr="00E45C26">
              <w:rPr>
                <w:rFonts w:asciiTheme="majorHAnsi" w:hAnsiTheme="majorHAnsi"/>
                <w:color w:val="404040" w:themeColor="text1" w:themeTint="BF"/>
                <w:sz w:val="20"/>
                <w:szCs w:val="20"/>
              </w:rPr>
              <w:t xml:space="preserve"> </w:t>
            </w:r>
            <w:r>
              <w:rPr>
                <w:rFonts w:asciiTheme="majorHAnsi" w:hAnsiTheme="majorHAnsi"/>
                <w:color w:val="404040" w:themeColor="text1" w:themeTint="BF"/>
                <w:sz w:val="20"/>
                <w:szCs w:val="20"/>
              </w:rPr>
              <w:t>and</w:t>
            </w:r>
            <w:r w:rsidRPr="00E45C26">
              <w:rPr>
                <w:rFonts w:asciiTheme="majorHAnsi" w:hAnsiTheme="majorHAnsi"/>
                <w:color w:val="404040" w:themeColor="text1" w:themeTint="BF"/>
                <w:sz w:val="20"/>
                <w:szCs w:val="20"/>
              </w:rPr>
              <w:t xml:space="preserve"> $0.04, balance will be rounded up to $0 with no decimal points</w:t>
            </w:r>
            <w:r>
              <w:rPr>
                <w:rFonts w:asciiTheme="majorHAnsi" w:hAnsiTheme="majorHAnsi"/>
                <w:color w:val="404040" w:themeColor="text1" w:themeTint="BF"/>
                <w:sz w:val="20"/>
                <w:szCs w:val="20"/>
              </w:rPr>
              <w:t xml:space="preserve"> in UNDP Financial Statement</w:t>
            </w:r>
            <w:r w:rsidRPr="00E45C26">
              <w:rPr>
                <w:rFonts w:asciiTheme="majorHAnsi" w:hAnsiTheme="majorHAnsi"/>
                <w:color w:val="404040" w:themeColor="text1" w:themeTint="BF"/>
                <w:sz w:val="20"/>
                <w:szCs w:val="20"/>
              </w:rPr>
              <w:t>. Output can be financially closed.</w:t>
            </w:r>
          </w:p>
          <w:p w14:paraId="581BA40C" w14:textId="581854A8" w:rsidR="008A7E9A" w:rsidRPr="00E45C26" w:rsidRDefault="008A7E9A" w:rsidP="009A77F5">
            <w:pPr>
              <w:pStyle w:val="ListParagraph"/>
              <w:numPr>
                <w:ilvl w:val="0"/>
                <w:numId w:val="14"/>
              </w:numPr>
              <w:rPr>
                <w:rFonts w:asciiTheme="majorHAnsi" w:hAnsiTheme="majorHAnsi"/>
                <w:color w:val="404040" w:themeColor="text1" w:themeTint="BF"/>
                <w:sz w:val="20"/>
                <w:szCs w:val="20"/>
              </w:rPr>
            </w:pPr>
            <w:r w:rsidRPr="00E45C26">
              <w:rPr>
                <w:rFonts w:asciiTheme="majorHAnsi" w:hAnsiTheme="majorHAnsi"/>
                <w:color w:val="404040" w:themeColor="text1" w:themeTint="BF"/>
                <w:sz w:val="20"/>
                <w:szCs w:val="20"/>
              </w:rPr>
              <w:t xml:space="preserve">If </w:t>
            </w:r>
            <w:r>
              <w:rPr>
                <w:rFonts w:asciiTheme="majorHAnsi" w:hAnsiTheme="majorHAnsi"/>
                <w:color w:val="404040" w:themeColor="text1" w:themeTint="BF"/>
                <w:sz w:val="20"/>
                <w:szCs w:val="20"/>
              </w:rPr>
              <w:t>any</w:t>
            </w:r>
            <w:r w:rsidRPr="00E45C26">
              <w:rPr>
                <w:rFonts w:asciiTheme="majorHAnsi" w:hAnsiTheme="majorHAnsi"/>
                <w:color w:val="404040" w:themeColor="text1" w:themeTint="BF"/>
                <w:sz w:val="20"/>
                <w:szCs w:val="20"/>
              </w:rPr>
              <w:t xml:space="preserve"> balance at blank donor</w:t>
            </w:r>
            <w:r>
              <w:rPr>
                <w:rFonts w:asciiTheme="majorHAnsi" w:hAnsiTheme="majorHAnsi"/>
                <w:color w:val="404040" w:themeColor="text1" w:themeTint="BF"/>
                <w:sz w:val="20"/>
                <w:szCs w:val="20"/>
              </w:rPr>
              <w:t xml:space="preserve"> is due to the balance under OU H17 - Agency Advance account 16015, please contact </w:t>
            </w:r>
            <w:r w:rsidR="002A5CF0">
              <w:rPr>
                <w:rFonts w:asciiTheme="majorHAnsi" w:hAnsiTheme="majorHAnsi"/>
                <w:color w:val="404040" w:themeColor="text1" w:themeTint="BF"/>
                <w:sz w:val="20"/>
                <w:szCs w:val="20"/>
              </w:rPr>
              <w:t>GSSU AGENCIES</w:t>
            </w:r>
            <w:r>
              <w:t xml:space="preserve"> </w:t>
            </w:r>
            <w:r w:rsidRPr="00913F0A">
              <w:rPr>
                <w:color w:val="404040" w:themeColor="text1" w:themeTint="BF"/>
              </w:rPr>
              <w:t>&lt;</w:t>
            </w:r>
            <w:hyperlink r:id="rId71" w:history="1">
              <w:r w:rsidR="002A5CF0">
                <w:rPr>
                  <w:rStyle w:val="Hyperlink"/>
                  <w:color w:val="404040" w:themeColor="text1" w:themeTint="BF"/>
                </w:rPr>
                <w:t>gssu.agencies@undp.org</w:t>
              </w:r>
            </w:hyperlink>
            <w:r w:rsidRPr="00913F0A">
              <w:rPr>
                <w:color w:val="404040" w:themeColor="text1" w:themeTint="BF"/>
              </w:rPr>
              <w:t xml:space="preserve">&gt; </w:t>
            </w:r>
            <w:r>
              <w:rPr>
                <w:rFonts w:asciiTheme="majorHAnsi" w:hAnsiTheme="majorHAnsi"/>
                <w:color w:val="404040" w:themeColor="text1" w:themeTint="BF"/>
                <w:sz w:val="20"/>
                <w:szCs w:val="20"/>
              </w:rPr>
              <w:t>requesting their support to clear the balance</w:t>
            </w:r>
            <w:r w:rsidRPr="001D225B">
              <w:rPr>
                <w:rFonts w:asciiTheme="majorHAnsi" w:hAnsiTheme="majorHAnsi"/>
                <w:color w:val="404040" w:themeColor="text1" w:themeTint="BF"/>
                <w:sz w:val="20"/>
                <w:szCs w:val="20"/>
              </w:rPr>
              <w:t>. It is the agency advance using PDR which is centrally managed by HQ</w:t>
            </w:r>
            <w:r>
              <w:rPr>
                <w:rFonts w:asciiTheme="majorHAnsi" w:hAnsiTheme="majorHAnsi"/>
                <w:color w:val="404040" w:themeColor="text1" w:themeTint="BF"/>
                <w:sz w:val="20"/>
                <w:szCs w:val="20"/>
              </w:rPr>
              <w:t xml:space="preserve">. Please ensure that balance under Account 16015 – your OU – all Outputs is nil. </w:t>
            </w:r>
          </w:p>
          <w:p w14:paraId="377134BB" w14:textId="77777777" w:rsidR="008A7E9A" w:rsidRDefault="008A7E9A" w:rsidP="006A77CA">
            <w:pPr>
              <w:rPr>
                <w:rFonts w:asciiTheme="majorHAnsi" w:hAnsiTheme="majorHAnsi"/>
                <w:color w:val="404040" w:themeColor="text1" w:themeTint="BF"/>
                <w:sz w:val="20"/>
                <w:szCs w:val="20"/>
              </w:rPr>
            </w:pPr>
          </w:p>
          <w:p w14:paraId="055DE748" w14:textId="637033E2" w:rsidR="008A7E9A" w:rsidRDefault="008A7E9A" w:rsidP="006A77CA">
            <w:pPr>
              <w:rPr>
                <w:rFonts w:asciiTheme="majorHAnsi" w:hAnsiTheme="majorHAnsi"/>
                <w:color w:val="404040" w:themeColor="text1" w:themeTint="BF"/>
                <w:sz w:val="20"/>
                <w:szCs w:val="20"/>
              </w:rPr>
            </w:pPr>
            <w:r w:rsidRPr="006E4BA6">
              <w:rPr>
                <w:rFonts w:asciiTheme="majorHAnsi" w:hAnsiTheme="majorHAnsi"/>
                <w:color w:val="404040" w:themeColor="text1" w:themeTint="BF"/>
                <w:sz w:val="20"/>
                <w:szCs w:val="20"/>
              </w:rPr>
              <w:t xml:space="preserve">If KK balance is different from GL balance, </w:t>
            </w:r>
            <w:r>
              <w:rPr>
                <w:rFonts w:asciiTheme="majorHAnsi" w:hAnsiTheme="majorHAnsi"/>
                <w:color w:val="404040" w:themeColor="text1" w:themeTint="BF"/>
                <w:sz w:val="20"/>
                <w:szCs w:val="20"/>
              </w:rPr>
              <w:t xml:space="preserve">please review the difference by following the guidance on </w:t>
            </w:r>
            <w:hyperlink r:id="rId72" w:history="1">
              <w:r w:rsidRPr="0092201B">
                <w:rPr>
                  <w:rStyle w:val="Hyperlink"/>
                  <w:rFonts w:asciiTheme="majorHAnsi" w:hAnsiTheme="majorHAnsi"/>
                  <w:sz w:val="20"/>
                  <w:szCs w:val="20"/>
                </w:rPr>
                <w:t>KK vs GL Balance Reconciliation Steps</w:t>
              </w:r>
            </w:hyperlink>
            <w:r>
              <w:rPr>
                <w:rFonts w:asciiTheme="majorHAnsi" w:hAnsiTheme="majorHAnsi"/>
                <w:color w:val="404040" w:themeColor="text1" w:themeTint="BF"/>
                <w:sz w:val="20"/>
                <w:szCs w:val="20"/>
              </w:rPr>
              <w:t xml:space="preserve"> (</w:t>
            </w:r>
            <w:r w:rsidR="00970C72">
              <w:rPr>
                <w:rFonts w:asciiTheme="majorHAnsi" w:hAnsiTheme="majorHAnsi"/>
                <w:b/>
                <w:bCs/>
                <w:color w:val="404040" w:themeColor="text1" w:themeTint="BF"/>
                <w:sz w:val="20"/>
                <w:szCs w:val="20"/>
              </w:rPr>
              <w:t>Annex 4</w:t>
            </w:r>
            <w:r>
              <w:rPr>
                <w:rFonts w:asciiTheme="majorHAnsi" w:hAnsiTheme="majorHAnsi"/>
                <w:color w:val="404040" w:themeColor="text1" w:themeTint="BF"/>
                <w:sz w:val="20"/>
                <w:szCs w:val="20"/>
              </w:rPr>
              <w:t xml:space="preserve">). If the discrepancy is due to an error posted in the particular transaction, please take corrective actions.  If the correction requires HQ support, please contact </w:t>
            </w:r>
            <w:hyperlink r:id="rId73" w:history="1">
              <w:r w:rsidRPr="00913F0A">
                <w:rPr>
                  <w:rStyle w:val="Hyperlink"/>
                  <w:rFonts w:asciiTheme="majorHAnsi" w:hAnsiTheme="majorHAnsi"/>
                  <w:color w:val="404040" w:themeColor="text1" w:themeTint="BF"/>
                  <w:sz w:val="20"/>
                  <w:szCs w:val="20"/>
                </w:rPr>
                <w:t>fba.all@undp.org</w:t>
              </w:r>
            </w:hyperlink>
            <w:r>
              <w:rPr>
                <w:rFonts w:asciiTheme="majorHAnsi" w:hAnsiTheme="majorHAnsi"/>
                <w:color w:val="404040" w:themeColor="text1" w:themeTint="BF"/>
                <w:sz w:val="20"/>
                <w:szCs w:val="20"/>
              </w:rPr>
              <w:t xml:space="preserve"> providing your analysis with supporting reports. </w:t>
            </w:r>
          </w:p>
          <w:p w14:paraId="0D00B1A5" w14:textId="74CD5C61" w:rsidR="008A7E9A" w:rsidRPr="006E4BA6"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lastRenderedPageBreak/>
              <w:t xml:space="preserve">In most of the case, GL balance is accurate, thus </w:t>
            </w:r>
            <w:r w:rsidRPr="006E4BA6">
              <w:rPr>
                <w:rFonts w:asciiTheme="majorHAnsi" w:hAnsiTheme="majorHAnsi"/>
                <w:color w:val="404040" w:themeColor="text1" w:themeTint="BF"/>
                <w:sz w:val="20"/>
                <w:szCs w:val="20"/>
              </w:rPr>
              <w:t>please use GL balance.</w:t>
            </w:r>
          </w:p>
          <w:p w14:paraId="6EABB3E5" w14:textId="77777777" w:rsidR="008A7E9A" w:rsidRDefault="008A7E9A" w:rsidP="009A77F5">
            <w:pPr>
              <w:pStyle w:val="ListParagraph"/>
              <w:numPr>
                <w:ilvl w:val="0"/>
                <w:numId w:val="15"/>
              </w:num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If the unspent balance should be utilized/expensed and not refund to donor,</w:t>
            </w:r>
          </w:p>
          <w:p w14:paraId="4C2157CB" w14:textId="77777777" w:rsidR="008A7E9A" w:rsidRDefault="008A7E9A" w:rsidP="009A77F5">
            <w:pPr>
              <w:pStyle w:val="ListParagraph"/>
              <w:numPr>
                <w:ilvl w:val="1"/>
                <w:numId w:val="16"/>
              </w:num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 xml:space="preserve">If KK balance is </w:t>
            </w:r>
            <w:r w:rsidRPr="00E1038D">
              <w:rPr>
                <w:rFonts w:asciiTheme="majorHAnsi" w:hAnsiTheme="majorHAnsi"/>
                <w:i/>
                <w:iCs/>
                <w:color w:val="404040" w:themeColor="text1" w:themeTint="BF"/>
                <w:sz w:val="20"/>
                <w:szCs w:val="20"/>
              </w:rPr>
              <w:t>lower</w:t>
            </w:r>
            <w:r>
              <w:rPr>
                <w:rFonts w:asciiTheme="majorHAnsi" w:hAnsiTheme="majorHAnsi"/>
                <w:color w:val="404040" w:themeColor="text1" w:themeTint="BF"/>
                <w:sz w:val="20"/>
                <w:szCs w:val="20"/>
              </w:rPr>
              <w:t xml:space="preserve"> than GL balance, please contact </w:t>
            </w:r>
            <w:hyperlink r:id="rId74" w:history="1">
              <w:r w:rsidRPr="00913F0A">
                <w:rPr>
                  <w:rStyle w:val="Hyperlink"/>
                  <w:rFonts w:asciiTheme="majorHAnsi" w:hAnsiTheme="majorHAnsi"/>
                  <w:color w:val="404040" w:themeColor="text1" w:themeTint="BF"/>
                  <w:sz w:val="20"/>
                  <w:szCs w:val="20"/>
                </w:rPr>
                <w:t>FBA.All@undp.org</w:t>
              </w:r>
            </w:hyperlink>
            <w:r w:rsidRPr="00913F0A">
              <w:rPr>
                <w:rFonts w:asciiTheme="majorHAnsi" w:hAnsiTheme="majorHAnsi"/>
                <w:color w:val="404040" w:themeColor="text1" w:themeTint="BF"/>
                <w:sz w:val="20"/>
                <w:szCs w:val="20"/>
              </w:rPr>
              <w:t xml:space="preserve"> </w:t>
            </w:r>
            <w:r>
              <w:rPr>
                <w:rFonts w:asciiTheme="majorHAnsi" w:hAnsiTheme="majorHAnsi"/>
                <w:color w:val="404040" w:themeColor="text1" w:themeTint="BF"/>
                <w:sz w:val="20"/>
                <w:szCs w:val="20"/>
              </w:rPr>
              <w:t>to adjust KK balance by providing the analysis and the problematic transaction details (Run AAA report) e.g. any GLJE bypassing budget checking, backdate of any transaction across years or 2011 POs closed in year 2012.</w:t>
            </w:r>
          </w:p>
          <w:p w14:paraId="3631ED79" w14:textId="77777777" w:rsidR="008A7E9A" w:rsidRDefault="008A7E9A" w:rsidP="009A77F5">
            <w:pPr>
              <w:pStyle w:val="ListParagraph"/>
              <w:numPr>
                <w:ilvl w:val="1"/>
                <w:numId w:val="16"/>
              </w:num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 xml:space="preserve">If KK balance is </w:t>
            </w:r>
            <w:r w:rsidRPr="00E1038D">
              <w:rPr>
                <w:rFonts w:asciiTheme="majorHAnsi" w:hAnsiTheme="majorHAnsi"/>
                <w:i/>
                <w:iCs/>
                <w:color w:val="404040" w:themeColor="text1" w:themeTint="BF"/>
                <w:sz w:val="20"/>
                <w:szCs w:val="20"/>
              </w:rPr>
              <w:t>higher</w:t>
            </w:r>
            <w:r>
              <w:rPr>
                <w:rFonts w:asciiTheme="majorHAnsi" w:hAnsiTheme="majorHAnsi"/>
                <w:color w:val="404040" w:themeColor="text1" w:themeTint="BF"/>
                <w:sz w:val="20"/>
                <w:szCs w:val="20"/>
              </w:rPr>
              <w:t xml:space="preserve"> than GL balance, there is no need to adjust KK balance. Please utilize/expense the balance up to the amount per GL balance. Otherwise, project will run into deficit per GL balance. The over-stated KK balance can be left as is.</w:t>
            </w:r>
          </w:p>
          <w:p w14:paraId="347015EC" w14:textId="41E97C2F" w:rsidR="008A7E9A" w:rsidRDefault="008A7E9A" w:rsidP="009A77F5">
            <w:pPr>
              <w:pStyle w:val="ListParagraph"/>
              <w:numPr>
                <w:ilvl w:val="0"/>
                <w:numId w:val="15"/>
              </w:num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If the unspent balance should be refund to donor</w:t>
            </w:r>
            <w:r w:rsidR="00204178">
              <w:rPr>
                <w:rFonts w:asciiTheme="majorHAnsi" w:hAnsiTheme="majorHAnsi"/>
                <w:color w:val="404040" w:themeColor="text1" w:themeTint="BF"/>
                <w:sz w:val="20"/>
                <w:szCs w:val="20"/>
              </w:rPr>
              <w:t xml:space="preserve"> </w:t>
            </w:r>
            <w:r w:rsidR="00204178" w:rsidRPr="00204178">
              <w:rPr>
                <w:rFonts w:asciiTheme="majorHAnsi" w:hAnsiTheme="majorHAnsi"/>
                <w:color w:val="404040" w:themeColor="text1" w:themeTint="BF"/>
                <w:sz w:val="20"/>
                <w:szCs w:val="20"/>
              </w:rPr>
              <w:t>(</w:t>
            </w:r>
            <w:hyperlink r:id="rId75" w:history="1">
              <w:r w:rsidR="00204178" w:rsidRPr="00204178">
                <w:rPr>
                  <w:rStyle w:val="Hyperlink"/>
                  <w:rFonts w:asciiTheme="majorHAnsi" w:hAnsiTheme="majorHAnsi"/>
                  <w:sz w:val="20"/>
                  <w:szCs w:val="20"/>
                </w:rPr>
                <w:t>POPP Refund to Donor</w:t>
              </w:r>
            </w:hyperlink>
            <w:r w:rsidR="00204178" w:rsidRPr="00204178">
              <w:rPr>
                <w:rFonts w:asciiTheme="majorHAnsi" w:hAnsiTheme="majorHAnsi"/>
                <w:color w:val="404040" w:themeColor="text1" w:themeTint="BF"/>
                <w:sz w:val="20"/>
                <w:szCs w:val="20"/>
              </w:rPr>
              <w:t>)</w:t>
            </w:r>
            <w:r>
              <w:rPr>
                <w:rFonts w:asciiTheme="majorHAnsi" w:hAnsiTheme="majorHAnsi"/>
                <w:color w:val="404040" w:themeColor="text1" w:themeTint="BF"/>
                <w:sz w:val="20"/>
                <w:szCs w:val="20"/>
              </w:rPr>
              <w:t xml:space="preserve">, or moved to </w:t>
            </w:r>
            <w:hyperlink r:id="rId76" w:history="1">
              <w:r w:rsidR="00204178" w:rsidRPr="00204178">
                <w:rPr>
                  <w:rStyle w:val="Hyperlink"/>
                  <w:rFonts w:asciiTheme="majorHAnsi" w:hAnsiTheme="majorHAnsi"/>
                  <w:sz w:val="20"/>
                  <w:szCs w:val="20"/>
                </w:rPr>
                <w:t>11888</w:t>
              </w:r>
            </w:hyperlink>
            <w:r>
              <w:rPr>
                <w:rFonts w:asciiTheme="majorHAnsi" w:hAnsiTheme="majorHAnsi"/>
                <w:color w:val="404040" w:themeColor="text1" w:themeTint="BF"/>
                <w:sz w:val="20"/>
                <w:szCs w:val="20"/>
              </w:rPr>
              <w:t>/corporate miscellaneous fund 00001/corporate EU reserve, there is no need to adjust KK balance because the revenue can be transferred out without budget error.</w:t>
            </w:r>
          </w:p>
          <w:p w14:paraId="4B05C5D7" w14:textId="77777777" w:rsidR="008A7E9A" w:rsidRDefault="008A7E9A" w:rsidP="006A77CA">
            <w:pPr>
              <w:rPr>
                <w:rFonts w:asciiTheme="majorHAnsi" w:hAnsiTheme="majorHAnsi"/>
                <w:color w:val="404040" w:themeColor="text1" w:themeTint="BF"/>
                <w:sz w:val="20"/>
                <w:szCs w:val="20"/>
              </w:rPr>
            </w:pPr>
          </w:p>
          <w:p w14:paraId="3783B168" w14:textId="77777777" w:rsidR="008A7E9A"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lastRenderedPageBreak/>
              <w:t xml:space="preserve">If it is Trust Fund (not Cost sharing), </w:t>
            </w:r>
          </w:p>
          <w:p w14:paraId="5239B6A0" w14:textId="67518120" w:rsidR="008A7E9A" w:rsidRPr="002D7C29" w:rsidRDefault="008A7E9A" w:rsidP="009A77F5">
            <w:pPr>
              <w:pStyle w:val="ListParagraph"/>
              <w:numPr>
                <w:ilvl w:val="0"/>
                <w:numId w:val="17"/>
              </w:num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Allocation-controlled (ASL): no need to check cash balance</w:t>
            </w:r>
            <w:r w:rsidR="00204178">
              <w:rPr>
                <w:rFonts w:asciiTheme="majorHAnsi" w:hAnsiTheme="majorHAnsi"/>
                <w:color w:val="404040" w:themeColor="text1" w:themeTint="BF"/>
                <w:sz w:val="20"/>
                <w:szCs w:val="20"/>
              </w:rPr>
              <w:t xml:space="preserve"> </w:t>
            </w:r>
            <w:r w:rsidR="00204178" w:rsidRPr="00204178">
              <w:rPr>
                <w:rFonts w:asciiTheme="majorHAnsi" w:hAnsiTheme="majorHAnsi"/>
                <w:color w:val="404040" w:themeColor="text1" w:themeTint="BF"/>
                <w:sz w:val="20"/>
                <w:szCs w:val="20"/>
              </w:rPr>
              <w:t>in General Ledger</w:t>
            </w:r>
            <w:r>
              <w:rPr>
                <w:rFonts w:asciiTheme="majorHAnsi" w:hAnsiTheme="majorHAnsi"/>
                <w:color w:val="404040" w:themeColor="text1" w:themeTint="BF"/>
                <w:sz w:val="20"/>
                <w:szCs w:val="20"/>
              </w:rPr>
              <w:t>.</w:t>
            </w:r>
          </w:p>
          <w:p w14:paraId="0B1FFBC8" w14:textId="1FC3C4F3" w:rsidR="008A7E9A" w:rsidRPr="002D7C29" w:rsidRDefault="008A7E9A" w:rsidP="009A77F5">
            <w:pPr>
              <w:pStyle w:val="ListParagraph"/>
              <w:numPr>
                <w:ilvl w:val="0"/>
                <w:numId w:val="17"/>
              </w:num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 xml:space="preserve">Cash-controlled: </w:t>
            </w:r>
            <w:r w:rsidR="00204178" w:rsidRPr="00204178">
              <w:rPr>
                <w:rFonts w:asciiTheme="majorHAnsi" w:hAnsiTheme="majorHAnsi"/>
                <w:color w:val="404040" w:themeColor="text1" w:themeTint="BF"/>
                <w:sz w:val="20"/>
                <w:szCs w:val="20"/>
              </w:rPr>
              <w:t>the balance between general ledger (GL) should be the same as KK balance</w:t>
            </w:r>
            <w:r w:rsidR="00204178">
              <w:rPr>
                <w:rFonts w:asciiTheme="majorHAnsi" w:hAnsiTheme="majorHAnsi"/>
                <w:color w:val="404040" w:themeColor="text1" w:themeTint="BF"/>
                <w:sz w:val="20"/>
                <w:szCs w:val="20"/>
              </w:rPr>
              <w:t>.</w:t>
            </w:r>
          </w:p>
          <w:p w14:paraId="650AF175" w14:textId="77777777" w:rsidR="008A7E9A" w:rsidRDefault="008A7E9A" w:rsidP="009A77F5">
            <w:pPr>
              <w:pStyle w:val="ListParagraph"/>
              <w:numPr>
                <w:ilvl w:val="1"/>
                <w:numId w:val="17"/>
              </w:numPr>
              <w:rPr>
                <w:rFonts w:asciiTheme="majorHAnsi" w:hAnsiTheme="majorHAnsi"/>
                <w:color w:val="404040" w:themeColor="text1" w:themeTint="BF"/>
                <w:sz w:val="20"/>
                <w:szCs w:val="20"/>
              </w:rPr>
            </w:pPr>
            <w:r w:rsidRPr="002D7C29">
              <w:rPr>
                <w:rFonts w:asciiTheme="majorHAnsi" w:hAnsiTheme="majorHAnsi"/>
                <w:color w:val="404040" w:themeColor="text1" w:themeTint="BF"/>
                <w:sz w:val="20"/>
                <w:szCs w:val="20"/>
              </w:rPr>
              <w:t xml:space="preserve">check what is the controlled field of this fund code from Query UN_KK_FUND_SETTINGS_UNDP1 </w:t>
            </w:r>
          </w:p>
          <w:p w14:paraId="6FDE127B" w14:textId="07B6EE30" w:rsidR="008A7E9A" w:rsidRPr="002D7C29" w:rsidRDefault="008F088A" w:rsidP="009A77F5">
            <w:pPr>
              <w:pStyle w:val="ListParagraph"/>
              <w:numPr>
                <w:ilvl w:val="1"/>
                <w:numId w:val="17"/>
              </w:numPr>
              <w:rPr>
                <w:rFonts w:asciiTheme="majorHAnsi" w:hAnsiTheme="majorHAnsi"/>
                <w:color w:val="404040" w:themeColor="text1" w:themeTint="BF"/>
                <w:sz w:val="20"/>
                <w:szCs w:val="20"/>
              </w:rPr>
            </w:pPr>
            <w:r w:rsidRPr="002D7C29">
              <w:rPr>
                <w:rFonts w:asciiTheme="majorHAnsi" w:hAnsiTheme="majorHAnsi"/>
                <w:color w:val="404040" w:themeColor="text1" w:themeTint="BF"/>
                <w:sz w:val="20"/>
                <w:szCs w:val="20"/>
              </w:rPr>
              <w:t>Check</w:t>
            </w:r>
            <w:r w:rsidR="008A7E9A" w:rsidRPr="002D7C29">
              <w:rPr>
                <w:rFonts w:asciiTheme="majorHAnsi" w:hAnsiTheme="majorHAnsi"/>
                <w:color w:val="404040" w:themeColor="text1" w:themeTint="BF"/>
                <w:sz w:val="20"/>
                <w:szCs w:val="20"/>
              </w:rPr>
              <w:t xml:space="preserve"> the balance at this controlled fields (at fund level). For example, TF 65030 is controlled by Cash at Fund – Project – Donor level, please check balance at same Fund – Project – Donor level. </w:t>
            </w:r>
          </w:p>
        </w:tc>
      </w:tr>
      <w:tr w:rsidR="00E5285F" w:rsidRPr="009534CA" w14:paraId="5689F39C" w14:textId="77777777" w:rsidTr="007464B7">
        <w:tc>
          <w:tcPr>
            <w:tcW w:w="275" w:type="pct"/>
            <w:vMerge/>
          </w:tcPr>
          <w:p w14:paraId="58D97749" w14:textId="77777777" w:rsidR="008A7E9A" w:rsidRDefault="008A7E9A" w:rsidP="006A77CA">
            <w:pPr>
              <w:rPr>
                <w:rFonts w:asciiTheme="majorHAnsi" w:hAnsiTheme="majorHAnsi"/>
                <w:color w:val="404040" w:themeColor="text1" w:themeTint="BF"/>
                <w:sz w:val="20"/>
                <w:szCs w:val="20"/>
              </w:rPr>
            </w:pPr>
          </w:p>
        </w:tc>
        <w:tc>
          <w:tcPr>
            <w:tcW w:w="1234" w:type="pct"/>
            <w:vMerge/>
          </w:tcPr>
          <w:p w14:paraId="29C2177E" w14:textId="77777777" w:rsidR="008A7E9A" w:rsidRPr="00B21999" w:rsidRDefault="008A7E9A" w:rsidP="006A77CA">
            <w:pPr>
              <w:rPr>
                <w:rFonts w:asciiTheme="majorHAnsi" w:hAnsiTheme="majorHAnsi"/>
                <w:color w:val="404040" w:themeColor="text1" w:themeTint="BF"/>
                <w:sz w:val="20"/>
                <w:szCs w:val="20"/>
              </w:rPr>
            </w:pPr>
          </w:p>
        </w:tc>
        <w:tc>
          <w:tcPr>
            <w:tcW w:w="1510" w:type="pct"/>
          </w:tcPr>
          <w:p w14:paraId="160C0CCD" w14:textId="77777777" w:rsidR="008A7E9A" w:rsidRPr="009534CA"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R</w:t>
            </w:r>
            <w:r w:rsidRPr="006E337A">
              <w:rPr>
                <w:rFonts w:asciiTheme="majorHAnsi" w:hAnsiTheme="majorHAnsi"/>
                <w:color w:val="404040" w:themeColor="text1" w:themeTint="BF"/>
                <w:sz w:val="20"/>
                <w:szCs w:val="20"/>
              </w:rPr>
              <w:t>un “Ledger Inquiry” to check GL balance</w:t>
            </w:r>
            <w:r>
              <w:rPr>
                <w:rFonts w:asciiTheme="majorHAnsi" w:hAnsiTheme="majorHAnsi"/>
                <w:color w:val="404040" w:themeColor="text1" w:themeTint="BF"/>
                <w:sz w:val="20"/>
                <w:szCs w:val="20"/>
              </w:rPr>
              <w:t xml:space="preserve">. </w:t>
            </w:r>
          </w:p>
        </w:tc>
        <w:tc>
          <w:tcPr>
            <w:tcW w:w="1980" w:type="pct"/>
          </w:tcPr>
          <w:p w14:paraId="6753C7A6" w14:textId="77777777" w:rsidR="008A7E9A"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Check GL Balance at Budget Dept level in addition to Output – Fund – Donor level because delivery and some reports are run at Dept level. If there is any balance at Budget Dept other than the project Dept and is not 14401, please clear balance to the correct project Dept. Please note that</w:t>
            </w:r>
          </w:p>
          <w:p w14:paraId="141F0778" w14:textId="20AE666B" w:rsidR="008A7E9A" w:rsidRDefault="008A7E9A" w:rsidP="009A77F5">
            <w:pPr>
              <w:pStyle w:val="ListParagraph"/>
              <w:numPr>
                <w:ilvl w:val="0"/>
                <w:numId w:val="18"/>
              </w:num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 xml:space="preserve">Any balance at OU H17 – Dept 14401, please contact </w:t>
            </w:r>
            <w:r w:rsidR="002A5CF0">
              <w:rPr>
                <w:rFonts w:asciiTheme="majorHAnsi" w:hAnsiTheme="majorHAnsi"/>
                <w:color w:val="404040" w:themeColor="text1" w:themeTint="BF"/>
                <w:sz w:val="20"/>
                <w:szCs w:val="20"/>
              </w:rPr>
              <w:t>GSSU AGENCIES</w:t>
            </w:r>
            <w:r>
              <w:t xml:space="preserve"> </w:t>
            </w:r>
            <w:r w:rsidRPr="00913F0A">
              <w:rPr>
                <w:color w:val="404040" w:themeColor="text1" w:themeTint="BF"/>
              </w:rPr>
              <w:t>&lt;</w:t>
            </w:r>
            <w:hyperlink r:id="rId77" w:history="1">
              <w:r w:rsidR="002A5CF0">
                <w:rPr>
                  <w:rStyle w:val="Hyperlink"/>
                  <w:color w:val="404040" w:themeColor="text1" w:themeTint="BF"/>
                </w:rPr>
                <w:t>gssu.agencies@undp.org</w:t>
              </w:r>
            </w:hyperlink>
            <w:r w:rsidRPr="00913F0A">
              <w:rPr>
                <w:color w:val="404040" w:themeColor="text1" w:themeTint="BF"/>
              </w:rPr>
              <w:t xml:space="preserve">&gt; </w:t>
            </w:r>
            <w:r>
              <w:rPr>
                <w:rFonts w:asciiTheme="majorHAnsi" w:hAnsiTheme="majorHAnsi"/>
                <w:color w:val="404040" w:themeColor="text1" w:themeTint="BF"/>
                <w:sz w:val="20"/>
                <w:szCs w:val="20"/>
              </w:rPr>
              <w:t>requesting for their support to clear the balance</w:t>
            </w:r>
            <w:r w:rsidRPr="001D225B">
              <w:rPr>
                <w:rFonts w:asciiTheme="majorHAnsi" w:hAnsiTheme="majorHAnsi"/>
                <w:color w:val="404040" w:themeColor="text1" w:themeTint="BF"/>
                <w:sz w:val="20"/>
                <w:szCs w:val="20"/>
              </w:rPr>
              <w:t>.</w:t>
            </w:r>
          </w:p>
          <w:p w14:paraId="056E4A1C" w14:textId="50CD3F62" w:rsidR="008A7E9A" w:rsidRPr="002F125A" w:rsidRDefault="008A7E9A" w:rsidP="009A77F5">
            <w:pPr>
              <w:pStyle w:val="ListParagraph"/>
              <w:numPr>
                <w:ilvl w:val="0"/>
                <w:numId w:val="18"/>
              </w:num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Any balance at other Office OU than the Project OU and H17 should be cleared to zero locally.</w:t>
            </w:r>
          </w:p>
        </w:tc>
      </w:tr>
      <w:tr w:rsidR="00E5285F" w:rsidRPr="009534CA" w14:paraId="149CD1DA" w14:textId="77777777" w:rsidTr="007464B7">
        <w:tc>
          <w:tcPr>
            <w:tcW w:w="275" w:type="pct"/>
            <w:vMerge/>
          </w:tcPr>
          <w:p w14:paraId="0553796C" w14:textId="77777777" w:rsidR="008A7E9A" w:rsidRDefault="008A7E9A" w:rsidP="006A77CA">
            <w:pPr>
              <w:rPr>
                <w:rFonts w:asciiTheme="majorHAnsi" w:hAnsiTheme="majorHAnsi"/>
                <w:color w:val="404040" w:themeColor="text1" w:themeTint="BF"/>
                <w:sz w:val="20"/>
                <w:szCs w:val="20"/>
              </w:rPr>
            </w:pPr>
          </w:p>
        </w:tc>
        <w:tc>
          <w:tcPr>
            <w:tcW w:w="1234" w:type="pct"/>
            <w:vMerge/>
          </w:tcPr>
          <w:p w14:paraId="6E65DE3A" w14:textId="77777777" w:rsidR="008A7E9A" w:rsidRPr="00B21999" w:rsidRDefault="008A7E9A" w:rsidP="006A77CA">
            <w:pPr>
              <w:rPr>
                <w:rFonts w:asciiTheme="majorHAnsi" w:hAnsiTheme="majorHAnsi"/>
                <w:color w:val="404040" w:themeColor="text1" w:themeTint="BF"/>
                <w:sz w:val="20"/>
                <w:szCs w:val="20"/>
              </w:rPr>
            </w:pPr>
          </w:p>
        </w:tc>
        <w:tc>
          <w:tcPr>
            <w:tcW w:w="1510" w:type="pct"/>
          </w:tcPr>
          <w:p w14:paraId="550B4789" w14:textId="77777777" w:rsidR="008A7E9A"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Run Atlas Query UN_IPSAS_CS_DEFICITS</w:t>
            </w:r>
          </w:p>
        </w:tc>
        <w:tc>
          <w:tcPr>
            <w:tcW w:w="1980" w:type="pct"/>
          </w:tcPr>
          <w:p w14:paraId="2CC44556" w14:textId="77777777" w:rsidR="008A7E9A" w:rsidRPr="00BB1C6C"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 xml:space="preserve">Please note that the data source for this Query is not solely from </w:t>
            </w:r>
            <w:r w:rsidRPr="00BB1C6C">
              <w:rPr>
                <w:rFonts w:asciiTheme="majorHAnsi" w:hAnsiTheme="majorHAnsi"/>
                <w:color w:val="404040" w:themeColor="text1" w:themeTint="BF"/>
                <w:sz w:val="20"/>
                <w:szCs w:val="20"/>
              </w:rPr>
              <w:t>GL</w:t>
            </w:r>
            <w:r>
              <w:rPr>
                <w:rFonts w:asciiTheme="majorHAnsi" w:hAnsiTheme="majorHAnsi"/>
                <w:color w:val="404040" w:themeColor="text1" w:themeTint="BF"/>
                <w:sz w:val="20"/>
                <w:szCs w:val="20"/>
              </w:rPr>
              <w:t xml:space="preserve">. Some columns are based on GL e.g. </w:t>
            </w:r>
            <w:r w:rsidRPr="00BB1C6C">
              <w:rPr>
                <w:rFonts w:asciiTheme="majorHAnsi" w:hAnsiTheme="majorHAnsi"/>
                <w:color w:val="404040" w:themeColor="text1" w:themeTint="BF"/>
                <w:sz w:val="20"/>
                <w:szCs w:val="20"/>
              </w:rPr>
              <w:t xml:space="preserve">Opening balance, Recognized </w:t>
            </w:r>
            <w:r w:rsidRPr="00BB1C6C">
              <w:rPr>
                <w:rFonts w:asciiTheme="majorHAnsi" w:hAnsiTheme="majorHAnsi"/>
                <w:color w:val="404040" w:themeColor="text1" w:themeTint="BF"/>
                <w:sz w:val="20"/>
                <w:szCs w:val="20"/>
              </w:rPr>
              <w:lastRenderedPageBreak/>
              <w:t>Revenue/Tr</w:t>
            </w:r>
            <w:r>
              <w:rPr>
                <w:rFonts w:asciiTheme="majorHAnsi" w:hAnsiTheme="majorHAnsi"/>
                <w:color w:val="404040" w:themeColor="text1" w:themeTint="BF"/>
                <w:sz w:val="20"/>
                <w:szCs w:val="20"/>
              </w:rPr>
              <w:t>a</w:t>
            </w:r>
            <w:r w:rsidRPr="00BB1C6C">
              <w:rPr>
                <w:rFonts w:asciiTheme="majorHAnsi" w:hAnsiTheme="majorHAnsi"/>
                <w:color w:val="404040" w:themeColor="text1" w:themeTint="BF"/>
                <w:sz w:val="20"/>
                <w:szCs w:val="20"/>
              </w:rPr>
              <w:t>n</w:t>
            </w:r>
            <w:r>
              <w:rPr>
                <w:rFonts w:asciiTheme="majorHAnsi" w:hAnsiTheme="majorHAnsi"/>
                <w:color w:val="404040" w:themeColor="text1" w:themeTint="BF"/>
                <w:sz w:val="20"/>
                <w:szCs w:val="20"/>
              </w:rPr>
              <w:t>s</w:t>
            </w:r>
            <w:r w:rsidRPr="00BB1C6C">
              <w:rPr>
                <w:rFonts w:asciiTheme="majorHAnsi" w:hAnsiTheme="majorHAnsi"/>
                <w:color w:val="404040" w:themeColor="text1" w:themeTint="BF"/>
                <w:sz w:val="20"/>
                <w:szCs w:val="20"/>
              </w:rPr>
              <w:t>f</w:t>
            </w:r>
            <w:r>
              <w:rPr>
                <w:rFonts w:asciiTheme="majorHAnsi" w:hAnsiTheme="majorHAnsi"/>
                <w:color w:val="404040" w:themeColor="text1" w:themeTint="BF"/>
                <w:sz w:val="20"/>
                <w:szCs w:val="20"/>
              </w:rPr>
              <w:t>e</w:t>
            </w:r>
            <w:r w:rsidRPr="00BB1C6C">
              <w:rPr>
                <w:rFonts w:asciiTheme="majorHAnsi" w:hAnsiTheme="majorHAnsi"/>
                <w:color w:val="404040" w:themeColor="text1" w:themeTint="BF"/>
                <w:sz w:val="20"/>
                <w:szCs w:val="20"/>
              </w:rPr>
              <w:t>r/Refund, Other Revenue &amp; Exchange Rev, Prior Period Adj Revenue, Expenses, Prior Period Adj Expense and Closing balance.</w:t>
            </w:r>
          </w:p>
          <w:p w14:paraId="00A4C3AC" w14:textId="2116DDFA" w:rsidR="008A7E9A" w:rsidRDefault="008A7E9A" w:rsidP="009A77F5">
            <w:pPr>
              <w:pStyle w:val="ListParagraph"/>
              <w:numPr>
                <w:ilvl w:val="0"/>
                <w:numId w:val="20"/>
              </w:num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 xml:space="preserve">If there is a balance under Commitment column, please note that </w:t>
            </w:r>
            <w:r w:rsidRPr="00FE4D20">
              <w:rPr>
                <w:rFonts w:asciiTheme="majorHAnsi" w:hAnsiTheme="majorHAnsi"/>
                <w:color w:val="404040" w:themeColor="text1" w:themeTint="BF"/>
                <w:sz w:val="20"/>
                <w:szCs w:val="20"/>
              </w:rPr>
              <w:t xml:space="preserve">Commitment is not based on GL but uses the snapshot at the month-end date. If </w:t>
            </w:r>
            <w:r>
              <w:rPr>
                <w:rFonts w:asciiTheme="majorHAnsi" w:hAnsiTheme="majorHAnsi"/>
                <w:color w:val="404040" w:themeColor="text1" w:themeTint="BF"/>
                <w:sz w:val="20"/>
                <w:szCs w:val="20"/>
              </w:rPr>
              <w:t>Open PO is closed after month-end date with PO Close Date back dated to the month-end, it will still be shown in this report and the Available Resources column will need to be manually adjusted. Please refer to GL balance. Run Atlas Query UN_IPSAS_COMMITMENT for details.</w:t>
            </w:r>
          </w:p>
          <w:p w14:paraId="4BF33F47" w14:textId="77777777" w:rsidR="008A7E9A" w:rsidRDefault="008A7E9A" w:rsidP="009A77F5">
            <w:pPr>
              <w:pStyle w:val="ListParagraph"/>
              <w:numPr>
                <w:ilvl w:val="0"/>
                <w:numId w:val="20"/>
              </w:num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 xml:space="preserve">If there is a balance under Contribution Receivables column, please note that this balance has not been reflected in Project Closure Workbench’s GL Cash Balance. </w:t>
            </w:r>
          </w:p>
          <w:p w14:paraId="4DCF5D90" w14:textId="77777777" w:rsidR="008A7E9A" w:rsidRDefault="008A7E9A" w:rsidP="009A77F5">
            <w:pPr>
              <w:pStyle w:val="ListParagraph"/>
              <w:numPr>
                <w:ilvl w:val="1"/>
                <w:numId w:val="19"/>
              </w:num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 xml:space="preserve">If receivables are still valid, please follow up with donor for the payment. Thus, the fund balance will be higher once collected from donor. </w:t>
            </w:r>
          </w:p>
          <w:p w14:paraId="2745294B" w14:textId="50E569B5" w:rsidR="008A7E9A" w:rsidRDefault="008A7E9A" w:rsidP="009A77F5">
            <w:pPr>
              <w:pStyle w:val="ListParagraph"/>
              <w:numPr>
                <w:ilvl w:val="1"/>
                <w:numId w:val="19"/>
              </w:num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 xml:space="preserve">If receivables are no longer relevant, please contact GSSU with a written consent from donor requesting to write off the receivables. </w:t>
            </w:r>
          </w:p>
          <w:p w14:paraId="234DDCC4" w14:textId="77777777" w:rsidR="008A7E9A" w:rsidRPr="00AE2690" w:rsidRDefault="008A7E9A" w:rsidP="006A77CA">
            <w:pPr>
              <w:rPr>
                <w:rFonts w:asciiTheme="majorHAnsi" w:hAnsiTheme="majorHAnsi"/>
                <w:color w:val="0000FF"/>
                <w:sz w:val="20"/>
                <w:szCs w:val="20"/>
                <w:u w:val="single"/>
              </w:rPr>
            </w:pPr>
            <w:r w:rsidRPr="00BB1C6C">
              <w:rPr>
                <w:rFonts w:asciiTheme="majorHAnsi" w:hAnsiTheme="majorHAnsi"/>
                <w:color w:val="404040" w:themeColor="text1" w:themeTint="BF"/>
                <w:sz w:val="20"/>
                <w:szCs w:val="20"/>
              </w:rPr>
              <w:t xml:space="preserve">If donor is USAID, please refer to the explanation on </w:t>
            </w:r>
            <w:hyperlink r:id="rId78" w:history="1">
              <w:r w:rsidRPr="00BB1C6C">
                <w:rPr>
                  <w:rStyle w:val="Hyperlink"/>
                  <w:rFonts w:asciiTheme="majorHAnsi" w:hAnsiTheme="majorHAnsi"/>
                  <w:sz w:val="20"/>
                  <w:szCs w:val="20"/>
                </w:rPr>
                <w:t>Interpretation of CS Deficit report for USAID Letter of Credit projects</w:t>
              </w:r>
            </w:hyperlink>
          </w:p>
        </w:tc>
      </w:tr>
      <w:tr w:rsidR="00E5285F" w:rsidRPr="009534CA" w14:paraId="3D25E9AD" w14:textId="77777777" w:rsidTr="007464B7">
        <w:tc>
          <w:tcPr>
            <w:tcW w:w="275" w:type="pct"/>
          </w:tcPr>
          <w:p w14:paraId="5F2B6359" w14:textId="77777777" w:rsidR="008A7E9A"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lastRenderedPageBreak/>
              <w:t xml:space="preserve">30 </w:t>
            </w:r>
          </w:p>
        </w:tc>
        <w:tc>
          <w:tcPr>
            <w:tcW w:w="1234" w:type="pct"/>
          </w:tcPr>
          <w:p w14:paraId="1E8F2E4B" w14:textId="77777777" w:rsidR="008A7E9A" w:rsidRPr="00B21999" w:rsidRDefault="008A7E9A" w:rsidP="006A77CA">
            <w:pPr>
              <w:rPr>
                <w:rFonts w:asciiTheme="majorHAnsi" w:hAnsiTheme="majorHAnsi"/>
                <w:color w:val="404040" w:themeColor="text1" w:themeTint="BF"/>
                <w:sz w:val="20"/>
                <w:szCs w:val="20"/>
              </w:rPr>
            </w:pPr>
            <w:r w:rsidRPr="00B21999">
              <w:rPr>
                <w:rFonts w:asciiTheme="majorHAnsi" w:hAnsiTheme="majorHAnsi"/>
                <w:color w:val="404040" w:themeColor="text1" w:themeTint="BF"/>
                <w:sz w:val="20"/>
                <w:szCs w:val="20"/>
              </w:rPr>
              <w:t xml:space="preserve">Consultations with Donors on the disposition of unexpended cost-sharing </w:t>
            </w:r>
            <w:r w:rsidRPr="00B21999">
              <w:rPr>
                <w:rFonts w:asciiTheme="majorHAnsi" w:hAnsiTheme="majorHAnsi"/>
                <w:color w:val="404040" w:themeColor="text1" w:themeTint="BF"/>
                <w:sz w:val="20"/>
                <w:szCs w:val="20"/>
              </w:rPr>
              <w:lastRenderedPageBreak/>
              <w:t>balances, where required by contribution agreement, have taken place and are documented in writing.</w:t>
            </w:r>
          </w:p>
        </w:tc>
        <w:tc>
          <w:tcPr>
            <w:tcW w:w="1510" w:type="pct"/>
          </w:tcPr>
          <w:p w14:paraId="75EFA85E" w14:textId="55450CE3" w:rsidR="008A7E9A"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lastRenderedPageBreak/>
              <w:t xml:space="preserve">Written record uploaded to Atlas under Menu Grants &gt; Project Management &gt; </w:t>
            </w:r>
            <w:r>
              <w:rPr>
                <w:rFonts w:asciiTheme="majorHAnsi" w:hAnsiTheme="majorHAnsi"/>
                <w:color w:val="404040" w:themeColor="text1" w:themeTint="BF"/>
                <w:sz w:val="20"/>
                <w:szCs w:val="20"/>
              </w:rPr>
              <w:lastRenderedPageBreak/>
              <w:t>Approved Projects &gt; Attachments tab.</w:t>
            </w:r>
          </w:p>
        </w:tc>
        <w:tc>
          <w:tcPr>
            <w:tcW w:w="1980" w:type="pct"/>
          </w:tcPr>
          <w:p w14:paraId="6B58A993" w14:textId="77777777" w:rsidR="008A7E9A"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lastRenderedPageBreak/>
              <w:t xml:space="preserve">Written record (memorandum of conversation; memorandum to file, etc.) made documenting disposition of unexpended cost sharing balance, e.g., </w:t>
            </w:r>
            <w:r>
              <w:rPr>
                <w:rFonts w:asciiTheme="majorHAnsi" w:hAnsiTheme="majorHAnsi"/>
                <w:color w:val="404040" w:themeColor="text1" w:themeTint="BF"/>
                <w:sz w:val="20"/>
                <w:szCs w:val="20"/>
              </w:rPr>
              <w:lastRenderedPageBreak/>
              <w:t>refund to donor, re-</w:t>
            </w:r>
            <w:proofErr w:type="spellStart"/>
            <w:r>
              <w:rPr>
                <w:rFonts w:asciiTheme="majorHAnsi" w:hAnsiTheme="majorHAnsi"/>
                <w:color w:val="404040" w:themeColor="text1" w:themeTint="BF"/>
                <w:sz w:val="20"/>
                <w:szCs w:val="20"/>
              </w:rPr>
              <w:t>programme</w:t>
            </w:r>
            <w:proofErr w:type="spellEnd"/>
            <w:r>
              <w:rPr>
                <w:rFonts w:asciiTheme="majorHAnsi" w:hAnsiTheme="majorHAnsi"/>
                <w:color w:val="404040" w:themeColor="text1" w:themeTint="BF"/>
                <w:sz w:val="20"/>
                <w:szCs w:val="20"/>
              </w:rPr>
              <w:t xml:space="preserve"> to another project, etc.   Document should be uploaded to Atlas Project Management. Grants &gt; Project Mgt. &gt; Approved Projects &gt; Monitoring/Attachments Tabs.</w:t>
            </w:r>
          </w:p>
          <w:p w14:paraId="0D814C76" w14:textId="55437D21" w:rsidR="008A7E9A"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 xml:space="preserve">For any transfer of the unspent balance to fund 11888 and other funds such as 11999, etc., it should be in line with the written agreement with the donors. Please note that some donors e.g. UN, </w:t>
            </w:r>
            <w:r w:rsidR="005B76C7">
              <w:rPr>
                <w:rFonts w:asciiTheme="majorHAnsi" w:hAnsiTheme="majorHAnsi"/>
                <w:color w:val="404040" w:themeColor="text1" w:themeTint="BF"/>
                <w:sz w:val="20"/>
                <w:szCs w:val="20"/>
              </w:rPr>
              <w:t>Multi-Partner Trust Fund Office (</w:t>
            </w:r>
            <w:r>
              <w:rPr>
                <w:rFonts w:asciiTheme="majorHAnsi" w:hAnsiTheme="majorHAnsi"/>
                <w:color w:val="404040" w:themeColor="text1" w:themeTint="BF"/>
                <w:sz w:val="20"/>
                <w:szCs w:val="20"/>
              </w:rPr>
              <w:t>MPTFO</w:t>
            </w:r>
            <w:r w:rsidR="005B76C7">
              <w:rPr>
                <w:rFonts w:asciiTheme="majorHAnsi" w:hAnsiTheme="majorHAnsi"/>
                <w:color w:val="404040" w:themeColor="text1" w:themeTint="BF"/>
                <w:sz w:val="20"/>
                <w:szCs w:val="20"/>
              </w:rPr>
              <w:t>)</w:t>
            </w:r>
            <w:r>
              <w:rPr>
                <w:rFonts w:asciiTheme="majorHAnsi" w:hAnsiTheme="majorHAnsi"/>
                <w:color w:val="404040" w:themeColor="text1" w:themeTint="BF"/>
                <w:sz w:val="20"/>
                <w:szCs w:val="20"/>
              </w:rPr>
              <w:t>, Netherlands, etc. will review the Certified Financial Report (CFRs) published by UNDP and Annex 2 provides a breakdown of net contributions (contributions under account 51005, transfer account 51035 and refunds). Some donors will inquire where it was transferred to or refunded to them.</w:t>
            </w:r>
          </w:p>
          <w:p w14:paraId="6DE2EB39" w14:textId="26CAB9C2" w:rsidR="008A7E9A"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 xml:space="preserve">For any refund from on-going projects (refer to </w:t>
            </w:r>
            <w:hyperlink r:id="rId79" w:history="1">
              <w:r w:rsidRPr="00FD7E46">
                <w:rPr>
                  <w:rStyle w:val="Hyperlink"/>
                  <w:rFonts w:asciiTheme="majorHAnsi" w:hAnsiTheme="majorHAnsi"/>
                  <w:sz w:val="20"/>
                  <w:szCs w:val="20"/>
                </w:rPr>
                <w:t>Helen Hall’s email</w:t>
              </w:r>
            </w:hyperlink>
            <w:r>
              <w:rPr>
                <w:rFonts w:asciiTheme="majorHAnsi" w:hAnsiTheme="majorHAnsi"/>
                <w:color w:val="404040" w:themeColor="text1" w:themeTint="BF"/>
                <w:sz w:val="20"/>
                <w:szCs w:val="20"/>
              </w:rPr>
              <w:t xml:space="preserve">), </w:t>
            </w:r>
          </w:p>
          <w:p w14:paraId="57D7F6F6" w14:textId="437388CD" w:rsidR="008A7E9A" w:rsidRPr="00FD7E46" w:rsidRDefault="008A7E9A" w:rsidP="00FD7E46">
            <w:pPr>
              <w:pStyle w:val="ListParagraph"/>
              <w:ind w:left="360"/>
              <w:rPr>
                <w:rFonts w:asciiTheme="majorHAnsi" w:hAnsiTheme="majorHAnsi"/>
                <w:color w:val="404040" w:themeColor="text1" w:themeTint="BF"/>
                <w:sz w:val="20"/>
                <w:szCs w:val="20"/>
              </w:rPr>
            </w:pPr>
            <w:r w:rsidRPr="00FD7E46">
              <w:rPr>
                <w:rFonts w:asciiTheme="majorHAnsi" w:hAnsiTheme="majorHAnsi"/>
                <w:color w:val="404040" w:themeColor="text1" w:themeTint="BF"/>
                <w:sz w:val="20"/>
                <w:szCs w:val="20"/>
              </w:rPr>
              <w:t xml:space="preserve">As per </w:t>
            </w:r>
            <w:hyperlink r:id="rId80" w:history="1">
              <w:r>
                <w:rPr>
                  <w:rStyle w:val="Hyperlink"/>
                  <w:rFonts w:ascii="Segoe UI" w:hAnsi="Segoe UI" w:cs="Segoe UI"/>
                  <w:sz w:val="20"/>
                  <w:szCs w:val="20"/>
                </w:rPr>
                <w:t>POPP chapter Refund to Donors</w:t>
              </w:r>
            </w:hyperlink>
            <w:r w:rsidRPr="00FD7E46">
              <w:rPr>
                <w:rFonts w:asciiTheme="majorHAnsi" w:hAnsiTheme="majorHAnsi"/>
                <w:color w:val="404040" w:themeColor="text1" w:themeTint="BF"/>
                <w:sz w:val="20"/>
                <w:szCs w:val="20"/>
              </w:rPr>
              <w:t xml:space="preserve">, “UNDP issues refunds to donors as the last step before designating a project as financially closed in Atlas. If the donor requests a refund at any earlier point, the approval of the Chief, Financial Performance Management and Reporting must be obtained prior to issuing the refund”. </w:t>
            </w:r>
          </w:p>
          <w:p w14:paraId="132A1F53" w14:textId="77777777" w:rsidR="008A7E9A" w:rsidRPr="00FD7E46" w:rsidRDefault="008A7E9A" w:rsidP="00FD7E46">
            <w:pPr>
              <w:pStyle w:val="ListParagraph"/>
              <w:ind w:left="360"/>
              <w:rPr>
                <w:rFonts w:asciiTheme="majorHAnsi" w:hAnsiTheme="majorHAnsi"/>
                <w:color w:val="404040" w:themeColor="text1" w:themeTint="BF"/>
                <w:sz w:val="20"/>
                <w:szCs w:val="20"/>
              </w:rPr>
            </w:pPr>
          </w:p>
          <w:p w14:paraId="52007277" w14:textId="002F77C3" w:rsidR="008A7E9A" w:rsidRPr="00FD7E46" w:rsidRDefault="008A7E9A" w:rsidP="00FD7E46">
            <w:pPr>
              <w:pStyle w:val="ListParagraph"/>
              <w:ind w:left="360"/>
              <w:rPr>
                <w:rFonts w:asciiTheme="majorHAnsi" w:hAnsiTheme="majorHAnsi"/>
                <w:color w:val="404040" w:themeColor="text1" w:themeTint="BF"/>
                <w:sz w:val="20"/>
                <w:szCs w:val="20"/>
              </w:rPr>
            </w:pPr>
            <w:r>
              <w:rPr>
                <w:rFonts w:asciiTheme="majorHAnsi" w:hAnsiTheme="majorHAnsi"/>
                <w:color w:val="404040" w:themeColor="text1" w:themeTint="BF"/>
                <w:sz w:val="20"/>
                <w:szCs w:val="20"/>
              </w:rPr>
              <w:t>Please submit your request</w:t>
            </w:r>
            <w:r w:rsidRPr="00FD7E46">
              <w:rPr>
                <w:rFonts w:asciiTheme="majorHAnsi" w:hAnsiTheme="majorHAnsi"/>
                <w:color w:val="404040" w:themeColor="text1" w:themeTint="BF"/>
                <w:sz w:val="20"/>
                <w:szCs w:val="20"/>
              </w:rPr>
              <w:t xml:space="preserve"> to a dedicated email address </w:t>
            </w:r>
            <w:hyperlink r:id="rId81" w:history="1">
              <w:r>
                <w:rPr>
                  <w:rStyle w:val="Hyperlink"/>
                  <w:rFonts w:ascii="Segoe UI" w:hAnsi="Segoe UI" w:cs="Segoe UI"/>
                  <w:sz w:val="20"/>
                  <w:szCs w:val="20"/>
                </w:rPr>
                <w:t>refund.before.closure@undp.org</w:t>
              </w:r>
            </w:hyperlink>
            <w:r w:rsidRPr="00FD7E46">
              <w:rPr>
                <w:rFonts w:asciiTheme="majorHAnsi" w:hAnsiTheme="majorHAnsi"/>
                <w:color w:val="404040" w:themeColor="text1" w:themeTint="BF"/>
                <w:sz w:val="20"/>
                <w:szCs w:val="20"/>
              </w:rPr>
              <w:t>. In your request, please provide project ID, reason for refund prior to project closure and necessary supporting documents if any.</w:t>
            </w:r>
          </w:p>
          <w:p w14:paraId="061B160A" w14:textId="7AAD8562" w:rsidR="008A7E9A" w:rsidRDefault="008A7E9A" w:rsidP="006A77CA">
            <w:pPr>
              <w:rPr>
                <w:rFonts w:asciiTheme="majorHAnsi" w:hAnsiTheme="majorHAnsi"/>
                <w:color w:val="404040" w:themeColor="text1" w:themeTint="BF"/>
                <w:sz w:val="20"/>
                <w:szCs w:val="20"/>
              </w:rPr>
            </w:pPr>
          </w:p>
        </w:tc>
      </w:tr>
      <w:tr w:rsidR="00E5285F" w:rsidRPr="009534CA" w14:paraId="688F9258" w14:textId="77777777" w:rsidTr="007464B7">
        <w:tc>
          <w:tcPr>
            <w:tcW w:w="275" w:type="pct"/>
          </w:tcPr>
          <w:p w14:paraId="72825CD9" w14:textId="77777777" w:rsidR="008A7E9A"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lastRenderedPageBreak/>
              <w:t>31</w:t>
            </w:r>
          </w:p>
        </w:tc>
        <w:tc>
          <w:tcPr>
            <w:tcW w:w="1234" w:type="pct"/>
          </w:tcPr>
          <w:p w14:paraId="0E30EA38" w14:textId="77777777" w:rsidR="008A7E9A" w:rsidRPr="00B21999" w:rsidRDefault="008A7E9A" w:rsidP="006A77CA">
            <w:pPr>
              <w:rPr>
                <w:rFonts w:asciiTheme="majorHAnsi" w:hAnsiTheme="majorHAnsi"/>
                <w:color w:val="404040" w:themeColor="text1" w:themeTint="BF"/>
                <w:sz w:val="20"/>
                <w:szCs w:val="20"/>
              </w:rPr>
            </w:pPr>
            <w:r w:rsidRPr="00B21999">
              <w:rPr>
                <w:rFonts w:asciiTheme="majorHAnsi" w:hAnsiTheme="majorHAnsi"/>
                <w:color w:val="404040" w:themeColor="text1" w:themeTint="BF"/>
                <w:sz w:val="20"/>
                <w:szCs w:val="20"/>
              </w:rPr>
              <w:t>All refunds to donors have been transferred to Account 21030 (Pending Refund to Donors) and the project Balance is Zero. (Only in Base Currency)</w:t>
            </w:r>
          </w:p>
        </w:tc>
        <w:tc>
          <w:tcPr>
            <w:tcW w:w="1510" w:type="pct"/>
          </w:tcPr>
          <w:p w14:paraId="059623B7" w14:textId="77777777" w:rsidR="008A7E9A" w:rsidRPr="009534CA"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R</w:t>
            </w:r>
            <w:r w:rsidRPr="006E337A">
              <w:rPr>
                <w:rFonts w:asciiTheme="majorHAnsi" w:hAnsiTheme="majorHAnsi"/>
                <w:color w:val="404040" w:themeColor="text1" w:themeTint="BF"/>
                <w:sz w:val="20"/>
                <w:szCs w:val="20"/>
              </w:rPr>
              <w:t xml:space="preserve">un “Ledger Inquiry” to check </w:t>
            </w:r>
            <w:r>
              <w:rPr>
                <w:rFonts w:asciiTheme="majorHAnsi" w:hAnsiTheme="majorHAnsi"/>
                <w:color w:val="404040" w:themeColor="text1" w:themeTint="BF"/>
                <w:sz w:val="20"/>
                <w:szCs w:val="20"/>
              </w:rPr>
              <w:t xml:space="preserve">if </w:t>
            </w:r>
            <w:r w:rsidRPr="006E337A">
              <w:rPr>
                <w:rFonts w:asciiTheme="majorHAnsi" w:hAnsiTheme="majorHAnsi"/>
                <w:color w:val="404040" w:themeColor="text1" w:themeTint="BF"/>
                <w:sz w:val="20"/>
                <w:szCs w:val="20"/>
              </w:rPr>
              <w:t>GL balance</w:t>
            </w:r>
            <w:r>
              <w:rPr>
                <w:rFonts w:asciiTheme="majorHAnsi" w:hAnsiTheme="majorHAnsi"/>
                <w:color w:val="404040" w:themeColor="text1" w:themeTint="BF"/>
                <w:sz w:val="20"/>
                <w:szCs w:val="20"/>
              </w:rPr>
              <w:t xml:space="preserve"> under account 21030 is the refund amount and project balance is zero.</w:t>
            </w:r>
          </w:p>
        </w:tc>
        <w:tc>
          <w:tcPr>
            <w:tcW w:w="1980" w:type="pct"/>
          </w:tcPr>
          <w:p w14:paraId="6BE4CDE3" w14:textId="77777777" w:rsidR="008A7E9A"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 xml:space="preserve">Ensure the refund balance is recorded to Account 21030 through GLJE according to </w:t>
            </w:r>
            <w:hyperlink r:id="rId82" w:history="1">
              <w:r w:rsidRPr="00A71DA1">
                <w:rPr>
                  <w:rStyle w:val="Hyperlink"/>
                  <w:rFonts w:asciiTheme="majorHAnsi" w:hAnsiTheme="majorHAnsi"/>
                  <w:sz w:val="20"/>
                  <w:szCs w:val="20"/>
                </w:rPr>
                <w:t>Refunds to Donors</w:t>
              </w:r>
            </w:hyperlink>
            <w:r>
              <w:rPr>
                <w:rFonts w:asciiTheme="majorHAnsi" w:hAnsiTheme="majorHAnsi"/>
                <w:color w:val="404040" w:themeColor="text1" w:themeTint="BF"/>
                <w:sz w:val="20"/>
                <w:szCs w:val="20"/>
              </w:rPr>
              <w:t xml:space="preserve"> procedures in </w:t>
            </w:r>
            <w:hyperlink r:id="rId83" w:history="1">
              <w:r w:rsidRPr="00A71DA1">
                <w:rPr>
                  <w:rStyle w:val="Hyperlink"/>
                  <w:rFonts w:asciiTheme="majorHAnsi" w:hAnsiTheme="majorHAnsi"/>
                  <w:sz w:val="20"/>
                  <w:szCs w:val="20"/>
                </w:rPr>
                <w:t>POPP Financial Closure of Developments</w:t>
              </w:r>
            </w:hyperlink>
            <w:r>
              <w:rPr>
                <w:rFonts w:asciiTheme="majorHAnsi" w:hAnsiTheme="majorHAnsi"/>
                <w:color w:val="404040" w:themeColor="text1" w:themeTint="BF"/>
                <w:sz w:val="20"/>
                <w:szCs w:val="20"/>
              </w:rPr>
              <w:t xml:space="preserve">. </w:t>
            </w:r>
          </w:p>
          <w:p w14:paraId="43BB7653" w14:textId="749B3ED1" w:rsidR="008A7E9A"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AP Voucher will be prepared simultaneously to issue the refund and charge account 21030; however, the AP voucher payment must be processed as soon as practicable after the donor provides written confirmation of its bank account details. Please ensure that the AP voucher payment records the same COA for account 21030 – OU - Fund – etc. as same as GLJE.</w:t>
            </w:r>
          </w:p>
          <w:p w14:paraId="02C5C94C" w14:textId="62DE14BB" w:rsidR="008A7E9A"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 xml:space="preserve">If the GLJE is prepared by Country Office and AP Voucher is to be prepared by GSSU, Country Office should inform GSSU the GLJE ID for which the refund balance is recorded to account 21030, so that GSSU can verify COA and use the same COA in AP Voucher. In the case of Japan, the refunds out of </w:t>
            </w:r>
            <w:r w:rsidRPr="00E26CD5">
              <w:rPr>
                <w:rFonts w:asciiTheme="majorHAnsi" w:hAnsiTheme="majorHAnsi"/>
                <w:color w:val="404040" w:themeColor="text1" w:themeTint="BF"/>
                <w:sz w:val="20"/>
                <w:szCs w:val="20"/>
              </w:rPr>
              <w:t xml:space="preserve">Partnership Fund are only done periodically so </w:t>
            </w:r>
            <w:r>
              <w:rPr>
                <w:rFonts w:asciiTheme="majorHAnsi" w:hAnsiTheme="majorHAnsi"/>
                <w:color w:val="404040" w:themeColor="text1" w:themeTint="BF"/>
                <w:sz w:val="20"/>
                <w:szCs w:val="20"/>
              </w:rPr>
              <w:t>GSSU</w:t>
            </w:r>
            <w:r w:rsidRPr="00E26CD5">
              <w:rPr>
                <w:rFonts w:asciiTheme="majorHAnsi" w:hAnsiTheme="majorHAnsi"/>
                <w:color w:val="404040" w:themeColor="text1" w:themeTint="BF"/>
                <w:sz w:val="20"/>
                <w:szCs w:val="20"/>
              </w:rPr>
              <w:t xml:space="preserve"> will move the balance to 21030 in batches, not at the point of transfer from child fund to parent fund.</w:t>
            </w:r>
            <w:r>
              <w:rPr>
                <w:rFonts w:asciiTheme="majorHAnsi" w:hAnsiTheme="majorHAnsi"/>
                <w:color w:val="404040" w:themeColor="text1" w:themeTint="BF"/>
                <w:sz w:val="20"/>
                <w:szCs w:val="20"/>
              </w:rPr>
              <w:t xml:space="preserve"> For inquiry, please contact </w:t>
            </w:r>
            <w:r w:rsidRPr="00FD7E46">
              <w:rPr>
                <w:rFonts w:asciiTheme="majorHAnsi" w:hAnsiTheme="majorHAnsi" w:cs="Segoe UI"/>
                <w:color w:val="404040" w:themeColor="text1" w:themeTint="BF"/>
                <w:sz w:val="20"/>
                <w:szCs w:val="20"/>
              </w:rPr>
              <w:t xml:space="preserve">GSSU </w:t>
            </w:r>
            <w:r w:rsidRPr="007B30BC">
              <w:rPr>
                <w:rFonts w:asciiTheme="majorHAnsi" w:hAnsiTheme="majorHAnsi" w:cs="Segoe UI"/>
                <w:color w:val="404040" w:themeColor="text1" w:themeTint="BF"/>
                <w:sz w:val="20"/>
                <w:szCs w:val="20"/>
              </w:rPr>
              <w:t xml:space="preserve">Treasury </w:t>
            </w:r>
            <w:r w:rsidRPr="007B30BC">
              <w:rPr>
                <w:rFonts w:asciiTheme="majorHAnsi" w:hAnsiTheme="majorHAnsi"/>
                <w:color w:val="404040" w:themeColor="text1" w:themeTint="BF"/>
                <w:sz w:val="20"/>
                <w:szCs w:val="20"/>
              </w:rPr>
              <w:t>&lt;gssu.treasury@undp.org&gt;</w:t>
            </w:r>
          </w:p>
          <w:p w14:paraId="4B11F962" w14:textId="393909ED" w:rsidR="008A7E9A"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 xml:space="preserve">Please refer to the </w:t>
            </w:r>
            <w:hyperlink r:id="rId84" w:history="1">
              <w:r w:rsidRPr="00A71DA1">
                <w:rPr>
                  <w:rStyle w:val="Hyperlink"/>
                  <w:rFonts w:asciiTheme="majorHAnsi" w:hAnsiTheme="majorHAnsi"/>
                  <w:sz w:val="20"/>
                  <w:szCs w:val="20"/>
                </w:rPr>
                <w:t>Refunds to Donors</w:t>
              </w:r>
            </w:hyperlink>
            <w:r>
              <w:rPr>
                <w:rFonts w:asciiTheme="majorHAnsi" w:hAnsiTheme="majorHAnsi"/>
                <w:color w:val="404040" w:themeColor="text1" w:themeTint="BF"/>
                <w:sz w:val="20"/>
                <w:szCs w:val="20"/>
              </w:rPr>
              <w:t xml:space="preserve"> procedures for special donors e.g. Netherlands, Belgium, USAID, USDOS, EU, MPTFO and Trust Fund.</w:t>
            </w:r>
          </w:p>
          <w:p w14:paraId="1ACD276F" w14:textId="77777777" w:rsidR="008A7E9A" w:rsidRDefault="008A7E9A" w:rsidP="009A77F5">
            <w:pPr>
              <w:pStyle w:val="ListParagraph"/>
              <w:numPr>
                <w:ilvl w:val="0"/>
                <w:numId w:val="35"/>
              </w:num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 xml:space="preserve">For Netherlands, </w:t>
            </w:r>
            <w:r w:rsidRPr="00595122">
              <w:rPr>
                <w:rFonts w:asciiTheme="majorHAnsi" w:hAnsiTheme="majorHAnsi"/>
                <w:color w:val="404040" w:themeColor="text1" w:themeTint="BF"/>
                <w:sz w:val="20"/>
                <w:szCs w:val="20"/>
              </w:rPr>
              <w:t xml:space="preserve">balance less than $5,000 is per agreement and NOT per UNDP output. CO could have more than one output for one agreement with Netherlands. </w:t>
            </w:r>
          </w:p>
          <w:p w14:paraId="5C3E98F8" w14:textId="55CCC61D" w:rsidR="008A7E9A" w:rsidRPr="00595122" w:rsidRDefault="008A7E9A" w:rsidP="009A77F5">
            <w:pPr>
              <w:pStyle w:val="ListParagraph"/>
              <w:numPr>
                <w:ilvl w:val="0"/>
                <w:numId w:val="35"/>
              </w:num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For</w:t>
            </w:r>
            <w:r w:rsidRPr="00595122">
              <w:rPr>
                <w:rFonts w:asciiTheme="majorHAnsi" w:hAnsiTheme="majorHAnsi"/>
                <w:color w:val="404040" w:themeColor="text1" w:themeTint="BF"/>
                <w:sz w:val="20"/>
                <w:szCs w:val="20"/>
              </w:rPr>
              <w:t xml:space="preserve"> MPTFO, the threshold $250 for refund is per MPTF project and NOT per UNDP output</w:t>
            </w:r>
            <w:r>
              <w:rPr>
                <w:rFonts w:asciiTheme="majorHAnsi" w:hAnsiTheme="majorHAnsi"/>
                <w:color w:val="404040" w:themeColor="text1" w:themeTint="BF"/>
                <w:sz w:val="20"/>
                <w:szCs w:val="20"/>
              </w:rPr>
              <w:t>.</w:t>
            </w:r>
          </w:p>
          <w:p w14:paraId="35F84015" w14:textId="6C5026CB" w:rsidR="008A7E9A" w:rsidRPr="00FD7E46" w:rsidRDefault="008A7E9A" w:rsidP="006A77CA">
            <w:pPr>
              <w:rPr>
                <w:rFonts w:asciiTheme="majorHAnsi" w:hAnsiTheme="majorHAnsi" w:cs="Segoe UI"/>
                <w:sz w:val="20"/>
                <w:szCs w:val="20"/>
              </w:rPr>
            </w:pPr>
            <w:r w:rsidRPr="00FD7E46">
              <w:rPr>
                <w:rFonts w:asciiTheme="majorHAnsi" w:hAnsiTheme="majorHAnsi"/>
                <w:color w:val="404040" w:themeColor="text1" w:themeTint="BF"/>
                <w:sz w:val="20"/>
                <w:szCs w:val="20"/>
              </w:rPr>
              <w:lastRenderedPageBreak/>
              <w:t xml:space="preserve">For GSSU support on refund to donors, please refer to the </w:t>
            </w:r>
            <w:hyperlink r:id="rId85" w:history="1">
              <w:r w:rsidRPr="009A77F5">
                <w:rPr>
                  <w:rStyle w:val="Hyperlink"/>
                  <w:rFonts w:asciiTheme="majorHAnsi" w:hAnsiTheme="majorHAnsi" w:cs="Segoe UI"/>
                  <w:sz w:val="20"/>
                  <w:szCs w:val="20"/>
                </w:rPr>
                <w:t xml:space="preserve">earlier communicated by </w:t>
              </w:r>
              <w:r w:rsidR="009A77F5" w:rsidRPr="009A77F5">
                <w:rPr>
                  <w:rStyle w:val="Hyperlink"/>
                  <w:rFonts w:asciiTheme="majorHAnsi" w:hAnsiTheme="majorHAnsi" w:cs="Segoe UI"/>
                  <w:sz w:val="20"/>
                  <w:szCs w:val="20"/>
                </w:rPr>
                <w:t>former UNDP Treasurer</w:t>
              </w:r>
              <w:r w:rsidR="009A77F5">
                <w:rPr>
                  <w:rStyle w:val="Hyperlink"/>
                  <w:rFonts w:asciiTheme="majorHAnsi" w:hAnsiTheme="majorHAnsi" w:cs="Segoe UI"/>
                  <w:sz w:val="20"/>
                  <w:szCs w:val="20"/>
                </w:rPr>
                <w:t xml:space="preserve">, </w:t>
              </w:r>
              <w:r w:rsidRPr="009A77F5">
                <w:rPr>
                  <w:rStyle w:val="Hyperlink"/>
                  <w:rFonts w:asciiTheme="majorHAnsi" w:hAnsiTheme="majorHAnsi" w:cs="Segoe UI"/>
                  <w:sz w:val="20"/>
                  <w:szCs w:val="20"/>
                </w:rPr>
                <w:t>Ms. Julie Anne Mejia</w:t>
              </w:r>
            </w:hyperlink>
          </w:p>
          <w:p w14:paraId="5332E0FB" w14:textId="3ED729AE" w:rsidR="008A7E9A" w:rsidRPr="00FD7E46" w:rsidRDefault="008A7E9A" w:rsidP="00FD7E46">
            <w:pPr>
              <w:pStyle w:val="ListParagraph"/>
              <w:ind w:left="360"/>
              <w:rPr>
                <w:rFonts w:asciiTheme="majorHAnsi" w:hAnsiTheme="majorHAnsi" w:cs="Segoe UI"/>
                <w:color w:val="404040" w:themeColor="text1" w:themeTint="BF"/>
                <w:sz w:val="20"/>
                <w:szCs w:val="20"/>
              </w:rPr>
            </w:pPr>
            <w:r w:rsidRPr="00FD7E46">
              <w:rPr>
                <w:rFonts w:asciiTheme="majorHAnsi" w:hAnsiTheme="majorHAnsi" w:cs="Segoe UI"/>
                <w:color w:val="404040" w:themeColor="text1" w:themeTint="BF"/>
                <w:sz w:val="20"/>
                <w:szCs w:val="20"/>
              </w:rPr>
              <w:t xml:space="preserve">GSSU </w:t>
            </w:r>
            <w:r w:rsidRPr="007B30BC">
              <w:rPr>
                <w:rFonts w:asciiTheme="majorHAnsi" w:hAnsiTheme="majorHAnsi" w:cs="Segoe UI"/>
                <w:color w:val="404040" w:themeColor="text1" w:themeTint="BF"/>
                <w:sz w:val="20"/>
                <w:szCs w:val="20"/>
              </w:rPr>
              <w:t xml:space="preserve">Treasury </w:t>
            </w:r>
            <w:r w:rsidRPr="007B30BC">
              <w:rPr>
                <w:rFonts w:asciiTheme="majorHAnsi" w:hAnsiTheme="majorHAnsi"/>
                <w:color w:val="404040" w:themeColor="text1" w:themeTint="BF"/>
                <w:sz w:val="20"/>
                <w:szCs w:val="20"/>
              </w:rPr>
              <w:t xml:space="preserve">&lt;gssu.treasury@undp.org&gt; </w:t>
            </w:r>
            <w:r w:rsidRPr="00FD7E46">
              <w:rPr>
                <w:rFonts w:asciiTheme="majorHAnsi" w:hAnsiTheme="majorHAnsi" w:cs="Segoe UI"/>
                <w:color w:val="404040" w:themeColor="text1" w:themeTint="BF"/>
                <w:sz w:val="20"/>
                <w:szCs w:val="20"/>
              </w:rPr>
              <w:t>will be responsible for:</w:t>
            </w:r>
          </w:p>
          <w:p w14:paraId="61EDCF87" w14:textId="77777777" w:rsidR="008A7E9A" w:rsidRPr="00FD7E46" w:rsidRDefault="008A7E9A" w:rsidP="009A77F5">
            <w:pPr>
              <w:pStyle w:val="ListParagraph"/>
              <w:numPr>
                <w:ilvl w:val="0"/>
                <w:numId w:val="33"/>
              </w:numPr>
              <w:spacing w:after="0" w:line="240" w:lineRule="auto"/>
              <w:contextualSpacing w:val="0"/>
              <w:rPr>
                <w:rFonts w:asciiTheme="majorHAnsi" w:hAnsiTheme="majorHAnsi" w:cs="Segoe UI"/>
                <w:color w:val="404040" w:themeColor="text1" w:themeTint="BF"/>
                <w:sz w:val="20"/>
                <w:szCs w:val="20"/>
              </w:rPr>
            </w:pPr>
            <w:r w:rsidRPr="00FD7E46">
              <w:rPr>
                <w:rFonts w:asciiTheme="majorHAnsi" w:hAnsiTheme="majorHAnsi" w:cs="Segoe UI"/>
                <w:color w:val="404040" w:themeColor="text1" w:themeTint="BF"/>
                <w:sz w:val="20"/>
                <w:szCs w:val="20"/>
              </w:rPr>
              <w:t>Processing refunds to donors that are centrally managed as per POPP, i.e. for donors: Belgium, United States, European Commission and Netherlands with special conditions;</w:t>
            </w:r>
          </w:p>
          <w:p w14:paraId="7B3F5FC8" w14:textId="77777777" w:rsidR="008A7E9A" w:rsidRPr="00FD7E46" w:rsidRDefault="008A7E9A" w:rsidP="009A77F5">
            <w:pPr>
              <w:pStyle w:val="ListParagraph"/>
              <w:numPr>
                <w:ilvl w:val="0"/>
                <w:numId w:val="33"/>
              </w:numPr>
              <w:spacing w:after="0" w:line="240" w:lineRule="auto"/>
              <w:contextualSpacing w:val="0"/>
              <w:rPr>
                <w:rFonts w:asciiTheme="majorHAnsi" w:hAnsiTheme="majorHAnsi" w:cs="Segoe UI"/>
                <w:color w:val="404040" w:themeColor="text1" w:themeTint="BF"/>
                <w:sz w:val="20"/>
                <w:szCs w:val="20"/>
              </w:rPr>
            </w:pPr>
            <w:r w:rsidRPr="00FD7E46">
              <w:rPr>
                <w:rFonts w:asciiTheme="majorHAnsi" w:hAnsiTheme="majorHAnsi" w:cs="Segoe UI"/>
                <w:color w:val="404040" w:themeColor="text1" w:themeTint="BF"/>
                <w:sz w:val="20"/>
                <w:szCs w:val="20"/>
              </w:rPr>
              <w:t>Processing refunds to donors that have been processed by HQ as per past practice, i.e. Japan, UN Trust Fund and GFATM;</w:t>
            </w:r>
          </w:p>
          <w:p w14:paraId="1E8A022B" w14:textId="18724263" w:rsidR="008A7E9A" w:rsidRPr="00FD7E46" w:rsidRDefault="008A7E9A" w:rsidP="009A77F5">
            <w:pPr>
              <w:pStyle w:val="ListParagraph"/>
              <w:numPr>
                <w:ilvl w:val="0"/>
                <w:numId w:val="33"/>
              </w:numPr>
              <w:spacing w:after="0" w:line="240" w:lineRule="auto"/>
              <w:contextualSpacing w:val="0"/>
              <w:rPr>
                <w:rFonts w:asciiTheme="majorHAnsi" w:hAnsiTheme="majorHAnsi"/>
                <w:color w:val="404040" w:themeColor="text1" w:themeTint="BF"/>
                <w:sz w:val="20"/>
                <w:szCs w:val="20"/>
              </w:rPr>
            </w:pPr>
            <w:r w:rsidRPr="00FD7E46">
              <w:rPr>
                <w:rFonts w:asciiTheme="majorHAnsi" w:hAnsiTheme="majorHAnsi" w:cs="Segoe UI"/>
                <w:color w:val="404040" w:themeColor="text1" w:themeTint="BF"/>
                <w:sz w:val="20"/>
                <w:szCs w:val="20"/>
              </w:rPr>
              <w:t>Providing guidance and responding to COs on queries regarding refunds to donors; and</w:t>
            </w:r>
          </w:p>
          <w:p w14:paraId="5274CDB8" w14:textId="3269C3D1" w:rsidR="008A7E9A" w:rsidRPr="009534CA" w:rsidRDefault="008A7E9A" w:rsidP="009A77F5">
            <w:pPr>
              <w:pStyle w:val="ListParagraph"/>
              <w:numPr>
                <w:ilvl w:val="0"/>
                <w:numId w:val="33"/>
              </w:numPr>
              <w:spacing w:after="0" w:line="240" w:lineRule="auto"/>
              <w:contextualSpacing w:val="0"/>
              <w:rPr>
                <w:rFonts w:asciiTheme="majorHAnsi" w:hAnsiTheme="majorHAnsi"/>
                <w:color w:val="404040" w:themeColor="text1" w:themeTint="BF"/>
                <w:sz w:val="20"/>
                <w:szCs w:val="20"/>
              </w:rPr>
            </w:pPr>
            <w:r w:rsidRPr="00FD7E46">
              <w:rPr>
                <w:rFonts w:asciiTheme="majorHAnsi" w:hAnsiTheme="majorHAnsi" w:cs="Segoe UI"/>
                <w:color w:val="404040" w:themeColor="text1" w:themeTint="BF"/>
                <w:sz w:val="20"/>
                <w:szCs w:val="20"/>
              </w:rPr>
              <w:t>Analyzing the balance of the refunds to donor accounts (GL Account 51040 and 21030) and follow up with HQ units and COs on accounting errors and aged balances</w:t>
            </w:r>
          </w:p>
        </w:tc>
      </w:tr>
      <w:tr w:rsidR="00E5285F" w:rsidRPr="009534CA" w14:paraId="03687919" w14:textId="77777777" w:rsidTr="007464B7">
        <w:tc>
          <w:tcPr>
            <w:tcW w:w="275" w:type="pct"/>
          </w:tcPr>
          <w:p w14:paraId="66EE1AD9" w14:textId="77777777" w:rsidR="008A7E9A"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lastRenderedPageBreak/>
              <w:t>32</w:t>
            </w:r>
          </w:p>
        </w:tc>
        <w:tc>
          <w:tcPr>
            <w:tcW w:w="1234" w:type="pct"/>
          </w:tcPr>
          <w:p w14:paraId="5788F1B7" w14:textId="05F8F1AD" w:rsidR="008A7E9A" w:rsidRPr="00B21999" w:rsidRDefault="008A7E9A" w:rsidP="00491C7E">
            <w:pPr>
              <w:rPr>
                <w:rFonts w:asciiTheme="majorHAnsi" w:hAnsiTheme="majorHAnsi"/>
                <w:color w:val="404040" w:themeColor="text1" w:themeTint="BF"/>
                <w:sz w:val="20"/>
                <w:szCs w:val="20"/>
              </w:rPr>
            </w:pPr>
            <w:r w:rsidRPr="00B21999">
              <w:rPr>
                <w:rFonts w:asciiTheme="majorHAnsi" w:hAnsiTheme="majorHAnsi"/>
                <w:color w:val="404040" w:themeColor="text1" w:themeTint="BF"/>
                <w:sz w:val="20"/>
                <w:szCs w:val="20"/>
              </w:rPr>
              <w:t xml:space="preserve">Notified </w:t>
            </w:r>
            <w:r w:rsidRPr="001C0B9C">
              <w:rPr>
                <w:rFonts w:asciiTheme="majorHAnsi" w:hAnsiTheme="majorHAnsi"/>
                <w:color w:val="404040" w:themeColor="text1" w:themeTint="BF"/>
                <w:sz w:val="20"/>
                <w:szCs w:val="20"/>
              </w:rPr>
              <w:t xml:space="preserve">GSSU Treasury </w:t>
            </w:r>
            <w:r w:rsidRPr="007B30BC">
              <w:rPr>
                <w:rFonts w:asciiTheme="majorHAnsi" w:hAnsiTheme="majorHAnsi"/>
                <w:color w:val="404040" w:themeColor="text1" w:themeTint="BF"/>
                <w:sz w:val="20"/>
                <w:szCs w:val="20"/>
              </w:rPr>
              <w:t xml:space="preserve">&lt;gssu.treasury@undp.org&gt; </w:t>
            </w:r>
            <w:r w:rsidRPr="00B21999">
              <w:rPr>
                <w:rFonts w:asciiTheme="majorHAnsi" w:hAnsiTheme="majorHAnsi"/>
                <w:color w:val="404040" w:themeColor="text1" w:themeTint="BF"/>
                <w:sz w:val="20"/>
                <w:szCs w:val="20"/>
              </w:rPr>
              <w:t>if the donor agreement requires interest to be refunded to the donor if specified in the agreement.</w:t>
            </w:r>
          </w:p>
        </w:tc>
        <w:tc>
          <w:tcPr>
            <w:tcW w:w="1510" w:type="pct"/>
          </w:tcPr>
          <w:p w14:paraId="5C5F2F0F" w14:textId="77777777" w:rsidR="008A7E9A"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Check the donor agreement if there are clauses that require interest to be refunded.</w:t>
            </w:r>
          </w:p>
          <w:p w14:paraId="3BADCF20" w14:textId="47BF8818" w:rsidR="008A7E9A" w:rsidRPr="009534CA" w:rsidRDefault="008A7E9A" w:rsidP="006A77CA">
            <w:pPr>
              <w:rPr>
                <w:rFonts w:asciiTheme="majorHAnsi" w:hAnsiTheme="majorHAnsi"/>
                <w:color w:val="404040" w:themeColor="text1" w:themeTint="BF"/>
                <w:sz w:val="20"/>
                <w:szCs w:val="20"/>
              </w:rPr>
            </w:pPr>
            <w:r w:rsidRPr="002B731D">
              <w:rPr>
                <w:rFonts w:asciiTheme="majorHAnsi" w:hAnsiTheme="majorHAnsi"/>
                <w:color w:val="404040" w:themeColor="text1" w:themeTint="BF"/>
                <w:sz w:val="20"/>
                <w:szCs w:val="20"/>
              </w:rPr>
              <w:t>Following UNDP policy in general, the interest from cost-sharing is not refunded to donors on CS contributions.</w:t>
            </w:r>
          </w:p>
        </w:tc>
        <w:tc>
          <w:tcPr>
            <w:tcW w:w="1980" w:type="pct"/>
          </w:tcPr>
          <w:p w14:paraId="15EFC9B5" w14:textId="00DE02EF" w:rsidR="008A7E9A" w:rsidRDefault="008A7E9A" w:rsidP="006A77CA">
            <w:pPr>
              <w:pStyle w:val="NormalWeb"/>
              <w:rPr>
                <w:rFonts w:asciiTheme="majorHAnsi" w:hAnsiTheme="majorHAnsi"/>
                <w:color w:val="404040" w:themeColor="text1" w:themeTint="BF"/>
                <w:sz w:val="20"/>
                <w:szCs w:val="20"/>
              </w:rPr>
            </w:pPr>
            <w:r w:rsidRPr="00156A2B">
              <w:rPr>
                <w:rFonts w:asciiTheme="majorHAnsi" w:hAnsiTheme="majorHAnsi"/>
                <w:color w:val="404040" w:themeColor="text1" w:themeTint="BF"/>
                <w:sz w:val="20"/>
                <w:szCs w:val="20"/>
              </w:rPr>
              <w:t>All interest income</w:t>
            </w:r>
            <w:r>
              <w:rPr>
                <w:rFonts w:asciiTheme="majorHAnsi" w:hAnsiTheme="majorHAnsi"/>
                <w:color w:val="404040" w:themeColor="text1" w:themeTint="BF"/>
                <w:sz w:val="20"/>
                <w:szCs w:val="20"/>
              </w:rPr>
              <w:t xml:space="preserve"> </w:t>
            </w:r>
            <w:r w:rsidRPr="00156A2B">
              <w:rPr>
                <w:rFonts w:asciiTheme="majorHAnsi" w:hAnsiTheme="majorHAnsi"/>
                <w:color w:val="404040" w:themeColor="text1" w:themeTint="BF"/>
                <w:sz w:val="20"/>
                <w:szCs w:val="20"/>
              </w:rPr>
              <w:t xml:space="preserve">has been credited directly to corresponding GL account “53045 – Allocated interest income”. </w:t>
            </w:r>
            <w:r w:rsidR="009A77F5" w:rsidRPr="009A77F5">
              <w:rPr>
                <w:rFonts w:asciiTheme="majorHAnsi" w:hAnsiTheme="majorHAnsi"/>
                <w:color w:val="404040" w:themeColor="text1" w:themeTint="BF"/>
                <w:sz w:val="20"/>
                <w:szCs w:val="20"/>
              </w:rPr>
              <w:t xml:space="preserve">under Donor code “00250 - ALLOCATED INTEREST” and Fund code 11888 (for cost-sharing projects). If the interest needs to be refunded, please follow the steps below to find out the </w:t>
            </w:r>
            <w:r w:rsidR="009A77F5" w:rsidRPr="009A77F5">
              <w:rPr>
                <w:rFonts w:asciiTheme="majorHAnsi" w:hAnsiTheme="majorHAnsi"/>
                <w:b/>
                <w:bCs/>
                <w:color w:val="404040" w:themeColor="text1" w:themeTint="BF"/>
                <w:sz w:val="20"/>
                <w:szCs w:val="20"/>
              </w:rPr>
              <w:t>interest amount</w:t>
            </w:r>
            <w:r>
              <w:rPr>
                <w:rFonts w:asciiTheme="majorHAnsi" w:hAnsiTheme="majorHAnsi"/>
                <w:color w:val="404040" w:themeColor="text1" w:themeTint="BF"/>
                <w:sz w:val="20"/>
                <w:szCs w:val="20"/>
              </w:rPr>
              <w:t xml:space="preserve"> </w:t>
            </w:r>
          </w:p>
          <w:p w14:paraId="2B19D862" w14:textId="77777777" w:rsidR="008A7E9A" w:rsidRDefault="008A7E9A" w:rsidP="006A77CA">
            <w:pPr>
              <w:pStyle w:val="NormalWeb"/>
              <w:rPr>
                <w:rFonts w:asciiTheme="majorHAnsi" w:hAnsiTheme="majorHAnsi"/>
                <w:color w:val="404040" w:themeColor="text1" w:themeTint="BF"/>
                <w:sz w:val="20"/>
                <w:szCs w:val="20"/>
              </w:rPr>
            </w:pPr>
            <w:r>
              <w:rPr>
                <w:rFonts w:asciiTheme="majorHAnsi" w:hAnsiTheme="majorHAnsi"/>
                <w:color w:val="404040" w:themeColor="text1" w:themeTint="BF"/>
                <w:sz w:val="20"/>
                <w:szCs w:val="20"/>
              </w:rPr>
              <w:t>Refer to Email on Subject: Cost Sharing Interest Allocation (</w:t>
            </w:r>
            <w:hyperlink r:id="rId86" w:history="1">
              <w:r w:rsidRPr="00021290">
                <w:rPr>
                  <w:rStyle w:val="Hyperlink"/>
                  <w:rFonts w:asciiTheme="majorHAnsi" w:hAnsiTheme="majorHAnsi"/>
                  <w:sz w:val="20"/>
                  <w:szCs w:val="20"/>
                </w:rPr>
                <w:t>link</w:t>
              </w:r>
            </w:hyperlink>
            <w:r>
              <w:rPr>
                <w:rFonts w:asciiTheme="majorHAnsi" w:hAnsiTheme="majorHAnsi"/>
                <w:color w:val="404040" w:themeColor="text1" w:themeTint="BF"/>
                <w:sz w:val="20"/>
                <w:szCs w:val="20"/>
              </w:rPr>
              <w:t xml:space="preserve">) </w:t>
            </w:r>
          </w:p>
          <w:p w14:paraId="51E26E1C" w14:textId="5271D9B5" w:rsidR="009A77F5" w:rsidRPr="009A77F5" w:rsidRDefault="009A77F5" w:rsidP="009A77F5">
            <w:pPr>
              <w:pStyle w:val="NormalWeb"/>
              <w:numPr>
                <w:ilvl w:val="2"/>
                <w:numId w:val="16"/>
              </w:numPr>
              <w:ind w:left="342"/>
              <w:rPr>
                <w:rFonts w:asciiTheme="majorHAnsi" w:hAnsiTheme="majorHAnsi"/>
                <w:color w:val="404040" w:themeColor="text1" w:themeTint="BF"/>
                <w:sz w:val="20"/>
                <w:szCs w:val="20"/>
              </w:rPr>
            </w:pPr>
            <w:r w:rsidRPr="009A77F5">
              <w:rPr>
                <w:rFonts w:asciiTheme="majorHAnsi" w:hAnsiTheme="majorHAnsi"/>
                <w:color w:val="404040" w:themeColor="text1" w:themeTint="BF"/>
                <w:sz w:val="20"/>
                <w:szCs w:val="20"/>
              </w:rPr>
              <w:t xml:space="preserve">Use the ledger query to check the </w:t>
            </w:r>
            <w:r w:rsidRPr="009A77F5">
              <w:rPr>
                <w:rFonts w:asciiTheme="majorHAnsi" w:hAnsiTheme="majorHAnsi"/>
                <w:color w:val="404040" w:themeColor="text1" w:themeTint="BF"/>
                <w:sz w:val="20"/>
                <w:szCs w:val="20"/>
                <w:u w:val="single"/>
              </w:rPr>
              <w:t>tota</w:t>
            </w:r>
            <w:r w:rsidRPr="009A77F5">
              <w:rPr>
                <w:rFonts w:asciiTheme="majorHAnsi" w:hAnsiTheme="majorHAnsi"/>
                <w:color w:val="404040" w:themeColor="text1" w:themeTint="BF"/>
                <w:sz w:val="20"/>
                <w:szCs w:val="20"/>
              </w:rPr>
              <w:t xml:space="preserve">l interest allocated to the Country Office by </w:t>
            </w:r>
            <w:proofErr w:type="spellStart"/>
            <w:r w:rsidRPr="009A77F5">
              <w:rPr>
                <w:rFonts w:asciiTheme="majorHAnsi" w:hAnsiTheme="majorHAnsi"/>
                <w:color w:val="404040" w:themeColor="text1" w:themeTint="BF"/>
                <w:sz w:val="20"/>
                <w:szCs w:val="20"/>
              </w:rPr>
              <w:t>Oper</w:t>
            </w:r>
            <w:proofErr w:type="spellEnd"/>
            <w:r w:rsidRPr="009A77F5">
              <w:rPr>
                <w:rFonts w:asciiTheme="majorHAnsi" w:hAnsiTheme="majorHAnsi"/>
                <w:color w:val="404040" w:themeColor="text1" w:themeTint="BF"/>
                <w:sz w:val="20"/>
                <w:szCs w:val="20"/>
              </w:rPr>
              <w:t xml:space="preserve"> Unit and/or Department ID. </w:t>
            </w:r>
            <w:r w:rsidRPr="009A77F5">
              <w:rPr>
                <w:rFonts w:asciiTheme="majorHAnsi" w:hAnsiTheme="majorHAnsi"/>
                <w:color w:val="404040" w:themeColor="text1" w:themeTint="BF"/>
                <w:sz w:val="20"/>
                <w:szCs w:val="20"/>
                <w:lang w:val="en-GB"/>
              </w:rPr>
              <w:t xml:space="preserve">  </w:t>
            </w:r>
          </w:p>
          <w:p w14:paraId="76A702E8" w14:textId="77777777" w:rsidR="009A77F5" w:rsidRPr="009A77F5" w:rsidRDefault="009A77F5" w:rsidP="009A77F5">
            <w:pPr>
              <w:pStyle w:val="NormalWeb"/>
              <w:spacing w:after="0"/>
              <w:ind w:left="342"/>
              <w:rPr>
                <w:rFonts w:asciiTheme="majorHAnsi" w:hAnsiTheme="majorHAnsi"/>
                <w:color w:val="404040" w:themeColor="text1" w:themeTint="BF"/>
                <w:sz w:val="20"/>
                <w:szCs w:val="20"/>
                <w:lang w:val="en-MY"/>
              </w:rPr>
            </w:pPr>
            <w:r w:rsidRPr="009A77F5">
              <w:rPr>
                <w:rFonts w:asciiTheme="majorHAnsi" w:hAnsiTheme="majorHAnsi"/>
                <w:color w:val="404040" w:themeColor="text1" w:themeTint="BF"/>
                <w:sz w:val="20"/>
                <w:szCs w:val="20"/>
                <w:lang w:val="en-MY"/>
              </w:rPr>
              <w:lastRenderedPageBreak/>
              <w:t>Navigation: General Ledger&gt;Review Financial Information&gt;Ledger, fill in the criteria for your Operating Unit and other fields.</w:t>
            </w:r>
          </w:p>
          <w:p w14:paraId="00277D37" w14:textId="1DDC9CB8" w:rsidR="009A77F5" w:rsidRPr="009A77F5" w:rsidRDefault="009A77F5" w:rsidP="009A77F5">
            <w:pPr>
              <w:pStyle w:val="NormalWeb"/>
              <w:spacing w:after="0"/>
              <w:rPr>
                <w:rFonts w:asciiTheme="majorHAnsi" w:hAnsiTheme="majorHAnsi"/>
                <w:color w:val="404040" w:themeColor="text1" w:themeTint="BF"/>
                <w:sz w:val="20"/>
                <w:szCs w:val="20"/>
                <w:lang w:val="en-MY"/>
              </w:rPr>
            </w:pPr>
            <w:r w:rsidRPr="009A77F5">
              <w:rPr>
                <w:rFonts w:asciiTheme="majorHAnsi" w:hAnsiTheme="majorHAnsi"/>
                <w:color w:val="404040" w:themeColor="text1" w:themeTint="BF"/>
                <w:sz w:val="20"/>
                <w:szCs w:val="20"/>
                <w:lang w:val="en-MY"/>
              </w:rPr>
              <w:t>2)   Run AAA report to get the details of interest income at project level:</w:t>
            </w:r>
          </w:p>
          <w:p w14:paraId="05FB4F12" w14:textId="77777777" w:rsidR="009A77F5" w:rsidRPr="009A77F5" w:rsidRDefault="009A77F5" w:rsidP="009A77F5">
            <w:pPr>
              <w:pStyle w:val="NormalWeb"/>
              <w:numPr>
                <w:ilvl w:val="0"/>
                <w:numId w:val="38"/>
              </w:numPr>
              <w:rPr>
                <w:rFonts w:asciiTheme="majorHAnsi" w:hAnsiTheme="majorHAnsi"/>
                <w:color w:val="404040" w:themeColor="text1" w:themeTint="BF"/>
                <w:sz w:val="20"/>
                <w:szCs w:val="20"/>
              </w:rPr>
            </w:pPr>
            <w:r w:rsidRPr="009A77F5">
              <w:rPr>
                <w:rFonts w:asciiTheme="majorHAnsi" w:hAnsiTheme="majorHAnsi"/>
                <w:color w:val="404040" w:themeColor="text1" w:themeTint="BF"/>
                <w:sz w:val="20"/>
                <w:szCs w:val="20"/>
              </w:rPr>
              <w:t xml:space="preserve">Navigation: UN Reports&gt;Financial Management Reports&gt;Accounts Management Reports&gt;Account Activity Analysis, fill in the criteria for your Operating Unit and Fund code (i.e. 11888 for interest earned to the cost-sharing projects) and </w:t>
            </w:r>
            <w:proofErr w:type="spellStart"/>
            <w:r w:rsidRPr="009A77F5">
              <w:rPr>
                <w:rFonts w:asciiTheme="majorHAnsi" w:hAnsiTheme="majorHAnsi"/>
                <w:color w:val="404040" w:themeColor="text1" w:themeTint="BF"/>
                <w:sz w:val="20"/>
                <w:szCs w:val="20"/>
              </w:rPr>
              <w:t>Oper</w:t>
            </w:r>
            <w:proofErr w:type="spellEnd"/>
            <w:r w:rsidRPr="009A77F5">
              <w:rPr>
                <w:rFonts w:asciiTheme="majorHAnsi" w:hAnsiTheme="majorHAnsi"/>
                <w:color w:val="404040" w:themeColor="text1" w:themeTint="BF"/>
                <w:sz w:val="20"/>
                <w:szCs w:val="20"/>
              </w:rPr>
              <w:t xml:space="preserve"> Unit then click on Run. </w:t>
            </w:r>
          </w:p>
          <w:p w14:paraId="15151FD6" w14:textId="77777777" w:rsidR="009A77F5" w:rsidRPr="009A77F5" w:rsidRDefault="009A77F5" w:rsidP="009A77F5">
            <w:pPr>
              <w:pStyle w:val="NormalWeb"/>
              <w:numPr>
                <w:ilvl w:val="0"/>
                <w:numId w:val="38"/>
              </w:numPr>
              <w:rPr>
                <w:rFonts w:asciiTheme="majorHAnsi" w:hAnsiTheme="majorHAnsi"/>
                <w:color w:val="404040" w:themeColor="text1" w:themeTint="BF"/>
                <w:sz w:val="20"/>
                <w:szCs w:val="20"/>
              </w:rPr>
            </w:pPr>
            <w:r w:rsidRPr="009A77F5">
              <w:rPr>
                <w:rFonts w:asciiTheme="majorHAnsi" w:hAnsiTheme="majorHAnsi"/>
                <w:color w:val="404040" w:themeColor="text1" w:themeTint="BF"/>
                <w:sz w:val="20"/>
                <w:szCs w:val="20"/>
              </w:rPr>
              <w:t xml:space="preserve">Use the excel application to open the AAA report (.txt) and save it as .xlsx </w:t>
            </w:r>
          </w:p>
          <w:p w14:paraId="667322BA" w14:textId="77777777" w:rsidR="009A77F5" w:rsidRPr="009A77F5" w:rsidRDefault="009A77F5" w:rsidP="009A77F5">
            <w:pPr>
              <w:pStyle w:val="NormalWeb"/>
              <w:numPr>
                <w:ilvl w:val="0"/>
                <w:numId w:val="38"/>
              </w:numPr>
              <w:rPr>
                <w:rFonts w:asciiTheme="majorHAnsi" w:hAnsiTheme="majorHAnsi"/>
                <w:color w:val="404040" w:themeColor="text1" w:themeTint="BF"/>
                <w:sz w:val="20"/>
                <w:szCs w:val="20"/>
              </w:rPr>
            </w:pPr>
            <w:r w:rsidRPr="009A77F5">
              <w:rPr>
                <w:rFonts w:asciiTheme="majorHAnsi" w:hAnsiTheme="majorHAnsi"/>
                <w:color w:val="404040" w:themeColor="text1" w:themeTint="BF"/>
                <w:sz w:val="20"/>
                <w:szCs w:val="20"/>
              </w:rPr>
              <w:t>Look at Column “Description2” to filter for your specific Output ID. Account code should be filtered to 53045.</w:t>
            </w:r>
          </w:p>
          <w:p w14:paraId="6A082640" w14:textId="77777777" w:rsidR="009A77F5" w:rsidRPr="009A77F5" w:rsidRDefault="009A77F5" w:rsidP="009A77F5">
            <w:pPr>
              <w:pStyle w:val="NormalWeb"/>
              <w:rPr>
                <w:rFonts w:asciiTheme="majorHAnsi" w:hAnsiTheme="majorHAnsi"/>
                <w:color w:val="404040" w:themeColor="text1" w:themeTint="BF"/>
                <w:sz w:val="20"/>
                <w:szCs w:val="20"/>
              </w:rPr>
            </w:pPr>
          </w:p>
          <w:p w14:paraId="55B06454" w14:textId="77777777" w:rsidR="009A77F5" w:rsidRPr="009A77F5" w:rsidRDefault="009A77F5" w:rsidP="009A77F5">
            <w:pPr>
              <w:pStyle w:val="NormalWeb"/>
              <w:rPr>
                <w:rFonts w:asciiTheme="majorHAnsi" w:hAnsiTheme="majorHAnsi"/>
                <w:color w:val="404040" w:themeColor="text1" w:themeTint="BF"/>
                <w:sz w:val="20"/>
                <w:szCs w:val="20"/>
              </w:rPr>
            </w:pPr>
            <w:r w:rsidRPr="009A77F5">
              <w:rPr>
                <w:rFonts w:asciiTheme="majorHAnsi" w:hAnsiTheme="majorHAnsi"/>
                <w:color w:val="404040" w:themeColor="text1" w:themeTint="BF"/>
                <w:sz w:val="20"/>
                <w:szCs w:val="20"/>
              </w:rPr>
              <w:t xml:space="preserve">3) The interest income allocation is normally scheduled once per year after the year end closure. It is likely credited to fund 11888 in approximately in February of the following year. If there is a need to refund the current year’s interest before the normal schedule, please contact </w:t>
            </w:r>
            <w:hyperlink r:id="rId87" w:history="1">
              <w:r w:rsidRPr="009A77F5">
                <w:rPr>
                  <w:rStyle w:val="Hyperlink"/>
                  <w:rFonts w:asciiTheme="majorHAnsi" w:hAnsiTheme="majorHAnsi"/>
                  <w:sz w:val="20"/>
                  <w:szCs w:val="20"/>
                </w:rPr>
                <w:t>gssu.treasury@undp.org</w:t>
              </w:r>
            </w:hyperlink>
            <w:r w:rsidRPr="009A77F5">
              <w:rPr>
                <w:rFonts w:asciiTheme="majorHAnsi" w:hAnsiTheme="majorHAnsi"/>
                <w:color w:val="404040" w:themeColor="text1" w:themeTint="BF"/>
                <w:sz w:val="20"/>
                <w:szCs w:val="20"/>
              </w:rPr>
              <w:t xml:space="preserve"> to request for early allocation or the estimate amount. </w:t>
            </w:r>
          </w:p>
          <w:p w14:paraId="57A6A497" w14:textId="145DBDA9" w:rsidR="009A77F5" w:rsidRDefault="009A77F5" w:rsidP="009A77F5">
            <w:pPr>
              <w:pStyle w:val="NormalWeb"/>
              <w:numPr>
                <w:ilvl w:val="0"/>
                <w:numId w:val="14"/>
              </w:numPr>
              <w:ind w:left="342"/>
              <w:rPr>
                <w:rFonts w:asciiTheme="majorHAnsi" w:hAnsiTheme="majorHAnsi"/>
                <w:color w:val="404040" w:themeColor="text1" w:themeTint="BF"/>
                <w:sz w:val="20"/>
                <w:szCs w:val="20"/>
              </w:rPr>
            </w:pPr>
            <w:r w:rsidRPr="009A77F5">
              <w:rPr>
                <w:rFonts w:asciiTheme="majorHAnsi" w:hAnsiTheme="majorHAnsi"/>
                <w:color w:val="404040" w:themeColor="text1" w:themeTint="BF"/>
                <w:sz w:val="20"/>
                <w:szCs w:val="20"/>
              </w:rPr>
              <w:t>Once the interest income amount is identified, GSSU Clustering team will transfer the interest income through GLJE from 11888 – blank Output ID (in case of the cost sharing projects) to the existing cost-sharing fund code (i.e. 30000 for third-party cost sharing fund) and specific Output ID. Account should be 51035 on both debit and credit sides.</w:t>
            </w:r>
          </w:p>
          <w:p w14:paraId="6FAFB95F" w14:textId="77777777" w:rsidR="009A77F5" w:rsidRPr="009A77F5" w:rsidRDefault="009A77F5" w:rsidP="009A77F5">
            <w:pPr>
              <w:pStyle w:val="NormalWeb"/>
              <w:ind w:left="342"/>
              <w:rPr>
                <w:rFonts w:asciiTheme="majorHAnsi" w:hAnsiTheme="majorHAnsi"/>
                <w:color w:val="404040" w:themeColor="text1" w:themeTint="BF"/>
                <w:sz w:val="20"/>
                <w:szCs w:val="20"/>
              </w:rPr>
            </w:pPr>
          </w:p>
          <w:p w14:paraId="42FAFD70" w14:textId="709A6F60" w:rsidR="008A7E9A" w:rsidRPr="009534CA" w:rsidRDefault="009A77F5" w:rsidP="009A77F5">
            <w:pPr>
              <w:pStyle w:val="NormalWeb"/>
              <w:numPr>
                <w:ilvl w:val="0"/>
                <w:numId w:val="14"/>
              </w:numPr>
              <w:ind w:left="342"/>
              <w:rPr>
                <w:rFonts w:asciiTheme="majorHAnsi" w:hAnsiTheme="majorHAnsi"/>
                <w:color w:val="404040" w:themeColor="text1" w:themeTint="BF"/>
                <w:sz w:val="20"/>
                <w:szCs w:val="20"/>
              </w:rPr>
            </w:pPr>
            <w:r w:rsidRPr="009A77F5">
              <w:rPr>
                <w:rFonts w:asciiTheme="majorHAnsi" w:hAnsiTheme="majorHAnsi"/>
                <w:color w:val="404040" w:themeColor="text1" w:themeTint="BF"/>
                <w:sz w:val="20"/>
                <w:szCs w:val="20"/>
                <w:lang w:val="en-MY"/>
              </w:rPr>
              <w:t xml:space="preserve">After the interest income is credited into the specific Output to be refunded to donor, GSSU Clustering team will prepare AP Payment voucher for the refund of interest income (possibly) together with the unspent balance back to the donor. </w:t>
            </w:r>
          </w:p>
        </w:tc>
      </w:tr>
      <w:tr w:rsidR="00E5285F" w:rsidRPr="009534CA" w14:paraId="1C71D72C" w14:textId="77777777" w:rsidTr="007464B7">
        <w:tc>
          <w:tcPr>
            <w:tcW w:w="275" w:type="pct"/>
          </w:tcPr>
          <w:p w14:paraId="59FA5520" w14:textId="77777777" w:rsidR="008A7E9A"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lastRenderedPageBreak/>
              <w:t>33</w:t>
            </w:r>
          </w:p>
        </w:tc>
        <w:tc>
          <w:tcPr>
            <w:tcW w:w="1234" w:type="pct"/>
          </w:tcPr>
          <w:p w14:paraId="73A08A6F" w14:textId="0909E0A2" w:rsidR="008A7E9A" w:rsidRPr="00B21999" w:rsidRDefault="008A7E9A" w:rsidP="006A77CA">
            <w:pPr>
              <w:rPr>
                <w:rFonts w:asciiTheme="majorHAnsi" w:hAnsiTheme="majorHAnsi"/>
                <w:color w:val="404040" w:themeColor="text1" w:themeTint="BF"/>
                <w:sz w:val="20"/>
                <w:szCs w:val="20"/>
              </w:rPr>
            </w:pPr>
            <w:r w:rsidRPr="00B21999">
              <w:rPr>
                <w:rFonts w:asciiTheme="majorHAnsi" w:hAnsiTheme="majorHAnsi"/>
                <w:color w:val="404040" w:themeColor="text1" w:themeTint="BF"/>
                <w:sz w:val="20"/>
                <w:szCs w:val="20"/>
              </w:rPr>
              <w:t>Notified the GSS</w:t>
            </w:r>
            <w:r>
              <w:rPr>
                <w:rFonts w:asciiTheme="majorHAnsi" w:hAnsiTheme="majorHAnsi"/>
                <w:color w:val="404040" w:themeColor="text1" w:themeTint="BF"/>
                <w:sz w:val="20"/>
                <w:szCs w:val="20"/>
              </w:rPr>
              <w:t>U</w:t>
            </w:r>
            <w:r w:rsidRPr="00B21999">
              <w:rPr>
                <w:rFonts w:asciiTheme="majorHAnsi" w:hAnsiTheme="majorHAnsi"/>
                <w:color w:val="404040" w:themeColor="text1" w:themeTint="BF"/>
                <w:sz w:val="20"/>
                <w:szCs w:val="20"/>
              </w:rPr>
              <w:t xml:space="preserve"> to close any associated contract in the </w:t>
            </w:r>
            <w:r w:rsidR="00D470D1">
              <w:rPr>
                <w:rFonts w:asciiTheme="majorHAnsi" w:hAnsiTheme="majorHAnsi"/>
                <w:color w:val="404040" w:themeColor="text1" w:themeTint="BF"/>
                <w:sz w:val="20"/>
                <w:szCs w:val="20"/>
              </w:rPr>
              <w:t>C</w:t>
            </w:r>
            <w:r w:rsidRPr="00B21999">
              <w:rPr>
                <w:rFonts w:asciiTheme="majorHAnsi" w:hAnsiTheme="majorHAnsi"/>
                <w:color w:val="404040" w:themeColor="text1" w:themeTint="BF"/>
                <w:sz w:val="20"/>
                <w:szCs w:val="20"/>
              </w:rPr>
              <w:t>ontracts module.</w:t>
            </w:r>
          </w:p>
        </w:tc>
        <w:tc>
          <w:tcPr>
            <w:tcW w:w="1510" w:type="pct"/>
          </w:tcPr>
          <w:p w14:paraId="70EBAE0C" w14:textId="6529ABB3" w:rsidR="008A7E9A" w:rsidRPr="009534CA"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GSSU verification of contract closure via e-mail.</w:t>
            </w:r>
          </w:p>
        </w:tc>
        <w:tc>
          <w:tcPr>
            <w:tcW w:w="1980" w:type="pct"/>
          </w:tcPr>
          <w:p w14:paraId="1C80E797" w14:textId="53CE0CE0" w:rsidR="008A7E9A" w:rsidRPr="009534CA"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 xml:space="preserve">Please contact GSSU </w:t>
            </w:r>
            <w:r w:rsidRPr="007B30BC">
              <w:rPr>
                <w:rFonts w:asciiTheme="majorHAnsi" w:hAnsiTheme="majorHAnsi"/>
                <w:color w:val="404040" w:themeColor="text1" w:themeTint="BF"/>
                <w:sz w:val="20"/>
                <w:szCs w:val="20"/>
              </w:rPr>
              <w:t>&lt;</w:t>
            </w:r>
            <w:hyperlink r:id="rId88" w:history="1">
              <w:r w:rsidRPr="007B30BC">
                <w:rPr>
                  <w:rStyle w:val="Hyperlink"/>
                  <w:rFonts w:asciiTheme="majorHAnsi" w:hAnsiTheme="majorHAnsi"/>
                  <w:color w:val="404040" w:themeColor="text1" w:themeTint="BF"/>
                  <w:sz w:val="20"/>
                  <w:szCs w:val="20"/>
                </w:rPr>
                <w:t>gssu.revenue@undp.org</w:t>
              </w:r>
            </w:hyperlink>
            <w:r w:rsidRPr="007B30BC">
              <w:rPr>
                <w:rStyle w:val="Hyperlink"/>
                <w:rFonts w:asciiTheme="majorHAnsi" w:hAnsiTheme="majorHAnsi"/>
                <w:color w:val="404040" w:themeColor="text1" w:themeTint="BF"/>
                <w:sz w:val="20"/>
                <w:szCs w:val="20"/>
              </w:rPr>
              <w:t xml:space="preserve">&gt; </w:t>
            </w:r>
            <w:r>
              <w:rPr>
                <w:rFonts w:asciiTheme="majorHAnsi" w:hAnsiTheme="majorHAnsi"/>
                <w:color w:val="404040" w:themeColor="text1" w:themeTint="BF"/>
                <w:sz w:val="20"/>
                <w:szCs w:val="20"/>
              </w:rPr>
              <w:t xml:space="preserve">and request that contract be closed. </w:t>
            </w:r>
            <w:r w:rsidR="009A77F5">
              <w:rPr>
                <w:rFonts w:asciiTheme="majorHAnsi" w:hAnsiTheme="majorHAnsi"/>
                <w:color w:val="404040" w:themeColor="text1" w:themeTint="BF"/>
                <w:sz w:val="20"/>
                <w:szCs w:val="20"/>
              </w:rPr>
              <w:t xml:space="preserve">CO to </w:t>
            </w:r>
            <w:r>
              <w:rPr>
                <w:rFonts w:asciiTheme="majorHAnsi" w:hAnsiTheme="majorHAnsi"/>
                <w:color w:val="404040" w:themeColor="text1" w:themeTint="BF"/>
                <w:sz w:val="20"/>
                <w:szCs w:val="20"/>
              </w:rPr>
              <w:t xml:space="preserve">provide the written consent if there are any outstanding </w:t>
            </w:r>
            <w:r w:rsidR="009A77F5">
              <w:rPr>
                <w:rFonts w:asciiTheme="majorHAnsi" w:hAnsiTheme="majorHAnsi"/>
                <w:color w:val="404040" w:themeColor="text1" w:themeTint="BF"/>
                <w:sz w:val="20"/>
                <w:szCs w:val="20"/>
              </w:rPr>
              <w:t xml:space="preserve">contribution </w:t>
            </w:r>
            <w:r>
              <w:rPr>
                <w:rFonts w:asciiTheme="majorHAnsi" w:hAnsiTheme="majorHAnsi"/>
                <w:color w:val="404040" w:themeColor="text1" w:themeTint="BF"/>
                <w:sz w:val="20"/>
                <w:szCs w:val="20"/>
              </w:rPr>
              <w:t>receivables from the contract module that should be written off. Supporting documentation is uploaded in Atlas Project Management (Grants &gt; Project Mgt. &gt; Approved Projects &gt; Monitoring/Attachments Tabs.</w:t>
            </w:r>
          </w:p>
        </w:tc>
      </w:tr>
      <w:tr w:rsidR="00E5285F" w:rsidRPr="009534CA" w14:paraId="11D366B2" w14:textId="77777777" w:rsidTr="007464B7">
        <w:tc>
          <w:tcPr>
            <w:tcW w:w="275" w:type="pct"/>
          </w:tcPr>
          <w:p w14:paraId="5658694E" w14:textId="77777777" w:rsidR="008A7E9A"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34</w:t>
            </w:r>
          </w:p>
        </w:tc>
        <w:tc>
          <w:tcPr>
            <w:tcW w:w="1234" w:type="pct"/>
          </w:tcPr>
          <w:p w14:paraId="18CCC9A1" w14:textId="77777777" w:rsidR="008A7E9A" w:rsidRPr="00B21999" w:rsidRDefault="008A7E9A" w:rsidP="006A77CA">
            <w:pPr>
              <w:rPr>
                <w:rFonts w:asciiTheme="majorHAnsi" w:hAnsiTheme="majorHAnsi"/>
                <w:color w:val="404040" w:themeColor="text1" w:themeTint="BF"/>
                <w:sz w:val="20"/>
                <w:szCs w:val="20"/>
              </w:rPr>
            </w:pPr>
            <w:r w:rsidRPr="00B21999">
              <w:rPr>
                <w:rFonts w:asciiTheme="majorHAnsi" w:hAnsiTheme="majorHAnsi"/>
                <w:color w:val="404040" w:themeColor="text1" w:themeTint="BF"/>
                <w:sz w:val="20"/>
                <w:szCs w:val="20"/>
              </w:rPr>
              <w:t>All donor reports, as established in the Cost Sharing agreement, were submitted and acknowledged receipt by the donor representative.</w:t>
            </w:r>
          </w:p>
        </w:tc>
        <w:tc>
          <w:tcPr>
            <w:tcW w:w="1510" w:type="pct"/>
          </w:tcPr>
          <w:p w14:paraId="035FD55F" w14:textId="77777777" w:rsidR="008A7E9A" w:rsidRPr="009534CA"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 xml:space="preserve">Record compliance in Atlas Project Mgt. “Monitoring” tab as per agreement. Supporting documentation uploaded to Atlas (Attachments Tab). </w:t>
            </w:r>
          </w:p>
        </w:tc>
        <w:tc>
          <w:tcPr>
            <w:tcW w:w="1980" w:type="pct"/>
          </w:tcPr>
          <w:p w14:paraId="67D3F616" w14:textId="77777777" w:rsidR="008A7E9A"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Milestones for donor reporting should be recorded in Atlas Project Management (Grants &gt; Project Mgt. &gt; Approved Projects &gt; Monitoring/Attachments Tabs.   Compliance with donor reporting is recorded here.  If not done, in a timely manner, data to be entered ex post facto using non-Atlas sources of information.  Supporting documentation to be uploaded to Attachments Tab.</w:t>
            </w:r>
          </w:p>
          <w:p w14:paraId="0E89539D" w14:textId="09F12097" w:rsidR="008A7E9A" w:rsidRPr="009534CA" w:rsidRDefault="008A7E9A" w:rsidP="003D400A">
            <w:pPr>
              <w:pStyle w:val="CommentText"/>
              <w:rPr>
                <w:rFonts w:asciiTheme="majorHAnsi" w:hAnsiTheme="majorHAnsi"/>
                <w:color w:val="404040" w:themeColor="text1" w:themeTint="BF"/>
              </w:rPr>
            </w:pPr>
            <w:r w:rsidRPr="003D400A">
              <w:rPr>
                <w:rFonts w:asciiTheme="majorHAnsi" w:hAnsiTheme="majorHAnsi"/>
                <w:color w:val="595959" w:themeColor="text1" w:themeTint="A6"/>
              </w:rPr>
              <w:t xml:space="preserve">COs should not prepare donor reports manually. In order to ensure that CO’s report agrees to the GL, and the balance is consistent with CFR that will be submitted to donors in the following year, after financial closure is done, COs should </w:t>
            </w:r>
            <w:r>
              <w:rPr>
                <w:rFonts w:asciiTheme="majorHAnsi" w:hAnsiTheme="majorHAnsi"/>
                <w:color w:val="595959" w:themeColor="text1" w:themeTint="A6"/>
              </w:rPr>
              <w:t>run</w:t>
            </w:r>
            <w:r w:rsidRPr="003D400A">
              <w:rPr>
                <w:rFonts w:asciiTheme="majorHAnsi" w:hAnsiTheme="majorHAnsi"/>
                <w:color w:val="595959" w:themeColor="text1" w:themeTint="A6"/>
              </w:rPr>
              <w:t xml:space="preserve"> a </w:t>
            </w:r>
            <w:hyperlink r:id="rId89" w:history="1">
              <w:r w:rsidRPr="003D400A">
                <w:rPr>
                  <w:rStyle w:val="Hyperlink"/>
                  <w:rFonts w:asciiTheme="majorHAnsi" w:hAnsiTheme="majorHAnsi"/>
                  <w14:textFill>
                    <w14:solidFill>
                      <w14:srgbClr w14:val="0000FF">
                        <w14:lumMod w14:val="65000"/>
                        <w14:lumOff w14:val="35000"/>
                      </w14:srgbClr>
                    </w14:solidFill>
                  </w14:textFill>
                </w:rPr>
                <w:t>CPFR report</w:t>
              </w:r>
            </w:hyperlink>
            <w:r w:rsidRPr="003D400A">
              <w:rPr>
                <w:rFonts w:asciiTheme="majorHAnsi" w:hAnsiTheme="majorHAnsi"/>
                <w:color w:val="595959" w:themeColor="text1" w:themeTint="A6"/>
              </w:rPr>
              <w:t xml:space="preserve"> and submit to donors as interim reporting.</w:t>
            </w:r>
          </w:p>
        </w:tc>
      </w:tr>
      <w:tr w:rsidR="00E5285F" w:rsidRPr="009534CA" w14:paraId="0F803202" w14:textId="77777777" w:rsidTr="007464B7">
        <w:tc>
          <w:tcPr>
            <w:tcW w:w="275" w:type="pct"/>
          </w:tcPr>
          <w:p w14:paraId="76176FA3" w14:textId="77777777" w:rsidR="008A7E9A"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35</w:t>
            </w:r>
          </w:p>
        </w:tc>
        <w:tc>
          <w:tcPr>
            <w:tcW w:w="1234" w:type="pct"/>
          </w:tcPr>
          <w:p w14:paraId="7C22AA29" w14:textId="77777777" w:rsidR="008A7E9A" w:rsidRPr="00B21999" w:rsidRDefault="008A7E9A" w:rsidP="006A77CA">
            <w:pPr>
              <w:rPr>
                <w:rFonts w:asciiTheme="majorHAnsi" w:hAnsiTheme="majorHAnsi"/>
                <w:color w:val="404040" w:themeColor="text1" w:themeTint="BF"/>
                <w:sz w:val="20"/>
                <w:szCs w:val="20"/>
              </w:rPr>
            </w:pPr>
            <w:r w:rsidRPr="00B21999">
              <w:rPr>
                <w:rFonts w:asciiTheme="majorHAnsi" w:hAnsiTheme="majorHAnsi"/>
                <w:color w:val="404040" w:themeColor="text1" w:themeTint="BF"/>
                <w:sz w:val="20"/>
                <w:szCs w:val="20"/>
              </w:rPr>
              <w:t>Ensure project accounts are closed.</w:t>
            </w:r>
          </w:p>
        </w:tc>
        <w:tc>
          <w:tcPr>
            <w:tcW w:w="1510" w:type="pct"/>
          </w:tcPr>
          <w:p w14:paraId="540491DA" w14:textId="77777777" w:rsidR="008A7E9A" w:rsidRDefault="008A7E9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Project status in Atlas = “F” financially closed and Award status as “Closed” when all projects under the award are financially closed</w:t>
            </w:r>
          </w:p>
          <w:p w14:paraId="58E6E11A" w14:textId="51377575" w:rsidR="008A7E9A" w:rsidRPr="009534CA" w:rsidRDefault="008A7E9A" w:rsidP="006A77CA">
            <w:pPr>
              <w:rPr>
                <w:rFonts w:asciiTheme="majorHAnsi" w:hAnsiTheme="majorHAnsi"/>
                <w:color w:val="404040" w:themeColor="text1" w:themeTint="BF"/>
                <w:sz w:val="20"/>
                <w:szCs w:val="20"/>
              </w:rPr>
            </w:pPr>
          </w:p>
        </w:tc>
        <w:tc>
          <w:tcPr>
            <w:tcW w:w="1980" w:type="pct"/>
          </w:tcPr>
          <w:p w14:paraId="2C56862D" w14:textId="66C7465F" w:rsidR="008A7E9A" w:rsidRPr="00F76DED" w:rsidRDefault="008A7E9A" w:rsidP="006A77CA">
            <w:pPr>
              <w:spacing w:before="100" w:beforeAutospacing="1" w:after="100" w:afterAutospacing="1"/>
              <w:rPr>
                <w:rFonts w:ascii="Cambria" w:eastAsia="Times New Roman" w:hAnsi="Cambria" w:cs="Times New Roman"/>
                <w:color w:val="404040" w:themeColor="text1" w:themeTint="BF"/>
                <w:sz w:val="20"/>
                <w:szCs w:val="20"/>
              </w:rPr>
            </w:pPr>
            <w:r>
              <w:rPr>
                <w:rFonts w:ascii="Cambria" w:eastAsia="Times New Roman" w:hAnsi="Cambria" w:cs="Times New Roman"/>
                <w:color w:val="404040" w:themeColor="text1" w:themeTint="BF"/>
                <w:sz w:val="20"/>
                <w:szCs w:val="20"/>
              </w:rPr>
              <w:lastRenderedPageBreak/>
              <w:t>Closure of any project-based financial accounts or funds. Once confirmed, p</w:t>
            </w:r>
            <w:r w:rsidRPr="00F76DED">
              <w:rPr>
                <w:rFonts w:ascii="Cambria" w:eastAsia="Times New Roman" w:hAnsi="Cambria" w:cs="Times New Roman"/>
                <w:color w:val="404040" w:themeColor="text1" w:themeTint="BF"/>
                <w:sz w:val="20"/>
                <w:szCs w:val="20"/>
              </w:rPr>
              <w:t xml:space="preserve">roject status in the Atlas Projects module (Awards &gt; Project &gt; Project Status) must be changed to “F” indicating Financially </w:t>
            </w:r>
            <w:r w:rsidRPr="00F76DED">
              <w:rPr>
                <w:rFonts w:ascii="Cambria" w:eastAsia="Times New Roman" w:hAnsi="Cambria" w:cs="Times New Roman"/>
                <w:color w:val="404040" w:themeColor="text1" w:themeTint="BF"/>
                <w:sz w:val="20"/>
                <w:szCs w:val="20"/>
              </w:rPr>
              <w:lastRenderedPageBreak/>
              <w:t xml:space="preserve">Closed.  Only then can no further financial transactions can be made.  If the project remains in either “O” (ongoing) or “C” (operationally closed) status, it will continue to be subject to possible financial transactions and will be included in the census of on-going or inactive projects. </w:t>
            </w:r>
          </w:p>
          <w:p w14:paraId="0E663D20" w14:textId="39E69150" w:rsidR="008A7E9A" w:rsidRPr="00F76DED" w:rsidRDefault="008A7E9A" w:rsidP="006A77CA">
            <w:pPr>
              <w:spacing w:before="100" w:beforeAutospacing="1" w:after="100" w:afterAutospacing="1"/>
              <w:rPr>
                <w:rFonts w:ascii="Cambria" w:eastAsia="Times New Roman" w:hAnsi="Cambria" w:cs="Times New Roman"/>
                <w:color w:val="404040" w:themeColor="text1" w:themeTint="BF"/>
                <w:sz w:val="20"/>
                <w:szCs w:val="20"/>
              </w:rPr>
            </w:pPr>
            <w:r w:rsidRPr="00F76DED">
              <w:rPr>
                <w:rFonts w:ascii="Cambria" w:eastAsia="Times New Roman" w:hAnsi="Cambria" w:cs="Times New Roman"/>
                <w:color w:val="404040" w:themeColor="text1" w:themeTint="BF"/>
                <w:sz w:val="20"/>
                <w:szCs w:val="20"/>
              </w:rPr>
              <w:t xml:space="preserve">When all the projects </w:t>
            </w:r>
            <w:r w:rsidR="000D77CA" w:rsidRPr="000D77CA">
              <w:rPr>
                <w:rFonts w:ascii="Cambria" w:eastAsia="Times New Roman" w:hAnsi="Cambria" w:cs="Times New Roman"/>
                <w:color w:val="404040" w:themeColor="text1" w:themeTint="BF"/>
                <w:sz w:val="20"/>
                <w:szCs w:val="20"/>
              </w:rPr>
              <w:t xml:space="preserve">(“Output") </w:t>
            </w:r>
            <w:r w:rsidRPr="00F76DED">
              <w:rPr>
                <w:rFonts w:ascii="Cambria" w:eastAsia="Times New Roman" w:hAnsi="Cambria" w:cs="Times New Roman"/>
                <w:color w:val="404040" w:themeColor="text1" w:themeTint="BF"/>
                <w:sz w:val="20"/>
                <w:szCs w:val="20"/>
              </w:rPr>
              <w:t xml:space="preserve">are financially closed, please also make sure that the award </w:t>
            </w:r>
            <w:r w:rsidR="000D77CA" w:rsidRPr="000D77CA">
              <w:rPr>
                <w:rFonts w:ascii="Cambria" w:eastAsia="Times New Roman" w:hAnsi="Cambria" w:cs="Times New Roman"/>
                <w:color w:val="404040" w:themeColor="text1" w:themeTint="BF"/>
                <w:sz w:val="20"/>
                <w:szCs w:val="20"/>
              </w:rPr>
              <w:t xml:space="preserve">(“Project”) </w:t>
            </w:r>
            <w:r w:rsidRPr="00F76DED">
              <w:rPr>
                <w:rFonts w:ascii="Cambria" w:eastAsia="Times New Roman" w:hAnsi="Cambria" w:cs="Times New Roman"/>
                <w:color w:val="404040" w:themeColor="text1" w:themeTint="BF"/>
                <w:sz w:val="20"/>
                <w:szCs w:val="20"/>
              </w:rPr>
              <w:t>is closed (</w:t>
            </w:r>
            <w:r w:rsidRPr="00F76DED">
              <w:rPr>
                <w:rFonts w:asciiTheme="majorHAnsi" w:hAnsiTheme="majorHAnsi"/>
                <w:color w:val="404040" w:themeColor="text1" w:themeTint="BF"/>
                <w:sz w:val="20"/>
                <w:szCs w:val="20"/>
              </w:rPr>
              <w:t>Grants &gt; Award &gt; Award Profile)</w:t>
            </w:r>
            <w:r w:rsidRPr="00F76DED">
              <w:rPr>
                <w:rFonts w:ascii="Cambria" w:eastAsia="Times New Roman" w:hAnsi="Cambria" w:cs="Times New Roman"/>
                <w:color w:val="404040" w:themeColor="text1" w:themeTint="BF"/>
                <w:sz w:val="20"/>
                <w:szCs w:val="20"/>
              </w:rPr>
              <w:t>.</w:t>
            </w:r>
          </w:p>
          <w:p w14:paraId="0343A0C3" w14:textId="6BCE95DD" w:rsidR="008A7E9A" w:rsidRPr="009534CA" w:rsidRDefault="000D77C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Project manager</w:t>
            </w:r>
            <w:r w:rsidRPr="000D77CA">
              <w:rPr>
                <w:rFonts w:asciiTheme="majorHAnsi" w:hAnsiTheme="majorHAnsi"/>
                <w:color w:val="404040" w:themeColor="text1" w:themeTint="BF"/>
                <w:sz w:val="20"/>
                <w:szCs w:val="20"/>
              </w:rPr>
              <w:t xml:space="preserve"> can monitor if there </w:t>
            </w:r>
            <w:r w:rsidR="0009730B" w:rsidRPr="000D77CA">
              <w:rPr>
                <w:rFonts w:asciiTheme="majorHAnsi" w:hAnsiTheme="majorHAnsi"/>
                <w:color w:val="404040" w:themeColor="text1" w:themeTint="BF"/>
                <w:sz w:val="20"/>
                <w:szCs w:val="20"/>
              </w:rPr>
              <w:t>are</w:t>
            </w:r>
            <w:r w:rsidRPr="000D77CA">
              <w:rPr>
                <w:rFonts w:asciiTheme="majorHAnsi" w:hAnsiTheme="majorHAnsi"/>
                <w:color w:val="404040" w:themeColor="text1" w:themeTint="BF"/>
                <w:sz w:val="20"/>
                <w:szCs w:val="20"/>
              </w:rPr>
              <w:t xml:space="preserve"> any projects operationally closed more than 12 months through the UNDP Project Closure Workbench in Atlas.</w:t>
            </w:r>
          </w:p>
        </w:tc>
      </w:tr>
      <w:tr w:rsidR="00E5285F" w:rsidRPr="009534CA" w14:paraId="5F138E0B" w14:textId="77777777" w:rsidTr="007464B7">
        <w:tc>
          <w:tcPr>
            <w:tcW w:w="275" w:type="pct"/>
          </w:tcPr>
          <w:p w14:paraId="3B33D154" w14:textId="2235D97B" w:rsidR="000D77CA" w:rsidRDefault="000D77C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lastRenderedPageBreak/>
              <w:t>36</w:t>
            </w:r>
          </w:p>
        </w:tc>
        <w:tc>
          <w:tcPr>
            <w:tcW w:w="1234" w:type="pct"/>
          </w:tcPr>
          <w:p w14:paraId="4DF2545D" w14:textId="6F58221D" w:rsidR="000D77CA" w:rsidRPr="00B21999" w:rsidRDefault="000D77CA" w:rsidP="006A77CA">
            <w:pPr>
              <w:rPr>
                <w:rFonts w:asciiTheme="majorHAnsi" w:hAnsiTheme="majorHAnsi"/>
                <w:color w:val="404040" w:themeColor="text1" w:themeTint="BF"/>
                <w:sz w:val="20"/>
                <w:szCs w:val="20"/>
              </w:rPr>
            </w:pPr>
            <w:r w:rsidRPr="000D77CA">
              <w:rPr>
                <w:rFonts w:asciiTheme="majorHAnsi" w:hAnsiTheme="majorHAnsi"/>
                <w:color w:val="404040" w:themeColor="text1" w:themeTint="BF"/>
                <w:sz w:val="20"/>
                <w:szCs w:val="20"/>
              </w:rPr>
              <w:t>Ensure staff, UN</w:t>
            </w:r>
            <w:r w:rsidR="005B76C7">
              <w:rPr>
                <w:rFonts w:asciiTheme="majorHAnsi" w:hAnsiTheme="majorHAnsi"/>
                <w:color w:val="404040" w:themeColor="text1" w:themeTint="BF"/>
                <w:sz w:val="20"/>
                <w:szCs w:val="20"/>
              </w:rPr>
              <w:t xml:space="preserve"> </w:t>
            </w:r>
            <w:r w:rsidRPr="000D77CA">
              <w:rPr>
                <w:rFonts w:asciiTheme="majorHAnsi" w:hAnsiTheme="majorHAnsi"/>
                <w:color w:val="404040" w:themeColor="text1" w:themeTint="BF"/>
                <w:sz w:val="20"/>
                <w:szCs w:val="20"/>
              </w:rPr>
              <w:t>V</w:t>
            </w:r>
            <w:r w:rsidR="005B76C7">
              <w:rPr>
                <w:rFonts w:asciiTheme="majorHAnsi" w:hAnsiTheme="majorHAnsi"/>
                <w:color w:val="404040" w:themeColor="text1" w:themeTint="BF"/>
                <w:sz w:val="20"/>
                <w:szCs w:val="20"/>
              </w:rPr>
              <w:t>olunteers</w:t>
            </w:r>
            <w:r w:rsidRPr="000D77CA">
              <w:rPr>
                <w:rFonts w:asciiTheme="majorHAnsi" w:hAnsiTheme="majorHAnsi"/>
                <w:color w:val="404040" w:themeColor="text1" w:themeTint="BF"/>
                <w:sz w:val="20"/>
                <w:szCs w:val="20"/>
              </w:rPr>
              <w:t xml:space="preserve"> and </w:t>
            </w:r>
            <w:r w:rsidR="005B76C7">
              <w:rPr>
                <w:rFonts w:asciiTheme="majorHAnsi" w:hAnsiTheme="majorHAnsi"/>
                <w:color w:val="404040" w:themeColor="text1" w:themeTint="BF"/>
                <w:sz w:val="20"/>
                <w:szCs w:val="20"/>
              </w:rPr>
              <w:t>Service Contract (</w:t>
            </w:r>
            <w:r w:rsidRPr="000D77CA">
              <w:rPr>
                <w:rFonts w:asciiTheme="majorHAnsi" w:hAnsiTheme="majorHAnsi"/>
                <w:color w:val="404040" w:themeColor="text1" w:themeTint="BF"/>
                <w:sz w:val="20"/>
                <w:szCs w:val="20"/>
              </w:rPr>
              <w:t>SC</w:t>
            </w:r>
            <w:r w:rsidR="005B76C7">
              <w:rPr>
                <w:rFonts w:asciiTheme="majorHAnsi" w:hAnsiTheme="majorHAnsi"/>
                <w:color w:val="404040" w:themeColor="text1" w:themeTint="BF"/>
                <w:sz w:val="20"/>
                <w:szCs w:val="20"/>
              </w:rPr>
              <w:t>)</w:t>
            </w:r>
            <w:r w:rsidRPr="000D77CA">
              <w:rPr>
                <w:rFonts w:asciiTheme="majorHAnsi" w:hAnsiTheme="majorHAnsi"/>
                <w:color w:val="404040" w:themeColor="text1" w:themeTint="BF"/>
                <w:sz w:val="20"/>
                <w:szCs w:val="20"/>
              </w:rPr>
              <w:t xml:space="preserve"> positions are properly inactivated or transferred in </w:t>
            </w:r>
            <w:proofErr w:type="spellStart"/>
            <w:r w:rsidRPr="000D77CA">
              <w:rPr>
                <w:rFonts w:asciiTheme="majorHAnsi" w:hAnsiTheme="majorHAnsi"/>
                <w:color w:val="404040" w:themeColor="text1" w:themeTint="BF"/>
                <w:sz w:val="20"/>
                <w:szCs w:val="20"/>
              </w:rPr>
              <w:t>A</w:t>
            </w:r>
            <w:r w:rsidR="0009730B">
              <w:rPr>
                <w:rFonts w:asciiTheme="majorHAnsi" w:hAnsiTheme="majorHAnsi"/>
                <w:color w:val="404040" w:themeColor="text1" w:themeTint="BF"/>
                <w:sz w:val="20"/>
                <w:szCs w:val="20"/>
              </w:rPr>
              <w:t>tlas</w:t>
            </w:r>
            <w:r w:rsidRPr="000D77CA">
              <w:rPr>
                <w:rFonts w:asciiTheme="majorHAnsi" w:hAnsiTheme="majorHAnsi"/>
                <w:color w:val="404040" w:themeColor="text1" w:themeTint="BF"/>
                <w:sz w:val="20"/>
                <w:szCs w:val="20"/>
              </w:rPr>
              <w:t>s</w:t>
            </w:r>
            <w:proofErr w:type="spellEnd"/>
            <w:r w:rsidRPr="000D77CA">
              <w:rPr>
                <w:rFonts w:asciiTheme="majorHAnsi" w:hAnsiTheme="majorHAnsi"/>
                <w:color w:val="404040" w:themeColor="text1" w:themeTint="BF"/>
                <w:sz w:val="20"/>
                <w:szCs w:val="20"/>
              </w:rPr>
              <w:t xml:space="preserve"> HCM</w:t>
            </w:r>
          </w:p>
        </w:tc>
        <w:tc>
          <w:tcPr>
            <w:tcW w:w="1510" w:type="pct"/>
          </w:tcPr>
          <w:p w14:paraId="649B4D3F" w14:textId="77777777" w:rsidR="000D77CA" w:rsidRDefault="000D77CA" w:rsidP="006A77CA">
            <w:pPr>
              <w:rPr>
                <w:rFonts w:asciiTheme="majorHAnsi" w:hAnsiTheme="majorHAnsi"/>
                <w:color w:val="404040" w:themeColor="text1" w:themeTint="BF"/>
                <w:sz w:val="20"/>
                <w:szCs w:val="20"/>
              </w:rPr>
            </w:pPr>
          </w:p>
        </w:tc>
        <w:tc>
          <w:tcPr>
            <w:tcW w:w="1980" w:type="pct"/>
          </w:tcPr>
          <w:p w14:paraId="1983683E" w14:textId="77777777" w:rsidR="000D77CA" w:rsidRPr="000D77CA" w:rsidRDefault="000D77CA" w:rsidP="000D77CA">
            <w:pPr>
              <w:spacing w:before="100" w:beforeAutospacing="1" w:after="100" w:afterAutospacing="1"/>
              <w:rPr>
                <w:rFonts w:ascii="Cambria" w:eastAsia="Times New Roman" w:hAnsi="Cambria" w:cs="Times New Roman"/>
                <w:color w:val="404040" w:themeColor="text1" w:themeTint="BF"/>
                <w:sz w:val="20"/>
                <w:szCs w:val="20"/>
              </w:rPr>
            </w:pPr>
            <w:r w:rsidRPr="000D77CA">
              <w:rPr>
                <w:rFonts w:ascii="Cambria" w:eastAsia="Times New Roman" w:hAnsi="Cambria" w:cs="Times New Roman"/>
                <w:color w:val="404040" w:themeColor="text1" w:themeTint="BF"/>
                <w:sz w:val="20"/>
                <w:szCs w:val="20"/>
              </w:rPr>
              <w:t>Request GSSU position management unit to confirm no outstanding positions with the output COA</w:t>
            </w:r>
          </w:p>
          <w:p w14:paraId="34EF6572" w14:textId="6142D9EE" w:rsidR="000D77CA" w:rsidRDefault="000D77CA" w:rsidP="000D77CA">
            <w:pPr>
              <w:spacing w:before="100" w:beforeAutospacing="1" w:after="100" w:afterAutospacing="1"/>
              <w:rPr>
                <w:rFonts w:ascii="Cambria" w:eastAsia="Times New Roman" w:hAnsi="Cambria" w:cs="Times New Roman"/>
                <w:color w:val="404040" w:themeColor="text1" w:themeTint="BF"/>
                <w:sz w:val="20"/>
                <w:szCs w:val="20"/>
              </w:rPr>
            </w:pPr>
            <w:r w:rsidRPr="000D77CA">
              <w:rPr>
                <w:rFonts w:ascii="Cambria" w:eastAsia="Times New Roman" w:hAnsi="Cambria" w:cs="Times New Roman"/>
                <w:color w:val="404040" w:themeColor="text1" w:themeTint="BF"/>
                <w:sz w:val="20"/>
                <w:szCs w:val="20"/>
              </w:rPr>
              <w:t>Otherwise, request CO to submit a request to GSSU position management unit to abolish the positions created specifically for the closed outputs.</w:t>
            </w:r>
          </w:p>
        </w:tc>
      </w:tr>
      <w:tr w:rsidR="00E5285F" w:rsidRPr="009534CA" w14:paraId="4B19B875" w14:textId="77777777" w:rsidTr="007464B7">
        <w:tc>
          <w:tcPr>
            <w:tcW w:w="275" w:type="pct"/>
          </w:tcPr>
          <w:p w14:paraId="15AB7936" w14:textId="344E8CEB" w:rsidR="000D77CA" w:rsidRDefault="000D77CA" w:rsidP="006A77CA">
            <w:pPr>
              <w:rPr>
                <w:rFonts w:asciiTheme="majorHAnsi" w:hAnsiTheme="majorHAnsi"/>
                <w:color w:val="404040" w:themeColor="text1" w:themeTint="BF"/>
                <w:sz w:val="20"/>
                <w:szCs w:val="20"/>
              </w:rPr>
            </w:pPr>
            <w:r>
              <w:rPr>
                <w:rFonts w:asciiTheme="majorHAnsi" w:hAnsiTheme="majorHAnsi"/>
                <w:color w:val="404040" w:themeColor="text1" w:themeTint="BF"/>
                <w:sz w:val="20"/>
                <w:szCs w:val="20"/>
              </w:rPr>
              <w:t>37</w:t>
            </w:r>
          </w:p>
        </w:tc>
        <w:tc>
          <w:tcPr>
            <w:tcW w:w="1234" w:type="pct"/>
          </w:tcPr>
          <w:p w14:paraId="6E55DC57" w14:textId="664C9C4D" w:rsidR="000D77CA" w:rsidRPr="000D77CA" w:rsidRDefault="000D77CA" w:rsidP="006A77CA">
            <w:pPr>
              <w:rPr>
                <w:rFonts w:asciiTheme="majorHAnsi" w:hAnsiTheme="majorHAnsi"/>
                <w:color w:val="404040" w:themeColor="text1" w:themeTint="BF"/>
                <w:sz w:val="20"/>
                <w:szCs w:val="20"/>
              </w:rPr>
            </w:pPr>
            <w:r w:rsidRPr="000D77CA">
              <w:rPr>
                <w:rFonts w:asciiTheme="majorHAnsi" w:hAnsiTheme="majorHAnsi"/>
                <w:color w:val="404040" w:themeColor="text1" w:themeTint="BF"/>
                <w:sz w:val="20"/>
                <w:szCs w:val="20"/>
              </w:rPr>
              <w:t>If the project is funded by MPTF, the balances in UNDP GL must be reconciled to the Gateway balance for the mapped MPTF project</w:t>
            </w:r>
          </w:p>
        </w:tc>
        <w:tc>
          <w:tcPr>
            <w:tcW w:w="1510" w:type="pct"/>
          </w:tcPr>
          <w:p w14:paraId="6EF2D9A2" w14:textId="77777777" w:rsidR="000D77CA" w:rsidRDefault="000D77CA" w:rsidP="006A77CA">
            <w:pPr>
              <w:rPr>
                <w:rFonts w:asciiTheme="majorHAnsi" w:hAnsiTheme="majorHAnsi"/>
                <w:color w:val="404040" w:themeColor="text1" w:themeTint="BF"/>
                <w:sz w:val="20"/>
                <w:szCs w:val="20"/>
              </w:rPr>
            </w:pPr>
          </w:p>
        </w:tc>
        <w:tc>
          <w:tcPr>
            <w:tcW w:w="1980" w:type="pct"/>
          </w:tcPr>
          <w:p w14:paraId="391B283A" w14:textId="77777777" w:rsidR="000D77CA" w:rsidRPr="000D77CA" w:rsidRDefault="000D77CA" w:rsidP="000D77CA">
            <w:pPr>
              <w:spacing w:before="100" w:beforeAutospacing="1" w:after="100" w:afterAutospacing="1"/>
              <w:rPr>
                <w:rFonts w:ascii="Cambria" w:eastAsia="Times New Roman" w:hAnsi="Cambria" w:cs="Times New Roman"/>
                <w:color w:val="404040" w:themeColor="text1" w:themeTint="BF"/>
                <w:sz w:val="20"/>
                <w:szCs w:val="20"/>
              </w:rPr>
            </w:pPr>
            <w:r w:rsidRPr="000D77CA">
              <w:rPr>
                <w:rFonts w:ascii="Cambria" w:eastAsia="Times New Roman" w:hAnsi="Cambria" w:cs="Times New Roman"/>
                <w:color w:val="404040" w:themeColor="text1" w:themeTint="BF"/>
                <w:sz w:val="20"/>
                <w:szCs w:val="20"/>
              </w:rPr>
              <w:t xml:space="preserve">Refer to </w:t>
            </w:r>
          </w:p>
          <w:p w14:paraId="61E30C8A" w14:textId="77777777" w:rsidR="000D77CA" w:rsidRPr="000D77CA" w:rsidRDefault="000D77CA" w:rsidP="000D77CA">
            <w:pPr>
              <w:numPr>
                <w:ilvl w:val="0"/>
                <w:numId w:val="39"/>
              </w:numPr>
              <w:spacing w:before="100" w:beforeAutospacing="1" w:after="100" w:afterAutospacing="1"/>
              <w:rPr>
                <w:rFonts w:ascii="Cambria" w:eastAsia="Times New Roman" w:hAnsi="Cambria" w:cs="Times New Roman"/>
                <w:color w:val="404040" w:themeColor="text1" w:themeTint="BF"/>
                <w:sz w:val="20"/>
                <w:szCs w:val="20"/>
                <w:lang w:val="en-MY"/>
              </w:rPr>
            </w:pPr>
            <w:r w:rsidRPr="000D77CA">
              <w:rPr>
                <w:rFonts w:ascii="Cambria" w:eastAsia="Times New Roman" w:hAnsi="Cambria" w:cs="Times New Roman"/>
                <w:color w:val="404040" w:themeColor="text1" w:themeTint="BF"/>
                <w:sz w:val="20"/>
                <w:szCs w:val="20"/>
                <w:lang w:val="en-MY"/>
              </w:rPr>
              <w:t>MPTF reporting - Operating guidelines for MPTF projects [</w:t>
            </w:r>
            <w:hyperlink r:id="rId90" w:history="1">
              <w:r w:rsidRPr="000D77CA">
                <w:rPr>
                  <w:rStyle w:val="Hyperlink"/>
                  <w:rFonts w:ascii="Cambria" w:eastAsia="Times New Roman" w:hAnsi="Cambria" w:cs="Times New Roman"/>
                  <w:sz w:val="20"/>
                  <w:szCs w:val="20"/>
                  <w:lang w:val="en-MY"/>
                </w:rPr>
                <w:t>click here</w:t>
              </w:r>
            </w:hyperlink>
            <w:r w:rsidRPr="000D77CA">
              <w:rPr>
                <w:rFonts w:ascii="Cambria" w:eastAsia="Times New Roman" w:hAnsi="Cambria" w:cs="Times New Roman"/>
                <w:color w:val="404040" w:themeColor="text1" w:themeTint="BF"/>
                <w:sz w:val="20"/>
                <w:szCs w:val="20"/>
                <w:lang w:val="en-MY"/>
              </w:rPr>
              <w:t xml:space="preserve">] </w:t>
            </w:r>
          </w:p>
          <w:p w14:paraId="5E64F14F" w14:textId="77777777" w:rsidR="000D77CA" w:rsidRPr="000D77CA" w:rsidRDefault="000D77CA" w:rsidP="000D77CA">
            <w:pPr>
              <w:numPr>
                <w:ilvl w:val="0"/>
                <w:numId w:val="39"/>
              </w:numPr>
              <w:spacing w:before="100" w:beforeAutospacing="1" w:after="100" w:afterAutospacing="1"/>
              <w:rPr>
                <w:rFonts w:ascii="Cambria" w:eastAsia="Times New Roman" w:hAnsi="Cambria" w:cs="Times New Roman"/>
                <w:color w:val="404040" w:themeColor="text1" w:themeTint="BF"/>
                <w:sz w:val="20"/>
                <w:szCs w:val="20"/>
                <w:lang w:val="en-MY"/>
              </w:rPr>
            </w:pPr>
            <w:r w:rsidRPr="000D77CA">
              <w:rPr>
                <w:rFonts w:ascii="Cambria" w:eastAsia="Times New Roman" w:hAnsi="Cambria" w:cs="Times New Roman"/>
                <w:color w:val="404040" w:themeColor="text1" w:themeTint="BF"/>
                <w:sz w:val="20"/>
                <w:szCs w:val="20"/>
                <w:lang w:val="en-MY"/>
              </w:rPr>
              <w:t>MPTF reporting – MPTF GW and UNDP GL Comparison Report for reconciliation (Monthly / Quarterly) [</w:t>
            </w:r>
            <w:hyperlink r:id="rId91" w:history="1">
              <w:r w:rsidRPr="000D77CA">
                <w:rPr>
                  <w:rStyle w:val="Hyperlink"/>
                  <w:rFonts w:ascii="Cambria" w:eastAsia="Times New Roman" w:hAnsi="Cambria" w:cs="Times New Roman"/>
                  <w:sz w:val="20"/>
                  <w:szCs w:val="20"/>
                  <w:lang w:val="en-MY"/>
                </w:rPr>
                <w:t>click here</w:t>
              </w:r>
            </w:hyperlink>
            <w:r w:rsidRPr="000D77CA">
              <w:rPr>
                <w:rFonts w:ascii="Cambria" w:eastAsia="Times New Roman" w:hAnsi="Cambria" w:cs="Times New Roman"/>
                <w:color w:val="404040" w:themeColor="text1" w:themeTint="BF"/>
                <w:sz w:val="20"/>
                <w:szCs w:val="20"/>
                <w:lang w:val="en-MY"/>
              </w:rPr>
              <w:t>]</w:t>
            </w:r>
          </w:p>
          <w:p w14:paraId="75940892" w14:textId="085E7534" w:rsidR="000D77CA" w:rsidRPr="000D77CA" w:rsidRDefault="000D77CA" w:rsidP="000D77CA">
            <w:pPr>
              <w:numPr>
                <w:ilvl w:val="0"/>
                <w:numId w:val="39"/>
              </w:numPr>
              <w:spacing w:before="100" w:beforeAutospacing="1" w:after="100" w:afterAutospacing="1"/>
              <w:rPr>
                <w:rFonts w:ascii="Cambria" w:eastAsia="Times New Roman" w:hAnsi="Cambria" w:cs="Times New Roman"/>
                <w:color w:val="404040" w:themeColor="text1" w:themeTint="BF"/>
                <w:sz w:val="20"/>
                <w:szCs w:val="20"/>
                <w:lang w:val="en-MY"/>
              </w:rPr>
            </w:pPr>
            <w:r w:rsidRPr="000D77CA">
              <w:rPr>
                <w:rFonts w:ascii="Cambria" w:eastAsia="Times New Roman" w:hAnsi="Cambria" w:cs="Times New Roman"/>
                <w:color w:val="404040" w:themeColor="text1" w:themeTint="BF"/>
                <w:sz w:val="20"/>
                <w:szCs w:val="20"/>
                <w:lang w:val="en-MY"/>
              </w:rPr>
              <w:t>MPTF reporting – MPTF GW and UNDP GL Comparison Report User Guide [</w:t>
            </w:r>
            <w:hyperlink r:id="rId92" w:history="1">
              <w:r w:rsidRPr="000D77CA">
                <w:rPr>
                  <w:rStyle w:val="Hyperlink"/>
                  <w:rFonts w:ascii="Cambria" w:eastAsia="Times New Roman" w:hAnsi="Cambria" w:cs="Times New Roman"/>
                  <w:sz w:val="20"/>
                  <w:szCs w:val="20"/>
                  <w:lang w:val="en-MY"/>
                </w:rPr>
                <w:t>click here</w:t>
              </w:r>
            </w:hyperlink>
            <w:r w:rsidRPr="000D77CA">
              <w:rPr>
                <w:rFonts w:ascii="Cambria" w:eastAsia="Times New Roman" w:hAnsi="Cambria" w:cs="Times New Roman"/>
                <w:color w:val="404040" w:themeColor="text1" w:themeTint="BF"/>
                <w:sz w:val="20"/>
                <w:szCs w:val="20"/>
                <w:lang w:val="en-MY"/>
              </w:rPr>
              <w:t>]</w:t>
            </w:r>
          </w:p>
        </w:tc>
      </w:tr>
      <w:tr w:rsidR="00E5285F" w:rsidRPr="009534CA" w14:paraId="06926527" w14:textId="77777777" w:rsidTr="007464B7">
        <w:tc>
          <w:tcPr>
            <w:tcW w:w="275" w:type="pct"/>
          </w:tcPr>
          <w:p w14:paraId="1EF0AA8A" w14:textId="1EF803B7" w:rsidR="00CA6017" w:rsidRDefault="00CA6017" w:rsidP="00CA6017">
            <w:pPr>
              <w:rPr>
                <w:rFonts w:asciiTheme="majorHAnsi" w:hAnsiTheme="majorHAnsi"/>
                <w:color w:val="404040" w:themeColor="text1" w:themeTint="BF"/>
                <w:sz w:val="20"/>
                <w:szCs w:val="20"/>
              </w:rPr>
            </w:pPr>
            <w:r>
              <w:rPr>
                <w:rFonts w:ascii="Arial" w:hAnsi="Arial" w:cs="Arial"/>
                <w:color w:val="404040" w:themeColor="text1" w:themeTint="BF"/>
                <w:sz w:val="20"/>
                <w:szCs w:val="20"/>
              </w:rPr>
              <w:t>38</w:t>
            </w:r>
          </w:p>
        </w:tc>
        <w:tc>
          <w:tcPr>
            <w:tcW w:w="1234" w:type="pct"/>
          </w:tcPr>
          <w:p w14:paraId="11CB2662" w14:textId="2BB34246" w:rsidR="00CA6017" w:rsidRPr="000D77CA" w:rsidRDefault="00CA6017" w:rsidP="00CA6017">
            <w:pPr>
              <w:rPr>
                <w:rFonts w:asciiTheme="majorHAnsi" w:hAnsiTheme="majorHAnsi"/>
                <w:color w:val="404040" w:themeColor="text1" w:themeTint="BF"/>
                <w:sz w:val="20"/>
                <w:szCs w:val="20"/>
              </w:rPr>
            </w:pPr>
            <w:r>
              <w:rPr>
                <w:rFonts w:ascii="Arial" w:hAnsi="Arial" w:cs="Arial"/>
                <w:color w:val="404040" w:themeColor="text1" w:themeTint="BF"/>
                <w:sz w:val="20"/>
                <w:szCs w:val="20"/>
              </w:rPr>
              <w:t>If the project is funded by Global funds (GFATM fund code 30078, 30068)</w:t>
            </w:r>
          </w:p>
        </w:tc>
        <w:tc>
          <w:tcPr>
            <w:tcW w:w="1510" w:type="pct"/>
          </w:tcPr>
          <w:p w14:paraId="398C448F" w14:textId="77777777" w:rsidR="00CA6017" w:rsidRDefault="00CA6017" w:rsidP="00CA6017">
            <w:pPr>
              <w:rPr>
                <w:rFonts w:asciiTheme="majorHAnsi" w:hAnsiTheme="majorHAnsi"/>
                <w:color w:val="404040" w:themeColor="text1" w:themeTint="BF"/>
                <w:sz w:val="20"/>
                <w:szCs w:val="20"/>
              </w:rPr>
            </w:pPr>
          </w:p>
        </w:tc>
        <w:tc>
          <w:tcPr>
            <w:tcW w:w="1980" w:type="pct"/>
          </w:tcPr>
          <w:p w14:paraId="17023326" w14:textId="77777777" w:rsidR="00CA6017" w:rsidRDefault="00CA6017" w:rsidP="00CA6017">
            <w:pPr>
              <w:spacing w:before="100" w:beforeAutospacing="1" w:after="100" w:afterAutospacing="1"/>
              <w:rPr>
                <w:rFonts w:ascii="Arial" w:eastAsia="Times New Roman" w:hAnsi="Arial" w:cs="Arial"/>
                <w:color w:val="404040" w:themeColor="text1" w:themeTint="BF"/>
                <w:sz w:val="20"/>
                <w:szCs w:val="20"/>
              </w:rPr>
            </w:pPr>
            <w:r>
              <w:rPr>
                <w:rFonts w:ascii="Arial" w:eastAsia="Times New Roman" w:hAnsi="Arial" w:cs="Arial"/>
                <w:color w:val="404040" w:themeColor="text1" w:themeTint="BF"/>
                <w:sz w:val="20"/>
                <w:szCs w:val="20"/>
              </w:rPr>
              <w:t>Refer to</w:t>
            </w:r>
          </w:p>
          <w:p w14:paraId="4A7109BA" w14:textId="77777777" w:rsidR="00CA6017" w:rsidRDefault="00CA6017" w:rsidP="00CA6017">
            <w:pPr>
              <w:pStyle w:val="ListParagraph"/>
              <w:numPr>
                <w:ilvl w:val="0"/>
                <w:numId w:val="41"/>
              </w:numPr>
              <w:spacing w:before="100" w:beforeAutospacing="1" w:after="100" w:afterAutospacing="1" w:line="256" w:lineRule="auto"/>
              <w:rPr>
                <w:rFonts w:ascii="Arial" w:eastAsia="Times New Roman" w:hAnsi="Arial" w:cs="Arial"/>
                <w:color w:val="404040" w:themeColor="text1" w:themeTint="BF"/>
                <w:sz w:val="20"/>
                <w:szCs w:val="20"/>
              </w:rPr>
            </w:pPr>
            <w:r>
              <w:rPr>
                <w:rFonts w:ascii="Arial" w:eastAsia="Times New Roman" w:hAnsi="Arial" w:cs="Arial"/>
                <w:color w:val="404040" w:themeColor="text1" w:themeTint="BF"/>
                <w:sz w:val="20"/>
                <w:szCs w:val="20"/>
              </w:rPr>
              <w:t>Global Fund Project Closure guideline below</w:t>
            </w:r>
          </w:p>
          <w:p w14:paraId="6D8F0500" w14:textId="77777777" w:rsidR="00CA6017" w:rsidRDefault="00B22B96" w:rsidP="00CA6017">
            <w:pPr>
              <w:pStyle w:val="ListParagraph"/>
              <w:numPr>
                <w:ilvl w:val="0"/>
                <w:numId w:val="41"/>
              </w:numPr>
              <w:spacing w:after="160" w:line="256" w:lineRule="auto"/>
              <w:rPr>
                <w:lang w:val="en-MY"/>
              </w:rPr>
            </w:pPr>
            <w:hyperlink r:id="rId93" w:history="1">
              <w:r w:rsidR="00CA6017">
                <w:rPr>
                  <w:rStyle w:val="Hyperlink"/>
                </w:rPr>
                <w:t>Overview | UNDP Global Fund Implementation Guidance Manual (undphealthimplementation.org)</w:t>
              </w:r>
            </w:hyperlink>
            <w:r w:rsidR="00CA6017">
              <w:t xml:space="preserve"> </w:t>
            </w:r>
          </w:p>
          <w:p w14:paraId="552EFC50" w14:textId="77777777" w:rsidR="00CA6017" w:rsidRPr="000D77CA" w:rsidRDefault="00CA6017" w:rsidP="00CA6017">
            <w:pPr>
              <w:spacing w:before="100" w:beforeAutospacing="1" w:after="100" w:afterAutospacing="1"/>
              <w:rPr>
                <w:rFonts w:ascii="Cambria" w:eastAsia="Times New Roman" w:hAnsi="Cambria" w:cs="Times New Roman"/>
                <w:color w:val="404040" w:themeColor="text1" w:themeTint="BF"/>
                <w:sz w:val="20"/>
                <w:szCs w:val="20"/>
              </w:rPr>
            </w:pPr>
          </w:p>
        </w:tc>
      </w:tr>
    </w:tbl>
    <w:p w14:paraId="440B373D" w14:textId="77777777" w:rsidR="005867E0" w:rsidRDefault="005867E0" w:rsidP="00602413">
      <w:pPr>
        <w:rPr>
          <w:rFonts w:asciiTheme="majorHAnsi" w:hAnsiTheme="majorHAnsi"/>
          <w:color w:val="404040" w:themeColor="text1" w:themeTint="BF"/>
          <w:sz w:val="20"/>
          <w:szCs w:val="20"/>
        </w:rPr>
      </w:pPr>
    </w:p>
    <w:p w14:paraId="327938D8" w14:textId="6F84320C" w:rsidR="00D936B4" w:rsidRDefault="000C18E9" w:rsidP="000F15D0">
      <w:pPr>
        <w:jc w:val="both"/>
        <w:rPr>
          <w:rFonts w:ascii="Cambria" w:eastAsia="Calibri" w:hAnsi="Cambria"/>
          <w:b/>
          <w:sz w:val="24"/>
          <w:szCs w:val="24"/>
          <w:u w:val="single"/>
        </w:rPr>
      </w:pPr>
      <w:r w:rsidRPr="00C21DFB">
        <w:rPr>
          <w:rFonts w:ascii="Cambria" w:hAnsi="Cambria"/>
          <w:color w:val="404040" w:themeColor="text1" w:themeTint="BF"/>
          <w:sz w:val="24"/>
          <w:szCs w:val="24"/>
        </w:rPr>
        <w:t xml:space="preserve">In addition to the above, please refer to the </w:t>
      </w:r>
      <w:r w:rsidRPr="00D23522">
        <w:rPr>
          <w:rFonts w:ascii="Cambria" w:hAnsi="Cambria"/>
          <w:i/>
          <w:color w:val="404040" w:themeColor="text1" w:themeTint="BF"/>
          <w:sz w:val="24"/>
          <w:szCs w:val="24"/>
        </w:rPr>
        <w:t>“Project Closure Page – Project Closure Workbench – Important notes</w:t>
      </w:r>
      <w:r w:rsidR="00D23522" w:rsidRPr="00D23522">
        <w:rPr>
          <w:rFonts w:ascii="Cambria" w:hAnsi="Cambria"/>
          <w:i/>
          <w:color w:val="404040" w:themeColor="text1" w:themeTint="BF"/>
          <w:sz w:val="24"/>
          <w:szCs w:val="24"/>
        </w:rPr>
        <w:t>”</w:t>
      </w:r>
      <w:r w:rsidRPr="00C21DFB">
        <w:rPr>
          <w:rFonts w:ascii="Cambria" w:hAnsi="Cambria"/>
          <w:color w:val="404040" w:themeColor="text1" w:themeTint="BF"/>
          <w:sz w:val="24"/>
          <w:szCs w:val="24"/>
        </w:rPr>
        <w:t xml:space="preserve"> </w:t>
      </w:r>
      <w:r w:rsidR="00D23522">
        <w:rPr>
          <w:rFonts w:ascii="Cambria" w:hAnsi="Cambria"/>
          <w:color w:val="404040" w:themeColor="text1" w:themeTint="BF"/>
          <w:sz w:val="24"/>
          <w:szCs w:val="24"/>
        </w:rPr>
        <w:t>(immediately under the FAQ) for assistance and</w:t>
      </w:r>
      <w:r w:rsidRPr="00C21DFB">
        <w:rPr>
          <w:rFonts w:ascii="Cambria" w:hAnsi="Cambria"/>
          <w:color w:val="404040" w:themeColor="text1" w:themeTint="BF"/>
          <w:sz w:val="24"/>
          <w:szCs w:val="24"/>
        </w:rPr>
        <w:t xml:space="preserve"> additional informat</w:t>
      </w:r>
      <w:r w:rsidR="00136CEF" w:rsidRPr="00C21DFB">
        <w:rPr>
          <w:rFonts w:ascii="Cambria" w:hAnsi="Cambria"/>
          <w:color w:val="404040" w:themeColor="text1" w:themeTint="BF"/>
          <w:sz w:val="24"/>
          <w:szCs w:val="24"/>
        </w:rPr>
        <w:t xml:space="preserve">ion regarding </w:t>
      </w:r>
      <w:r w:rsidR="0009114A">
        <w:rPr>
          <w:rFonts w:ascii="Cambria" w:hAnsi="Cambria"/>
          <w:color w:val="404040" w:themeColor="text1" w:themeTint="BF"/>
          <w:sz w:val="24"/>
          <w:szCs w:val="24"/>
        </w:rPr>
        <w:t>the</w:t>
      </w:r>
      <w:r w:rsidR="00136CEF" w:rsidRPr="00C21DFB">
        <w:rPr>
          <w:rFonts w:ascii="Cambria" w:hAnsi="Cambria"/>
          <w:color w:val="404040" w:themeColor="text1" w:themeTint="BF"/>
          <w:sz w:val="24"/>
          <w:szCs w:val="24"/>
        </w:rPr>
        <w:t xml:space="preserve"> number of items of concern in financially closing a project.</w:t>
      </w:r>
      <w:r w:rsidR="009727CC">
        <w:rPr>
          <w:rFonts w:ascii="Cambria" w:hAnsi="Cambria"/>
          <w:color w:val="404040" w:themeColor="text1" w:themeTint="BF"/>
          <w:sz w:val="24"/>
          <w:szCs w:val="24"/>
        </w:rPr>
        <w:t xml:space="preserve">  The document can be found at</w:t>
      </w:r>
      <w:r w:rsidR="00761F0D">
        <w:rPr>
          <w:rFonts w:ascii="Cambria" w:hAnsi="Cambria"/>
          <w:color w:val="404040" w:themeColor="text1" w:themeTint="BF"/>
          <w:sz w:val="24"/>
          <w:szCs w:val="24"/>
        </w:rPr>
        <w:t xml:space="preserve"> FBA Project Closure SharePoint (</w:t>
      </w:r>
      <w:hyperlink r:id="rId94" w:history="1">
        <w:r w:rsidR="00761F0D" w:rsidRPr="00761F0D">
          <w:rPr>
            <w:rStyle w:val="Hyperlink"/>
            <w:rFonts w:ascii="Cambria" w:hAnsi="Cambria"/>
            <w:sz w:val="24"/>
            <w:szCs w:val="24"/>
          </w:rPr>
          <w:t>Click here</w:t>
        </w:r>
      </w:hyperlink>
      <w:r w:rsidR="00761F0D">
        <w:rPr>
          <w:rFonts w:ascii="Cambria" w:hAnsi="Cambria"/>
          <w:color w:val="404040" w:themeColor="text1" w:themeTint="BF"/>
          <w:sz w:val="24"/>
          <w:szCs w:val="24"/>
        </w:rPr>
        <w:t>)</w:t>
      </w:r>
    </w:p>
    <w:p w14:paraId="0539B53E" w14:textId="77777777" w:rsidR="00CA6017" w:rsidRDefault="00CA6017" w:rsidP="00CA6017">
      <w:pPr>
        <w:jc w:val="both"/>
        <w:rPr>
          <w:rFonts w:ascii="Arial" w:hAnsi="Arial" w:cs="Arial"/>
          <w:b/>
          <w:bCs/>
          <w:u w:val="single"/>
        </w:rPr>
      </w:pPr>
      <w:r>
        <w:rPr>
          <w:rFonts w:ascii="Arial" w:hAnsi="Arial" w:cs="Arial"/>
          <w:b/>
          <w:bCs/>
          <w:u w:val="single"/>
        </w:rPr>
        <w:t>Global Fund Project Closure Guidelines</w:t>
      </w:r>
    </w:p>
    <w:p w14:paraId="11EAD1A9" w14:textId="77777777" w:rsidR="00CA6017" w:rsidRDefault="00CA6017" w:rsidP="00CA6017">
      <w:pPr>
        <w:autoSpaceDE w:val="0"/>
        <w:autoSpaceDN w:val="0"/>
        <w:adjustRightInd w:val="0"/>
        <w:spacing w:after="0" w:line="240" w:lineRule="auto"/>
        <w:rPr>
          <w:rFonts w:cstheme="minorHAnsi"/>
          <w:color w:val="000000"/>
        </w:rPr>
      </w:pPr>
      <w:r>
        <w:rPr>
          <w:rFonts w:cstheme="minorHAnsi"/>
          <w:color w:val="000000"/>
        </w:rPr>
        <w:t>Under the Funding Model, Global Fund grants, as a general rule, have a three year implementation period (IP). In Atlas, a new project with one output is created for each grant implementation period. Projects funded by The Global Fund (TGF) have the following types of closure:</w:t>
      </w:r>
    </w:p>
    <w:p w14:paraId="7879F477" w14:textId="77777777" w:rsidR="00CA6017" w:rsidRDefault="00CA6017" w:rsidP="00CA6017">
      <w:pPr>
        <w:autoSpaceDE w:val="0"/>
        <w:autoSpaceDN w:val="0"/>
        <w:adjustRightInd w:val="0"/>
        <w:spacing w:after="0" w:line="240" w:lineRule="auto"/>
        <w:rPr>
          <w:rFonts w:cstheme="minorHAnsi"/>
          <w:color w:val="000000"/>
        </w:rPr>
      </w:pPr>
    </w:p>
    <w:p w14:paraId="79A482A5" w14:textId="77777777" w:rsidR="00CA6017" w:rsidRDefault="00CA6017" w:rsidP="00CA6017">
      <w:pPr>
        <w:autoSpaceDE w:val="0"/>
        <w:autoSpaceDN w:val="0"/>
        <w:adjustRightInd w:val="0"/>
        <w:spacing w:after="0" w:line="240" w:lineRule="auto"/>
        <w:rPr>
          <w:rFonts w:cstheme="minorHAnsi"/>
          <w:color w:val="000000"/>
        </w:rPr>
      </w:pPr>
      <w:r>
        <w:rPr>
          <w:rFonts w:cstheme="minorHAnsi"/>
          <w:b/>
          <w:bCs/>
          <w:color w:val="000000"/>
        </w:rPr>
        <w:t>1. IP Reconciliation –</w:t>
      </w:r>
      <w:r>
        <w:rPr>
          <w:rFonts w:cstheme="minorHAnsi"/>
          <w:color w:val="000000"/>
        </w:rPr>
        <w:t xml:space="preserve">The IP reconciliation refers to when TGF grant transitions from one IP to the next with the same Principal Recipient (PR). </w:t>
      </w:r>
    </w:p>
    <w:p w14:paraId="3734F93D" w14:textId="77777777" w:rsidR="00CA6017" w:rsidRDefault="00CA6017" w:rsidP="00CA6017">
      <w:pPr>
        <w:autoSpaceDE w:val="0"/>
        <w:autoSpaceDN w:val="0"/>
        <w:adjustRightInd w:val="0"/>
        <w:spacing w:after="0" w:line="240" w:lineRule="auto"/>
        <w:rPr>
          <w:rFonts w:cstheme="minorHAnsi"/>
          <w:color w:val="000000"/>
        </w:rPr>
      </w:pPr>
    </w:p>
    <w:p w14:paraId="064A7866" w14:textId="77777777" w:rsidR="00CA6017" w:rsidRDefault="00CA6017" w:rsidP="00CA6017">
      <w:pPr>
        <w:autoSpaceDE w:val="0"/>
        <w:autoSpaceDN w:val="0"/>
        <w:adjustRightInd w:val="0"/>
        <w:spacing w:after="0" w:line="240" w:lineRule="auto"/>
        <w:rPr>
          <w:rFonts w:cstheme="minorHAnsi"/>
          <w:color w:val="000000"/>
        </w:rPr>
      </w:pPr>
      <w:r>
        <w:rPr>
          <w:rFonts w:cstheme="minorHAnsi"/>
          <w:b/>
          <w:bCs/>
          <w:color w:val="000000"/>
        </w:rPr>
        <w:t xml:space="preserve">2. Grant Closure </w:t>
      </w:r>
      <w:r>
        <w:rPr>
          <w:rFonts w:cstheme="minorHAnsi"/>
          <w:color w:val="000000"/>
        </w:rPr>
        <w:t xml:space="preserve">means the grant ends due to one of the following reasons: </w:t>
      </w:r>
    </w:p>
    <w:p w14:paraId="71F98F5C" w14:textId="77777777" w:rsidR="00CA6017" w:rsidRDefault="00CA6017" w:rsidP="00CA6017">
      <w:pPr>
        <w:numPr>
          <w:ilvl w:val="0"/>
          <w:numId w:val="42"/>
        </w:numPr>
        <w:autoSpaceDE w:val="0"/>
        <w:autoSpaceDN w:val="0"/>
        <w:adjustRightInd w:val="0"/>
        <w:spacing w:after="0" w:line="240" w:lineRule="auto"/>
        <w:rPr>
          <w:rFonts w:cstheme="minorHAnsi"/>
          <w:color w:val="000000"/>
        </w:rPr>
      </w:pPr>
      <w:r>
        <w:rPr>
          <w:rFonts w:cstheme="minorHAnsi"/>
          <w:color w:val="000000"/>
        </w:rPr>
        <w:t xml:space="preserve">a. </w:t>
      </w:r>
      <w:r>
        <w:rPr>
          <w:rFonts w:cstheme="minorHAnsi"/>
          <w:b/>
          <w:bCs/>
          <w:i/>
          <w:iCs/>
          <w:color w:val="000000"/>
        </w:rPr>
        <w:t>Change of the PR</w:t>
      </w:r>
      <w:r>
        <w:rPr>
          <w:rFonts w:cstheme="minorHAnsi"/>
          <w:color w:val="000000"/>
        </w:rPr>
        <w:t xml:space="preserve">: a decision is taken by the Country Coordinating Mechanism (CCM) and/or TGF to change the PR; </w:t>
      </w:r>
    </w:p>
    <w:p w14:paraId="0DFDA001" w14:textId="77777777" w:rsidR="00CA6017" w:rsidRDefault="00CA6017" w:rsidP="00CA6017">
      <w:pPr>
        <w:numPr>
          <w:ilvl w:val="0"/>
          <w:numId w:val="42"/>
        </w:numPr>
        <w:autoSpaceDE w:val="0"/>
        <w:autoSpaceDN w:val="0"/>
        <w:adjustRightInd w:val="0"/>
        <w:spacing w:after="0" w:line="240" w:lineRule="auto"/>
        <w:rPr>
          <w:rFonts w:cstheme="minorHAnsi"/>
          <w:color w:val="000000"/>
        </w:rPr>
      </w:pPr>
      <w:r>
        <w:rPr>
          <w:rFonts w:cstheme="minorHAnsi"/>
          <w:b/>
          <w:bCs/>
          <w:i/>
          <w:iCs/>
          <w:color w:val="000000"/>
        </w:rPr>
        <w:t>b. Transition from Global Fund Financing</w:t>
      </w:r>
      <w:r>
        <w:rPr>
          <w:rFonts w:cstheme="minorHAnsi"/>
          <w:color w:val="000000"/>
        </w:rPr>
        <w:t xml:space="preserve">: TGF or the country decides to end Global Fund financing for one or all disease components; or </w:t>
      </w:r>
    </w:p>
    <w:p w14:paraId="55F00946" w14:textId="77777777" w:rsidR="00CA6017" w:rsidRDefault="00CA6017" w:rsidP="00CA6017">
      <w:pPr>
        <w:numPr>
          <w:ilvl w:val="0"/>
          <w:numId w:val="42"/>
        </w:numPr>
        <w:autoSpaceDE w:val="0"/>
        <w:autoSpaceDN w:val="0"/>
        <w:adjustRightInd w:val="0"/>
        <w:spacing w:after="0" w:line="240" w:lineRule="auto"/>
        <w:rPr>
          <w:rFonts w:cstheme="minorHAnsi"/>
          <w:color w:val="000000"/>
        </w:rPr>
      </w:pPr>
      <w:r>
        <w:rPr>
          <w:rFonts w:cstheme="minorHAnsi"/>
          <w:b/>
          <w:bCs/>
          <w:color w:val="000000"/>
        </w:rPr>
        <w:t>c.</w:t>
      </w:r>
      <w:r>
        <w:rPr>
          <w:rFonts w:cstheme="minorHAnsi"/>
          <w:color w:val="000000"/>
        </w:rPr>
        <w:t xml:space="preserve"> </w:t>
      </w:r>
      <w:r>
        <w:rPr>
          <w:rFonts w:cstheme="minorHAnsi"/>
          <w:b/>
          <w:bCs/>
          <w:i/>
          <w:iCs/>
          <w:color w:val="000000"/>
        </w:rPr>
        <w:t>Grant Consolidation</w:t>
      </w:r>
      <w:r>
        <w:rPr>
          <w:rFonts w:cstheme="minorHAnsi"/>
          <w:color w:val="000000"/>
        </w:rPr>
        <w:t xml:space="preserve">: a decision is taken by the CCM and/or TGF to consolidate several grants with the same PR into one grant managed by that PR. </w:t>
      </w:r>
    </w:p>
    <w:p w14:paraId="74A0A422" w14:textId="77777777" w:rsidR="00CA6017" w:rsidRDefault="00CA6017" w:rsidP="00CA6017">
      <w:pPr>
        <w:spacing w:after="0" w:line="240" w:lineRule="auto"/>
        <w:rPr>
          <w:rFonts w:cstheme="minorHAnsi"/>
        </w:rPr>
      </w:pPr>
    </w:p>
    <w:p w14:paraId="51C5A729" w14:textId="77777777" w:rsidR="00CA6017" w:rsidRDefault="00CA6017" w:rsidP="00CA6017">
      <w:pPr>
        <w:spacing w:after="0" w:line="240" w:lineRule="auto"/>
        <w:rPr>
          <w:rFonts w:cstheme="minorHAnsi"/>
        </w:rPr>
      </w:pPr>
      <w:r>
        <w:rPr>
          <w:rFonts w:cstheme="minorHAnsi"/>
        </w:rPr>
        <w:t xml:space="preserve">Detailed guidance on the different types of closures and the procedures are available in the </w:t>
      </w:r>
      <w:hyperlink r:id="rId95" w:history="1">
        <w:r>
          <w:rPr>
            <w:rStyle w:val="Hyperlink"/>
            <w:rFonts w:cstheme="minorHAnsi"/>
          </w:rPr>
          <w:t>UNDP-Global Fund and Health Implementation Guidance Manual</w:t>
        </w:r>
      </w:hyperlink>
      <w:r>
        <w:rPr>
          <w:rFonts w:cstheme="minorHAnsi"/>
        </w:rPr>
        <w:t xml:space="preserve"> and TGF </w:t>
      </w:r>
      <w:hyperlink r:id="rId96" w:history="1">
        <w:r>
          <w:rPr>
            <w:rStyle w:val="Hyperlink"/>
            <w:rFonts w:cstheme="minorHAnsi"/>
          </w:rPr>
          <w:t>Operational Policy Manual</w:t>
        </w:r>
      </w:hyperlink>
      <w:r>
        <w:rPr>
          <w:rFonts w:cstheme="minorHAnsi"/>
        </w:rPr>
        <w:t xml:space="preserve"> section on </w:t>
      </w:r>
      <w:r>
        <w:rPr>
          <w:rFonts w:cstheme="minorHAnsi"/>
          <w:color w:val="000000"/>
        </w:rPr>
        <w:t xml:space="preserve">Operational Procedures on Implementation Period Reconciliation and Grant Closure. </w:t>
      </w:r>
      <w:r>
        <w:rPr>
          <w:rFonts w:cstheme="minorHAnsi"/>
        </w:rPr>
        <w:t xml:space="preserve"> TGF issues a Guidance Letter on IP Reconciliation or Grant Closure at least six months before the IP end date to ensure timely and orderly closure. Below is a summary of the different grant closure and Atlas project closure processes:</w:t>
      </w:r>
    </w:p>
    <w:p w14:paraId="26AA9EA5" w14:textId="77777777" w:rsidR="00CA6017" w:rsidRDefault="00CA6017" w:rsidP="00CA6017">
      <w:pPr>
        <w:spacing w:after="0" w:line="240" w:lineRule="auto"/>
        <w:rPr>
          <w:rFonts w:cstheme="minorHAnsi"/>
        </w:rPr>
      </w:pPr>
    </w:p>
    <w:tbl>
      <w:tblPr>
        <w:tblStyle w:val="TableGrid"/>
        <w:tblW w:w="9535" w:type="dxa"/>
        <w:tblLook w:val="04A0" w:firstRow="1" w:lastRow="0" w:firstColumn="1" w:lastColumn="0" w:noHBand="0" w:noVBand="1"/>
      </w:tblPr>
      <w:tblGrid>
        <w:gridCol w:w="1705"/>
        <w:gridCol w:w="3780"/>
        <w:gridCol w:w="4050"/>
      </w:tblGrid>
      <w:tr w:rsidR="00CA6017" w14:paraId="3C79E271" w14:textId="77777777" w:rsidTr="007464B7">
        <w:trPr>
          <w:tblHeader/>
        </w:trPr>
        <w:tc>
          <w:tcPr>
            <w:tcW w:w="1705" w:type="dxa"/>
            <w:tcBorders>
              <w:top w:val="single" w:sz="4" w:space="0" w:color="auto"/>
              <w:left w:val="single" w:sz="4" w:space="0" w:color="auto"/>
              <w:bottom w:val="single" w:sz="4" w:space="0" w:color="auto"/>
              <w:right w:val="single" w:sz="4" w:space="0" w:color="auto"/>
            </w:tcBorders>
            <w:hideMark/>
          </w:tcPr>
          <w:p w14:paraId="7A94F61B" w14:textId="77777777" w:rsidR="00CA6017" w:rsidRDefault="00CA6017">
            <w:pPr>
              <w:rPr>
                <w:rFonts w:cstheme="minorHAnsi"/>
                <w:b/>
                <w:bCs/>
              </w:rPr>
            </w:pPr>
            <w:r>
              <w:rPr>
                <w:rFonts w:cstheme="minorHAnsi"/>
                <w:b/>
                <w:bCs/>
              </w:rPr>
              <w:t>Process</w:t>
            </w:r>
          </w:p>
        </w:tc>
        <w:tc>
          <w:tcPr>
            <w:tcW w:w="3780" w:type="dxa"/>
            <w:tcBorders>
              <w:top w:val="single" w:sz="4" w:space="0" w:color="auto"/>
              <w:left w:val="single" w:sz="4" w:space="0" w:color="auto"/>
              <w:bottom w:val="single" w:sz="4" w:space="0" w:color="auto"/>
              <w:right w:val="single" w:sz="4" w:space="0" w:color="auto"/>
            </w:tcBorders>
            <w:hideMark/>
          </w:tcPr>
          <w:p w14:paraId="3FB265AA" w14:textId="77777777" w:rsidR="00CA6017" w:rsidRDefault="00CA6017">
            <w:pPr>
              <w:rPr>
                <w:rFonts w:cstheme="minorHAnsi"/>
                <w:b/>
                <w:bCs/>
              </w:rPr>
            </w:pPr>
            <w:r>
              <w:rPr>
                <w:rFonts w:cstheme="minorHAnsi"/>
                <w:b/>
                <w:bCs/>
              </w:rPr>
              <w:t>IP Reconciliation/Grant Consolidation</w:t>
            </w:r>
          </w:p>
        </w:tc>
        <w:tc>
          <w:tcPr>
            <w:tcW w:w="4050" w:type="dxa"/>
            <w:tcBorders>
              <w:top w:val="single" w:sz="4" w:space="0" w:color="auto"/>
              <w:left w:val="single" w:sz="4" w:space="0" w:color="auto"/>
              <w:bottom w:val="single" w:sz="4" w:space="0" w:color="auto"/>
              <w:right w:val="single" w:sz="4" w:space="0" w:color="auto"/>
            </w:tcBorders>
            <w:hideMark/>
          </w:tcPr>
          <w:p w14:paraId="39F30E57" w14:textId="77777777" w:rsidR="00CA6017" w:rsidRDefault="00CA6017">
            <w:pPr>
              <w:rPr>
                <w:rFonts w:cstheme="minorHAnsi"/>
                <w:b/>
                <w:bCs/>
              </w:rPr>
            </w:pPr>
            <w:r>
              <w:rPr>
                <w:rFonts w:cstheme="minorHAnsi"/>
                <w:b/>
                <w:bCs/>
              </w:rPr>
              <w:t>Change of the PR /Transition from Global Fund Financing</w:t>
            </w:r>
          </w:p>
        </w:tc>
      </w:tr>
      <w:tr w:rsidR="00CA6017" w14:paraId="6E6BC291" w14:textId="77777777" w:rsidTr="00CA6017">
        <w:tc>
          <w:tcPr>
            <w:tcW w:w="1705" w:type="dxa"/>
            <w:tcBorders>
              <w:top w:val="single" w:sz="4" w:space="0" w:color="auto"/>
              <w:left w:val="single" w:sz="4" w:space="0" w:color="auto"/>
              <w:bottom w:val="single" w:sz="4" w:space="0" w:color="auto"/>
              <w:right w:val="single" w:sz="4" w:space="0" w:color="auto"/>
            </w:tcBorders>
            <w:hideMark/>
          </w:tcPr>
          <w:p w14:paraId="2AF0E3CA" w14:textId="77777777" w:rsidR="00CA6017" w:rsidRDefault="00CA6017">
            <w:pPr>
              <w:rPr>
                <w:rFonts w:cstheme="minorHAnsi"/>
                <w:b/>
                <w:bCs/>
              </w:rPr>
            </w:pPr>
            <w:r>
              <w:rPr>
                <w:rFonts w:cstheme="minorHAnsi"/>
                <w:b/>
                <w:bCs/>
              </w:rPr>
              <w:t xml:space="preserve">Plan Closure – </w:t>
            </w:r>
          </w:p>
          <w:p w14:paraId="765F94F2" w14:textId="77777777" w:rsidR="00CA6017" w:rsidRDefault="00CA6017">
            <w:pPr>
              <w:rPr>
                <w:rFonts w:cstheme="minorHAnsi"/>
              </w:rPr>
            </w:pPr>
            <w:r>
              <w:rPr>
                <w:rFonts w:cstheme="minorHAnsi"/>
              </w:rPr>
              <w:t>6 months before IP end date</w:t>
            </w:r>
          </w:p>
        </w:tc>
        <w:tc>
          <w:tcPr>
            <w:tcW w:w="3780" w:type="dxa"/>
            <w:tcBorders>
              <w:top w:val="single" w:sz="4" w:space="0" w:color="auto"/>
              <w:left w:val="single" w:sz="4" w:space="0" w:color="auto"/>
              <w:bottom w:val="single" w:sz="4" w:space="0" w:color="auto"/>
              <w:right w:val="single" w:sz="4" w:space="0" w:color="auto"/>
            </w:tcBorders>
          </w:tcPr>
          <w:p w14:paraId="4BE1FC94" w14:textId="77777777" w:rsidR="00CA6017" w:rsidRDefault="00CA6017">
            <w:pPr>
              <w:pStyle w:val="Default"/>
              <w:rPr>
                <w:rFonts w:asciiTheme="minorHAnsi" w:hAnsiTheme="minorHAnsi" w:cstheme="minorHAnsi"/>
                <w:sz w:val="22"/>
                <w:szCs w:val="22"/>
              </w:rPr>
            </w:pPr>
            <w:r>
              <w:rPr>
                <w:rFonts w:asciiTheme="minorHAnsi" w:hAnsiTheme="minorHAnsi" w:cstheme="minorHAnsi"/>
                <w:sz w:val="22"/>
                <w:szCs w:val="22"/>
              </w:rPr>
              <w:t xml:space="preserve">Financial Obligations not likely to be delivered by the IP end date should be included in the grant budget for the next IP. </w:t>
            </w:r>
          </w:p>
          <w:p w14:paraId="37A38C90" w14:textId="77777777" w:rsidR="00CA6017" w:rsidRDefault="00CA6017">
            <w:pPr>
              <w:rPr>
                <w:rFonts w:cstheme="minorHAnsi"/>
              </w:rPr>
            </w:pPr>
          </w:p>
          <w:p w14:paraId="18543F24" w14:textId="77777777" w:rsidR="00CA6017" w:rsidRDefault="00CA6017">
            <w:pPr>
              <w:rPr>
                <w:rFonts w:cstheme="minorHAnsi"/>
              </w:rPr>
            </w:pPr>
          </w:p>
        </w:tc>
        <w:tc>
          <w:tcPr>
            <w:tcW w:w="4050" w:type="dxa"/>
            <w:tcBorders>
              <w:top w:val="single" w:sz="4" w:space="0" w:color="auto"/>
              <w:left w:val="single" w:sz="4" w:space="0" w:color="auto"/>
              <w:bottom w:val="single" w:sz="4" w:space="0" w:color="auto"/>
              <w:right w:val="single" w:sz="4" w:space="0" w:color="auto"/>
            </w:tcBorders>
            <w:hideMark/>
          </w:tcPr>
          <w:p w14:paraId="7306FED9" w14:textId="77777777" w:rsidR="00CA6017" w:rsidRDefault="00CA6017">
            <w:pPr>
              <w:rPr>
                <w:rFonts w:cstheme="minorHAnsi"/>
              </w:rPr>
            </w:pPr>
            <w:r>
              <w:rPr>
                <w:rFonts w:cstheme="minorHAnsi"/>
              </w:rPr>
              <w:lastRenderedPageBreak/>
              <w:t xml:space="preserve">Agree on a grant closure plan and budget, lists of remaining grant assets and inventory of health products, and a disposal plan. This is formalized through </w:t>
            </w:r>
            <w:r>
              <w:rPr>
                <w:rFonts w:cstheme="minorHAnsi"/>
              </w:rPr>
              <w:lastRenderedPageBreak/>
              <w:t xml:space="preserve">an Implementation Letter (IL) for grant closure signed by UNDP and TGF. </w:t>
            </w:r>
          </w:p>
        </w:tc>
      </w:tr>
      <w:tr w:rsidR="00CA6017" w14:paraId="3E940B0D" w14:textId="77777777" w:rsidTr="00CA6017">
        <w:tc>
          <w:tcPr>
            <w:tcW w:w="1705" w:type="dxa"/>
            <w:vMerge w:val="restart"/>
            <w:tcBorders>
              <w:top w:val="single" w:sz="4" w:space="0" w:color="auto"/>
              <w:left w:val="single" w:sz="4" w:space="0" w:color="auto"/>
              <w:bottom w:val="single" w:sz="4" w:space="0" w:color="auto"/>
              <w:right w:val="single" w:sz="4" w:space="0" w:color="auto"/>
            </w:tcBorders>
            <w:hideMark/>
          </w:tcPr>
          <w:p w14:paraId="371418B5" w14:textId="77777777" w:rsidR="00CA6017" w:rsidRDefault="00CA6017">
            <w:pPr>
              <w:rPr>
                <w:rFonts w:cstheme="minorHAnsi"/>
                <w:b/>
                <w:bCs/>
              </w:rPr>
            </w:pPr>
            <w:r>
              <w:rPr>
                <w:rFonts w:cstheme="minorHAnsi"/>
                <w:b/>
                <w:bCs/>
              </w:rPr>
              <w:lastRenderedPageBreak/>
              <w:t xml:space="preserve">Implement Closure – </w:t>
            </w:r>
          </w:p>
          <w:p w14:paraId="19049E1D" w14:textId="77777777" w:rsidR="00CA6017" w:rsidRDefault="00CA6017">
            <w:pPr>
              <w:rPr>
                <w:rFonts w:cstheme="minorHAnsi"/>
              </w:rPr>
            </w:pPr>
            <w:r>
              <w:rPr>
                <w:rFonts w:cstheme="minorHAnsi"/>
              </w:rPr>
              <w:t>6 months after IP end date</w:t>
            </w:r>
          </w:p>
        </w:tc>
        <w:tc>
          <w:tcPr>
            <w:tcW w:w="7830" w:type="dxa"/>
            <w:gridSpan w:val="2"/>
            <w:tcBorders>
              <w:top w:val="single" w:sz="4" w:space="0" w:color="auto"/>
              <w:left w:val="single" w:sz="4" w:space="0" w:color="auto"/>
              <w:bottom w:val="single" w:sz="4" w:space="0" w:color="auto"/>
              <w:right w:val="single" w:sz="4" w:space="0" w:color="auto"/>
            </w:tcBorders>
          </w:tcPr>
          <w:p w14:paraId="61328783" w14:textId="77777777" w:rsidR="00CA6017" w:rsidRDefault="00CA6017">
            <w:pPr>
              <w:rPr>
                <w:rFonts w:cstheme="minorHAnsi"/>
              </w:rPr>
            </w:pPr>
            <w:r>
              <w:rPr>
                <w:rFonts w:cstheme="minorHAnsi"/>
              </w:rPr>
              <w:t>Submit to TGF the last Progress Update (PU) as of IP end date (within 60 days after IP end date) and the final tax status report for the previous calendar year (by 31 July).</w:t>
            </w:r>
          </w:p>
          <w:p w14:paraId="6A85A9A5" w14:textId="77777777" w:rsidR="00CA6017" w:rsidRDefault="00CA6017">
            <w:pPr>
              <w:rPr>
                <w:rFonts w:cstheme="minorHAnsi"/>
              </w:rPr>
            </w:pPr>
          </w:p>
          <w:p w14:paraId="24C9FEDA" w14:textId="77777777" w:rsidR="00CA6017" w:rsidRDefault="00CA6017">
            <w:pPr>
              <w:rPr>
                <w:rFonts w:cstheme="minorHAnsi"/>
              </w:rPr>
            </w:pPr>
            <w:r>
              <w:rPr>
                <w:rFonts w:cstheme="minorHAnsi"/>
              </w:rPr>
              <w:t>Facilitate Sub Recipient (SR) audits.</w:t>
            </w:r>
          </w:p>
          <w:p w14:paraId="7442B7DA" w14:textId="77777777" w:rsidR="00CA6017" w:rsidRDefault="00CA6017">
            <w:pPr>
              <w:rPr>
                <w:rFonts w:cstheme="minorHAnsi"/>
              </w:rPr>
            </w:pPr>
          </w:p>
        </w:tc>
      </w:tr>
      <w:tr w:rsidR="00CA6017" w14:paraId="53C0574B" w14:textId="77777777" w:rsidTr="00CA6017">
        <w:tc>
          <w:tcPr>
            <w:tcW w:w="0" w:type="auto"/>
            <w:vMerge/>
            <w:tcBorders>
              <w:top w:val="single" w:sz="4" w:space="0" w:color="auto"/>
              <w:left w:val="single" w:sz="4" w:space="0" w:color="auto"/>
              <w:bottom w:val="single" w:sz="4" w:space="0" w:color="auto"/>
              <w:right w:val="single" w:sz="4" w:space="0" w:color="auto"/>
            </w:tcBorders>
            <w:vAlign w:val="center"/>
            <w:hideMark/>
          </w:tcPr>
          <w:p w14:paraId="5078B814" w14:textId="77777777" w:rsidR="00CA6017" w:rsidRDefault="00CA6017">
            <w:pPr>
              <w:rPr>
                <w:rFonts w:cstheme="minorHAnsi"/>
                <w:lang w:val="en-MY"/>
              </w:rPr>
            </w:pPr>
          </w:p>
        </w:tc>
        <w:tc>
          <w:tcPr>
            <w:tcW w:w="3780" w:type="dxa"/>
            <w:tcBorders>
              <w:top w:val="single" w:sz="4" w:space="0" w:color="auto"/>
              <w:left w:val="single" w:sz="4" w:space="0" w:color="auto"/>
              <w:bottom w:val="single" w:sz="4" w:space="0" w:color="auto"/>
              <w:right w:val="single" w:sz="4" w:space="0" w:color="auto"/>
            </w:tcBorders>
          </w:tcPr>
          <w:p w14:paraId="423AC69C" w14:textId="77777777" w:rsidR="00CA6017" w:rsidRDefault="00CA6017">
            <w:pPr>
              <w:pStyle w:val="Default"/>
              <w:rPr>
                <w:rFonts w:asciiTheme="minorHAnsi" w:hAnsiTheme="minorHAnsi" w:cstheme="minorHAnsi"/>
                <w:sz w:val="22"/>
                <w:szCs w:val="22"/>
              </w:rPr>
            </w:pPr>
            <w:r>
              <w:rPr>
                <w:rFonts w:asciiTheme="minorHAnsi" w:hAnsiTheme="minorHAnsi" w:cstheme="minorHAnsi"/>
                <w:sz w:val="22"/>
                <w:szCs w:val="22"/>
              </w:rPr>
              <w:t>Settle financial commitments under the within 6 months of IP end date under the closing IP /output. Financial commitments outstanding after 6 months are reviewed by TGF for a determination of the IP to charge.</w:t>
            </w:r>
          </w:p>
          <w:p w14:paraId="63E2255D" w14:textId="77777777" w:rsidR="00CA6017" w:rsidRDefault="00CA6017">
            <w:pPr>
              <w:pStyle w:val="Default"/>
              <w:rPr>
                <w:rFonts w:asciiTheme="minorHAnsi" w:hAnsiTheme="minorHAnsi" w:cstheme="minorHAnsi"/>
                <w:sz w:val="22"/>
                <w:szCs w:val="22"/>
              </w:rPr>
            </w:pPr>
          </w:p>
          <w:p w14:paraId="75C040B1" w14:textId="77777777" w:rsidR="00CA6017" w:rsidRDefault="00CA6017">
            <w:pPr>
              <w:pStyle w:val="Default"/>
              <w:rPr>
                <w:rFonts w:asciiTheme="minorHAnsi" w:hAnsiTheme="minorHAnsi" w:cstheme="minorHAnsi"/>
                <w:sz w:val="22"/>
                <w:szCs w:val="22"/>
              </w:rPr>
            </w:pPr>
            <w:r>
              <w:rPr>
                <w:rFonts w:asciiTheme="minorHAnsi" w:hAnsiTheme="minorHAnsi" w:cstheme="minorHAnsi"/>
                <w:sz w:val="22"/>
                <w:szCs w:val="22"/>
              </w:rPr>
              <w:t>Transfer approved financial obligations to the next IP.</w:t>
            </w:r>
          </w:p>
          <w:p w14:paraId="6B7EB352" w14:textId="77777777" w:rsidR="00CA6017" w:rsidRDefault="00CA6017">
            <w:pPr>
              <w:pStyle w:val="Default"/>
              <w:rPr>
                <w:rFonts w:asciiTheme="minorHAnsi" w:hAnsiTheme="minorHAnsi" w:cstheme="minorHAnsi"/>
                <w:sz w:val="22"/>
                <w:szCs w:val="22"/>
              </w:rPr>
            </w:pPr>
          </w:p>
          <w:p w14:paraId="76B235B7" w14:textId="77777777" w:rsidR="00CA6017" w:rsidRDefault="00CA6017">
            <w:pPr>
              <w:pStyle w:val="Default"/>
              <w:rPr>
                <w:rFonts w:asciiTheme="minorHAnsi" w:hAnsiTheme="minorHAnsi" w:cstheme="minorHAnsi"/>
                <w:sz w:val="22"/>
                <w:szCs w:val="22"/>
              </w:rPr>
            </w:pPr>
            <w:r>
              <w:rPr>
                <w:rFonts w:asciiTheme="minorHAnsi" w:hAnsiTheme="minorHAnsi" w:cstheme="minorHAnsi"/>
                <w:b/>
                <w:bCs/>
                <w:sz w:val="22"/>
                <w:szCs w:val="22"/>
              </w:rPr>
              <w:t>Consolidation at the IP end date</w:t>
            </w:r>
            <w:r>
              <w:rPr>
                <w:rFonts w:asciiTheme="minorHAnsi" w:hAnsiTheme="minorHAnsi" w:cstheme="minorHAnsi"/>
                <w:sz w:val="22"/>
                <w:szCs w:val="22"/>
              </w:rPr>
              <w:t xml:space="preserve"> - Financial Commitments and Financial Obligations must be settled under the closing grants /outputs. </w:t>
            </w:r>
          </w:p>
          <w:p w14:paraId="2DC3A119" w14:textId="77777777" w:rsidR="00CA6017" w:rsidRDefault="00CA6017">
            <w:pPr>
              <w:pStyle w:val="Default"/>
              <w:rPr>
                <w:rFonts w:asciiTheme="minorHAnsi" w:hAnsiTheme="minorHAnsi" w:cstheme="minorHAnsi"/>
                <w:sz w:val="22"/>
                <w:szCs w:val="22"/>
              </w:rPr>
            </w:pPr>
          </w:p>
          <w:p w14:paraId="4507FA0C" w14:textId="77777777" w:rsidR="00CA6017" w:rsidRDefault="00CA6017">
            <w:pPr>
              <w:pStyle w:val="Default"/>
              <w:rPr>
                <w:rFonts w:asciiTheme="minorHAnsi" w:hAnsiTheme="minorHAnsi" w:cstheme="minorHAnsi"/>
                <w:sz w:val="22"/>
                <w:szCs w:val="22"/>
              </w:rPr>
            </w:pPr>
            <w:r>
              <w:rPr>
                <w:rFonts w:asciiTheme="minorHAnsi" w:hAnsiTheme="minorHAnsi" w:cstheme="minorHAnsi"/>
                <w:b/>
                <w:bCs/>
                <w:sz w:val="22"/>
                <w:szCs w:val="22"/>
              </w:rPr>
              <w:t>Consolidation during IP</w:t>
            </w:r>
            <w:r>
              <w:rPr>
                <w:rFonts w:asciiTheme="minorHAnsi" w:hAnsiTheme="minorHAnsi" w:cstheme="minorHAnsi"/>
                <w:sz w:val="22"/>
                <w:szCs w:val="22"/>
              </w:rPr>
              <w:t xml:space="preserve"> -  Financial Commitments and Financial Obligations are transferred to the new combined grant / new output</w:t>
            </w:r>
          </w:p>
          <w:p w14:paraId="5E108084" w14:textId="77777777" w:rsidR="00CA6017" w:rsidRDefault="00CA6017">
            <w:pPr>
              <w:pStyle w:val="Default"/>
              <w:rPr>
                <w:rFonts w:ascii="Arial" w:hAnsi="Arial" w:cstheme="minorHAnsi"/>
              </w:rPr>
            </w:pPr>
          </w:p>
        </w:tc>
        <w:tc>
          <w:tcPr>
            <w:tcW w:w="4050" w:type="dxa"/>
            <w:tcBorders>
              <w:top w:val="single" w:sz="4" w:space="0" w:color="auto"/>
              <w:left w:val="single" w:sz="4" w:space="0" w:color="auto"/>
              <w:bottom w:val="single" w:sz="4" w:space="0" w:color="auto"/>
              <w:right w:val="single" w:sz="4" w:space="0" w:color="auto"/>
            </w:tcBorders>
          </w:tcPr>
          <w:p w14:paraId="3A1F1FD8" w14:textId="77777777" w:rsidR="00CA6017" w:rsidRDefault="00CA6017">
            <w:pPr>
              <w:rPr>
                <w:rFonts w:cstheme="minorHAnsi"/>
              </w:rPr>
            </w:pPr>
            <w:r>
              <w:rPr>
                <w:rFonts w:cstheme="minorHAnsi"/>
              </w:rPr>
              <w:t>Implement the GF approved closure plan and settle the approved financial commitments and obligations.</w:t>
            </w:r>
          </w:p>
          <w:p w14:paraId="57157DC8" w14:textId="77777777" w:rsidR="00CA6017" w:rsidRDefault="00CA6017">
            <w:pPr>
              <w:rPr>
                <w:rFonts w:cstheme="minorHAnsi"/>
              </w:rPr>
            </w:pPr>
          </w:p>
          <w:p w14:paraId="6E87331A" w14:textId="77777777" w:rsidR="00CA6017" w:rsidRDefault="00CA6017">
            <w:pPr>
              <w:pStyle w:val="Default"/>
              <w:rPr>
                <w:rFonts w:cstheme="minorHAnsi"/>
              </w:rPr>
            </w:pPr>
          </w:p>
        </w:tc>
      </w:tr>
      <w:tr w:rsidR="00CA6017" w14:paraId="2887A517" w14:textId="77777777" w:rsidTr="00CA6017">
        <w:tc>
          <w:tcPr>
            <w:tcW w:w="0" w:type="auto"/>
            <w:vMerge/>
            <w:tcBorders>
              <w:top w:val="single" w:sz="4" w:space="0" w:color="auto"/>
              <w:left w:val="single" w:sz="4" w:space="0" w:color="auto"/>
              <w:bottom w:val="single" w:sz="4" w:space="0" w:color="auto"/>
              <w:right w:val="single" w:sz="4" w:space="0" w:color="auto"/>
            </w:tcBorders>
            <w:vAlign w:val="center"/>
            <w:hideMark/>
          </w:tcPr>
          <w:p w14:paraId="14E1B2FD" w14:textId="77777777" w:rsidR="00CA6017" w:rsidRDefault="00CA6017">
            <w:pPr>
              <w:rPr>
                <w:rFonts w:cstheme="minorHAnsi"/>
                <w:lang w:val="en-MY"/>
              </w:rPr>
            </w:pPr>
          </w:p>
        </w:tc>
        <w:tc>
          <w:tcPr>
            <w:tcW w:w="3780" w:type="dxa"/>
            <w:tcBorders>
              <w:top w:val="single" w:sz="4" w:space="0" w:color="auto"/>
              <w:left w:val="single" w:sz="4" w:space="0" w:color="auto"/>
              <w:bottom w:val="single" w:sz="4" w:space="0" w:color="auto"/>
              <w:right w:val="single" w:sz="4" w:space="0" w:color="auto"/>
            </w:tcBorders>
          </w:tcPr>
          <w:p w14:paraId="319C461D" w14:textId="77777777" w:rsidR="00CA6017" w:rsidRDefault="00CA6017">
            <w:pPr>
              <w:rPr>
                <w:rFonts w:cstheme="minorHAnsi"/>
                <w:bCs/>
              </w:rPr>
            </w:pPr>
            <w:r>
              <w:rPr>
                <w:rFonts w:cstheme="minorHAnsi"/>
                <w:bCs/>
              </w:rPr>
              <w:t>Prepare a list of remaining health products as of IP end date to be transferred and managed under the next IP.</w:t>
            </w:r>
          </w:p>
          <w:p w14:paraId="533A94D6" w14:textId="77777777" w:rsidR="00CA6017" w:rsidRDefault="00CA6017">
            <w:pPr>
              <w:rPr>
                <w:rFonts w:cstheme="minorHAnsi"/>
              </w:rPr>
            </w:pPr>
          </w:p>
        </w:tc>
        <w:tc>
          <w:tcPr>
            <w:tcW w:w="4050" w:type="dxa"/>
            <w:tcBorders>
              <w:top w:val="single" w:sz="4" w:space="0" w:color="auto"/>
              <w:left w:val="single" w:sz="4" w:space="0" w:color="auto"/>
              <w:bottom w:val="single" w:sz="4" w:space="0" w:color="auto"/>
              <w:right w:val="single" w:sz="4" w:space="0" w:color="auto"/>
            </w:tcBorders>
            <w:hideMark/>
          </w:tcPr>
          <w:p w14:paraId="096CA877" w14:textId="77777777" w:rsidR="00CA6017" w:rsidRDefault="00CA6017">
            <w:pPr>
              <w:rPr>
                <w:rFonts w:cstheme="minorHAnsi"/>
              </w:rPr>
            </w:pPr>
            <w:r>
              <w:rPr>
                <w:rFonts w:cstheme="minorHAnsi"/>
              </w:rPr>
              <w:t>Conduct inventory counts and complete lists of</w:t>
            </w:r>
            <w:r>
              <w:rPr>
                <w:rFonts w:cstheme="minorHAnsi"/>
                <w:bCs/>
              </w:rPr>
              <w:t xml:space="preserve"> remaining health products as of IP end date and complete documents to transfer ownership to implementers as agreed with TGF</w:t>
            </w:r>
          </w:p>
        </w:tc>
      </w:tr>
      <w:tr w:rsidR="00CA6017" w14:paraId="326CEA40" w14:textId="77777777" w:rsidTr="00CA6017">
        <w:tc>
          <w:tcPr>
            <w:tcW w:w="0" w:type="auto"/>
            <w:vMerge/>
            <w:tcBorders>
              <w:top w:val="single" w:sz="4" w:space="0" w:color="auto"/>
              <w:left w:val="single" w:sz="4" w:space="0" w:color="auto"/>
              <w:bottom w:val="single" w:sz="4" w:space="0" w:color="auto"/>
              <w:right w:val="single" w:sz="4" w:space="0" w:color="auto"/>
            </w:tcBorders>
            <w:vAlign w:val="center"/>
            <w:hideMark/>
          </w:tcPr>
          <w:p w14:paraId="76D51E3F" w14:textId="77777777" w:rsidR="00CA6017" w:rsidRDefault="00CA6017">
            <w:pPr>
              <w:rPr>
                <w:rFonts w:cstheme="minorHAnsi"/>
                <w:lang w:val="en-MY"/>
              </w:rPr>
            </w:pPr>
          </w:p>
        </w:tc>
        <w:tc>
          <w:tcPr>
            <w:tcW w:w="3780" w:type="dxa"/>
            <w:tcBorders>
              <w:top w:val="single" w:sz="4" w:space="0" w:color="auto"/>
              <w:left w:val="single" w:sz="4" w:space="0" w:color="auto"/>
              <w:bottom w:val="single" w:sz="4" w:space="0" w:color="auto"/>
              <w:right w:val="single" w:sz="4" w:space="0" w:color="auto"/>
            </w:tcBorders>
          </w:tcPr>
          <w:p w14:paraId="68F64E3F" w14:textId="77777777" w:rsidR="00CA6017" w:rsidRDefault="00CA6017">
            <w:pPr>
              <w:rPr>
                <w:rFonts w:cstheme="minorHAnsi"/>
              </w:rPr>
            </w:pPr>
            <w:r>
              <w:rPr>
                <w:rFonts w:cstheme="minorHAnsi"/>
              </w:rPr>
              <w:t>Prepare a list of remaining grant assets as of IP end date, recommending assets to be transferred to the next IP, and any assets proposed by UNDP to be disposed of or written off. The assets transferred to the next IP will be accounted for and managed under this IP.</w:t>
            </w:r>
          </w:p>
          <w:p w14:paraId="4C24AE5D" w14:textId="77777777" w:rsidR="00CA6017" w:rsidRDefault="00CA6017">
            <w:pPr>
              <w:rPr>
                <w:rFonts w:cstheme="minorHAnsi"/>
              </w:rPr>
            </w:pPr>
            <w:r>
              <w:rPr>
                <w:rFonts w:cstheme="minorHAnsi"/>
                <w:bCs/>
              </w:rPr>
              <w:t xml:space="preserve">Take action on lost, stolen, and damaged assets in line with </w:t>
            </w:r>
            <w:hyperlink r:id="rId97" w:history="1">
              <w:r>
                <w:rPr>
                  <w:rStyle w:val="Hyperlink"/>
                  <w:rFonts w:cstheme="minorHAnsi"/>
                  <w:bCs/>
                </w:rPr>
                <w:t>POPP</w:t>
              </w:r>
            </w:hyperlink>
            <w:r>
              <w:rPr>
                <w:rFonts w:cstheme="minorHAnsi"/>
                <w:bCs/>
              </w:rPr>
              <w:t>.</w:t>
            </w:r>
          </w:p>
          <w:p w14:paraId="3641F9B5" w14:textId="77777777" w:rsidR="00CA6017" w:rsidRDefault="00CA6017">
            <w:pPr>
              <w:rPr>
                <w:rFonts w:cstheme="minorHAnsi"/>
              </w:rPr>
            </w:pPr>
          </w:p>
        </w:tc>
        <w:tc>
          <w:tcPr>
            <w:tcW w:w="4050" w:type="dxa"/>
            <w:tcBorders>
              <w:top w:val="single" w:sz="4" w:space="0" w:color="auto"/>
              <w:left w:val="single" w:sz="4" w:space="0" w:color="auto"/>
              <w:bottom w:val="single" w:sz="4" w:space="0" w:color="auto"/>
              <w:right w:val="single" w:sz="4" w:space="0" w:color="auto"/>
            </w:tcBorders>
          </w:tcPr>
          <w:p w14:paraId="1C155904" w14:textId="77777777" w:rsidR="00CA6017" w:rsidRDefault="00CA6017">
            <w:pPr>
              <w:rPr>
                <w:rFonts w:cstheme="minorHAnsi"/>
                <w:bCs/>
              </w:rPr>
            </w:pPr>
            <w:r>
              <w:rPr>
                <w:rFonts w:cstheme="minorHAnsi"/>
              </w:rPr>
              <w:t xml:space="preserve">Conduct verification of grant assets and complete </w:t>
            </w:r>
            <w:r>
              <w:rPr>
                <w:rFonts w:cstheme="minorHAnsi"/>
                <w:bCs/>
              </w:rPr>
              <w:t>documents to transfer ownership to implementers as agreed with the CCM, TGF and as per the project document. This documentation should be shared with the LFA and TGF.</w:t>
            </w:r>
          </w:p>
          <w:p w14:paraId="7A04B422" w14:textId="77777777" w:rsidR="00CA6017" w:rsidRDefault="00CA6017">
            <w:pPr>
              <w:rPr>
                <w:rFonts w:cstheme="minorHAnsi"/>
                <w:bCs/>
              </w:rPr>
            </w:pPr>
          </w:p>
          <w:p w14:paraId="217F79B5" w14:textId="77777777" w:rsidR="00CA6017" w:rsidRDefault="00CA6017">
            <w:pPr>
              <w:rPr>
                <w:rFonts w:cstheme="minorHAnsi"/>
              </w:rPr>
            </w:pPr>
            <w:r>
              <w:rPr>
                <w:rFonts w:cstheme="minorHAnsi"/>
                <w:bCs/>
              </w:rPr>
              <w:t xml:space="preserve">Take action on lost, stolen, and damaged assets in line with </w:t>
            </w:r>
            <w:hyperlink r:id="rId98" w:history="1">
              <w:r>
                <w:rPr>
                  <w:rStyle w:val="Hyperlink"/>
                  <w:rFonts w:cstheme="minorHAnsi"/>
                  <w:bCs/>
                </w:rPr>
                <w:t>POPP</w:t>
              </w:r>
            </w:hyperlink>
            <w:r>
              <w:rPr>
                <w:rFonts w:cstheme="minorHAnsi"/>
                <w:bCs/>
              </w:rPr>
              <w:t>.</w:t>
            </w:r>
          </w:p>
        </w:tc>
      </w:tr>
      <w:tr w:rsidR="00CA6017" w14:paraId="7DD17563" w14:textId="77777777" w:rsidTr="00CA6017">
        <w:tc>
          <w:tcPr>
            <w:tcW w:w="0" w:type="auto"/>
            <w:vMerge/>
            <w:tcBorders>
              <w:top w:val="single" w:sz="4" w:space="0" w:color="auto"/>
              <w:left w:val="single" w:sz="4" w:space="0" w:color="auto"/>
              <w:bottom w:val="single" w:sz="4" w:space="0" w:color="auto"/>
              <w:right w:val="single" w:sz="4" w:space="0" w:color="auto"/>
            </w:tcBorders>
            <w:vAlign w:val="center"/>
            <w:hideMark/>
          </w:tcPr>
          <w:p w14:paraId="17635665" w14:textId="77777777" w:rsidR="00CA6017" w:rsidRDefault="00CA6017">
            <w:pPr>
              <w:rPr>
                <w:rFonts w:cstheme="minorHAnsi"/>
                <w:lang w:val="en-MY"/>
              </w:rPr>
            </w:pPr>
          </w:p>
        </w:tc>
        <w:tc>
          <w:tcPr>
            <w:tcW w:w="3780" w:type="dxa"/>
            <w:tcBorders>
              <w:top w:val="single" w:sz="4" w:space="0" w:color="auto"/>
              <w:left w:val="single" w:sz="4" w:space="0" w:color="auto"/>
              <w:bottom w:val="single" w:sz="4" w:space="0" w:color="auto"/>
              <w:right w:val="single" w:sz="4" w:space="0" w:color="auto"/>
            </w:tcBorders>
            <w:hideMark/>
          </w:tcPr>
          <w:p w14:paraId="58F61C8F" w14:textId="77777777" w:rsidR="00CA6017" w:rsidRDefault="00CA6017">
            <w:pPr>
              <w:rPr>
                <w:rFonts w:cstheme="minorHAnsi"/>
              </w:rPr>
            </w:pPr>
            <w:r>
              <w:rPr>
                <w:rFonts w:cstheme="minorHAnsi"/>
              </w:rPr>
              <w:t>Recover unspent advance balances from SRs</w:t>
            </w:r>
          </w:p>
        </w:tc>
        <w:tc>
          <w:tcPr>
            <w:tcW w:w="4050" w:type="dxa"/>
            <w:tcBorders>
              <w:top w:val="single" w:sz="4" w:space="0" w:color="auto"/>
              <w:left w:val="single" w:sz="4" w:space="0" w:color="auto"/>
              <w:bottom w:val="single" w:sz="4" w:space="0" w:color="auto"/>
              <w:right w:val="single" w:sz="4" w:space="0" w:color="auto"/>
            </w:tcBorders>
            <w:hideMark/>
          </w:tcPr>
          <w:p w14:paraId="74B278CE" w14:textId="77777777" w:rsidR="00CA6017" w:rsidRDefault="00CA6017">
            <w:pPr>
              <w:rPr>
                <w:rFonts w:cstheme="minorHAnsi"/>
              </w:rPr>
            </w:pPr>
            <w:r>
              <w:rPr>
                <w:rFonts w:cstheme="minorHAnsi"/>
              </w:rPr>
              <w:t>Recover unspent advance balances from SRs</w:t>
            </w:r>
          </w:p>
        </w:tc>
      </w:tr>
      <w:tr w:rsidR="00CA6017" w14:paraId="553BBBD6" w14:textId="77777777" w:rsidTr="00CA6017">
        <w:tc>
          <w:tcPr>
            <w:tcW w:w="0" w:type="auto"/>
            <w:vMerge/>
            <w:tcBorders>
              <w:top w:val="single" w:sz="4" w:space="0" w:color="auto"/>
              <w:left w:val="single" w:sz="4" w:space="0" w:color="auto"/>
              <w:bottom w:val="single" w:sz="4" w:space="0" w:color="auto"/>
              <w:right w:val="single" w:sz="4" w:space="0" w:color="auto"/>
            </w:tcBorders>
            <w:vAlign w:val="center"/>
            <w:hideMark/>
          </w:tcPr>
          <w:p w14:paraId="67914F39" w14:textId="77777777" w:rsidR="00CA6017" w:rsidRDefault="00CA6017">
            <w:pPr>
              <w:rPr>
                <w:rFonts w:cstheme="minorHAnsi"/>
                <w:lang w:val="en-MY"/>
              </w:rPr>
            </w:pPr>
          </w:p>
        </w:tc>
        <w:tc>
          <w:tcPr>
            <w:tcW w:w="3780" w:type="dxa"/>
            <w:tcBorders>
              <w:top w:val="single" w:sz="4" w:space="0" w:color="auto"/>
              <w:left w:val="single" w:sz="4" w:space="0" w:color="auto"/>
              <w:bottom w:val="single" w:sz="4" w:space="0" w:color="auto"/>
              <w:right w:val="single" w:sz="4" w:space="0" w:color="auto"/>
            </w:tcBorders>
          </w:tcPr>
          <w:p w14:paraId="4C992C13" w14:textId="77777777" w:rsidR="00CA6017" w:rsidRDefault="00CA6017">
            <w:pPr>
              <w:rPr>
                <w:rFonts w:cstheme="minorHAnsi"/>
              </w:rPr>
            </w:pPr>
          </w:p>
        </w:tc>
        <w:tc>
          <w:tcPr>
            <w:tcW w:w="4050" w:type="dxa"/>
            <w:tcBorders>
              <w:top w:val="single" w:sz="4" w:space="0" w:color="auto"/>
              <w:left w:val="single" w:sz="4" w:space="0" w:color="auto"/>
              <w:bottom w:val="single" w:sz="4" w:space="0" w:color="auto"/>
              <w:right w:val="single" w:sz="4" w:space="0" w:color="auto"/>
            </w:tcBorders>
          </w:tcPr>
          <w:p w14:paraId="2B3CC419" w14:textId="77777777" w:rsidR="00CA6017" w:rsidRDefault="00CA6017">
            <w:pPr>
              <w:rPr>
                <w:rFonts w:cstheme="minorHAnsi"/>
              </w:rPr>
            </w:pPr>
          </w:p>
        </w:tc>
      </w:tr>
      <w:tr w:rsidR="00CA6017" w14:paraId="3EFD2E0E" w14:textId="77777777" w:rsidTr="00CA6017">
        <w:tc>
          <w:tcPr>
            <w:tcW w:w="0" w:type="auto"/>
            <w:vMerge/>
            <w:tcBorders>
              <w:top w:val="single" w:sz="4" w:space="0" w:color="auto"/>
              <w:left w:val="single" w:sz="4" w:space="0" w:color="auto"/>
              <w:bottom w:val="single" w:sz="4" w:space="0" w:color="auto"/>
              <w:right w:val="single" w:sz="4" w:space="0" w:color="auto"/>
            </w:tcBorders>
            <w:vAlign w:val="center"/>
            <w:hideMark/>
          </w:tcPr>
          <w:p w14:paraId="6FA1E8E4" w14:textId="77777777" w:rsidR="00CA6017" w:rsidRDefault="00CA6017">
            <w:pPr>
              <w:rPr>
                <w:rFonts w:cstheme="minorHAnsi"/>
                <w:lang w:val="en-MY"/>
              </w:rPr>
            </w:pPr>
          </w:p>
        </w:tc>
        <w:tc>
          <w:tcPr>
            <w:tcW w:w="7830" w:type="dxa"/>
            <w:gridSpan w:val="2"/>
            <w:tcBorders>
              <w:top w:val="single" w:sz="4" w:space="0" w:color="auto"/>
              <w:left w:val="single" w:sz="4" w:space="0" w:color="auto"/>
              <w:bottom w:val="single" w:sz="4" w:space="0" w:color="auto"/>
              <w:right w:val="single" w:sz="4" w:space="0" w:color="auto"/>
            </w:tcBorders>
            <w:hideMark/>
          </w:tcPr>
          <w:p w14:paraId="31705F1A" w14:textId="77777777" w:rsidR="00CA6017" w:rsidRDefault="00CA6017">
            <w:pPr>
              <w:jc w:val="center"/>
              <w:rPr>
                <w:rFonts w:cstheme="minorHAnsi"/>
                <w:b/>
                <w:bCs/>
              </w:rPr>
            </w:pPr>
            <w:r>
              <w:rPr>
                <w:rFonts w:cstheme="minorHAnsi"/>
                <w:b/>
                <w:bCs/>
              </w:rPr>
              <w:t>Atlas Closure Process:</w:t>
            </w:r>
          </w:p>
        </w:tc>
      </w:tr>
      <w:tr w:rsidR="00CA6017" w14:paraId="3ABFA5AB" w14:textId="77777777" w:rsidTr="00CA6017">
        <w:tc>
          <w:tcPr>
            <w:tcW w:w="0" w:type="auto"/>
            <w:vMerge/>
            <w:tcBorders>
              <w:top w:val="single" w:sz="4" w:space="0" w:color="auto"/>
              <w:left w:val="single" w:sz="4" w:space="0" w:color="auto"/>
              <w:bottom w:val="single" w:sz="4" w:space="0" w:color="auto"/>
              <w:right w:val="single" w:sz="4" w:space="0" w:color="auto"/>
            </w:tcBorders>
            <w:vAlign w:val="center"/>
            <w:hideMark/>
          </w:tcPr>
          <w:p w14:paraId="11DC9F1D" w14:textId="77777777" w:rsidR="00CA6017" w:rsidRDefault="00CA6017">
            <w:pPr>
              <w:rPr>
                <w:rFonts w:cstheme="minorHAnsi"/>
                <w:lang w:val="en-MY"/>
              </w:rPr>
            </w:pPr>
          </w:p>
        </w:tc>
        <w:tc>
          <w:tcPr>
            <w:tcW w:w="3780" w:type="dxa"/>
            <w:tcBorders>
              <w:top w:val="single" w:sz="4" w:space="0" w:color="auto"/>
              <w:left w:val="single" w:sz="4" w:space="0" w:color="auto"/>
              <w:bottom w:val="single" w:sz="4" w:space="0" w:color="auto"/>
              <w:right w:val="single" w:sz="4" w:space="0" w:color="auto"/>
            </w:tcBorders>
            <w:hideMark/>
          </w:tcPr>
          <w:p w14:paraId="57D0CEB6" w14:textId="77777777" w:rsidR="00CA6017" w:rsidRDefault="00CA6017">
            <w:pPr>
              <w:rPr>
                <w:rFonts w:cstheme="minorHAnsi"/>
              </w:rPr>
            </w:pPr>
            <w:r>
              <w:rPr>
                <w:rFonts w:cstheme="minorHAnsi"/>
                <w:b/>
                <w:bCs/>
              </w:rPr>
              <w:t xml:space="preserve">Inventory </w:t>
            </w:r>
            <w:r>
              <w:rPr>
                <w:rFonts w:cstheme="minorHAnsi"/>
              </w:rPr>
              <w:t xml:space="preserve">- A CO </w:t>
            </w:r>
            <w:r>
              <w:rPr>
                <w:rFonts w:eastAsia="Times New Roman" w:cstheme="minorHAnsi"/>
              </w:rPr>
              <w:t>that have reportable inventory in Atlas are required to complete the bi-annual certification under the output in which it was procured until fully consumed.</w:t>
            </w:r>
          </w:p>
        </w:tc>
        <w:tc>
          <w:tcPr>
            <w:tcW w:w="4050" w:type="dxa"/>
            <w:tcBorders>
              <w:top w:val="single" w:sz="4" w:space="0" w:color="auto"/>
              <w:left w:val="single" w:sz="4" w:space="0" w:color="auto"/>
              <w:bottom w:val="single" w:sz="4" w:space="0" w:color="auto"/>
              <w:right w:val="single" w:sz="4" w:space="0" w:color="auto"/>
            </w:tcBorders>
          </w:tcPr>
          <w:p w14:paraId="0096F848" w14:textId="77777777" w:rsidR="00CA6017" w:rsidRDefault="00CA6017">
            <w:pPr>
              <w:rPr>
                <w:rFonts w:cstheme="minorHAnsi"/>
              </w:rPr>
            </w:pPr>
          </w:p>
        </w:tc>
      </w:tr>
      <w:tr w:rsidR="00CA6017" w14:paraId="58DA8F5E" w14:textId="77777777" w:rsidTr="00CA6017">
        <w:tc>
          <w:tcPr>
            <w:tcW w:w="0" w:type="auto"/>
            <w:vMerge/>
            <w:tcBorders>
              <w:top w:val="single" w:sz="4" w:space="0" w:color="auto"/>
              <w:left w:val="single" w:sz="4" w:space="0" w:color="auto"/>
              <w:bottom w:val="single" w:sz="4" w:space="0" w:color="auto"/>
              <w:right w:val="single" w:sz="4" w:space="0" w:color="auto"/>
            </w:tcBorders>
            <w:vAlign w:val="center"/>
            <w:hideMark/>
          </w:tcPr>
          <w:p w14:paraId="65435DD9" w14:textId="77777777" w:rsidR="00CA6017" w:rsidRDefault="00CA6017">
            <w:pPr>
              <w:rPr>
                <w:rFonts w:cstheme="minorHAnsi"/>
                <w:lang w:val="en-MY"/>
              </w:rPr>
            </w:pPr>
          </w:p>
        </w:tc>
        <w:tc>
          <w:tcPr>
            <w:tcW w:w="7830" w:type="dxa"/>
            <w:gridSpan w:val="2"/>
            <w:tcBorders>
              <w:top w:val="single" w:sz="4" w:space="0" w:color="auto"/>
              <w:left w:val="single" w:sz="4" w:space="0" w:color="auto"/>
              <w:bottom w:val="single" w:sz="4" w:space="0" w:color="auto"/>
              <w:right w:val="single" w:sz="4" w:space="0" w:color="auto"/>
            </w:tcBorders>
            <w:hideMark/>
          </w:tcPr>
          <w:p w14:paraId="64743322" w14:textId="77777777" w:rsidR="00CA6017" w:rsidRDefault="00CA6017">
            <w:pPr>
              <w:rPr>
                <w:rFonts w:cstheme="minorHAnsi"/>
              </w:rPr>
            </w:pPr>
            <w:r>
              <w:rPr>
                <w:rFonts w:cstheme="minorHAnsi"/>
                <w:b/>
                <w:bCs/>
              </w:rPr>
              <w:t>Assets Disposal in Atlas -</w:t>
            </w:r>
            <w:r>
              <w:rPr>
                <w:rFonts w:cstheme="minorHAnsi"/>
              </w:rPr>
              <w:t xml:space="preserve"> For assets underuse and control by UNDP, the </w:t>
            </w:r>
            <w:r>
              <w:rPr>
                <w:rFonts w:eastAsia="Times New Roman" w:cstheme="minorHAnsi"/>
              </w:rPr>
              <w:t xml:space="preserve">CO should request GSSU to transfer them to the new output by uploading the assets disposal forms in the UNDP service portal in line with </w:t>
            </w:r>
            <w:hyperlink r:id="rId99" w:history="1">
              <w:r>
                <w:rPr>
                  <w:rStyle w:val="Hyperlink"/>
                  <w:rFonts w:cstheme="minorHAnsi"/>
                </w:rPr>
                <w:t>POPP</w:t>
              </w:r>
            </w:hyperlink>
            <w:r>
              <w:rPr>
                <w:rFonts w:eastAsia="Times New Roman" w:cstheme="minorHAnsi"/>
              </w:rPr>
              <w:t>.</w:t>
            </w:r>
          </w:p>
        </w:tc>
      </w:tr>
      <w:tr w:rsidR="00CA6017" w14:paraId="2E13DBC0" w14:textId="77777777" w:rsidTr="00CA6017">
        <w:tc>
          <w:tcPr>
            <w:tcW w:w="0" w:type="auto"/>
            <w:vMerge/>
            <w:tcBorders>
              <w:top w:val="single" w:sz="4" w:space="0" w:color="auto"/>
              <w:left w:val="single" w:sz="4" w:space="0" w:color="auto"/>
              <w:bottom w:val="single" w:sz="4" w:space="0" w:color="auto"/>
              <w:right w:val="single" w:sz="4" w:space="0" w:color="auto"/>
            </w:tcBorders>
            <w:vAlign w:val="center"/>
            <w:hideMark/>
          </w:tcPr>
          <w:p w14:paraId="53BAF831" w14:textId="77777777" w:rsidR="00CA6017" w:rsidRDefault="00CA6017">
            <w:pPr>
              <w:rPr>
                <w:rFonts w:cstheme="minorHAnsi"/>
                <w:lang w:val="en-MY"/>
              </w:rPr>
            </w:pPr>
          </w:p>
        </w:tc>
        <w:tc>
          <w:tcPr>
            <w:tcW w:w="3780" w:type="dxa"/>
            <w:tcBorders>
              <w:top w:val="single" w:sz="4" w:space="0" w:color="auto"/>
              <w:left w:val="single" w:sz="4" w:space="0" w:color="auto"/>
              <w:bottom w:val="single" w:sz="4" w:space="0" w:color="auto"/>
              <w:right w:val="single" w:sz="4" w:space="0" w:color="auto"/>
            </w:tcBorders>
          </w:tcPr>
          <w:p w14:paraId="46D050FC" w14:textId="77777777" w:rsidR="00CA6017" w:rsidRDefault="00CA6017">
            <w:pPr>
              <w:rPr>
                <w:rFonts w:cstheme="minorHAnsi"/>
              </w:rPr>
            </w:pPr>
            <w:r>
              <w:rPr>
                <w:rFonts w:cstheme="minorHAnsi"/>
                <w:b/>
                <w:bCs/>
              </w:rPr>
              <w:t>Assets Transfer in Atlas -</w:t>
            </w:r>
            <w:r>
              <w:rPr>
                <w:rFonts w:cstheme="minorHAnsi"/>
              </w:rPr>
              <w:t xml:space="preserve">For assets underuse and control by UNDP, the </w:t>
            </w:r>
            <w:r>
              <w:rPr>
                <w:rFonts w:eastAsia="Times New Roman" w:cstheme="minorHAnsi"/>
              </w:rPr>
              <w:t xml:space="preserve">CO should request GSSU to transfer them to the new output by uploading the assets transfer forms in the UNDP service portal as  per </w:t>
            </w:r>
            <w:hyperlink r:id="rId100" w:history="1">
              <w:r>
                <w:rPr>
                  <w:rStyle w:val="Hyperlink"/>
                  <w:rFonts w:cstheme="minorHAnsi"/>
                </w:rPr>
                <w:t>POPP</w:t>
              </w:r>
            </w:hyperlink>
            <w:r>
              <w:rPr>
                <w:rFonts w:eastAsia="Times New Roman" w:cstheme="minorHAnsi"/>
              </w:rPr>
              <w:t xml:space="preserve">. </w:t>
            </w:r>
            <w:r>
              <w:rPr>
                <w:rFonts w:cstheme="minorHAnsi"/>
              </w:rPr>
              <w:t xml:space="preserve"> </w:t>
            </w:r>
          </w:p>
          <w:p w14:paraId="40BF9D94" w14:textId="77777777" w:rsidR="00CA6017" w:rsidRDefault="00CA6017">
            <w:pPr>
              <w:rPr>
                <w:rFonts w:cstheme="minorHAnsi"/>
              </w:rPr>
            </w:pPr>
          </w:p>
          <w:p w14:paraId="120CFBED" w14:textId="77777777" w:rsidR="00CA6017" w:rsidRDefault="00CA6017">
            <w:pPr>
              <w:rPr>
                <w:rFonts w:cstheme="minorHAnsi"/>
              </w:rPr>
            </w:pPr>
            <w:r>
              <w:rPr>
                <w:rFonts w:eastAsia="Times New Roman" w:cstheme="minorHAnsi"/>
              </w:rPr>
              <w:t xml:space="preserve">After GSSU completes the transfer of the assets,  the CO should prepare a GLJE to transfer resources using account 51035, from the old to the new output equivalent to the NBV of transferred assets to compensate the new output for the resource decrease as a result of the transfer of the assets. For the Hyperion system to report the transfer correctly, GLJE Long Description in the Header tab stated as </w:t>
            </w:r>
            <w:r>
              <w:rPr>
                <w:rFonts w:eastAsia="Times New Roman" w:cstheme="minorHAnsi"/>
                <w:i/>
                <w:iCs/>
              </w:rPr>
              <w:t>Resources:</w:t>
            </w:r>
            <w:r>
              <w:rPr>
                <w:rFonts w:eastAsia="Times New Roman" w:cstheme="minorHAnsi"/>
              </w:rPr>
              <w:t xml:space="preserve"> </w:t>
            </w:r>
            <w:r>
              <w:rPr>
                <w:rFonts w:eastAsia="Times New Roman" w:cstheme="minorHAnsi"/>
                <w:i/>
                <w:iCs/>
              </w:rPr>
              <w:t xml:space="preserve">NBV of </w:t>
            </w:r>
            <w:proofErr w:type="spellStart"/>
            <w:r>
              <w:rPr>
                <w:rFonts w:eastAsia="Times New Roman" w:cstheme="minorHAnsi"/>
                <w:i/>
                <w:iCs/>
              </w:rPr>
              <w:t>transf</w:t>
            </w:r>
            <w:proofErr w:type="spellEnd"/>
            <w:r>
              <w:rPr>
                <w:rFonts w:eastAsia="Times New Roman" w:cstheme="minorHAnsi"/>
                <w:i/>
                <w:iCs/>
              </w:rPr>
              <w:t xml:space="preserve"> asset</w:t>
            </w:r>
            <w:r>
              <w:rPr>
                <w:rFonts w:eastAsia="Times New Roman" w:cstheme="minorHAnsi"/>
              </w:rPr>
              <w:t>.</w:t>
            </w:r>
          </w:p>
        </w:tc>
        <w:tc>
          <w:tcPr>
            <w:tcW w:w="4050" w:type="dxa"/>
            <w:tcBorders>
              <w:top w:val="single" w:sz="4" w:space="0" w:color="auto"/>
              <w:left w:val="single" w:sz="4" w:space="0" w:color="auto"/>
              <w:bottom w:val="single" w:sz="4" w:space="0" w:color="auto"/>
              <w:right w:val="single" w:sz="4" w:space="0" w:color="auto"/>
            </w:tcBorders>
          </w:tcPr>
          <w:p w14:paraId="17297FAD" w14:textId="77777777" w:rsidR="00CA6017" w:rsidRDefault="00CA6017">
            <w:pPr>
              <w:rPr>
                <w:rFonts w:cstheme="minorHAnsi"/>
              </w:rPr>
            </w:pPr>
          </w:p>
        </w:tc>
      </w:tr>
      <w:tr w:rsidR="00CA6017" w14:paraId="41C00653" w14:textId="77777777" w:rsidTr="00CA6017">
        <w:tc>
          <w:tcPr>
            <w:tcW w:w="0" w:type="auto"/>
            <w:vMerge/>
            <w:tcBorders>
              <w:top w:val="single" w:sz="4" w:space="0" w:color="auto"/>
              <w:left w:val="single" w:sz="4" w:space="0" w:color="auto"/>
              <w:bottom w:val="single" w:sz="4" w:space="0" w:color="auto"/>
              <w:right w:val="single" w:sz="4" w:space="0" w:color="auto"/>
            </w:tcBorders>
            <w:vAlign w:val="center"/>
            <w:hideMark/>
          </w:tcPr>
          <w:p w14:paraId="4AE22EAA" w14:textId="77777777" w:rsidR="00CA6017" w:rsidRDefault="00CA6017">
            <w:pPr>
              <w:rPr>
                <w:rFonts w:cstheme="minorHAnsi"/>
                <w:lang w:val="en-MY"/>
              </w:rPr>
            </w:pPr>
          </w:p>
        </w:tc>
        <w:tc>
          <w:tcPr>
            <w:tcW w:w="7830" w:type="dxa"/>
            <w:gridSpan w:val="2"/>
            <w:tcBorders>
              <w:top w:val="single" w:sz="4" w:space="0" w:color="auto"/>
              <w:left w:val="single" w:sz="4" w:space="0" w:color="auto"/>
              <w:bottom w:val="single" w:sz="4" w:space="0" w:color="auto"/>
              <w:right w:val="single" w:sz="4" w:space="0" w:color="auto"/>
            </w:tcBorders>
            <w:hideMark/>
          </w:tcPr>
          <w:p w14:paraId="62250865" w14:textId="77777777" w:rsidR="00CA6017" w:rsidRDefault="00CA6017">
            <w:pPr>
              <w:rPr>
                <w:rFonts w:cstheme="minorHAnsi"/>
              </w:rPr>
            </w:pPr>
            <w:r>
              <w:rPr>
                <w:rFonts w:cstheme="minorHAnsi"/>
              </w:rPr>
              <w:t>Refunds from SRs - Record the deposit in Atlas in the applicable COA in NEX advance account 16005 for Govt and NGO SRs and for SR UN Agencies in account 16010 (local) and 16015 (PCA)</w:t>
            </w:r>
          </w:p>
        </w:tc>
      </w:tr>
      <w:tr w:rsidR="00CA6017" w14:paraId="15003DB5" w14:textId="77777777" w:rsidTr="00CA6017">
        <w:tc>
          <w:tcPr>
            <w:tcW w:w="0" w:type="auto"/>
            <w:vMerge/>
            <w:tcBorders>
              <w:top w:val="single" w:sz="4" w:space="0" w:color="auto"/>
              <w:left w:val="single" w:sz="4" w:space="0" w:color="auto"/>
              <w:bottom w:val="single" w:sz="4" w:space="0" w:color="auto"/>
              <w:right w:val="single" w:sz="4" w:space="0" w:color="auto"/>
            </w:tcBorders>
            <w:vAlign w:val="center"/>
            <w:hideMark/>
          </w:tcPr>
          <w:p w14:paraId="7EBF6CC0" w14:textId="77777777" w:rsidR="00CA6017" w:rsidRDefault="00CA6017">
            <w:pPr>
              <w:rPr>
                <w:rFonts w:cstheme="minorHAnsi"/>
                <w:lang w:val="en-MY"/>
              </w:rPr>
            </w:pPr>
          </w:p>
        </w:tc>
        <w:tc>
          <w:tcPr>
            <w:tcW w:w="7830" w:type="dxa"/>
            <w:gridSpan w:val="2"/>
            <w:tcBorders>
              <w:top w:val="single" w:sz="4" w:space="0" w:color="auto"/>
              <w:left w:val="single" w:sz="4" w:space="0" w:color="auto"/>
              <w:bottom w:val="single" w:sz="4" w:space="0" w:color="auto"/>
              <w:right w:val="single" w:sz="4" w:space="0" w:color="auto"/>
            </w:tcBorders>
            <w:hideMark/>
          </w:tcPr>
          <w:p w14:paraId="10BBF059" w14:textId="77777777" w:rsidR="00CA6017" w:rsidRDefault="00CA6017">
            <w:pPr>
              <w:rPr>
                <w:rFonts w:cstheme="minorHAnsi"/>
              </w:rPr>
            </w:pPr>
            <w:r>
              <w:rPr>
                <w:rFonts w:cstheme="minorHAnsi"/>
              </w:rPr>
              <w:t xml:space="preserve">CO to complete the </w:t>
            </w:r>
            <w:proofErr w:type="spellStart"/>
            <w:r>
              <w:rPr>
                <w:rFonts w:cstheme="minorHAnsi"/>
              </w:rPr>
              <w:t>echecklist</w:t>
            </w:r>
            <w:proofErr w:type="spellEnd"/>
            <w:r>
              <w:rPr>
                <w:rFonts w:cstheme="minorHAnsi"/>
              </w:rPr>
              <w:t xml:space="preserve"> in the Atlas Project Closure Workbench, take action to clear all balances under the Atlas transactions check, and then change the project status to Operationally Closed.</w:t>
            </w:r>
          </w:p>
        </w:tc>
      </w:tr>
      <w:tr w:rsidR="00CA6017" w14:paraId="71755F2F" w14:textId="77777777" w:rsidTr="00CA6017">
        <w:tc>
          <w:tcPr>
            <w:tcW w:w="1705" w:type="dxa"/>
            <w:tcBorders>
              <w:top w:val="single" w:sz="4" w:space="0" w:color="auto"/>
              <w:left w:val="single" w:sz="4" w:space="0" w:color="auto"/>
              <w:bottom w:val="single" w:sz="4" w:space="0" w:color="auto"/>
              <w:right w:val="single" w:sz="4" w:space="0" w:color="auto"/>
            </w:tcBorders>
          </w:tcPr>
          <w:p w14:paraId="454C0525" w14:textId="77777777" w:rsidR="00CA6017" w:rsidRDefault="00CA6017">
            <w:pPr>
              <w:rPr>
                <w:rFonts w:cstheme="minorHAnsi"/>
              </w:rPr>
            </w:pPr>
          </w:p>
        </w:tc>
        <w:tc>
          <w:tcPr>
            <w:tcW w:w="7830" w:type="dxa"/>
            <w:gridSpan w:val="2"/>
            <w:tcBorders>
              <w:top w:val="single" w:sz="4" w:space="0" w:color="auto"/>
              <w:left w:val="single" w:sz="4" w:space="0" w:color="auto"/>
              <w:bottom w:val="single" w:sz="4" w:space="0" w:color="auto"/>
              <w:right w:val="single" w:sz="4" w:space="0" w:color="auto"/>
            </w:tcBorders>
            <w:hideMark/>
          </w:tcPr>
          <w:p w14:paraId="106E45B8" w14:textId="77777777" w:rsidR="00CA6017" w:rsidRDefault="00CA6017">
            <w:pPr>
              <w:rPr>
                <w:rFonts w:cstheme="minorHAnsi"/>
              </w:rPr>
            </w:pPr>
            <w:r>
              <w:rPr>
                <w:rFonts w:cstheme="minorHAnsi"/>
              </w:rPr>
              <w:t>Pending Vouchers -review pending vouchers in Atlas so that they are paid/closed.</w:t>
            </w:r>
          </w:p>
        </w:tc>
      </w:tr>
      <w:tr w:rsidR="00CA6017" w14:paraId="60C15647" w14:textId="77777777" w:rsidTr="00CA6017">
        <w:tc>
          <w:tcPr>
            <w:tcW w:w="1705" w:type="dxa"/>
            <w:vMerge w:val="restart"/>
            <w:tcBorders>
              <w:top w:val="single" w:sz="4" w:space="0" w:color="auto"/>
              <w:left w:val="single" w:sz="4" w:space="0" w:color="auto"/>
              <w:bottom w:val="single" w:sz="4" w:space="0" w:color="auto"/>
              <w:right w:val="single" w:sz="4" w:space="0" w:color="auto"/>
            </w:tcBorders>
          </w:tcPr>
          <w:p w14:paraId="3ED188E2" w14:textId="77777777" w:rsidR="00CA6017" w:rsidRDefault="00CA6017">
            <w:pPr>
              <w:rPr>
                <w:rFonts w:cstheme="minorHAnsi"/>
              </w:rPr>
            </w:pPr>
            <w:r>
              <w:rPr>
                <w:rFonts w:cstheme="minorHAnsi"/>
                <w:b/>
                <w:bCs/>
              </w:rPr>
              <w:t>Finalize closure</w:t>
            </w:r>
            <w:r>
              <w:rPr>
                <w:rFonts w:cstheme="minorHAnsi"/>
              </w:rPr>
              <w:t xml:space="preserve"> – </w:t>
            </w:r>
          </w:p>
          <w:p w14:paraId="077D14DB" w14:textId="77777777" w:rsidR="00CA6017" w:rsidRDefault="00CA6017">
            <w:pPr>
              <w:rPr>
                <w:rFonts w:cstheme="minorHAnsi"/>
              </w:rPr>
            </w:pPr>
          </w:p>
        </w:tc>
        <w:tc>
          <w:tcPr>
            <w:tcW w:w="7830" w:type="dxa"/>
            <w:gridSpan w:val="2"/>
            <w:tcBorders>
              <w:top w:val="single" w:sz="4" w:space="0" w:color="auto"/>
              <w:left w:val="single" w:sz="4" w:space="0" w:color="auto"/>
              <w:bottom w:val="single" w:sz="4" w:space="0" w:color="auto"/>
              <w:right w:val="single" w:sz="4" w:space="0" w:color="auto"/>
            </w:tcBorders>
            <w:hideMark/>
          </w:tcPr>
          <w:p w14:paraId="6495C55C" w14:textId="77777777" w:rsidR="00CA6017" w:rsidRDefault="00CA6017">
            <w:pPr>
              <w:rPr>
                <w:rFonts w:cstheme="minorHAnsi"/>
              </w:rPr>
            </w:pPr>
            <w:r>
              <w:rPr>
                <w:rFonts w:cstheme="minorHAnsi"/>
              </w:rPr>
              <w:t xml:space="preserve">CO submits to TGF the Financial Closure Report (FCR) 45 days after the end of the six-month period after the IP end date </w:t>
            </w:r>
          </w:p>
        </w:tc>
      </w:tr>
      <w:tr w:rsidR="00CA6017" w14:paraId="3B56D50A" w14:textId="77777777" w:rsidTr="00CA6017">
        <w:tc>
          <w:tcPr>
            <w:tcW w:w="0" w:type="auto"/>
            <w:vMerge/>
            <w:tcBorders>
              <w:top w:val="single" w:sz="4" w:space="0" w:color="auto"/>
              <w:left w:val="single" w:sz="4" w:space="0" w:color="auto"/>
              <w:bottom w:val="single" w:sz="4" w:space="0" w:color="auto"/>
              <w:right w:val="single" w:sz="4" w:space="0" w:color="auto"/>
            </w:tcBorders>
            <w:vAlign w:val="center"/>
            <w:hideMark/>
          </w:tcPr>
          <w:p w14:paraId="7417C54B" w14:textId="77777777" w:rsidR="00CA6017" w:rsidRDefault="00CA6017">
            <w:pPr>
              <w:rPr>
                <w:rFonts w:cstheme="minorHAnsi"/>
                <w:lang w:val="en-MY"/>
              </w:rPr>
            </w:pPr>
          </w:p>
        </w:tc>
        <w:tc>
          <w:tcPr>
            <w:tcW w:w="7830" w:type="dxa"/>
            <w:gridSpan w:val="2"/>
            <w:tcBorders>
              <w:top w:val="single" w:sz="4" w:space="0" w:color="auto"/>
              <w:left w:val="single" w:sz="4" w:space="0" w:color="auto"/>
              <w:bottom w:val="single" w:sz="4" w:space="0" w:color="auto"/>
              <w:right w:val="single" w:sz="4" w:space="0" w:color="auto"/>
            </w:tcBorders>
            <w:hideMark/>
          </w:tcPr>
          <w:p w14:paraId="4EF8D6D7" w14:textId="77777777" w:rsidR="00CA6017" w:rsidRDefault="00CA6017">
            <w:pPr>
              <w:rPr>
                <w:rFonts w:cstheme="minorHAnsi"/>
              </w:rPr>
            </w:pPr>
            <w:r>
              <w:rPr>
                <w:rFonts w:cstheme="minorHAnsi"/>
              </w:rPr>
              <w:t>Support the validation by TGF /LFA of the FCR, health products and assets transfer documents.</w:t>
            </w:r>
          </w:p>
        </w:tc>
      </w:tr>
      <w:tr w:rsidR="00CA6017" w14:paraId="1BAB42EC" w14:textId="77777777" w:rsidTr="00CA6017">
        <w:tc>
          <w:tcPr>
            <w:tcW w:w="0" w:type="auto"/>
            <w:vMerge/>
            <w:tcBorders>
              <w:top w:val="single" w:sz="4" w:space="0" w:color="auto"/>
              <w:left w:val="single" w:sz="4" w:space="0" w:color="auto"/>
              <w:bottom w:val="single" w:sz="4" w:space="0" w:color="auto"/>
              <w:right w:val="single" w:sz="4" w:space="0" w:color="auto"/>
            </w:tcBorders>
            <w:vAlign w:val="center"/>
            <w:hideMark/>
          </w:tcPr>
          <w:p w14:paraId="0D37BFCC" w14:textId="77777777" w:rsidR="00CA6017" w:rsidRDefault="00CA6017">
            <w:pPr>
              <w:rPr>
                <w:rFonts w:cstheme="minorHAnsi"/>
                <w:lang w:val="en-MY"/>
              </w:rPr>
            </w:pPr>
          </w:p>
        </w:tc>
        <w:tc>
          <w:tcPr>
            <w:tcW w:w="3780" w:type="dxa"/>
            <w:tcBorders>
              <w:top w:val="single" w:sz="4" w:space="0" w:color="auto"/>
              <w:left w:val="single" w:sz="4" w:space="0" w:color="auto"/>
              <w:bottom w:val="single" w:sz="4" w:space="0" w:color="auto"/>
              <w:right w:val="single" w:sz="4" w:space="0" w:color="auto"/>
            </w:tcBorders>
          </w:tcPr>
          <w:p w14:paraId="2EC59C73" w14:textId="77777777" w:rsidR="00CA6017" w:rsidRDefault="00CA6017">
            <w:pPr>
              <w:pStyle w:val="Default"/>
              <w:rPr>
                <w:rFonts w:asciiTheme="minorHAnsi" w:hAnsiTheme="minorHAnsi" w:cstheme="minorHAnsi"/>
                <w:sz w:val="22"/>
                <w:szCs w:val="22"/>
              </w:rPr>
            </w:pPr>
            <w:r>
              <w:rPr>
                <w:rFonts w:asciiTheme="minorHAnsi" w:hAnsiTheme="minorHAnsi" w:cstheme="minorHAnsi"/>
                <w:sz w:val="22"/>
                <w:szCs w:val="22"/>
              </w:rPr>
              <w:t xml:space="preserve">After validation of the FCR, TGF will confirm the final in-country cash balance to be transferred from the closing output to the new output created for the new IP. The CO should </w:t>
            </w:r>
            <w:r>
              <w:rPr>
                <w:rFonts w:asciiTheme="minorHAnsi" w:hAnsiTheme="minorHAnsi" w:cstheme="minorHAnsi"/>
                <w:sz w:val="22"/>
                <w:szCs w:val="22"/>
              </w:rPr>
              <w:lastRenderedPageBreak/>
              <w:t>process a GLJE to transfer the cash balances to the new output with UNDP using account 51035 and in exceptional circumstances, any cash balances with SRs to use advance account 16005 (Govt, NGOs) / 16010 (UN Agencies).</w:t>
            </w:r>
          </w:p>
          <w:p w14:paraId="6E0FA91D" w14:textId="77777777" w:rsidR="00CA6017" w:rsidRDefault="00CA6017">
            <w:pPr>
              <w:pStyle w:val="Default"/>
              <w:rPr>
                <w:rFonts w:asciiTheme="minorHAnsi" w:hAnsiTheme="minorHAnsi" w:cstheme="minorHAnsi"/>
                <w:sz w:val="22"/>
                <w:szCs w:val="22"/>
              </w:rPr>
            </w:pPr>
            <w:r>
              <w:rPr>
                <w:rFonts w:asciiTheme="minorHAnsi" w:hAnsiTheme="minorHAnsi" w:cstheme="minorHAnsi"/>
                <w:sz w:val="22"/>
                <w:szCs w:val="22"/>
              </w:rPr>
              <w:t>Upon request from the GF, the final cash balance can be refunded to the Global Fund.</w:t>
            </w:r>
          </w:p>
          <w:p w14:paraId="69D7A65C" w14:textId="77777777" w:rsidR="00CA6017" w:rsidRDefault="00CA6017">
            <w:pPr>
              <w:pStyle w:val="Default"/>
              <w:rPr>
                <w:rFonts w:asciiTheme="minorHAnsi" w:hAnsiTheme="minorHAnsi" w:cstheme="minorHAnsi"/>
                <w:sz w:val="22"/>
                <w:szCs w:val="22"/>
              </w:rPr>
            </w:pPr>
          </w:p>
        </w:tc>
        <w:tc>
          <w:tcPr>
            <w:tcW w:w="4050" w:type="dxa"/>
            <w:tcBorders>
              <w:top w:val="single" w:sz="4" w:space="0" w:color="auto"/>
              <w:left w:val="single" w:sz="4" w:space="0" w:color="auto"/>
              <w:bottom w:val="single" w:sz="4" w:space="0" w:color="auto"/>
              <w:right w:val="single" w:sz="4" w:space="0" w:color="auto"/>
            </w:tcBorders>
            <w:hideMark/>
          </w:tcPr>
          <w:p w14:paraId="1115F5C3" w14:textId="77777777" w:rsidR="00CA6017" w:rsidRDefault="00CA6017">
            <w:pPr>
              <w:rPr>
                <w:rFonts w:cstheme="minorHAnsi"/>
              </w:rPr>
            </w:pPr>
            <w:r>
              <w:rPr>
                <w:rFonts w:cstheme="minorHAnsi"/>
              </w:rPr>
              <w:lastRenderedPageBreak/>
              <w:t>After validation of the FCR, TGF will confirm the final cash balance to be refunded to the GF.</w:t>
            </w:r>
          </w:p>
          <w:p w14:paraId="1281E141" w14:textId="77777777" w:rsidR="00CA6017" w:rsidRDefault="00CA6017">
            <w:pPr>
              <w:rPr>
                <w:rFonts w:cstheme="minorHAnsi"/>
              </w:rPr>
            </w:pPr>
            <w:r>
              <w:rPr>
                <w:rFonts w:cstheme="minorHAnsi"/>
              </w:rPr>
              <w:t xml:space="preserve">Process the refund of the unspent cash balance including interest earned after </w:t>
            </w:r>
            <w:r>
              <w:rPr>
                <w:rFonts w:cstheme="minorHAnsi"/>
              </w:rPr>
              <w:lastRenderedPageBreak/>
              <w:t>final reporting as requested by the GF by 31 August of the year following the grant closure date.</w:t>
            </w:r>
          </w:p>
        </w:tc>
      </w:tr>
      <w:tr w:rsidR="00CA6017" w14:paraId="0779948F" w14:textId="77777777" w:rsidTr="00CA6017">
        <w:tc>
          <w:tcPr>
            <w:tcW w:w="0" w:type="auto"/>
            <w:vMerge/>
            <w:tcBorders>
              <w:top w:val="single" w:sz="4" w:space="0" w:color="auto"/>
              <w:left w:val="single" w:sz="4" w:space="0" w:color="auto"/>
              <w:bottom w:val="single" w:sz="4" w:space="0" w:color="auto"/>
              <w:right w:val="single" w:sz="4" w:space="0" w:color="auto"/>
            </w:tcBorders>
            <w:vAlign w:val="center"/>
            <w:hideMark/>
          </w:tcPr>
          <w:p w14:paraId="14331614" w14:textId="77777777" w:rsidR="00CA6017" w:rsidRDefault="00CA6017">
            <w:pPr>
              <w:rPr>
                <w:rFonts w:cstheme="minorHAnsi"/>
                <w:lang w:val="en-MY"/>
              </w:rPr>
            </w:pPr>
          </w:p>
        </w:tc>
        <w:tc>
          <w:tcPr>
            <w:tcW w:w="3780" w:type="dxa"/>
            <w:tcBorders>
              <w:top w:val="single" w:sz="4" w:space="0" w:color="auto"/>
              <w:left w:val="single" w:sz="4" w:space="0" w:color="auto"/>
              <w:bottom w:val="single" w:sz="4" w:space="0" w:color="auto"/>
              <w:right w:val="single" w:sz="4" w:space="0" w:color="auto"/>
            </w:tcBorders>
          </w:tcPr>
          <w:p w14:paraId="06E2B58A" w14:textId="77777777" w:rsidR="00CA6017" w:rsidRDefault="00CA6017">
            <w:pPr>
              <w:rPr>
                <w:rFonts w:cstheme="minorHAnsi"/>
              </w:rPr>
            </w:pPr>
            <w:r>
              <w:rPr>
                <w:rFonts w:cstheme="minorHAnsi"/>
              </w:rPr>
              <w:t xml:space="preserve">After the transfer of the in-country cash balances to the new output and confirmation by UNDP, TGF will issue an IL to deduct the grant amount for the next IP by the amount of in-country cash balances transferred. The CO should then financially close the output in Atlas </w:t>
            </w:r>
          </w:p>
          <w:p w14:paraId="425B326B" w14:textId="77777777" w:rsidR="00CA6017" w:rsidRDefault="00CA6017">
            <w:pPr>
              <w:rPr>
                <w:rFonts w:cstheme="minorHAnsi"/>
              </w:rPr>
            </w:pPr>
          </w:p>
          <w:p w14:paraId="3FAA110E" w14:textId="77777777" w:rsidR="00CA6017" w:rsidRDefault="00CA6017">
            <w:pPr>
              <w:rPr>
                <w:rFonts w:cstheme="minorHAnsi"/>
              </w:rPr>
            </w:pPr>
            <w:r>
              <w:rPr>
                <w:rFonts w:cstheme="minorHAnsi"/>
              </w:rPr>
              <w:t xml:space="preserve">In some instances, UNDP and TGF may agree to return to the TGF the in-country cash balances in which case, the procedures for processing a refund to the donor through the GSSU should be followed without any adjustment to the grant amount for the next IP. </w:t>
            </w:r>
          </w:p>
        </w:tc>
        <w:tc>
          <w:tcPr>
            <w:tcW w:w="4050" w:type="dxa"/>
            <w:tcBorders>
              <w:top w:val="single" w:sz="4" w:space="0" w:color="auto"/>
              <w:left w:val="single" w:sz="4" w:space="0" w:color="auto"/>
              <w:bottom w:val="single" w:sz="4" w:space="0" w:color="auto"/>
              <w:right w:val="single" w:sz="4" w:space="0" w:color="auto"/>
            </w:tcBorders>
          </w:tcPr>
          <w:p w14:paraId="7A5D2C49" w14:textId="77777777" w:rsidR="00CA6017" w:rsidRDefault="00CA6017">
            <w:pPr>
              <w:rPr>
                <w:rFonts w:cstheme="minorHAnsi"/>
              </w:rPr>
            </w:pPr>
            <w:r>
              <w:rPr>
                <w:rFonts w:cstheme="minorHAnsi"/>
              </w:rPr>
              <w:t xml:space="preserve">TGF will issue a Grant Closure Notification Letter to confirm that all the grant closure requirements have been fulfilled including an acknowledgment of receipt of the refund from UNDP. </w:t>
            </w:r>
          </w:p>
          <w:p w14:paraId="6378E36E" w14:textId="77777777" w:rsidR="00CA6017" w:rsidRDefault="00CA6017">
            <w:pPr>
              <w:rPr>
                <w:rFonts w:cstheme="minorHAnsi"/>
              </w:rPr>
            </w:pPr>
          </w:p>
          <w:p w14:paraId="2FB9D6FE" w14:textId="77777777" w:rsidR="00CA6017" w:rsidRDefault="00CA6017">
            <w:pPr>
              <w:rPr>
                <w:rFonts w:cstheme="minorHAnsi"/>
              </w:rPr>
            </w:pPr>
          </w:p>
        </w:tc>
      </w:tr>
      <w:tr w:rsidR="00CA6017" w14:paraId="15FD673F" w14:textId="77777777" w:rsidTr="00CA6017">
        <w:tc>
          <w:tcPr>
            <w:tcW w:w="0" w:type="auto"/>
            <w:vMerge/>
            <w:tcBorders>
              <w:top w:val="single" w:sz="4" w:space="0" w:color="auto"/>
              <w:left w:val="single" w:sz="4" w:space="0" w:color="auto"/>
              <w:bottom w:val="single" w:sz="4" w:space="0" w:color="auto"/>
              <w:right w:val="single" w:sz="4" w:space="0" w:color="auto"/>
            </w:tcBorders>
            <w:vAlign w:val="center"/>
            <w:hideMark/>
          </w:tcPr>
          <w:p w14:paraId="5E44F3F6" w14:textId="77777777" w:rsidR="00CA6017" w:rsidRDefault="00CA6017">
            <w:pPr>
              <w:rPr>
                <w:rFonts w:cstheme="minorHAnsi"/>
                <w:lang w:val="en-MY"/>
              </w:rPr>
            </w:pPr>
          </w:p>
        </w:tc>
        <w:tc>
          <w:tcPr>
            <w:tcW w:w="7830" w:type="dxa"/>
            <w:gridSpan w:val="2"/>
            <w:tcBorders>
              <w:top w:val="single" w:sz="4" w:space="0" w:color="auto"/>
              <w:left w:val="single" w:sz="4" w:space="0" w:color="auto"/>
              <w:bottom w:val="single" w:sz="4" w:space="0" w:color="auto"/>
              <w:right w:val="single" w:sz="4" w:space="0" w:color="auto"/>
            </w:tcBorders>
            <w:hideMark/>
          </w:tcPr>
          <w:p w14:paraId="164FFF2F" w14:textId="77777777" w:rsidR="00CA6017" w:rsidRDefault="00CA6017">
            <w:pPr>
              <w:jc w:val="center"/>
              <w:rPr>
                <w:rFonts w:cstheme="minorHAnsi"/>
              </w:rPr>
            </w:pPr>
            <w:r>
              <w:rPr>
                <w:rFonts w:cstheme="minorHAnsi"/>
                <w:b/>
                <w:bCs/>
              </w:rPr>
              <w:t>Atlas Closure Process:</w:t>
            </w:r>
          </w:p>
        </w:tc>
      </w:tr>
      <w:tr w:rsidR="00CA6017" w14:paraId="65C4AD6D" w14:textId="77777777" w:rsidTr="00CA6017">
        <w:tc>
          <w:tcPr>
            <w:tcW w:w="0" w:type="auto"/>
            <w:vMerge/>
            <w:tcBorders>
              <w:top w:val="single" w:sz="4" w:space="0" w:color="auto"/>
              <w:left w:val="single" w:sz="4" w:space="0" w:color="auto"/>
              <w:bottom w:val="single" w:sz="4" w:space="0" w:color="auto"/>
              <w:right w:val="single" w:sz="4" w:space="0" w:color="auto"/>
            </w:tcBorders>
            <w:vAlign w:val="center"/>
            <w:hideMark/>
          </w:tcPr>
          <w:p w14:paraId="356EA611" w14:textId="77777777" w:rsidR="00CA6017" w:rsidRDefault="00CA6017">
            <w:pPr>
              <w:rPr>
                <w:rFonts w:cstheme="minorHAnsi"/>
                <w:lang w:val="en-MY"/>
              </w:rPr>
            </w:pPr>
          </w:p>
        </w:tc>
        <w:tc>
          <w:tcPr>
            <w:tcW w:w="7830" w:type="dxa"/>
            <w:gridSpan w:val="2"/>
            <w:tcBorders>
              <w:top w:val="single" w:sz="4" w:space="0" w:color="auto"/>
              <w:left w:val="single" w:sz="4" w:space="0" w:color="auto"/>
              <w:bottom w:val="single" w:sz="4" w:space="0" w:color="auto"/>
              <w:right w:val="single" w:sz="4" w:space="0" w:color="auto"/>
            </w:tcBorders>
          </w:tcPr>
          <w:p w14:paraId="70E5AD45" w14:textId="77777777" w:rsidR="00CA6017" w:rsidRDefault="00CA6017">
            <w:pPr>
              <w:rPr>
                <w:rFonts w:cstheme="minorHAnsi"/>
              </w:rPr>
            </w:pPr>
            <w:r>
              <w:rPr>
                <w:rFonts w:cstheme="minorHAnsi"/>
              </w:rPr>
              <w:t>CO to request GSSU Treasury through GFHIST to process the refund of the unspent cash balances to the GF and provide:</w:t>
            </w:r>
          </w:p>
          <w:p w14:paraId="36351AC4" w14:textId="77777777" w:rsidR="00CA6017" w:rsidRDefault="00CA6017">
            <w:pPr>
              <w:rPr>
                <w:rFonts w:cstheme="minorHAnsi"/>
              </w:rPr>
            </w:pPr>
          </w:p>
          <w:p w14:paraId="2E509DDB" w14:textId="77777777" w:rsidR="00CA6017" w:rsidRDefault="00CA6017">
            <w:pPr>
              <w:rPr>
                <w:rFonts w:cstheme="minorHAnsi"/>
              </w:rPr>
            </w:pPr>
            <w:r>
              <w:rPr>
                <w:rFonts w:cstheme="minorHAnsi"/>
              </w:rPr>
              <w:t>Amount to be refunded and COA, email from the GF requesting the refund, copy of FCR submitted to TGF and signed project completion checklist.</w:t>
            </w:r>
          </w:p>
        </w:tc>
      </w:tr>
      <w:tr w:rsidR="00CA6017" w14:paraId="3F227102" w14:textId="77777777" w:rsidTr="00CA6017">
        <w:tc>
          <w:tcPr>
            <w:tcW w:w="0" w:type="auto"/>
            <w:vMerge/>
            <w:tcBorders>
              <w:top w:val="single" w:sz="4" w:space="0" w:color="auto"/>
              <w:left w:val="single" w:sz="4" w:space="0" w:color="auto"/>
              <w:bottom w:val="single" w:sz="4" w:space="0" w:color="auto"/>
              <w:right w:val="single" w:sz="4" w:space="0" w:color="auto"/>
            </w:tcBorders>
            <w:vAlign w:val="center"/>
            <w:hideMark/>
          </w:tcPr>
          <w:p w14:paraId="453E2AC1" w14:textId="77777777" w:rsidR="00CA6017" w:rsidRDefault="00CA6017">
            <w:pPr>
              <w:rPr>
                <w:rFonts w:cstheme="minorHAnsi"/>
                <w:lang w:val="en-MY"/>
              </w:rPr>
            </w:pPr>
          </w:p>
        </w:tc>
        <w:tc>
          <w:tcPr>
            <w:tcW w:w="7830" w:type="dxa"/>
            <w:gridSpan w:val="2"/>
            <w:tcBorders>
              <w:top w:val="single" w:sz="4" w:space="0" w:color="auto"/>
              <w:left w:val="single" w:sz="4" w:space="0" w:color="auto"/>
              <w:bottom w:val="single" w:sz="4" w:space="0" w:color="auto"/>
              <w:right w:val="single" w:sz="4" w:space="0" w:color="auto"/>
            </w:tcBorders>
          </w:tcPr>
          <w:p w14:paraId="7CFB0720" w14:textId="77777777" w:rsidR="00CA6017" w:rsidRDefault="00CA6017">
            <w:pPr>
              <w:rPr>
                <w:rFonts w:cstheme="minorHAnsi"/>
              </w:rPr>
            </w:pPr>
            <w:r>
              <w:rPr>
                <w:rFonts w:cstheme="minorHAnsi"/>
              </w:rPr>
              <w:t xml:space="preserve">GSSU processes the refund to TGF following procedures for </w:t>
            </w:r>
            <w:hyperlink r:id="rId101" w:history="1">
              <w:r>
                <w:rPr>
                  <w:rStyle w:val="Hyperlink"/>
                  <w:rFonts w:cstheme="minorHAnsi"/>
                </w:rPr>
                <w:t>Refund to Donors</w:t>
              </w:r>
            </w:hyperlink>
            <w:r>
              <w:rPr>
                <w:rFonts w:cstheme="minorHAnsi"/>
              </w:rPr>
              <w:t xml:space="preserve"> and notifies GFHIST once the refund is effected. GFHIST will in turn inform TGF of the refund processed and request TGF to acknowledge receipt of the funds.</w:t>
            </w:r>
          </w:p>
          <w:p w14:paraId="454D4EBC" w14:textId="77777777" w:rsidR="00CA6017" w:rsidRDefault="00CA6017">
            <w:pPr>
              <w:rPr>
                <w:rFonts w:cstheme="minorHAnsi"/>
              </w:rPr>
            </w:pPr>
          </w:p>
          <w:p w14:paraId="41D262BB" w14:textId="77777777" w:rsidR="00CA6017" w:rsidRDefault="00CA6017">
            <w:pPr>
              <w:rPr>
                <w:rFonts w:cstheme="minorHAnsi"/>
              </w:rPr>
            </w:pPr>
            <w:r>
              <w:rPr>
                <w:rFonts w:cstheme="minorHAnsi"/>
              </w:rPr>
              <w:t>The CO should financially close the project in Atlas after receipt of the Grant Closure Notification Letter from TGF.</w:t>
            </w:r>
          </w:p>
        </w:tc>
      </w:tr>
    </w:tbl>
    <w:p w14:paraId="5A1831F9" w14:textId="17E51DAD" w:rsidR="00CA6017" w:rsidRDefault="00CA6017" w:rsidP="000F15D0">
      <w:pPr>
        <w:jc w:val="both"/>
        <w:rPr>
          <w:rFonts w:ascii="Cambria" w:eastAsia="Calibri" w:hAnsi="Cambria"/>
          <w:b/>
          <w:sz w:val="24"/>
          <w:szCs w:val="24"/>
          <w:u w:val="single"/>
        </w:rPr>
        <w:sectPr w:rsidR="00CA6017" w:rsidSect="00E5285F">
          <w:pgSz w:w="12240" w:h="15840"/>
          <w:pgMar w:top="1440" w:right="1440" w:bottom="1440" w:left="1080" w:header="720" w:footer="720" w:gutter="0"/>
          <w:cols w:space="720"/>
          <w:docGrid w:linePitch="360"/>
        </w:sectPr>
      </w:pPr>
    </w:p>
    <w:p w14:paraId="6D41F14D" w14:textId="77777777" w:rsidR="00BC5868" w:rsidRDefault="00E34C7B" w:rsidP="004D3983">
      <w:pPr>
        <w:pStyle w:val="Heading1"/>
        <w:rPr>
          <w:rFonts w:eastAsia="Calibri"/>
          <w:u w:val="single"/>
        </w:rPr>
      </w:pPr>
      <w:bookmarkStart w:id="19" w:name="_Toc51944975"/>
      <w:r>
        <w:rPr>
          <w:rFonts w:eastAsia="Calibri"/>
          <w:u w:val="single"/>
        </w:rPr>
        <w:lastRenderedPageBreak/>
        <w:t xml:space="preserve">7.0   </w:t>
      </w:r>
      <w:r w:rsidR="00CC6CBB" w:rsidRPr="004D3983">
        <w:rPr>
          <w:rFonts w:eastAsia="Calibri"/>
          <w:u w:val="single"/>
        </w:rPr>
        <w:t>Other Issues impeding Project Closure</w:t>
      </w:r>
      <w:bookmarkEnd w:id="19"/>
    </w:p>
    <w:p w14:paraId="2F8AA292" w14:textId="77777777" w:rsidR="007464B7" w:rsidRDefault="007464B7" w:rsidP="000F15D0">
      <w:pPr>
        <w:jc w:val="both"/>
        <w:rPr>
          <w:rFonts w:ascii="Cambria" w:hAnsi="Cambria"/>
          <w:sz w:val="24"/>
          <w:szCs w:val="24"/>
        </w:rPr>
      </w:pPr>
    </w:p>
    <w:p w14:paraId="59E5BC71" w14:textId="18E1F542" w:rsidR="00405361" w:rsidRPr="004D0DAC" w:rsidRDefault="00405361" w:rsidP="000F15D0">
      <w:pPr>
        <w:jc w:val="both"/>
        <w:rPr>
          <w:rFonts w:ascii="Cambria" w:hAnsi="Cambria"/>
          <w:sz w:val="24"/>
          <w:szCs w:val="24"/>
        </w:rPr>
      </w:pPr>
      <w:r w:rsidRPr="004D0DAC">
        <w:rPr>
          <w:rFonts w:ascii="Cambria" w:hAnsi="Cambria"/>
          <w:sz w:val="24"/>
          <w:szCs w:val="24"/>
        </w:rPr>
        <w:t xml:space="preserve">Although the project closure workbench </w:t>
      </w:r>
      <w:r w:rsidR="00074E72" w:rsidRPr="004D0DAC">
        <w:rPr>
          <w:rFonts w:ascii="Cambria" w:hAnsi="Cambria"/>
          <w:sz w:val="24"/>
          <w:szCs w:val="24"/>
        </w:rPr>
        <w:t xml:space="preserve">and </w:t>
      </w:r>
      <w:r w:rsidR="008F088A">
        <w:rPr>
          <w:rFonts w:ascii="Cambria" w:hAnsi="Cambria"/>
          <w:sz w:val="24"/>
          <w:szCs w:val="24"/>
        </w:rPr>
        <w:t>alternative</w:t>
      </w:r>
      <w:r w:rsidR="00074E72" w:rsidRPr="004D0DAC">
        <w:rPr>
          <w:rFonts w:ascii="Cambria" w:hAnsi="Cambria"/>
          <w:sz w:val="24"/>
          <w:szCs w:val="24"/>
        </w:rPr>
        <w:t xml:space="preserve"> procedures </w:t>
      </w:r>
      <w:r w:rsidR="00CC6CBB">
        <w:rPr>
          <w:rFonts w:ascii="Cambria" w:hAnsi="Cambria"/>
          <w:sz w:val="24"/>
          <w:szCs w:val="24"/>
        </w:rPr>
        <w:t>have improved the process of the closure of projects</w:t>
      </w:r>
      <w:r w:rsidR="00420D06">
        <w:rPr>
          <w:rFonts w:ascii="Cambria" w:hAnsi="Cambria"/>
          <w:sz w:val="24"/>
          <w:szCs w:val="24"/>
        </w:rPr>
        <w:t xml:space="preserve">, </w:t>
      </w:r>
      <w:r w:rsidR="00420D06" w:rsidRPr="004D0DAC">
        <w:rPr>
          <w:rFonts w:ascii="Cambria" w:hAnsi="Cambria"/>
          <w:sz w:val="24"/>
          <w:szCs w:val="24"/>
        </w:rPr>
        <w:t>some</w:t>
      </w:r>
      <w:r w:rsidR="00420D06">
        <w:rPr>
          <w:rFonts w:ascii="Cambria" w:hAnsi="Cambria"/>
          <w:sz w:val="24"/>
          <w:szCs w:val="24"/>
        </w:rPr>
        <w:t xml:space="preserve"> issues remain that</w:t>
      </w:r>
      <w:r w:rsidRPr="004D0DAC">
        <w:rPr>
          <w:rFonts w:ascii="Cambria" w:hAnsi="Cambria"/>
          <w:sz w:val="24"/>
          <w:szCs w:val="24"/>
        </w:rPr>
        <w:t xml:space="preserve"> impede the closure of a project.  These are addressed below.</w:t>
      </w:r>
    </w:p>
    <w:p w14:paraId="5D7B1F9A" w14:textId="67BF5B25" w:rsidR="00D14187" w:rsidRPr="004D0DAC" w:rsidRDefault="00D14187" w:rsidP="009A77F5">
      <w:pPr>
        <w:pStyle w:val="ListParagraph"/>
        <w:numPr>
          <w:ilvl w:val="0"/>
          <w:numId w:val="25"/>
        </w:numPr>
        <w:jc w:val="both"/>
        <w:rPr>
          <w:rFonts w:ascii="Cambria" w:hAnsi="Cambria"/>
          <w:sz w:val="24"/>
          <w:szCs w:val="24"/>
        </w:rPr>
      </w:pPr>
      <w:r>
        <w:rPr>
          <w:rFonts w:ascii="Cambria" w:hAnsi="Cambria"/>
          <w:sz w:val="24"/>
          <w:szCs w:val="24"/>
        </w:rPr>
        <w:t xml:space="preserve">Accounts subject to </w:t>
      </w:r>
      <w:r w:rsidRPr="002F74ED">
        <w:rPr>
          <w:rFonts w:ascii="Cambria" w:hAnsi="Cambria"/>
          <w:b/>
          <w:i/>
          <w:sz w:val="24"/>
          <w:szCs w:val="24"/>
        </w:rPr>
        <w:t>revaluation.</w:t>
      </w:r>
      <w:r>
        <w:rPr>
          <w:rFonts w:ascii="Cambria" w:hAnsi="Cambria"/>
          <w:sz w:val="24"/>
          <w:szCs w:val="24"/>
        </w:rPr>
        <w:t xml:space="preserve">   </w:t>
      </w:r>
      <w:r w:rsidR="0009114A">
        <w:rPr>
          <w:rFonts w:ascii="Cambria" w:hAnsi="Cambria"/>
          <w:sz w:val="24"/>
          <w:szCs w:val="24"/>
        </w:rPr>
        <w:t>The</w:t>
      </w:r>
      <w:r>
        <w:rPr>
          <w:rFonts w:ascii="Cambria" w:hAnsi="Cambria"/>
          <w:sz w:val="24"/>
          <w:szCs w:val="24"/>
        </w:rPr>
        <w:t xml:space="preserve"> number of accounts where the USD value = zero are subject to revaluation that can affect the balance, e.g., NEX advances, account 16005.  In order to clear these accounts, the full chart of accounts must be used, i.e., </w:t>
      </w:r>
      <w:r w:rsidRPr="004D0DAC">
        <w:rPr>
          <w:rFonts w:ascii="Cambria" w:hAnsi="Cambria"/>
          <w:sz w:val="24"/>
          <w:szCs w:val="24"/>
        </w:rPr>
        <w:t>business unit; account; fund; operating unit; department; project, implementing agency; and donor.</w:t>
      </w:r>
      <w:r>
        <w:rPr>
          <w:rFonts w:ascii="Cambria" w:hAnsi="Cambria"/>
          <w:sz w:val="24"/>
          <w:szCs w:val="24"/>
        </w:rPr>
        <w:t xml:space="preserve">  A listing of these accounts is provided in </w:t>
      </w:r>
      <w:r w:rsidRPr="0009114A">
        <w:rPr>
          <w:rFonts w:ascii="Cambria" w:hAnsi="Cambria"/>
          <w:b/>
          <w:sz w:val="24"/>
          <w:szCs w:val="24"/>
        </w:rPr>
        <w:t xml:space="preserve">Annex </w:t>
      </w:r>
      <w:r w:rsidR="00970C72">
        <w:rPr>
          <w:rFonts w:ascii="Cambria" w:hAnsi="Cambria"/>
          <w:b/>
          <w:sz w:val="24"/>
          <w:szCs w:val="24"/>
        </w:rPr>
        <w:t>2</w:t>
      </w:r>
      <w:r>
        <w:rPr>
          <w:rFonts w:ascii="Cambria" w:hAnsi="Cambria"/>
          <w:sz w:val="24"/>
          <w:szCs w:val="24"/>
        </w:rPr>
        <w:t>.  A list of account</w:t>
      </w:r>
      <w:r w:rsidR="005B76C7">
        <w:rPr>
          <w:rFonts w:ascii="Cambria" w:hAnsi="Cambria"/>
          <w:sz w:val="24"/>
          <w:szCs w:val="24"/>
        </w:rPr>
        <w:t>s</w:t>
      </w:r>
      <w:r>
        <w:rPr>
          <w:rFonts w:ascii="Cambria" w:hAnsi="Cambria"/>
          <w:sz w:val="24"/>
          <w:szCs w:val="24"/>
        </w:rPr>
        <w:t xml:space="preserve"> </w:t>
      </w:r>
      <w:r w:rsidRPr="002F74ED">
        <w:rPr>
          <w:rFonts w:ascii="Cambria" w:hAnsi="Cambria"/>
          <w:b/>
          <w:i/>
          <w:sz w:val="24"/>
          <w:szCs w:val="24"/>
        </w:rPr>
        <w:t xml:space="preserve">not </w:t>
      </w:r>
      <w:r>
        <w:rPr>
          <w:rFonts w:ascii="Cambria" w:hAnsi="Cambria"/>
          <w:sz w:val="24"/>
          <w:szCs w:val="24"/>
        </w:rPr>
        <w:t xml:space="preserve">subject to revaluation, i.e., if the USD balance = zero no further action required, is also enclosed. </w:t>
      </w:r>
      <w:r w:rsidR="00D81A35">
        <w:rPr>
          <w:rFonts w:ascii="Cambria" w:hAnsi="Cambria"/>
          <w:sz w:val="24"/>
          <w:szCs w:val="24"/>
        </w:rPr>
        <w:t xml:space="preserve">Please note that some Balance Sheet accounts are not revalued at </w:t>
      </w:r>
      <w:r w:rsidR="005B76C7">
        <w:rPr>
          <w:rFonts w:ascii="Cambria" w:hAnsi="Cambria"/>
          <w:sz w:val="24"/>
          <w:szCs w:val="24"/>
        </w:rPr>
        <w:t xml:space="preserve">the </w:t>
      </w:r>
      <w:r w:rsidR="00D81A35">
        <w:rPr>
          <w:rFonts w:ascii="Cambria" w:hAnsi="Cambria"/>
          <w:sz w:val="24"/>
          <w:szCs w:val="24"/>
        </w:rPr>
        <w:t>project level.</w:t>
      </w:r>
      <w:r>
        <w:rPr>
          <w:rFonts w:ascii="Cambria" w:hAnsi="Cambria"/>
          <w:sz w:val="24"/>
          <w:szCs w:val="24"/>
        </w:rPr>
        <w:t xml:space="preserve"> </w:t>
      </w:r>
      <w:r w:rsidRPr="004D0DAC">
        <w:rPr>
          <w:rFonts w:ascii="Cambria" w:hAnsi="Cambria"/>
          <w:sz w:val="24"/>
          <w:szCs w:val="24"/>
        </w:rPr>
        <w:t xml:space="preserve"> </w:t>
      </w:r>
    </w:p>
    <w:p w14:paraId="57784E01" w14:textId="28D44FD3" w:rsidR="00405361" w:rsidRPr="004D0DAC" w:rsidRDefault="00405361" w:rsidP="009A77F5">
      <w:pPr>
        <w:pStyle w:val="ListParagraph"/>
        <w:numPr>
          <w:ilvl w:val="0"/>
          <w:numId w:val="24"/>
        </w:numPr>
        <w:jc w:val="both"/>
        <w:rPr>
          <w:rFonts w:ascii="Cambria" w:hAnsi="Cambria"/>
          <w:sz w:val="24"/>
          <w:szCs w:val="24"/>
        </w:rPr>
      </w:pPr>
      <w:r w:rsidRPr="004D0DAC">
        <w:rPr>
          <w:rFonts w:ascii="Cambria" w:hAnsi="Cambria"/>
          <w:sz w:val="24"/>
          <w:szCs w:val="24"/>
        </w:rPr>
        <w:t>Projects that have been incorrectly closed, i.e., balance sheet item(s) remain un-cleared are not picked up in the workbench.  These projects are identified in ad hoc reports prepared by OFM and circulated to offices periodically.</w:t>
      </w:r>
    </w:p>
    <w:p w14:paraId="3D556E41" w14:textId="0E4631BF" w:rsidR="00695DAF" w:rsidRDefault="009D692C" w:rsidP="009A77F5">
      <w:pPr>
        <w:pStyle w:val="ListParagraph"/>
        <w:numPr>
          <w:ilvl w:val="0"/>
          <w:numId w:val="24"/>
        </w:numPr>
        <w:jc w:val="both"/>
        <w:rPr>
          <w:rFonts w:ascii="Cambria" w:hAnsi="Cambria"/>
          <w:b/>
          <w:sz w:val="24"/>
          <w:szCs w:val="24"/>
        </w:rPr>
      </w:pPr>
      <w:r w:rsidRPr="009D692C">
        <w:rPr>
          <w:rFonts w:ascii="Cambria" w:hAnsi="Cambria"/>
          <w:sz w:val="24"/>
          <w:szCs w:val="24"/>
        </w:rPr>
        <w:t xml:space="preserve">If the project has funding from a </w:t>
      </w:r>
      <w:r w:rsidR="00695DAF" w:rsidRPr="009D692C">
        <w:rPr>
          <w:rFonts w:ascii="Cambria" w:hAnsi="Cambria"/>
          <w:sz w:val="24"/>
          <w:szCs w:val="24"/>
        </w:rPr>
        <w:t>M</w:t>
      </w:r>
      <w:r w:rsidRPr="009D692C">
        <w:rPr>
          <w:rFonts w:ascii="Cambria" w:hAnsi="Cambria"/>
          <w:sz w:val="24"/>
          <w:szCs w:val="24"/>
        </w:rPr>
        <w:t>ulti-partner trust fund</w:t>
      </w:r>
      <w:r w:rsidR="005B76C7">
        <w:rPr>
          <w:rFonts w:ascii="Cambria" w:hAnsi="Cambria"/>
          <w:sz w:val="24"/>
          <w:szCs w:val="24"/>
        </w:rPr>
        <w:t xml:space="preserve"> (MPTF)</w:t>
      </w:r>
      <w:r w:rsidRPr="009D692C">
        <w:rPr>
          <w:rFonts w:ascii="Cambria" w:hAnsi="Cambria"/>
          <w:sz w:val="24"/>
          <w:szCs w:val="24"/>
        </w:rPr>
        <w:t xml:space="preserve">, </w:t>
      </w:r>
      <w:r w:rsidR="00970C72" w:rsidRPr="00970C72">
        <w:rPr>
          <w:rFonts w:ascii="Cambria" w:hAnsi="Cambria"/>
          <w:sz w:val="24"/>
          <w:szCs w:val="24"/>
        </w:rPr>
        <w:t>the balances in UNDP GL must be reconciled to the Gateway balance for the mapped MPTF project</w:t>
      </w:r>
      <w:r w:rsidRPr="00090140">
        <w:rPr>
          <w:rFonts w:ascii="Cambria" w:hAnsi="Cambria"/>
          <w:bCs/>
          <w:sz w:val="24"/>
          <w:szCs w:val="24"/>
        </w:rPr>
        <w:t xml:space="preserve">. </w:t>
      </w:r>
    </w:p>
    <w:p w14:paraId="0ED08095" w14:textId="77777777" w:rsidR="00970C72" w:rsidRPr="00970C72" w:rsidRDefault="00970C72" w:rsidP="00970C72">
      <w:pPr>
        <w:pStyle w:val="ListParagraph"/>
        <w:numPr>
          <w:ilvl w:val="1"/>
          <w:numId w:val="24"/>
        </w:numPr>
        <w:spacing w:before="240" w:after="160" w:line="256" w:lineRule="auto"/>
        <w:rPr>
          <w:rFonts w:asciiTheme="majorHAnsi" w:hAnsiTheme="majorHAnsi" w:cs="Arial"/>
          <w:sz w:val="24"/>
          <w:szCs w:val="24"/>
        </w:rPr>
      </w:pPr>
      <w:r w:rsidRPr="00970C72">
        <w:rPr>
          <w:rFonts w:asciiTheme="majorHAnsi" w:hAnsiTheme="majorHAnsi" w:cs="Arial"/>
          <w:sz w:val="24"/>
          <w:szCs w:val="24"/>
        </w:rPr>
        <w:t>MPTF reporting - Operating guidelines for MPTF projects [</w:t>
      </w:r>
      <w:hyperlink r:id="rId102" w:history="1">
        <w:r w:rsidRPr="00970C72">
          <w:rPr>
            <w:rStyle w:val="Hyperlink"/>
            <w:rFonts w:asciiTheme="majorHAnsi" w:hAnsiTheme="majorHAnsi" w:cs="Arial"/>
            <w:sz w:val="24"/>
            <w:szCs w:val="24"/>
          </w:rPr>
          <w:t>click here</w:t>
        </w:r>
      </w:hyperlink>
      <w:r w:rsidRPr="00970C72">
        <w:rPr>
          <w:rFonts w:asciiTheme="majorHAnsi" w:hAnsiTheme="majorHAnsi" w:cs="Arial"/>
          <w:sz w:val="24"/>
          <w:szCs w:val="24"/>
        </w:rPr>
        <w:t xml:space="preserve">] </w:t>
      </w:r>
    </w:p>
    <w:p w14:paraId="6FE19623" w14:textId="77777777" w:rsidR="00970C72" w:rsidRPr="00970C72" w:rsidRDefault="00970C72" w:rsidP="00970C72">
      <w:pPr>
        <w:pStyle w:val="ListParagraph"/>
        <w:numPr>
          <w:ilvl w:val="1"/>
          <w:numId w:val="24"/>
        </w:numPr>
        <w:spacing w:before="240" w:after="160" w:line="256" w:lineRule="auto"/>
        <w:rPr>
          <w:rFonts w:asciiTheme="majorHAnsi" w:hAnsiTheme="majorHAnsi" w:cs="Arial"/>
          <w:sz w:val="24"/>
          <w:szCs w:val="24"/>
        </w:rPr>
      </w:pPr>
      <w:r w:rsidRPr="00970C72">
        <w:rPr>
          <w:rFonts w:asciiTheme="majorHAnsi" w:hAnsiTheme="majorHAnsi" w:cs="Arial"/>
          <w:sz w:val="24"/>
          <w:szCs w:val="24"/>
        </w:rPr>
        <w:t>MPTF reporting – MPTF GW and UNDP GL Comparison Report for reconciliation (Monthly / Quarterly) [</w:t>
      </w:r>
      <w:hyperlink r:id="rId103" w:history="1">
        <w:r w:rsidRPr="00970C72">
          <w:rPr>
            <w:rStyle w:val="Hyperlink"/>
            <w:rFonts w:asciiTheme="majorHAnsi" w:hAnsiTheme="majorHAnsi" w:cs="Arial"/>
            <w:sz w:val="24"/>
            <w:szCs w:val="24"/>
          </w:rPr>
          <w:t>click here</w:t>
        </w:r>
      </w:hyperlink>
      <w:r w:rsidRPr="00970C72">
        <w:rPr>
          <w:rFonts w:asciiTheme="majorHAnsi" w:hAnsiTheme="majorHAnsi" w:cs="Arial"/>
          <w:sz w:val="24"/>
          <w:szCs w:val="24"/>
        </w:rPr>
        <w:t>]</w:t>
      </w:r>
    </w:p>
    <w:p w14:paraId="3C49BDE4" w14:textId="77777777" w:rsidR="00970C72" w:rsidRPr="00970C72" w:rsidRDefault="00970C72" w:rsidP="00970C72">
      <w:pPr>
        <w:pStyle w:val="ListParagraph"/>
        <w:numPr>
          <w:ilvl w:val="1"/>
          <w:numId w:val="24"/>
        </w:numPr>
        <w:spacing w:before="240" w:after="160" w:line="256" w:lineRule="auto"/>
        <w:rPr>
          <w:rFonts w:asciiTheme="majorHAnsi" w:hAnsiTheme="majorHAnsi" w:cs="Arial"/>
          <w:sz w:val="24"/>
          <w:szCs w:val="24"/>
        </w:rPr>
      </w:pPr>
      <w:r w:rsidRPr="00970C72">
        <w:rPr>
          <w:rFonts w:asciiTheme="majorHAnsi" w:hAnsiTheme="majorHAnsi" w:cs="Arial"/>
          <w:sz w:val="24"/>
          <w:szCs w:val="24"/>
        </w:rPr>
        <w:t>MPTF reporting – MPTF GW and UNDP GL Comparison Report User Guide [</w:t>
      </w:r>
      <w:hyperlink r:id="rId104" w:history="1">
        <w:r w:rsidRPr="00970C72">
          <w:rPr>
            <w:rStyle w:val="Hyperlink"/>
            <w:rFonts w:asciiTheme="majorHAnsi" w:hAnsiTheme="majorHAnsi" w:cs="Arial"/>
            <w:sz w:val="24"/>
            <w:szCs w:val="24"/>
          </w:rPr>
          <w:t>click here</w:t>
        </w:r>
      </w:hyperlink>
      <w:r w:rsidRPr="00970C72">
        <w:rPr>
          <w:rFonts w:asciiTheme="majorHAnsi" w:hAnsiTheme="majorHAnsi" w:cs="Arial"/>
          <w:sz w:val="24"/>
          <w:szCs w:val="24"/>
        </w:rPr>
        <w:t>]</w:t>
      </w:r>
    </w:p>
    <w:p w14:paraId="7CC0256D" w14:textId="77777777" w:rsidR="00970C72" w:rsidRPr="00C1466B" w:rsidRDefault="00970C72" w:rsidP="00970C72">
      <w:pPr>
        <w:pStyle w:val="ListParagraph"/>
        <w:ind w:left="1440"/>
        <w:jc w:val="both"/>
        <w:rPr>
          <w:rFonts w:ascii="Cambria" w:hAnsi="Cambria"/>
          <w:bCs/>
          <w:sz w:val="24"/>
          <w:szCs w:val="24"/>
        </w:rPr>
      </w:pPr>
    </w:p>
    <w:p w14:paraId="643CD81C" w14:textId="03F2FF85" w:rsidR="00136CEF" w:rsidRDefault="00E34C7B" w:rsidP="004D3983">
      <w:pPr>
        <w:pStyle w:val="Heading1"/>
        <w:rPr>
          <w:u w:val="single"/>
        </w:rPr>
      </w:pPr>
      <w:bookmarkStart w:id="20" w:name="_Toc51944976"/>
      <w:r>
        <w:rPr>
          <w:u w:val="single"/>
        </w:rPr>
        <w:t xml:space="preserve">8.0 </w:t>
      </w:r>
      <w:r w:rsidR="008A7E9A">
        <w:rPr>
          <w:u w:val="single"/>
        </w:rPr>
        <w:t>Managing exception</w:t>
      </w:r>
      <w:r w:rsidR="006E2379">
        <w:rPr>
          <w:u w:val="single"/>
        </w:rPr>
        <w:t>s</w:t>
      </w:r>
      <w:r w:rsidR="008A7E9A">
        <w:rPr>
          <w:u w:val="single"/>
        </w:rPr>
        <w:t xml:space="preserve"> </w:t>
      </w:r>
      <w:r w:rsidR="008F088A">
        <w:rPr>
          <w:u w:val="single"/>
        </w:rPr>
        <w:t>THROUGH ALTERNATIVE</w:t>
      </w:r>
      <w:r w:rsidR="004D0DAC" w:rsidRPr="004D3983">
        <w:rPr>
          <w:u w:val="single"/>
        </w:rPr>
        <w:t xml:space="preserve"> Procedures</w:t>
      </w:r>
      <w:bookmarkEnd w:id="20"/>
    </w:p>
    <w:p w14:paraId="53B70462" w14:textId="77777777" w:rsidR="007464B7" w:rsidRDefault="007464B7" w:rsidP="015EB512">
      <w:pPr>
        <w:pStyle w:val="Default"/>
        <w:jc w:val="both"/>
        <w:rPr>
          <w:rFonts w:ascii="Cambria" w:hAnsi="Cambria"/>
        </w:rPr>
      </w:pPr>
    </w:p>
    <w:p w14:paraId="44321FFD" w14:textId="5BCFF356" w:rsidR="0030742B" w:rsidRDefault="015EB512" w:rsidP="015EB512">
      <w:pPr>
        <w:pStyle w:val="Default"/>
        <w:jc w:val="both"/>
        <w:rPr>
          <w:rFonts w:ascii="Cambria" w:hAnsi="Cambria" w:cs="Arial"/>
          <w:b/>
          <w:bCs/>
          <w:i/>
          <w:iCs/>
          <w:color w:val="FF0000"/>
        </w:rPr>
      </w:pPr>
      <w:r w:rsidRPr="015EB512">
        <w:rPr>
          <w:rFonts w:ascii="Cambria" w:hAnsi="Cambria"/>
        </w:rPr>
        <w:t>As mentioned above, closing a project may be delayed by the fact that the criteria called for in the checklist cannot be met.  For example, an outstanding NEX advance cannot be reconciled or remains un-cleared by the Government counterpart.  The reasons why may vary, but often this is due to turnover or a departure of key project personnel in either the government/IP and UNDP or both. The turnover of personnel can be further aggravated by changes in Government structures such as merging or the split of Institutions and in those cases the Government authorities might not be able to agree on closure. The result being that no one is willing to sign off on the checklist.  To address this difficulty, alternative procedures have been developed to move past these obstacles</w:t>
      </w:r>
    </w:p>
    <w:p w14:paraId="5202003B" w14:textId="77777777" w:rsidR="0098101F" w:rsidRDefault="0098101F" w:rsidP="00924814">
      <w:pPr>
        <w:pStyle w:val="Default"/>
        <w:jc w:val="both"/>
        <w:rPr>
          <w:rFonts w:ascii="Cambria" w:hAnsi="Cambria" w:cs="Arial"/>
          <w:b/>
          <w:i/>
          <w:color w:val="FF0000"/>
        </w:rPr>
      </w:pPr>
    </w:p>
    <w:p w14:paraId="09659CC5" w14:textId="50226935" w:rsidR="006E2379" w:rsidRPr="007A3090" w:rsidRDefault="008A7E9A" w:rsidP="009A77F5">
      <w:pPr>
        <w:pStyle w:val="ListParagraph"/>
        <w:numPr>
          <w:ilvl w:val="0"/>
          <w:numId w:val="23"/>
        </w:numPr>
        <w:rPr>
          <w:rFonts w:cs="Arial"/>
          <w:b/>
        </w:rPr>
      </w:pPr>
      <w:r>
        <w:rPr>
          <w:rFonts w:ascii="Cambria" w:hAnsi="Cambria" w:cs="Arial"/>
        </w:rPr>
        <w:t xml:space="preserve">Where such exceptions apply, the </w:t>
      </w:r>
      <w:r w:rsidR="000B34A0">
        <w:rPr>
          <w:rFonts w:ascii="Cambria" w:hAnsi="Cambria" w:cs="Arial"/>
        </w:rPr>
        <w:t>business unit</w:t>
      </w:r>
      <w:r w:rsidR="0037094B">
        <w:rPr>
          <w:rFonts w:ascii="Cambria" w:hAnsi="Cambria" w:cs="Arial"/>
        </w:rPr>
        <w:t xml:space="preserve"> should</w:t>
      </w:r>
      <w:r>
        <w:rPr>
          <w:rFonts w:ascii="Cambria" w:hAnsi="Cambria" w:cs="Arial"/>
        </w:rPr>
        <w:t xml:space="preserve"> exercise due diligence by exploring </w:t>
      </w:r>
      <w:r w:rsidR="0037094B">
        <w:rPr>
          <w:rFonts w:ascii="Cambria" w:hAnsi="Cambria" w:cs="Arial"/>
        </w:rPr>
        <w:t>alternative</w:t>
      </w:r>
      <w:r>
        <w:rPr>
          <w:rFonts w:ascii="Cambria" w:hAnsi="Cambria" w:cs="Arial"/>
        </w:rPr>
        <w:t xml:space="preserve"> solutions in consultation with the </w:t>
      </w:r>
      <w:r w:rsidR="0037094B" w:rsidRPr="0037094B">
        <w:rPr>
          <w:rFonts w:ascii="Cambria" w:hAnsi="Cambria" w:cs="Arial"/>
        </w:rPr>
        <w:t xml:space="preserve">CO </w:t>
      </w:r>
      <w:proofErr w:type="spellStart"/>
      <w:r w:rsidR="0037094B" w:rsidRPr="0037094B">
        <w:rPr>
          <w:rFonts w:ascii="Cambria" w:hAnsi="Cambria" w:cs="Arial"/>
        </w:rPr>
        <w:t>Programme</w:t>
      </w:r>
      <w:proofErr w:type="spellEnd"/>
      <w:r w:rsidR="0037094B" w:rsidRPr="0037094B">
        <w:rPr>
          <w:rFonts w:ascii="Cambria" w:hAnsi="Cambria" w:cs="Arial"/>
        </w:rPr>
        <w:t>/Project Manager, DRR, IP, Regional Bureau/HQ or OFM.</w:t>
      </w:r>
      <w:r>
        <w:rPr>
          <w:rFonts w:ascii="Cambria" w:hAnsi="Cambria" w:cs="Arial"/>
        </w:rPr>
        <w:t xml:space="preserve"> </w:t>
      </w:r>
      <w:r w:rsidR="0037094B" w:rsidRPr="0037094B">
        <w:rPr>
          <w:rFonts w:ascii="Cambria" w:hAnsi="Cambria" w:cs="Arial"/>
        </w:rPr>
        <w:t xml:space="preserve">Exceptions and issues are handled </w:t>
      </w:r>
      <w:r>
        <w:rPr>
          <w:rFonts w:ascii="Cambria" w:hAnsi="Cambria" w:cs="Arial"/>
        </w:rPr>
        <w:t>on case</w:t>
      </w:r>
      <w:r w:rsidR="0037094B">
        <w:rPr>
          <w:rFonts w:ascii="Cambria" w:hAnsi="Cambria" w:cs="Arial"/>
        </w:rPr>
        <w:t>-</w:t>
      </w:r>
      <w:r>
        <w:rPr>
          <w:rFonts w:ascii="Cambria" w:hAnsi="Cambria" w:cs="Arial"/>
        </w:rPr>
        <w:t>by</w:t>
      </w:r>
      <w:r w:rsidR="0037094B">
        <w:rPr>
          <w:rFonts w:ascii="Cambria" w:hAnsi="Cambria" w:cs="Arial"/>
        </w:rPr>
        <w:t>-</w:t>
      </w:r>
      <w:r>
        <w:rPr>
          <w:rFonts w:ascii="Cambria" w:hAnsi="Cambria" w:cs="Arial"/>
        </w:rPr>
        <w:t xml:space="preserve">case </w:t>
      </w:r>
      <w:r w:rsidR="0037094B">
        <w:rPr>
          <w:rFonts w:ascii="Cambria" w:hAnsi="Cambria" w:cs="Arial"/>
        </w:rPr>
        <w:t>basis with</w:t>
      </w:r>
      <w:r>
        <w:rPr>
          <w:rFonts w:ascii="Cambria" w:hAnsi="Cambria" w:cs="Arial"/>
        </w:rPr>
        <w:t xml:space="preserve"> </w:t>
      </w:r>
      <w:r w:rsidR="0043531D" w:rsidRPr="0043531D">
        <w:rPr>
          <w:rFonts w:ascii="Cambria" w:hAnsi="Cambria" w:cs="Arial"/>
        </w:rPr>
        <w:t>approval and guidance of HQ, and any issues outside of POPP should be documented and explicitly approved by OFM through the bureau</w:t>
      </w:r>
      <w:r>
        <w:rPr>
          <w:rFonts w:ascii="Cambria" w:hAnsi="Cambria" w:cs="Arial"/>
        </w:rPr>
        <w:t xml:space="preserve">.  </w:t>
      </w:r>
      <w:r w:rsidR="006E2379" w:rsidRPr="0043531D">
        <w:rPr>
          <w:rFonts w:ascii="Cambria" w:hAnsi="Cambria" w:cs="Arial"/>
        </w:rPr>
        <w:t xml:space="preserve">Offices should not move the unspent balances to account 21030 (pending refunds to donors) before the appropriate steps and </w:t>
      </w:r>
      <w:r w:rsidR="006E2379" w:rsidRPr="0043531D">
        <w:rPr>
          <w:rFonts w:ascii="Cambria" w:hAnsi="Cambria" w:cs="Arial"/>
        </w:rPr>
        <w:lastRenderedPageBreak/>
        <w:t xml:space="preserve">due diligence are carried out while adopting the </w:t>
      </w:r>
      <w:r w:rsidR="008F088A" w:rsidRPr="0043531D">
        <w:rPr>
          <w:rFonts w:ascii="Cambria" w:hAnsi="Cambria" w:cs="Arial"/>
        </w:rPr>
        <w:t>alternative</w:t>
      </w:r>
      <w:r w:rsidR="006E2379" w:rsidRPr="0043531D">
        <w:rPr>
          <w:rFonts w:ascii="Cambria" w:hAnsi="Cambria" w:cs="Arial"/>
        </w:rPr>
        <w:t xml:space="preserve"> procedures and before confirming refund balances and bank accounts details with the donor.</w:t>
      </w:r>
    </w:p>
    <w:p w14:paraId="6ADB67DC" w14:textId="77777777" w:rsidR="006E2379" w:rsidRDefault="006E2379" w:rsidP="007E3914">
      <w:pPr>
        <w:pStyle w:val="Default"/>
        <w:jc w:val="both"/>
        <w:rPr>
          <w:rFonts w:ascii="Cambria" w:hAnsi="Cambria" w:cs="Arial"/>
          <w:color w:val="auto"/>
        </w:rPr>
      </w:pPr>
    </w:p>
    <w:p w14:paraId="16BA9123" w14:textId="5A7A75C5" w:rsidR="0043531D" w:rsidRDefault="0043531D" w:rsidP="007E3914">
      <w:pPr>
        <w:pStyle w:val="Default"/>
        <w:jc w:val="both"/>
        <w:rPr>
          <w:rFonts w:ascii="Cambria" w:hAnsi="Cambria"/>
        </w:rPr>
      </w:pPr>
      <w:r>
        <w:rPr>
          <w:rFonts w:ascii="Cambria" w:hAnsi="Cambria"/>
        </w:rPr>
        <w:t xml:space="preserve">Below </w:t>
      </w:r>
      <w:r w:rsidRPr="0043531D">
        <w:rPr>
          <w:rFonts w:ascii="Cambria" w:hAnsi="Cambria"/>
        </w:rPr>
        <w:t xml:space="preserve">are some potential issues and exceptions faced in the past and the respective alternative measures performed. </w:t>
      </w:r>
      <w:r w:rsidR="000B34A0" w:rsidRPr="0043531D">
        <w:rPr>
          <w:rFonts w:ascii="Cambria" w:hAnsi="Cambria"/>
        </w:rPr>
        <w:t>Please note that this list is not exhaustive and additional guidance should be requested from HQ if/as</w:t>
      </w:r>
      <w:r w:rsidR="000B34A0">
        <w:rPr>
          <w:rFonts w:ascii="Cambria" w:hAnsi="Cambria"/>
        </w:rPr>
        <w:t xml:space="preserve"> </w:t>
      </w:r>
      <w:r w:rsidR="000B34A0" w:rsidRPr="0043531D">
        <w:rPr>
          <w:rFonts w:ascii="Cambria" w:hAnsi="Cambria"/>
        </w:rPr>
        <w:t>needed</w:t>
      </w:r>
      <w:r w:rsidR="000B34A0">
        <w:rPr>
          <w:rFonts w:ascii="Cambria" w:hAnsi="Cambria"/>
        </w:rPr>
        <w:t>.</w:t>
      </w:r>
      <w:r w:rsidR="000B34A0">
        <w:rPr>
          <w:rFonts w:ascii="Cambria" w:hAnsi="Cambria" w:cs="Arial"/>
          <w:color w:val="auto"/>
        </w:rPr>
        <w:t xml:space="preserve"> </w:t>
      </w:r>
      <w:r>
        <w:rPr>
          <w:rFonts w:ascii="Cambria" w:hAnsi="Cambria" w:cs="Arial"/>
          <w:color w:val="auto"/>
        </w:rPr>
        <w:t xml:space="preserve">Please note </w:t>
      </w:r>
      <w:r w:rsidR="000B34A0">
        <w:rPr>
          <w:rFonts w:ascii="Cambria" w:hAnsi="Cambria" w:cs="Arial"/>
          <w:color w:val="auto"/>
        </w:rPr>
        <w:t xml:space="preserve">also </w:t>
      </w:r>
      <w:r w:rsidRPr="00A1685E">
        <w:rPr>
          <w:rFonts w:ascii="Cambria" w:hAnsi="Cambria" w:cs="Arial"/>
          <w:color w:val="auto"/>
        </w:rPr>
        <w:t xml:space="preserve">that </w:t>
      </w:r>
      <w:r w:rsidRPr="0070562F">
        <w:rPr>
          <w:rFonts w:ascii="Cambria" w:hAnsi="Cambria" w:cs="Arial"/>
          <w:color w:val="auto"/>
        </w:rPr>
        <w:t>a</w:t>
      </w:r>
      <w:r w:rsidRPr="0070562F">
        <w:rPr>
          <w:rFonts w:ascii="Cambria" w:hAnsi="Cambria"/>
        </w:rPr>
        <w:t xml:space="preserve">ll other procedures should follow the requirement of POPP </w:t>
      </w:r>
      <w:hyperlink r:id="rId105" w:history="1">
        <w:r w:rsidRPr="00D5426A">
          <w:rPr>
            <w:rStyle w:val="Hyperlink"/>
            <w:rFonts w:ascii="Cambria" w:hAnsi="Cambria"/>
          </w:rPr>
          <w:t>Project Completion checklist</w:t>
        </w:r>
      </w:hyperlink>
      <w:r>
        <w:rPr>
          <w:rStyle w:val="Hyperlink"/>
          <w:rFonts w:ascii="Cambria" w:hAnsi="Cambria"/>
        </w:rPr>
        <w:t xml:space="preserve"> </w:t>
      </w:r>
    </w:p>
    <w:p w14:paraId="01346390" w14:textId="77777777" w:rsidR="004D0DAC" w:rsidRDefault="004D0DAC" w:rsidP="00C472B0">
      <w:pPr>
        <w:rPr>
          <w:rFonts w:ascii="Cambria" w:hAnsi="Cambria"/>
          <w:b/>
          <w:i/>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
        <w:gridCol w:w="2427"/>
        <w:gridCol w:w="2734"/>
        <w:gridCol w:w="3644"/>
      </w:tblGrid>
      <w:tr w:rsidR="008A7E9A" w14:paraId="28D812A5" w14:textId="77777777" w:rsidTr="008A7E9A">
        <w:trPr>
          <w:tblHeader/>
        </w:trPr>
        <w:tc>
          <w:tcPr>
            <w:tcW w:w="545" w:type="dxa"/>
            <w:shd w:val="clear" w:color="auto" w:fill="DDD9C3" w:themeFill="background2" w:themeFillShade="E6"/>
          </w:tcPr>
          <w:p w14:paraId="696EFB62" w14:textId="77777777" w:rsidR="008A7E9A" w:rsidRDefault="008A7E9A" w:rsidP="009E1ADE">
            <w:pPr>
              <w:jc w:val="center"/>
            </w:pPr>
          </w:p>
          <w:p w14:paraId="61AEDB81" w14:textId="77777777" w:rsidR="008A7E9A" w:rsidRDefault="008A7E9A" w:rsidP="009E1ADE">
            <w:pPr>
              <w:jc w:val="center"/>
            </w:pPr>
          </w:p>
        </w:tc>
        <w:tc>
          <w:tcPr>
            <w:tcW w:w="2427" w:type="dxa"/>
            <w:shd w:val="clear" w:color="auto" w:fill="DDD9C3" w:themeFill="background2" w:themeFillShade="E6"/>
          </w:tcPr>
          <w:p w14:paraId="0C27DC34" w14:textId="77777777" w:rsidR="008A7E9A" w:rsidRPr="00301188" w:rsidRDefault="008A7E9A" w:rsidP="009E1ADE">
            <w:pPr>
              <w:jc w:val="center"/>
              <w:rPr>
                <w:b/>
              </w:rPr>
            </w:pPr>
            <w:r w:rsidRPr="0011270D">
              <w:rPr>
                <w:b/>
              </w:rPr>
              <w:t>Project Closure Requirement as per POPP</w:t>
            </w:r>
          </w:p>
        </w:tc>
        <w:tc>
          <w:tcPr>
            <w:tcW w:w="2734" w:type="dxa"/>
            <w:shd w:val="clear" w:color="auto" w:fill="DDD9C3" w:themeFill="background2" w:themeFillShade="E6"/>
          </w:tcPr>
          <w:p w14:paraId="70375F6D" w14:textId="77777777" w:rsidR="008A7E9A" w:rsidRPr="00301188" w:rsidRDefault="008A7E9A" w:rsidP="009E1ADE">
            <w:pPr>
              <w:jc w:val="center"/>
              <w:rPr>
                <w:b/>
              </w:rPr>
            </w:pPr>
            <w:r w:rsidRPr="00301188">
              <w:rPr>
                <w:b/>
              </w:rPr>
              <w:t>Reason for Delay in Closure</w:t>
            </w:r>
          </w:p>
        </w:tc>
        <w:tc>
          <w:tcPr>
            <w:tcW w:w="3644" w:type="dxa"/>
            <w:shd w:val="clear" w:color="auto" w:fill="DDD9C3" w:themeFill="background2" w:themeFillShade="E6"/>
          </w:tcPr>
          <w:p w14:paraId="1754BCB4" w14:textId="6F14883D" w:rsidR="008A7E9A" w:rsidRPr="00301188" w:rsidRDefault="006E2379" w:rsidP="009E1ADE">
            <w:pPr>
              <w:jc w:val="center"/>
              <w:rPr>
                <w:b/>
              </w:rPr>
            </w:pPr>
            <w:r>
              <w:rPr>
                <w:b/>
              </w:rPr>
              <w:t>Alternative measures</w:t>
            </w:r>
            <w:r w:rsidR="008A7E9A" w:rsidRPr="00301188">
              <w:rPr>
                <w:b/>
              </w:rPr>
              <w:t xml:space="preserve"> to be Performed</w:t>
            </w:r>
            <w:r w:rsidR="00D63AD6">
              <w:rPr>
                <w:b/>
              </w:rPr>
              <w:t xml:space="preserve"> which require approval </w:t>
            </w:r>
          </w:p>
        </w:tc>
      </w:tr>
      <w:tr w:rsidR="008A7E9A" w14:paraId="7BDC627E" w14:textId="77777777" w:rsidTr="00A87858">
        <w:trPr>
          <w:trHeight w:val="2510"/>
        </w:trPr>
        <w:tc>
          <w:tcPr>
            <w:tcW w:w="545" w:type="dxa"/>
          </w:tcPr>
          <w:p w14:paraId="045001D6" w14:textId="77777777" w:rsidR="008A7E9A" w:rsidRDefault="008A7E9A" w:rsidP="009E1ADE">
            <w:r>
              <w:t>1</w:t>
            </w:r>
          </w:p>
        </w:tc>
        <w:tc>
          <w:tcPr>
            <w:tcW w:w="2427" w:type="dxa"/>
          </w:tcPr>
          <w:p w14:paraId="0C632392" w14:textId="40377AB6" w:rsidR="008A7E9A" w:rsidRDefault="008A7E9A" w:rsidP="009E1ADE">
            <w:pPr>
              <w:rPr>
                <w:rFonts w:ascii="Arial" w:hAnsi="Arial" w:cs="Arial"/>
                <w:sz w:val="20"/>
                <w:szCs w:val="20"/>
              </w:rPr>
            </w:pPr>
            <w:r>
              <w:rPr>
                <w:rFonts w:ascii="Arial"/>
                <w:sz w:val="20"/>
              </w:rPr>
              <w:t xml:space="preserve">All </w:t>
            </w:r>
            <w:r>
              <w:rPr>
                <w:rFonts w:ascii="Arial"/>
                <w:spacing w:val="-1"/>
                <w:sz w:val="20"/>
              </w:rPr>
              <w:t xml:space="preserve">assets </w:t>
            </w:r>
            <w:r>
              <w:rPr>
                <w:rFonts w:ascii="Arial"/>
                <w:sz w:val="20"/>
              </w:rPr>
              <w:t>are</w:t>
            </w:r>
            <w:r>
              <w:rPr>
                <w:rFonts w:ascii="Arial"/>
                <w:spacing w:val="-2"/>
                <w:sz w:val="20"/>
              </w:rPr>
              <w:t xml:space="preserve"> </w:t>
            </w:r>
            <w:r>
              <w:rPr>
                <w:rFonts w:ascii="Arial"/>
                <w:spacing w:val="-1"/>
                <w:sz w:val="20"/>
              </w:rPr>
              <w:t>transferred or</w:t>
            </w:r>
            <w:r>
              <w:rPr>
                <w:rFonts w:ascii="Arial"/>
                <w:sz w:val="20"/>
              </w:rPr>
              <w:t xml:space="preserve"> </w:t>
            </w:r>
            <w:r>
              <w:rPr>
                <w:rFonts w:ascii="Arial"/>
                <w:spacing w:val="-1"/>
                <w:sz w:val="20"/>
              </w:rPr>
              <w:t>otherwise</w:t>
            </w:r>
            <w:r>
              <w:rPr>
                <w:rFonts w:ascii="Arial"/>
                <w:sz w:val="20"/>
              </w:rPr>
              <w:t xml:space="preserve"> </w:t>
            </w:r>
            <w:r>
              <w:rPr>
                <w:rFonts w:ascii="Arial"/>
                <w:spacing w:val="-1"/>
                <w:sz w:val="20"/>
              </w:rPr>
              <w:t xml:space="preserve">disposed </w:t>
            </w:r>
            <w:r>
              <w:rPr>
                <w:rFonts w:ascii="Arial"/>
                <w:sz w:val="20"/>
              </w:rPr>
              <w:t xml:space="preserve">of. </w:t>
            </w:r>
            <w:r w:rsidR="000B34A0">
              <w:rPr>
                <w:rFonts w:ascii="Arial"/>
                <w:sz w:val="20"/>
              </w:rPr>
              <w:t>Ensure all a</w:t>
            </w:r>
            <w:r>
              <w:rPr>
                <w:rFonts w:ascii="Arial"/>
                <w:spacing w:val="-1"/>
                <w:sz w:val="20"/>
              </w:rPr>
              <w:t>sset</w:t>
            </w:r>
            <w:r>
              <w:rPr>
                <w:rFonts w:ascii="Arial"/>
                <w:sz w:val="20"/>
              </w:rPr>
              <w:t xml:space="preserve"> </w:t>
            </w:r>
            <w:r>
              <w:rPr>
                <w:rFonts w:ascii="Arial"/>
                <w:spacing w:val="-1"/>
                <w:sz w:val="20"/>
              </w:rPr>
              <w:t>transfer letters</w:t>
            </w:r>
            <w:r w:rsidR="000B34A0">
              <w:rPr>
                <w:rFonts w:ascii="Arial"/>
                <w:spacing w:val="-1"/>
                <w:sz w:val="20"/>
              </w:rPr>
              <w:t xml:space="preserve"> or any other supporting</w:t>
            </w:r>
            <w:r>
              <w:rPr>
                <w:rFonts w:ascii="Arial"/>
                <w:sz w:val="20"/>
              </w:rPr>
              <w:t xml:space="preserve"> </w:t>
            </w:r>
            <w:r>
              <w:rPr>
                <w:rFonts w:ascii="Arial"/>
                <w:spacing w:val="-1"/>
                <w:sz w:val="20"/>
              </w:rPr>
              <w:t>documents</w:t>
            </w:r>
            <w:r>
              <w:rPr>
                <w:rFonts w:ascii="Arial"/>
                <w:sz w:val="20"/>
              </w:rPr>
              <w:t xml:space="preserve"> </w:t>
            </w:r>
            <w:r w:rsidR="000B34A0">
              <w:rPr>
                <w:rFonts w:ascii="Arial"/>
                <w:sz w:val="20"/>
              </w:rPr>
              <w:t xml:space="preserve">are submitted to the GSSU Asset Management Team via </w:t>
            </w:r>
            <w:hyperlink r:id="rId106" w:history="1">
              <w:r w:rsidR="000B34A0">
                <w:rPr>
                  <w:rStyle w:val="Hyperlink"/>
                  <w:sz w:val="20"/>
                </w:rPr>
                <w:t>Atlas</w:t>
              </w:r>
            </w:hyperlink>
            <w:r w:rsidR="000B34A0">
              <w:rPr>
                <w:rFonts w:ascii="Arial"/>
                <w:spacing w:val="-1"/>
                <w:sz w:val="20"/>
              </w:rPr>
              <w:t>.</w:t>
            </w:r>
          </w:p>
        </w:tc>
        <w:tc>
          <w:tcPr>
            <w:tcW w:w="2734" w:type="dxa"/>
          </w:tcPr>
          <w:p w14:paraId="52584DB0" w14:textId="77777777" w:rsidR="008A7E9A" w:rsidRDefault="008A7E9A" w:rsidP="009E1ADE">
            <w:r>
              <w:rPr>
                <w:rFonts w:ascii="Arial" w:hAnsi="Arial" w:cs="Arial"/>
                <w:sz w:val="20"/>
                <w:szCs w:val="20"/>
              </w:rPr>
              <w:t>No documentary evidence of asset transfer or disposal</w:t>
            </w:r>
          </w:p>
        </w:tc>
        <w:tc>
          <w:tcPr>
            <w:tcW w:w="3644" w:type="dxa"/>
          </w:tcPr>
          <w:p w14:paraId="20A934E0" w14:textId="77777777" w:rsidR="008A7E9A" w:rsidRPr="008665BB" w:rsidRDefault="008A7E9A" w:rsidP="009A77F5">
            <w:pPr>
              <w:pStyle w:val="NormalWeb"/>
              <w:numPr>
                <w:ilvl w:val="0"/>
                <w:numId w:val="21"/>
              </w:numPr>
              <w:spacing w:before="0" w:beforeAutospacing="0" w:after="0" w:afterAutospacing="0"/>
              <w:ind w:left="342" w:hanging="342"/>
              <w:rPr>
                <w:rFonts w:ascii="Arial" w:hAnsi="Arial" w:cs="Arial"/>
                <w:color w:val="000000" w:themeColor="text1"/>
                <w:sz w:val="20"/>
                <w:szCs w:val="20"/>
              </w:rPr>
            </w:pPr>
            <w:r w:rsidRPr="008665BB">
              <w:rPr>
                <w:rFonts w:ascii="Arial" w:hAnsi="Arial" w:cs="Arial"/>
                <w:color w:val="000000" w:themeColor="text1"/>
                <w:sz w:val="20"/>
                <w:szCs w:val="20"/>
              </w:rPr>
              <w:t>For Pre-IPSAS assets, the office must provide a signed declaration that assets are not present and that no records can be located.</w:t>
            </w:r>
          </w:p>
          <w:p w14:paraId="3384772A" w14:textId="708A27FA" w:rsidR="008A7E9A" w:rsidRPr="007A073E" w:rsidRDefault="008A7E9A" w:rsidP="009A77F5">
            <w:pPr>
              <w:pStyle w:val="NormalWeb"/>
              <w:numPr>
                <w:ilvl w:val="0"/>
                <w:numId w:val="21"/>
              </w:numPr>
              <w:spacing w:before="0" w:beforeAutospacing="0" w:after="0" w:afterAutospacing="0"/>
              <w:ind w:left="342" w:hanging="342"/>
              <w:rPr>
                <w:rFonts w:ascii="Arial" w:hAnsi="Arial" w:cs="Arial"/>
                <w:color w:val="44546A"/>
                <w:sz w:val="20"/>
                <w:szCs w:val="20"/>
              </w:rPr>
            </w:pPr>
            <w:r w:rsidRPr="008665BB">
              <w:rPr>
                <w:rFonts w:ascii="Arial" w:hAnsi="Arial" w:cs="Arial"/>
                <w:color w:val="000000" w:themeColor="text1"/>
                <w:sz w:val="20"/>
                <w:szCs w:val="20"/>
              </w:rPr>
              <w:t xml:space="preserve">Assets acquired since the </w:t>
            </w:r>
            <w:r w:rsidRPr="00CE6FE0">
              <w:rPr>
                <w:rFonts w:ascii="Arial" w:hAnsi="Arial" w:cs="Arial"/>
                <w:color w:val="000000" w:themeColor="text1"/>
                <w:sz w:val="20"/>
                <w:szCs w:val="20"/>
              </w:rPr>
              <w:t>implementation of IPSAS should be fully accounted for in accordance with the POPP chapter</w:t>
            </w:r>
            <w:r w:rsidR="00CE6FE0" w:rsidRPr="00CE6FE0">
              <w:rPr>
                <w:rFonts w:ascii="Arial" w:hAnsi="Arial" w:cs="Arial"/>
                <w:color w:val="000000" w:themeColor="text1"/>
                <w:sz w:val="20"/>
                <w:szCs w:val="20"/>
              </w:rPr>
              <w:t>s</w:t>
            </w:r>
            <w:r w:rsidRPr="00CE6FE0">
              <w:rPr>
                <w:rFonts w:ascii="Arial" w:hAnsi="Arial" w:cs="Arial"/>
                <w:color w:val="000000" w:themeColor="text1"/>
                <w:sz w:val="20"/>
                <w:szCs w:val="20"/>
              </w:rPr>
              <w:t xml:space="preserve"> on </w:t>
            </w:r>
            <w:hyperlink r:id="rId107" w:history="1">
              <w:r w:rsidRPr="00CE6FE0">
                <w:rPr>
                  <w:rStyle w:val="Hyperlink"/>
                  <w:rFonts w:ascii="Arial" w:hAnsi="Arial" w:cs="Arial"/>
                  <w:sz w:val="20"/>
                  <w:szCs w:val="20"/>
                </w:rPr>
                <w:t>Asset Management</w:t>
              </w:r>
              <w:r w:rsidR="00CE6FE0" w:rsidRPr="00CE6FE0">
                <w:rPr>
                  <w:rStyle w:val="Hyperlink"/>
                  <w:rFonts w:ascii="Arial" w:hAnsi="Arial" w:cs="Arial"/>
                  <w:sz w:val="20"/>
                  <w:szCs w:val="20"/>
                </w:rPr>
                <w:t xml:space="preserve"> (tangible)</w:t>
              </w:r>
            </w:hyperlink>
            <w:r w:rsidR="00CE6FE0" w:rsidRPr="00CE6FE0">
              <w:rPr>
                <w:rFonts w:ascii="Arial" w:hAnsi="Arial" w:cs="Arial"/>
                <w:sz w:val="20"/>
                <w:szCs w:val="20"/>
              </w:rPr>
              <w:t xml:space="preserve"> and </w:t>
            </w:r>
            <w:hyperlink r:id="rId108" w:history="1">
              <w:r w:rsidR="00CE6FE0" w:rsidRPr="00CE6FE0">
                <w:rPr>
                  <w:rStyle w:val="Hyperlink"/>
                  <w:rFonts w:ascii="Arial" w:hAnsi="Arial" w:cs="Arial"/>
                  <w:sz w:val="20"/>
                  <w:szCs w:val="20"/>
                </w:rPr>
                <w:t>Asset Management (intangible)</w:t>
              </w:r>
            </w:hyperlink>
            <w:r w:rsidR="00CE6FE0" w:rsidRPr="00CE6FE0">
              <w:rPr>
                <w:rFonts w:ascii="Arial" w:hAnsi="Arial" w:cs="Arial"/>
                <w:sz w:val="20"/>
                <w:szCs w:val="20"/>
              </w:rPr>
              <w:t>.</w:t>
            </w:r>
            <w:r>
              <w:rPr>
                <w:rFonts w:ascii="Arial" w:hAnsi="Arial" w:cs="Arial"/>
                <w:color w:val="44546A"/>
                <w:sz w:val="20"/>
                <w:szCs w:val="20"/>
              </w:rPr>
              <w:t xml:space="preserve"> </w:t>
            </w:r>
          </w:p>
        </w:tc>
      </w:tr>
      <w:tr w:rsidR="008A7E9A" w14:paraId="39A1FE49" w14:textId="77777777" w:rsidTr="008A7E9A">
        <w:tc>
          <w:tcPr>
            <w:tcW w:w="545" w:type="dxa"/>
          </w:tcPr>
          <w:p w14:paraId="50BB6C9D" w14:textId="77777777" w:rsidR="008A7E9A" w:rsidRDefault="008A7E9A" w:rsidP="009E1ADE">
            <w:r>
              <w:t>2</w:t>
            </w:r>
          </w:p>
        </w:tc>
        <w:tc>
          <w:tcPr>
            <w:tcW w:w="2427" w:type="dxa"/>
          </w:tcPr>
          <w:p w14:paraId="4142B227" w14:textId="776163E9" w:rsidR="008A7E9A" w:rsidRDefault="008A7E9A" w:rsidP="009E1ADE">
            <w:pPr>
              <w:rPr>
                <w:rFonts w:ascii="Arial" w:hAnsi="Arial" w:cs="Arial"/>
                <w:sz w:val="20"/>
                <w:szCs w:val="20"/>
              </w:rPr>
            </w:pPr>
            <w:r>
              <w:rPr>
                <w:rFonts w:ascii="Arial" w:eastAsia="Arial" w:hAnsi="Arial" w:cs="Arial"/>
                <w:spacing w:val="-1"/>
                <w:sz w:val="20"/>
                <w:szCs w:val="20"/>
              </w:rPr>
              <w:t>No</w:t>
            </w:r>
            <w:r>
              <w:rPr>
                <w:rFonts w:ascii="Arial" w:eastAsia="Arial" w:hAnsi="Arial" w:cs="Arial"/>
                <w:sz w:val="20"/>
                <w:szCs w:val="20"/>
              </w:rPr>
              <w:t xml:space="preserve"> </w:t>
            </w:r>
            <w:r>
              <w:rPr>
                <w:rFonts w:ascii="Arial" w:eastAsia="Arial" w:hAnsi="Arial" w:cs="Arial"/>
                <w:spacing w:val="-1"/>
                <w:sz w:val="20"/>
                <w:szCs w:val="20"/>
              </w:rPr>
              <w:t>outstanding</w:t>
            </w:r>
            <w:r>
              <w:rPr>
                <w:rFonts w:ascii="Arial" w:eastAsia="Arial" w:hAnsi="Arial" w:cs="Arial"/>
                <w:sz w:val="20"/>
                <w:szCs w:val="20"/>
              </w:rPr>
              <w:t xml:space="preserve"> </w:t>
            </w:r>
            <w:r>
              <w:rPr>
                <w:rFonts w:ascii="Arial" w:eastAsia="Arial" w:hAnsi="Arial" w:cs="Arial"/>
                <w:spacing w:val="-1"/>
                <w:sz w:val="20"/>
                <w:szCs w:val="20"/>
              </w:rPr>
              <w:t>NEX</w:t>
            </w:r>
            <w:r>
              <w:rPr>
                <w:rFonts w:ascii="Arial" w:eastAsia="Arial" w:hAnsi="Arial" w:cs="Arial"/>
                <w:sz w:val="20"/>
                <w:szCs w:val="20"/>
              </w:rPr>
              <w:t xml:space="preserve"> </w:t>
            </w:r>
            <w:r>
              <w:rPr>
                <w:rFonts w:ascii="Arial" w:eastAsia="Arial" w:hAnsi="Arial" w:cs="Arial"/>
                <w:spacing w:val="-1"/>
                <w:sz w:val="20"/>
                <w:szCs w:val="20"/>
              </w:rPr>
              <w:t>advances</w:t>
            </w:r>
            <w:r>
              <w:rPr>
                <w:rFonts w:ascii="Arial" w:eastAsia="Arial" w:hAnsi="Arial" w:cs="Arial"/>
                <w:sz w:val="20"/>
                <w:szCs w:val="20"/>
              </w:rPr>
              <w:t xml:space="preserve"> </w:t>
            </w:r>
            <w:r w:rsidR="000B34A0">
              <w:rPr>
                <w:rFonts w:ascii="Arial" w:eastAsia="Arial" w:hAnsi="Arial" w:cs="Arial"/>
                <w:sz w:val="20"/>
                <w:szCs w:val="20"/>
              </w:rPr>
              <w:t>–</w:t>
            </w:r>
            <w:r w:rsidR="000B34A0">
              <w:rPr>
                <w:rFonts w:ascii="Arial" w:eastAsia="Arial" w:hAnsi="Arial" w:cs="Arial"/>
                <w:spacing w:val="-2"/>
                <w:sz w:val="20"/>
                <w:szCs w:val="20"/>
              </w:rPr>
              <w:t xml:space="preserve"> </w:t>
            </w:r>
            <w:r w:rsidR="000B34A0">
              <w:rPr>
                <w:rFonts w:ascii="Arial" w:eastAsia="Arial" w:hAnsi="Arial" w:cs="Arial"/>
                <w:sz w:val="20"/>
                <w:szCs w:val="20"/>
              </w:rPr>
              <w:t>in</w:t>
            </w:r>
            <w:r w:rsidR="000B34A0">
              <w:rPr>
                <w:rFonts w:ascii="Arial" w:eastAsia="Arial" w:hAnsi="Arial" w:cs="Arial"/>
                <w:spacing w:val="-1"/>
                <w:sz w:val="20"/>
                <w:szCs w:val="20"/>
              </w:rPr>
              <w:t xml:space="preserve"> either local</w:t>
            </w:r>
            <w:r w:rsidR="000B34A0">
              <w:rPr>
                <w:rFonts w:ascii="Arial" w:eastAsia="Arial" w:hAnsi="Arial" w:cs="Arial"/>
                <w:spacing w:val="1"/>
                <w:sz w:val="20"/>
                <w:szCs w:val="20"/>
              </w:rPr>
              <w:t xml:space="preserve"> </w:t>
            </w:r>
            <w:r w:rsidR="000B34A0">
              <w:rPr>
                <w:rFonts w:ascii="Arial" w:eastAsia="Arial" w:hAnsi="Arial" w:cs="Arial"/>
                <w:spacing w:val="-1"/>
                <w:sz w:val="20"/>
                <w:szCs w:val="20"/>
              </w:rPr>
              <w:t>currency</w:t>
            </w:r>
            <w:r w:rsidR="000B34A0">
              <w:rPr>
                <w:rFonts w:ascii="Arial" w:eastAsia="Arial" w:hAnsi="Arial" w:cs="Arial"/>
                <w:spacing w:val="-2"/>
                <w:sz w:val="20"/>
                <w:szCs w:val="20"/>
              </w:rPr>
              <w:t xml:space="preserve"> </w:t>
            </w:r>
            <w:r w:rsidR="000B34A0">
              <w:rPr>
                <w:rFonts w:ascii="Arial" w:eastAsia="Arial" w:hAnsi="Arial" w:cs="Arial"/>
                <w:sz w:val="20"/>
                <w:szCs w:val="20"/>
              </w:rPr>
              <w:t xml:space="preserve">or </w:t>
            </w:r>
            <w:r w:rsidR="000B34A0">
              <w:rPr>
                <w:rFonts w:ascii="Arial" w:eastAsia="Arial" w:hAnsi="Arial" w:cs="Arial"/>
                <w:spacing w:val="-1"/>
                <w:sz w:val="20"/>
                <w:szCs w:val="20"/>
              </w:rPr>
              <w:t>USD at full COA</w:t>
            </w:r>
          </w:p>
        </w:tc>
        <w:tc>
          <w:tcPr>
            <w:tcW w:w="2734" w:type="dxa"/>
          </w:tcPr>
          <w:p w14:paraId="36B96A52" w14:textId="77777777" w:rsidR="008A7E9A" w:rsidRDefault="008A7E9A" w:rsidP="009E1ADE">
            <w:r>
              <w:rPr>
                <w:rFonts w:ascii="Arial" w:hAnsi="Arial" w:cs="Arial"/>
                <w:sz w:val="20"/>
                <w:szCs w:val="20"/>
              </w:rPr>
              <w:t>Outstanding NEX advances that cannot be reconciled or otherwise cleared with the Government</w:t>
            </w:r>
          </w:p>
        </w:tc>
        <w:tc>
          <w:tcPr>
            <w:tcW w:w="3644" w:type="dxa"/>
          </w:tcPr>
          <w:p w14:paraId="57C6EF4E" w14:textId="30B4211E" w:rsidR="000B34A0" w:rsidRDefault="000B34A0" w:rsidP="000B34A0">
            <w:pPr>
              <w:pStyle w:val="NormalWeb"/>
              <w:rPr>
                <w:rFonts w:ascii="Arial" w:hAnsi="Arial" w:cs="Arial"/>
                <w:sz w:val="20"/>
                <w:szCs w:val="20"/>
              </w:rPr>
            </w:pPr>
            <w:r>
              <w:rPr>
                <w:rFonts w:ascii="Arial" w:hAnsi="Arial" w:cs="Arial"/>
                <w:sz w:val="20"/>
                <w:szCs w:val="20"/>
              </w:rPr>
              <w:t>The office must pursue all avenues to ensure the financial liability is not assumed by UNDP. However, if the case cannot be favorably resolved and the contentious amount is deemed irrecoverable, the office should fully document all action taken, including description, causes and responsibility of staff or others, obtain senior manager (RR/DRR) approval, and then contact their OFM Finance Business Advisor (FBA) for further guidance including whether a formal write-off request under the provisions of Financial Regulation 26.08 should be submitted to OFM/FPMR (Chief of Accounts).</w:t>
            </w:r>
          </w:p>
          <w:p w14:paraId="04EE00D1" w14:textId="6B040A24" w:rsidR="008A7E9A" w:rsidRPr="00976340" w:rsidRDefault="008A7E9A" w:rsidP="009E1ADE">
            <w:pPr>
              <w:rPr>
                <w:rFonts w:ascii="Arial" w:hAnsi="Arial" w:cs="Arial"/>
                <w:sz w:val="20"/>
                <w:szCs w:val="20"/>
              </w:rPr>
            </w:pPr>
            <w:r>
              <w:rPr>
                <w:rFonts w:ascii="Arial" w:hAnsi="Arial" w:cs="Arial"/>
                <w:sz w:val="20"/>
                <w:szCs w:val="20"/>
              </w:rPr>
              <w:t xml:space="preserve">See detailed steps in POPP </w:t>
            </w:r>
            <w:hyperlink r:id="rId109" w:history="1">
              <w:r>
                <w:rPr>
                  <w:rStyle w:val="Hyperlink"/>
                  <w:rFonts w:ascii="Arial" w:hAnsi="Arial" w:cs="Arial"/>
                  <w:sz w:val="20"/>
                  <w:szCs w:val="20"/>
                </w:rPr>
                <w:t>Direct Cash Transfers and Reimbursements</w:t>
              </w:r>
            </w:hyperlink>
            <w:r>
              <w:rPr>
                <w:rFonts w:ascii="Arial" w:hAnsi="Arial" w:cs="Arial"/>
                <w:sz w:val="20"/>
                <w:szCs w:val="20"/>
              </w:rPr>
              <w:t xml:space="preserve">. </w:t>
            </w:r>
          </w:p>
        </w:tc>
      </w:tr>
      <w:tr w:rsidR="008A7E9A" w14:paraId="3C4E9381" w14:textId="77777777" w:rsidTr="008A7E9A">
        <w:tc>
          <w:tcPr>
            <w:tcW w:w="545" w:type="dxa"/>
          </w:tcPr>
          <w:p w14:paraId="16A4FE61" w14:textId="77777777" w:rsidR="008A7E9A" w:rsidRDefault="008A7E9A" w:rsidP="009E1ADE">
            <w:r>
              <w:t>3</w:t>
            </w:r>
          </w:p>
        </w:tc>
        <w:tc>
          <w:tcPr>
            <w:tcW w:w="2427" w:type="dxa"/>
          </w:tcPr>
          <w:p w14:paraId="52BF8A22" w14:textId="77777777" w:rsidR="008A7E9A" w:rsidRDefault="008A7E9A" w:rsidP="009E1ADE">
            <w:pPr>
              <w:rPr>
                <w:rFonts w:ascii="Arial" w:hAnsi="Arial" w:cs="Arial"/>
                <w:sz w:val="20"/>
                <w:szCs w:val="20"/>
              </w:rPr>
            </w:pPr>
            <w:r>
              <w:rPr>
                <w:rFonts w:ascii="Arial"/>
                <w:spacing w:val="-1"/>
                <w:sz w:val="20"/>
              </w:rPr>
              <w:t>No</w:t>
            </w:r>
            <w:r>
              <w:rPr>
                <w:rFonts w:ascii="Arial"/>
                <w:sz w:val="20"/>
              </w:rPr>
              <w:t xml:space="preserve"> </w:t>
            </w:r>
            <w:r>
              <w:rPr>
                <w:rFonts w:ascii="Arial"/>
                <w:spacing w:val="-1"/>
                <w:sz w:val="20"/>
              </w:rPr>
              <w:t>outstanding</w:t>
            </w:r>
            <w:r>
              <w:rPr>
                <w:rFonts w:ascii="Arial"/>
                <w:spacing w:val="1"/>
                <w:sz w:val="20"/>
              </w:rPr>
              <w:t xml:space="preserve"> </w:t>
            </w:r>
            <w:r>
              <w:rPr>
                <w:rFonts w:ascii="Arial"/>
                <w:spacing w:val="-1"/>
                <w:sz w:val="20"/>
              </w:rPr>
              <w:t>PDRs</w:t>
            </w:r>
          </w:p>
        </w:tc>
        <w:tc>
          <w:tcPr>
            <w:tcW w:w="2734" w:type="dxa"/>
          </w:tcPr>
          <w:p w14:paraId="19230B5A" w14:textId="77777777" w:rsidR="008A7E9A" w:rsidRDefault="008A7E9A" w:rsidP="009E1ADE">
            <w:pPr>
              <w:rPr>
                <w:rFonts w:ascii="Arial" w:hAnsi="Arial" w:cs="Arial"/>
                <w:sz w:val="20"/>
                <w:szCs w:val="20"/>
              </w:rPr>
            </w:pPr>
            <w:r>
              <w:rPr>
                <w:rFonts w:ascii="Arial" w:hAnsi="Arial" w:cs="Arial"/>
                <w:sz w:val="20"/>
                <w:szCs w:val="20"/>
              </w:rPr>
              <w:t>Final PDR is missing and cannot be obtained from the Implementing Partner.</w:t>
            </w:r>
          </w:p>
          <w:p w14:paraId="1F1B354D" w14:textId="77777777" w:rsidR="008A7E9A" w:rsidRDefault="008A7E9A" w:rsidP="009E1ADE">
            <w:pPr>
              <w:rPr>
                <w:rFonts w:ascii="Arial" w:hAnsi="Arial" w:cs="Arial"/>
                <w:sz w:val="20"/>
                <w:szCs w:val="20"/>
              </w:rPr>
            </w:pPr>
          </w:p>
          <w:p w14:paraId="71D88F14" w14:textId="77777777" w:rsidR="008A7E9A" w:rsidRDefault="008A7E9A" w:rsidP="009E1ADE">
            <w:r w:rsidRPr="00906048">
              <w:rPr>
                <w:rFonts w:ascii="Arial" w:eastAsia="Times New Roman" w:hAnsi="Arial" w:cs="Arial"/>
                <w:sz w:val="20"/>
                <w:szCs w:val="20"/>
              </w:rPr>
              <w:t xml:space="preserve">If outstanding PDRs are confirmed to exist by the IP, then the request should be submitted to GSSU along </w:t>
            </w:r>
            <w:r w:rsidRPr="00906048">
              <w:rPr>
                <w:rFonts w:ascii="Arial" w:eastAsia="Times New Roman" w:hAnsi="Arial" w:cs="Arial"/>
                <w:sz w:val="20"/>
                <w:szCs w:val="20"/>
              </w:rPr>
              <w:lastRenderedPageBreak/>
              <w:t>with supporting details to ensure all valid PDRs are accurately recorded by liquidating the advance under 16015 before project closure.</w:t>
            </w:r>
          </w:p>
        </w:tc>
        <w:tc>
          <w:tcPr>
            <w:tcW w:w="3644" w:type="dxa"/>
          </w:tcPr>
          <w:p w14:paraId="1BF5F6BE" w14:textId="77777777" w:rsidR="008A7E9A" w:rsidRDefault="008A7E9A" w:rsidP="009A77F5">
            <w:pPr>
              <w:pStyle w:val="NormalWeb"/>
              <w:numPr>
                <w:ilvl w:val="0"/>
                <w:numId w:val="22"/>
              </w:numPr>
              <w:spacing w:before="0" w:beforeAutospacing="0" w:after="0" w:afterAutospacing="0"/>
              <w:ind w:left="432"/>
              <w:rPr>
                <w:rFonts w:ascii="Arial" w:hAnsi="Arial" w:cs="Arial"/>
                <w:sz w:val="20"/>
                <w:szCs w:val="20"/>
              </w:rPr>
            </w:pPr>
            <w:r>
              <w:rPr>
                <w:rFonts w:ascii="Arial" w:hAnsi="Arial" w:cs="Arial"/>
                <w:sz w:val="20"/>
                <w:szCs w:val="20"/>
              </w:rPr>
              <w:lastRenderedPageBreak/>
              <w:t>The Office will retain documentary evidence that three requests were sent to the Implementing Partner.</w:t>
            </w:r>
          </w:p>
          <w:p w14:paraId="2B6D32BF" w14:textId="31170E5A" w:rsidR="0066715E" w:rsidRDefault="008A7E9A" w:rsidP="0066715E">
            <w:pPr>
              <w:pStyle w:val="NormalWeb"/>
              <w:numPr>
                <w:ilvl w:val="0"/>
                <w:numId w:val="40"/>
              </w:numPr>
              <w:spacing w:before="0" w:beforeAutospacing="0" w:after="0" w:afterAutospacing="0"/>
              <w:ind w:left="432"/>
              <w:rPr>
                <w:rFonts w:ascii="Arial" w:hAnsi="Arial" w:cs="Arial"/>
                <w:sz w:val="20"/>
                <w:szCs w:val="20"/>
              </w:rPr>
            </w:pPr>
            <w:r w:rsidRPr="00822BD3">
              <w:rPr>
                <w:rFonts w:ascii="Arial" w:hAnsi="Arial" w:cs="Arial"/>
                <w:sz w:val="20"/>
                <w:szCs w:val="20"/>
              </w:rPr>
              <w:t xml:space="preserve">If no satisfactory response is received within three months of the last communication, then the previous PDR will be taken as final and a communication sent to the Agency HQ indicating the </w:t>
            </w:r>
            <w:r w:rsidRPr="00822BD3">
              <w:rPr>
                <w:rFonts w:ascii="Arial" w:hAnsi="Arial" w:cs="Arial"/>
                <w:sz w:val="20"/>
                <w:szCs w:val="20"/>
              </w:rPr>
              <w:lastRenderedPageBreak/>
              <w:t>project is closed and UNDP will not accept any further charges.</w:t>
            </w:r>
            <w:r w:rsidR="0066715E">
              <w:rPr>
                <w:rFonts w:ascii="Arial" w:hAnsi="Arial" w:cs="Arial"/>
                <w:sz w:val="20"/>
                <w:szCs w:val="20"/>
              </w:rPr>
              <w:t xml:space="preserve"> The CO should contact the agency unit in CFR (</w:t>
            </w:r>
            <w:hyperlink r:id="rId110" w:history="1">
              <w:r w:rsidR="0066715E">
                <w:rPr>
                  <w:rStyle w:val="Hyperlink"/>
                  <w:rFonts w:cs="Arial"/>
                  <w:sz w:val="20"/>
                  <w:szCs w:val="20"/>
                </w:rPr>
                <w:t>gssu.agencies@undp.org</w:t>
              </w:r>
            </w:hyperlink>
            <w:r w:rsidR="0066715E">
              <w:rPr>
                <w:rFonts w:ascii="Arial" w:hAnsi="Arial" w:cs="Arial"/>
                <w:sz w:val="20"/>
                <w:szCs w:val="20"/>
              </w:rPr>
              <w:t>) for any support with the agency concerned.</w:t>
            </w:r>
          </w:p>
          <w:p w14:paraId="46078FE5" w14:textId="17409E49" w:rsidR="008A7E9A" w:rsidRPr="000345A4" w:rsidRDefault="008A7E9A" w:rsidP="0066715E">
            <w:pPr>
              <w:pStyle w:val="NormalWeb"/>
              <w:spacing w:before="0" w:beforeAutospacing="0" w:after="0" w:afterAutospacing="0"/>
              <w:rPr>
                <w:rFonts w:ascii="Arial" w:hAnsi="Arial" w:cs="Arial"/>
                <w:sz w:val="20"/>
                <w:szCs w:val="20"/>
              </w:rPr>
            </w:pPr>
          </w:p>
          <w:p w14:paraId="2B2818DD" w14:textId="77777777" w:rsidR="008A7E9A" w:rsidRPr="00773A82" w:rsidRDefault="008A7E9A" w:rsidP="009E1ADE">
            <w:pPr>
              <w:ind w:left="432" w:hanging="360"/>
              <w:rPr>
                <w:rFonts w:ascii="Arial" w:hAnsi="Arial" w:cs="Arial"/>
                <w:sz w:val="20"/>
                <w:szCs w:val="20"/>
              </w:rPr>
            </w:pPr>
          </w:p>
        </w:tc>
      </w:tr>
      <w:tr w:rsidR="008A7E9A" w14:paraId="00A3A1C8" w14:textId="77777777" w:rsidTr="008A7E9A">
        <w:tc>
          <w:tcPr>
            <w:tcW w:w="545" w:type="dxa"/>
          </w:tcPr>
          <w:p w14:paraId="2D7D7EB3" w14:textId="77777777" w:rsidR="008A7E9A" w:rsidRDefault="008A7E9A" w:rsidP="009E1ADE">
            <w:r>
              <w:lastRenderedPageBreak/>
              <w:t>4</w:t>
            </w:r>
          </w:p>
        </w:tc>
        <w:tc>
          <w:tcPr>
            <w:tcW w:w="2427" w:type="dxa"/>
          </w:tcPr>
          <w:p w14:paraId="427273C4" w14:textId="4C8B2EA7" w:rsidR="008A7E9A" w:rsidRDefault="008A7E9A" w:rsidP="009E1ADE">
            <w:pPr>
              <w:rPr>
                <w:rFonts w:ascii="Arial" w:hAnsi="Arial" w:cs="Arial"/>
                <w:sz w:val="20"/>
                <w:szCs w:val="20"/>
              </w:rPr>
            </w:pPr>
            <w:r w:rsidRPr="00387AA6">
              <w:rPr>
                <w:rFonts w:ascii="Arial"/>
                <w:spacing w:val="-1"/>
                <w:sz w:val="20"/>
              </w:rPr>
              <w:t>The</w:t>
            </w:r>
            <w:r w:rsidRPr="00387AA6">
              <w:rPr>
                <w:rFonts w:ascii="Arial"/>
                <w:sz w:val="20"/>
              </w:rPr>
              <w:t xml:space="preserve"> </w:t>
            </w:r>
            <w:r w:rsidRPr="00387AA6">
              <w:rPr>
                <w:rFonts w:ascii="Arial"/>
                <w:spacing w:val="-1"/>
                <w:sz w:val="20"/>
              </w:rPr>
              <w:t>final</w:t>
            </w:r>
            <w:r w:rsidRPr="00387AA6">
              <w:rPr>
                <w:rFonts w:ascii="Arial"/>
                <w:spacing w:val="1"/>
                <w:sz w:val="20"/>
              </w:rPr>
              <w:t xml:space="preserve"> </w:t>
            </w:r>
            <w:r w:rsidRPr="00387AA6">
              <w:rPr>
                <w:rFonts w:ascii="Arial"/>
                <w:spacing w:val="-1"/>
                <w:sz w:val="20"/>
              </w:rPr>
              <w:t xml:space="preserve">CDR </w:t>
            </w:r>
            <w:r w:rsidRPr="00387AA6">
              <w:rPr>
                <w:rFonts w:ascii="Arial"/>
                <w:sz w:val="20"/>
              </w:rPr>
              <w:t>is</w:t>
            </w:r>
            <w:r w:rsidRPr="00387AA6">
              <w:rPr>
                <w:rFonts w:ascii="Arial"/>
                <w:spacing w:val="-1"/>
                <w:sz w:val="20"/>
              </w:rPr>
              <w:t xml:space="preserve"> signed</w:t>
            </w:r>
            <w:r w:rsidRPr="00387AA6">
              <w:rPr>
                <w:rFonts w:ascii="Arial"/>
                <w:sz w:val="20"/>
              </w:rPr>
              <w:t xml:space="preserve"> </w:t>
            </w:r>
            <w:r w:rsidRPr="00387AA6">
              <w:rPr>
                <w:rFonts w:ascii="Arial"/>
                <w:spacing w:val="-1"/>
                <w:sz w:val="20"/>
              </w:rPr>
              <w:t>by</w:t>
            </w:r>
            <w:r w:rsidRPr="00387AA6">
              <w:rPr>
                <w:rFonts w:ascii="Arial"/>
                <w:spacing w:val="-2"/>
                <w:sz w:val="20"/>
              </w:rPr>
              <w:t xml:space="preserve"> </w:t>
            </w:r>
            <w:r w:rsidRPr="00387AA6">
              <w:rPr>
                <w:rFonts w:ascii="Arial"/>
                <w:spacing w:val="-1"/>
                <w:sz w:val="20"/>
              </w:rPr>
              <w:t xml:space="preserve">UNDP </w:t>
            </w:r>
            <w:r w:rsidRPr="00387AA6">
              <w:rPr>
                <w:rFonts w:ascii="Arial"/>
                <w:sz w:val="20"/>
              </w:rPr>
              <w:t>and the</w:t>
            </w:r>
            <w:r w:rsidRPr="00387AA6">
              <w:rPr>
                <w:rFonts w:ascii="Arial"/>
                <w:spacing w:val="-1"/>
                <w:sz w:val="20"/>
              </w:rPr>
              <w:t xml:space="preserve"> Implementing</w:t>
            </w:r>
            <w:r w:rsidRPr="00387AA6">
              <w:rPr>
                <w:rFonts w:ascii="Arial"/>
                <w:sz w:val="20"/>
              </w:rPr>
              <w:t xml:space="preserve"> </w:t>
            </w:r>
            <w:r w:rsidRPr="00387AA6">
              <w:rPr>
                <w:rFonts w:ascii="Arial"/>
                <w:spacing w:val="-1"/>
                <w:sz w:val="20"/>
              </w:rPr>
              <w:t>Partner.</w:t>
            </w:r>
            <w:r w:rsidRPr="00387AA6">
              <w:rPr>
                <w:rFonts w:ascii="Arial"/>
                <w:sz w:val="20"/>
              </w:rPr>
              <w:t xml:space="preserve"> </w:t>
            </w:r>
            <w:r w:rsidRPr="00387AA6">
              <w:rPr>
                <w:rFonts w:ascii="Arial"/>
                <w:spacing w:val="-1"/>
                <w:sz w:val="20"/>
              </w:rPr>
              <w:t>Final</w:t>
            </w:r>
            <w:r w:rsidRPr="00387AA6">
              <w:rPr>
                <w:rFonts w:ascii="Arial"/>
                <w:spacing w:val="1"/>
                <w:sz w:val="20"/>
              </w:rPr>
              <w:t xml:space="preserve"> </w:t>
            </w:r>
            <w:r w:rsidRPr="00387AA6">
              <w:rPr>
                <w:rFonts w:ascii="Arial"/>
                <w:spacing w:val="-1"/>
                <w:sz w:val="20"/>
              </w:rPr>
              <w:t>report submitted</w:t>
            </w:r>
            <w:r w:rsidRPr="00387AA6">
              <w:rPr>
                <w:rFonts w:ascii="Arial"/>
                <w:spacing w:val="75"/>
                <w:sz w:val="20"/>
              </w:rPr>
              <w:t xml:space="preserve"> </w:t>
            </w:r>
            <w:r w:rsidRPr="00387AA6">
              <w:rPr>
                <w:rFonts w:ascii="Arial"/>
                <w:sz w:val="20"/>
              </w:rPr>
              <w:t>by</w:t>
            </w:r>
            <w:r w:rsidRPr="00387AA6">
              <w:rPr>
                <w:rFonts w:ascii="Arial"/>
                <w:spacing w:val="-2"/>
                <w:sz w:val="20"/>
              </w:rPr>
              <w:t xml:space="preserve"> </w:t>
            </w:r>
            <w:r w:rsidRPr="00387AA6">
              <w:rPr>
                <w:rFonts w:ascii="Arial"/>
                <w:spacing w:val="-1"/>
                <w:sz w:val="20"/>
              </w:rPr>
              <w:t>responsible</w:t>
            </w:r>
            <w:r w:rsidRPr="00387AA6">
              <w:rPr>
                <w:rFonts w:ascii="Arial"/>
                <w:sz w:val="20"/>
              </w:rPr>
              <w:t xml:space="preserve"> </w:t>
            </w:r>
            <w:r w:rsidRPr="00387AA6">
              <w:rPr>
                <w:rFonts w:ascii="Arial"/>
                <w:spacing w:val="-1"/>
                <w:sz w:val="20"/>
              </w:rPr>
              <w:t>parties</w:t>
            </w:r>
            <w:r w:rsidR="0066715E">
              <w:rPr>
                <w:rFonts w:ascii="Arial"/>
                <w:spacing w:val="-1"/>
                <w:sz w:val="20"/>
              </w:rPr>
              <w:t xml:space="preserve"> through the </w:t>
            </w:r>
            <w:hyperlink r:id="rId111" w:history="1">
              <w:r w:rsidR="0066715E" w:rsidRPr="0066715E">
                <w:rPr>
                  <w:rStyle w:val="Hyperlink"/>
                  <w:rFonts w:ascii="Arial"/>
                  <w:spacing w:val="-1"/>
                  <w:sz w:val="20"/>
                </w:rPr>
                <w:t>CDR Bridge</w:t>
              </w:r>
            </w:hyperlink>
            <w:r w:rsidR="0066715E" w:rsidRPr="00387AA6">
              <w:rPr>
                <w:rFonts w:ascii="Arial"/>
                <w:spacing w:val="-1"/>
                <w:sz w:val="20"/>
              </w:rPr>
              <w:t>.</w:t>
            </w:r>
            <w:r w:rsidR="0066715E">
              <w:rPr>
                <w:rFonts w:ascii="Arial"/>
                <w:spacing w:val="-1"/>
                <w:sz w:val="20"/>
              </w:rPr>
              <w:t xml:space="preserve"> Refer to </w:t>
            </w:r>
            <w:hyperlink r:id="rId112" w:history="1">
              <w:r w:rsidR="0066715E" w:rsidRPr="0066715E">
                <w:rPr>
                  <w:rStyle w:val="Hyperlink"/>
                  <w:rFonts w:ascii="Arial"/>
                  <w:spacing w:val="-1"/>
                  <w:sz w:val="20"/>
                </w:rPr>
                <w:t>POPP CDR</w:t>
              </w:r>
            </w:hyperlink>
          </w:p>
        </w:tc>
        <w:tc>
          <w:tcPr>
            <w:tcW w:w="2734" w:type="dxa"/>
          </w:tcPr>
          <w:p w14:paraId="3BCFFEC5" w14:textId="58D30BDA" w:rsidR="008A7E9A" w:rsidRDefault="008A7E9A" w:rsidP="009E1ADE">
            <w:r>
              <w:rPr>
                <w:rFonts w:ascii="Arial" w:hAnsi="Arial" w:cs="Arial"/>
                <w:sz w:val="20"/>
                <w:szCs w:val="20"/>
              </w:rPr>
              <w:t>Implementing Partner does not sign final CDR</w:t>
            </w:r>
            <w:r w:rsidR="0066715E">
              <w:rPr>
                <w:rFonts w:ascii="Arial" w:hAnsi="Arial" w:cs="Arial"/>
                <w:sz w:val="20"/>
                <w:szCs w:val="20"/>
              </w:rPr>
              <w:t xml:space="preserve"> in the </w:t>
            </w:r>
            <w:hyperlink r:id="rId113" w:history="1">
              <w:r w:rsidR="0066715E" w:rsidRPr="0066715E">
                <w:rPr>
                  <w:rStyle w:val="Hyperlink"/>
                  <w:rFonts w:ascii="Arial" w:hAnsi="Arial" w:cs="Arial"/>
                  <w:sz w:val="20"/>
                  <w:szCs w:val="20"/>
                </w:rPr>
                <w:t>CDR Bridge</w:t>
              </w:r>
            </w:hyperlink>
          </w:p>
        </w:tc>
        <w:tc>
          <w:tcPr>
            <w:tcW w:w="3644" w:type="dxa"/>
          </w:tcPr>
          <w:p w14:paraId="356D99DE" w14:textId="77777777" w:rsidR="008A7E9A" w:rsidRDefault="008A7E9A" w:rsidP="009A77F5">
            <w:pPr>
              <w:pStyle w:val="NormalWeb"/>
              <w:numPr>
                <w:ilvl w:val="0"/>
                <w:numId w:val="22"/>
              </w:numPr>
              <w:spacing w:before="0" w:beforeAutospacing="0" w:after="0" w:afterAutospacing="0"/>
              <w:ind w:left="432"/>
              <w:rPr>
                <w:rFonts w:ascii="Arial" w:hAnsi="Arial" w:cs="Arial"/>
                <w:sz w:val="20"/>
                <w:szCs w:val="20"/>
              </w:rPr>
            </w:pPr>
            <w:r w:rsidRPr="00A874C2">
              <w:rPr>
                <w:rFonts w:ascii="Arial" w:hAnsi="Arial" w:cs="Arial"/>
                <w:sz w:val="20"/>
                <w:szCs w:val="20"/>
              </w:rPr>
              <w:t xml:space="preserve">The Office will </w:t>
            </w:r>
            <w:r>
              <w:rPr>
                <w:rFonts w:ascii="Arial" w:hAnsi="Arial" w:cs="Arial"/>
                <w:sz w:val="20"/>
                <w:szCs w:val="20"/>
              </w:rPr>
              <w:t>retain</w:t>
            </w:r>
            <w:r w:rsidRPr="00A874C2">
              <w:rPr>
                <w:rFonts w:ascii="Arial" w:hAnsi="Arial" w:cs="Arial"/>
                <w:sz w:val="20"/>
                <w:szCs w:val="20"/>
              </w:rPr>
              <w:t xml:space="preserve"> documentary evidence that CDRs were sent for signature and followed up with two reminders.</w:t>
            </w:r>
          </w:p>
          <w:p w14:paraId="435A7768" w14:textId="47D86E06" w:rsidR="008A7E9A" w:rsidRPr="00A874C2" w:rsidRDefault="008A7E9A" w:rsidP="009A77F5">
            <w:pPr>
              <w:pStyle w:val="NormalWeb"/>
              <w:numPr>
                <w:ilvl w:val="0"/>
                <w:numId w:val="22"/>
              </w:numPr>
              <w:spacing w:before="0" w:beforeAutospacing="0" w:after="0" w:afterAutospacing="0"/>
              <w:ind w:left="432"/>
              <w:rPr>
                <w:rFonts w:ascii="Arial" w:hAnsi="Arial" w:cs="Arial"/>
                <w:sz w:val="20"/>
                <w:szCs w:val="20"/>
              </w:rPr>
            </w:pPr>
            <w:r w:rsidRPr="00A874C2">
              <w:rPr>
                <w:rFonts w:ascii="Arial" w:hAnsi="Arial" w:cs="Arial"/>
                <w:sz w:val="20"/>
                <w:szCs w:val="20"/>
              </w:rPr>
              <w:t>If no satisfactory response is received within three months of the last communication, then the CDR is deemed final</w:t>
            </w:r>
            <w:r w:rsidR="0066715E">
              <w:rPr>
                <w:rFonts w:ascii="Arial" w:hAnsi="Arial" w:cs="Arial"/>
                <w:sz w:val="20"/>
                <w:szCs w:val="20"/>
              </w:rPr>
              <w:t xml:space="preserve"> supported by note to the file on the due diligence exercised by the CO. </w:t>
            </w:r>
          </w:p>
        </w:tc>
      </w:tr>
      <w:tr w:rsidR="008A7E9A" w14:paraId="18AB6AA0" w14:textId="77777777" w:rsidTr="008A7E9A">
        <w:tc>
          <w:tcPr>
            <w:tcW w:w="545" w:type="dxa"/>
          </w:tcPr>
          <w:p w14:paraId="208236B2" w14:textId="77777777" w:rsidR="008A7E9A" w:rsidRDefault="008A7E9A" w:rsidP="009E1ADE">
            <w:r>
              <w:t>5</w:t>
            </w:r>
          </w:p>
        </w:tc>
        <w:tc>
          <w:tcPr>
            <w:tcW w:w="2427" w:type="dxa"/>
          </w:tcPr>
          <w:p w14:paraId="3E79179E" w14:textId="77777777" w:rsidR="008A7E9A" w:rsidRDefault="008A7E9A" w:rsidP="009E1ADE">
            <w:pPr>
              <w:rPr>
                <w:rFonts w:ascii="Arial" w:hAnsi="Arial" w:cs="Arial"/>
                <w:sz w:val="20"/>
                <w:szCs w:val="20"/>
              </w:rPr>
            </w:pPr>
            <w:r>
              <w:rPr>
                <w:rFonts w:ascii="Arial"/>
                <w:spacing w:val="-1"/>
                <w:sz w:val="20"/>
              </w:rPr>
              <w:t>Consultations</w:t>
            </w:r>
            <w:r>
              <w:rPr>
                <w:rFonts w:ascii="Arial"/>
                <w:spacing w:val="1"/>
                <w:sz w:val="20"/>
              </w:rPr>
              <w:t xml:space="preserve"> </w:t>
            </w:r>
            <w:r>
              <w:rPr>
                <w:rFonts w:ascii="Arial"/>
                <w:spacing w:val="-1"/>
                <w:sz w:val="20"/>
              </w:rPr>
              <w:t xml:space="preserve">with donors </w:t>
            </w:r>
            <w:r>
              <w:rPr>
                <w:rFonts w:ascii="Arial"/>
                <w:sz w:val="20"/>
              </w:rPr>
              <w:t>on the</w:t>
            </w:r>
            <w:r>
              <w:rPr>
                <w:rFonts w:ascii="Arial"/>
                <w:spacing w:val="-1"/>
                <w:sz w:val="20"/>
              </w:rPr>
              <w:t xml:space="preserve"> disposition of</w:t>
            </w:r>
            <w:r>
              <w:rPr>
                <w:rFonts w:ascii="Arial"/>
                <w:sz w:val="20"/>
              </w:rPr>
              <w:t xml:space="preserve"> </w:t>
            </w:r>
            <w:r>
              <w:rPr>
                <w:rFonts w:ascii="Arial"/>
                <w:spacing w:val="-1"/>
                <w:sz w:val="20"/>
              </w:rPr>
              <w:t>unexpended cost</w:t>
            </w:r>
            <w:r>
              <w:rPr>
                <w:rFonts w:ascii="Arial"/>
                <w:sz w:val="20"/>
              </w:rPr>
              <w:t xml:space="preserve"> </w:t>
            </w:r>
            <w:r>
              <w:rPr>
                <w:rFonts w:ascii="Arial"/>
                <w:spacing w:val="-1"/>
                <w:sz w:val="20"/>
              </w:rPr>
              <w:t>sharing</w:t>
            </w:r>
            <w:r>
              <w:rPr>
                <w:rFonts w:ascii="Arial"/>
                <w:sz w:val="20"/>
              </w:rPr>
              <w:t xml:space="preserve"> </w:t>
            </w:r>
            <w:r>
              <w:rPr>
                <w:rFonts w:ascii="Arial"/>
                <w:spacing w:val="-1"/>
                <w:sz w:val="20"/>
              </w:rPr>
              <w:t>balances,</w:t>
            </w:r>
            <w:r>
              <w:rPr>
                <w:rFonts w:ascii="Arial"/>
                <w:spacing w:val="91"/>
                <w:sz w:val="20"/>
              </w:rPr>
              <w:t xml:space="preserve"> </w:t>
            </w:r>
            <w:r>
              <w:rPr>
                <w:rFonts w:ascii="Arial"/>
                <w:spacing w:val="-1"/>
                <w:sz w:val="20"/>
              </w:rPr>
              <w:t>where</w:t>
            </w:r>
            <w:r>
              <w:rPr>
                <w:rFonts w:ascii="Arial"/>
                <w:sz w:val="20"/>
              </w:rPr>
              <w:t xml:space="preserve"> </w:t>
            </w:r>
            <w:r>
              <w:rPr>
                <w:rFonts w:ascii="Arial"/>
                <w:spacing w:val="-1"/>
                <w:sz w:val="20"/>
              </w:rPr>
              <w:t>required</w:t>
            </w:r>
            <w:r>
              <w:rPr>
                <w:rFonts w:ascii="Arial"/>
                <w:sz w:val="20"/>
              </w:rPr>
              <w:t xml:space="preserve"> by</w:t>
            </w:r>
            <w:r>
              <w:rPr>
                <w:rFonts w:ascii="Arial"/>
                <w:spacing w:val="-2"/>
                <w:sz w:val="20"/>
              </w:rPr>
              <w:t xml:space="preserve"> </w:t>
            </w:r>
            <w:r>
              <w:rPr>
                <w:rFonts w:ascii="Arial"/>
                <w:sz w:val="20"/>
              </w:rPr>
              <w:t>the</w:t>
            </w:r>
            <w:r>
              <w:rPr>
                <w:rFonts w:ascii="Arial"/>
                <w:spacing w:val="-1"/>
                <w:sz w:val="20"/>
              </w:rPr>
              <w:t xml:space="preserve"> contribution agreement, have taken place and</w:t>
            </w:r>
            <w:r>
              <w:rPr>
                <w:rFonts w:ascii="Arial"/>
                <w:sz w:val="20"/>
              </w:rPr>
              <w:t xml:space="preserve"> </w:t>
            </w:r>
            <w:r>
              <w:rPr>
                <w:rFonts w:ascii="Arial"/>
                <w:spacing w:val="-1"/>
                <w:sz w:val="20"/>
              </w:rPr>
              <w:t>are</w:t>
            </w:r>
            <w:r>
              <w:rPr>
                <w:rFonts w:ascii="Arial"/>
                <w:sz w:val="20"/>
              </w:rPr>
              <w:t xml:space="preserve"> </w:t>
            </w:r>
            <w:r>
              <w:rPr>
                <w:rFonts w:ascii="Arial"/>
                <w:spacing w:val="-1"/>
                <w:sz w:val="20"/>
              </w:rPr>
              <w:t>documented</w:t>
            </w:r>
            <w:r>
              <w:rPr>
                <w:rFonts w:ascii="Arial"/>
                <w:sz w:val="20"/>
              </w:rPr>
              <w:t xml:space="preserve"> in</w:t>
            </w:r>
            <w:r>
              <w:rPr>
                <w:rFonts w:ascii="Arial"/>
                <w:spacing w:val="93"/>
                <w:sz w:val="20"/>
              </w:rPr>
              <w:t xml:space="preserve"> </w:t>
            </w:r>
            <w:r>
              <w:rPr>
                <w:rFonts w:ascii="Arial"/>
                <w:spacing w:val="-1"/>
                <w:sz w:val="20"/>
              </w:rPr>
              <w:t>writing.</w:t>
            </w:r>
          </w:p>
        </w:tc>
        <w:tc>
          <w:tcPr>
            <w:tcW w:w="2734" w:type="dxa"/>
          </w:tcPr>
          <w:p w14:paraId="468BDC48" w14:textId="77777777" w:rsidR="008A7E9A" w:rsidRDefault="008A7E9A" w:rsidP="009E1ADE">
            <w:r>
              <w:rPr>
                <w:rFonts w:ascii="Arial" w:hAnsi="Arial" w:cs="Arial"/>
                <w:sz w:val="20"/>
                <w:szCs w:val="20"/>
              </w:rPr>
              <w:t>Donor has not responded on request for instruction on disposition of unspent project balances</w:t>
            </w:r>
          </w:p>
        </w:tc>
        <w:tc>
          <w:tcPr>
            <w:tcW w:w="3644" w:type="dxa"/>
          </w:tcPr>
          <w:p w14:paraId="7E8E8A13" w14:textId="77777777" w:rsidR="008A7E9A" w:rsidRDefault="008A7E9A" w:rsidP="009A77F5">
            <w:pPr>
              <w:pStyle w:val="NormalWeb"/>
              <w:numPr>
                <w:ilvl w:val="0"/>
                <w:numId w:val="22"/>
              </w:numPr>
              <w:spacing w:before="0" w:beforeAutospacing="0" w:after="0" w:afterAutospacing="0"/>
              <w:ind w:left="432"/>
              <w:rPr>
                <w:rFonts w:ascii="Arial" w:hAnsi="Arial" w:cs="Arial"/>
                <w:sz w:val="20"/>
                <w:szCs w:val="20"/>
              </w:rPr>
            </w:pPr>
            <w:r w:rsidRPr="00773A82">
              <w:rPr>
                <w:rFonts w:ascii="Arial" w:hAnsi="Arial" w:cs="Arial"/>
                <w:sz w:val="20"/>
                <w:szCs w:val="20"/>
              </w:rPr>
              <w:t xml:space="preserve">The Office will </w:t>
            </w:r>
            <w:r>
              <w:rPr>
                <w:rFonts w:ascii="Arial" w:hAnsi="Arial" w:cs="Arial"/>
                <w:sz w:val="20"/>
                <w:szCs w:val="20"/>
              </w:rPr>
              <w:t>retain</w:t>
            </w:r>
            <w:r w:rsidRPr="00773A82">
              <w:rPr>
                <w:rFonts w:ascii="Arial" w:hAnsi="Arial" w:cs="Arial"/>
                <w:sz w:val="20"/>
                <w:szCs w:val="20"/>
              </w:rPr>
              <w:t xml:space="preserve"> documentary evidence that a request for disposition of </w:t>
            </w:r>
            <w:r>
              <w:rPr>
                <w:rFonts w:ascii="Arial" w:hAnsi="Arial" w:cs="Arial"/>
                <w:sz w:val="20"/>
                <w:szCs w:val="20"/>
              </w:rPr>
              <w:t>unspent</w:t>
            </w:r>
            <w:r w:rsidRPr="00773A82">
              <w:rPr>
                <w:rFonts w:ascii="Arial" w:hAnsi="Arial" w:cs="Arial"/>
                <w:sz w:val="20"/>
                <w:szCs w:val="20"/>
              </w:rPr>
              <w:t xml:space="preserve"> project balance was communicated to the donor and followed up with two reminders.</w:t>
            </w:r>
          </w:p>
          <w:p w14:paraId="3912470F" w14:textId="77777777" w:rsidR="00732941" w:rsidRPr="00732941" w:rsidRDefault="008A7E9A" w:rsidP="00732941">
            <w:pPr>
              <w:pStyle w:val="ListParagraph"/>
              <w:numPr>
                <w:ilvl w:val="0"/>
                <w:numId w:val="22"/>
              </w:numPr>
              <w:spacing w:after="0" w:line="240" w:lineRule="auto"/>
              <w:ind w:left="390"/>
              <w:rPr>
                <w:rFonts w:ascii="Times New Roman" w:hAnsi="Times New Roman" w:cs="Times New Roman"/>
                <w:sz w:val="24"/>
                <w:szCs w:val="24"/>
              </w:rPr>
            </w:pPr>
            <w:r w:rsidRPr="00732941">
              <w:rPr>
                <w:rFonts w:ascii="Arial" w:hAnsi="Arial" w:cs="Arial"/>
                <w:sz w:val="20"/>
                <w:szCs w:val="20"/>
              </w:rPr>
              <w:t>If no satisfactory response is received within three months of the last communication</w:t>
            </w:r>
            <w:r w:rsidR="00732941" w:rsidRPr="00732941">
              <w:rPr>
                <w:rFonts w:ascii="Arial" w:hAnsi="Arial" w:cs="Arial"/>
                <w:sz w:val="20"/>
                <w:szCs w:val="20"/>
              </w:rPr>
              <w:t xml:space="preserve"> to the donor</w:t>
            </w:r>
            <w:r w:rsidRPr="00732941">
              <w:rPr>
                <w:rFonts w:ascii="Arial" w:hAnsi="Arial" w:cs="Arial"/>
                <w:sz w:val="20"/>
                <w:szCs w:val="20"/>
              </w:rPr>
              <w:t>, the unexpended project balance should be transferred.to Fund Code 11888 (project ID, fund code and donor code should be indicated on the debit side for traceability)</w:t>
            </w:r>
            <w:r w:rsidR="00732941" w:rsidRPr="00732941">
              <w:rPr>
                <w:rFonts w:ascii="Arial" w:hAnsi="Arial" w:cs="Arial"/>
                <w:sz w:val="20"/>
                <w:szCs w:val="20"/>
              </w:rPr>
              <w:t xml:space="preserve"> with a note to file prepared by CO. Refer to POPP </w:t>
            </w:r>
            <w:hyperlink r:id="rId114" w:history="1">
              <w:r w:rsidR="00732941" w:rsidRPr="00732941">
                <w:rPr>
                  <w:rStyle w:val="Hyperlink"/>
                  <w:rFonts w:cs="Arial"/>
                  <w:sz w:val="20"/>
                  <w:szCs w:val="20"/>
                </w:rPr>
                <w:t>link</w:t>
              </w:r>
            </w:hyperlink>
            <w:r w:rsidR="00732941" w:rsidRPr="00732941">
              <w:rPr>
                <w:rFonts w:ascii="Times New Roman" w:hAnsi="Times New Roman" w:cs="Times New Roman"/>
                <w:sz w:val="24"/>
                <w:szCs w:val="24"/>
              </w:rPr>
              <w:t xml:space="preserve"> </w:t>
            </w:r>
          </w:p>
          <w:p w14:paraId="4E18636F" w14:textId="3C956A8C" w:rsidR="008A7E9A" w:rsidRPr="00BE214D" w:rsidRDefault="008A7E9A" w:rsidP="009A77F5">
            <w:pPr>
              <w:pStyle w:val="NormalWeb"/>
              <w:numPr>
                <w:ilvl w:val="0"/>
                <w:numId w:val="22"/>
              </w:numPr>
              <w:spacing w:before="0" w:beforeAutospacing="0" w:after="0" w:afterAutospacing="0"/>
              <w:ind w:left="432"/>
              <w:rPr>
                <w:rFonts w:ascii="Arial" w:hAnsi="Arial" w:cs="Arial"/>
                <w:sz w:val="20"/>
                <w:szCs w:val="20"/>
              </w:rPr>
            </w:pPr>
            <w:r>
              <w:rPr>
                <w:rFonts w:ascii="Arial" w:hAnsi="Arial" w:cs="Arial"/>
                <w:sz w:val="20"/>
                <w:szCs w:val="20"/>
              </w:rPr>
              <w:t>If donor subsequently requests for a refund, the refund should be processed from Fund 11888.</w:t>
            </w:r>
            <w:r w:rsidR="00D36C40" w:rsidRPr="00D36C40">
              <w:rPr>
                <w:rFonts w:ascii="Arial" w:eastAsiaTheme="minorHAnsi" w:hAnsi="Arial" w:cs="Arial"/>
                <w:sz w:val="20"/>
                <w:szCs w:val="20"/>
              </w:rPr>
              <w:t xml:space="preserve"> </w:t>
            </w:r>
            <w:r w:rsidR="00D36C40" w:rsidRPr="00D36C40">
              <w:rPr>
                <w:rFonts w:ascii="Arial" w:hAnsi="Arial" w:cs="Arial"/>
                <w:sz w:val="20"/>
                <w:szCs w:val="20"/>
              </w:rPr>
              <w:t xml:space="preserve">Refer to </w:t>
            </w:r>
            <w:hyperlink r:id="rId115" w:history="1">
              <w:r w:rsidR="00D36C40" w:rsidRPr="00D36C40">
                <w:rPr>
                  <w:rStyle w:val="Hyperlink"/>
                  <w:rFonts w:ascii="Arial" w:hAnsi="Arial" w:cs="Arial"/>
                  <w:sz w:val="20"/>
                  <w:szCs w:val="20"/>
                </w:rPr>
                <w:t>POPP Refund to Donors</w:t>
              </w:r>
            </w:hyperlink>
          </w:p>
        </w:tc>
      </w:tr>
      <w:tr w:rsidR="008A7E9A" w14:paraId="404FF1F0" w14:textId="77777777" w:rsidTr="008A7E9A">
        <w:tc>
          <w:tcPr>
            <w:tcW w:w="545" w:type="dxa"/>
          </w:tcPr>
          <w:p w14:paraId="032632AD" w14:textId="77777777" w:rsidR="008A7E9A" w:rsidRDefault="008A7E9A" w:rsidP="009E1ADE">
            <w:r>
              <w:t>6</w:t>
            </w:r>
          </w:p>
        </w:tc>
        <w:tc>
          <w:tcPr>
            <w:tcW w:w="2427" w:type="dxa"/>
          </w:tcPr>
          <w:p w14:paraId="6B72D350" w14:textId="38338542" w:rsidR="008A7E9A" w:rsidRDefault="008A7E9A" w:rsidP="009E1ADE">
            <w:pPr>
              <w:autoSpaceDE w:val="0"/>
              <w:autoSpaceDN w:val="0"/>
              <w:adjustRightInd w:val="0"/>
              <w:rPr>
                <w:rFonts w:ascii="Arial" w:hAnsi="Arial" w:cs="Arial"/>
                <w:sz w:val="20"/>
                <w:szCs w:val="20"/>
              </w:rPr>
            </w:pPr>
            <w:r w:rsidRPr="00F27414">
              <w:rPr>
                <w:rFonts w:ascii="Arial" w:hAnsi="Arial" w:cs="Arial"/>
                <w:color w:val="000000"/>
                <w:sz w:val="20"/>
                <w:szCs w:val="20"/>
              </w:rPr>
              <w:t>Commission project evaluation</w:t>
            </w:r>
            <w:r>
              <w:rPr>
                <w:rFonts w:ascii="Arial" w:hAnsi="Arial" w:cs="Arial"/>
                <w:color w:val="000000"/>
                <w:sz w:val="20"/>
                <w:szCs w:val="20"/>
              </w:rPr>
              <w:t xml:space="preserve"> (required for </w:t>
            </w:r>
            <w:hyperlink r:id="rId116" w:history="1">
              <w:r w:rsidRPr="00792BF2">
                <w:rPr>
                  <w:rStyle w:val="Hyperlink"/>
                  <w:rFonts w:ascii="Arial" w:hAnsi="Arial" w:cs="Arial"/>
                  <w:sz w:val="20"/>
                  <w:szCs w:val="20"/>
                </w:rPr>
                <w:t>Operational Closure of projects</w:t>
              </w:r>
            </w:hyperlink>
            <w:r>
              <w:rPr>
                <w:rFonts w:ascii="Arial" w:hAnsi="Arial" w:cs="Arial"/>
                <w:color w:val="000000"/>
                <w:sz w:val="20"/>
                <w:szCs w:val="20"/>
              </w:rPr>
              <w:t>)</w:t>
            </w:r>
          </w:p>
        </w:tc>
        <w:tc>
          <w:tcPr>
            <w:tcW w:w="2734" w:type="dxa"/>
          </w:tcPr>
          <w:p w14:paraId="2F21944F" w14:textId="77777777" w:rsidR="008A7E9A" w:rsidRDefault="008A7E9A" w:rsidP="009E1ADE">
            <w:r>
              <w:rPr>
                <w:rFonts w:ascii="Arial" w:hAnsi="Arial" w:cs="Arial"/>
                <w:sz w:val="20"/>
                <w:szCs w:val="20"/>
              </w:rPr>
              <w:t>Project evaluation has not been performed.</w:t>
            </w:r>
          </w:p>
        </w:tc>
        <w:tc>
          <w:tcPr>
            <w:tcW w:w="3644" w:type="dxa"/>
          </w:tcPr>
          <w:p w14:paraId="36436900" w14:textId="77777777" w:rsidR="008A7E9A" w:rsidRDefault="008A7E9A" w:rsidP="009A77F5">
            <w:pPr>
              <w:pStyle w:val="NormalWeb"/>
              <w:numPr>
                <w:ilvl w:val="0"/>
                <w:numId w:val="22"/>
              </w:numPr>
              <w:spacing w:before="0" w:beforeAutospacing="0" w:after="0" w:afterAutospacing="0"/>
              <w:ind w:left="432"/>
              <w:rPr>
                <w:rFonts w:ascii="Arial" w:hAnsi="Arial" w:cs="Arial"/>
                <w:sz w:val="20"/>
                <w:szCs w:val="20"/>
              </w:rPr>
            </w:pPr>
            <w:r>
              <w:rPr>
                <w:rFonts w:ascii="Arial" w:hAnsi="Arial" w:cs="Arial"/>
                <w:sz w:val="20"/>
                <w:szCs w:val="20"/>
              </w:rPr>
              <w:t xml:space="preserve">Review project documents to determine whether an evaluation was required. </w:t>
            </w:r>
          </w:p>
          <w:p w14:paraId="531FF7B8" w14:textId="2E38A92F" w:rsidR="008A7E9A" w:rsidRDefault="008A7E9A" w:rsidP="009A77F5">
            <w:pPr>
              <w:pStyle w:val="NormalWeb"/>
              <w:numPr>
                <w:ilvl w:val="0"/>
                <w:numId w:val="22"/>
              </w:numPr>
              <w:spacing w:before="0" w:beforeAutospacing="0" w:after="0" w:afterAutospacing="0"/>
              <w:ind w:left="432"/>
              <w:rPr>
                <w:rFonts w:ascii="Arial" w:hAnsi="Arial" w:cs="Arial"/>
                <w:sz w:val="20"/>
                <w:szCs w:val="20"/>
              </w:rPr>
            </w:pPr>
            <w:r w:rsidRPr="00A874C2">
              <w:rPr>
                <w:rFonts w:ascii="Arial" w:hAnsi="Arial" w:cs="Arial"/>
                <w:sz w:val="20"/>
                <w:szCs w:val="20"/>
              </w:rPr>
              <w:t xml:space="preserve">The Office </w:t>
            </w:r>
            <w:r>
              <w:rPr>
                <w:rFonts w:ascii="Arial" w:hAnsi="Arial" w:cs="Arial"/>
                <w:sz w:val="20"/>
                <w:szCs w:val="20"/>
              </w:rPr>
              <w:t xml:space="preserve">should </w:t>
            </w:r>
            <w:r w:rsidRPr="00A874C2">
              <w:rPr>
                <w:rFonts w:ascii="Arial" w:hAnsi="Arial" w:cs="Arial"/>
                <w:sz w:val="20"/>
                <w:szCs w:val="20"/>
              </w:rPr>
              <w:t>document</w:t>
            </w:r>
            <w:r>
              <w:rPr>
                <w:rFonts w:ascii="Arial" w:hAnsi="Arial" w:cs="Arial"/>
                <w:sz w:val="20"/>
                <w:szCs w:val="20"/>
              </w:rPr>
              <w:t xml:space="preserve"> reasons why the evaluation has not been performed </w:t>
            </w:r>
            <w:r w:rsidR="00031707">
              <w:rPr>
                <w:rFonts w:ascii="Arial" w:hAnsi="Arial" w:cs="Arial"/>
                <w:sz w:val="20"/>
                <w:szCs w:val="20"/>
              </w:rPr>
              <w:t xml:space="preserve">if the final report has not been issued, the office should finalize the report and confirm with the donor whether an evaluation is required </w:t>
            </w:r>
            <w:r>
              <w:rPr>
                <w:rFonts w:ascii="Arial" w:hAnsi="Arial" w:cs="Arial"/>
                <w:sz w:val="20"/>
                <w:szCs w:val="20"/>
              </w:rPr>
              <w:t>and;</w:t>
            </w:r>
          </w:p>
          <w:p w14:paraId="5AC86A89" w14:textId="77777777" w:rsidR="008A7E9A" w:rsidRDefault="008A7E9A" w:rsidP="009A77F5">
            <w:pPr>
              <w:pStyle w:val="NormalWeb"/>
              <w:numPr>
                <w:ilvl w:val="0"/>
                <w:numId w:val="22"/>
              </w:numPr>
              <w:spacing w:before="0" w:beforeAutospacing="0" w:after="0" w:afterAutospacing="0"/>
              <w:ind w:left="432"/>
              <w:rPr>
                <w:rFonts w:ascii="Arial" w:hAnsi="Arial" w:cs="Arial"/>
                <w:sz w:val="20"/>
                <w:szCs w:val="20"/>
              </w:rPr>
            </w:pPr>
            <w:r w:rsidRPr="00A874C2">
              <w:rPr>
                <w:rFonts w:ascii="Arial" w:hAnsi="Arial" w:cs="Arial"/>
                <w:sz w:val="20"/>
                <w:szCs w:val="20"/>
              </w:rPr>
              <w:t xml:space="preserve">If no response is received </w:t>
            </w:r>
            <w:r>
              <w:rPr>
                <w:rFonts w:ascii="Arial" w:hAnsi="Arial" w:cs="Arial"/>
                <w:sz w:val="20"/>
                <w:szCs w:val="20"/>
              </w:rPr>
              <w:t>from the donor after</w:t>
            </w:r>
            <w:r w:rsidRPr="00773A82">
              <w:rPr>
                <w:rFonts w:ascii="Arial" w:hAnsi="Arial" w:cs="Arial"/>
                <w:sz w:val="20"/>
                <w:szCs w:val="20"/>
              </w:rPr>
              <w:t xml:space="preserve"> followed up with </w:t>
            </w:r>
            <w:r w:rsidRPr="00773A82">
              <w:rPr>
                <w:rFonts w:ascii="Arial" w:hAnsi="Arial" w:cs="Arial"/>
                <w:sz w:val="20"/>
                <w:szCs w:val="20"/>
              </w:rPr>
              <w:lastRenderedPageBreak/>
              <w:t>two reminders</w:t>
            </w:r>
            <w:r>
              <w:rPr>
                <w:rFonts w:ascii="Arial" w:hAnsi="Arial" w:cs="Arial"/>
                <w:sz w:val="20"/>
                <w:szCs w:val="20"/>
              </w:rPr>
              <w:t>, the office should prepare a note to file and proceed to close the project.</w:t>
            </w:r>
          </w:p>
          <w:p w14:paraId="55ABF12B" w14:textId="77777777" w:rsidR="008A7E9A" w:rsidRPr="00773A82" w:rsidRDefault="008A7E9A" w:rsidP="009E1ADE">
            <w:pPr>
              <w:pStyle w:val="NormalWeb"/>
              <w:ind w:left="432"/>
              <w:rPr>
                <w:rFonts w:ascii="Arial" w:hAnsi="Arial" w:cs="Arial"/>
                <w:sz w:val="20"/>
                <w:szCs w:val="20"/>
              </w:rPr>
            </w:pPr>
          </w:p>
        </w:tc>
      </w:tr>
      <w:tr w:rsidR="008A7E9A" w14:paraId="161B02F2" w14:textId="77777777" w:rsidTr="008A7E9A">
        <w:tc>
          <w:tcPr>
            <w:tcW w:w="545" w:type="dxa"/>
          </w:tcPr>
          <w:p w14:paraId="56014C91" w14:textId="77777777" w:rsidR="008A7E9A" w:rsidRDefault="008A7E9A" w:rsidP="009E1ADE">
            <w:r>
              <w:lastRenderedPageBreak/>
              <w:t>7</w:t>
            </w:r>
          </w:p>
        </w:tc>
        <w:tc>
          <w:tcPr>
            <w:tcW w:w="2427" w:type="dxa"/>
          </w:tcPr>
          <w:tbl>
            <w:tblPr>
              <w:tblW w:w="0" w:type="auto"/>
              <w:tblBorders>
                <w:top w:val="nil"/>
                <w:left w:val="nil"/>
                <w:bottom w:val="nil"/>
                <w:right w:val="nil"/>
              </w:tblBorders>
              <w:tblLook w:val="0000" w:firstRow="0" w:lastRow="0" w:firstColumn="0" w:lastColumn="0" w:noHBand="0" w:noVBand="0"/>
            </w:tblPr>
            <w:tblGrid>
              <w:gridCol w:w="2211"/>
            </w:tblGrid>
            <w:tr w:rsidR="008A7E9A" w:rsidRPr="000348EF" w14:paraId="4B752AD8" w14:textId="77777777" w:rsidTr="009E1ADE">
              <w:trPr>
                <w:trHeight w:val="93"/>
              </w:trPr>
              <w:tc>
                <w:tcPr>
                  <w:tcW w:w="0" w:type="auto"/>
                </w:tcPr>
                <w:p w14:paraId="0AE3425A" w14:textId="77777777" w:rsidR="008A7E9A" w:rsidRPr="000348EF" w:rsidRDefault="008A7E9A" w:rsidP="009E1ADE">
                  <w:pPr>
                    <w:autoSpaceDE w:val="0"/>
                    <w:autoSpaceDN w:val="0"/>
                    <w:adjustRightInd w:val="0"/>
                    <w:rPr>
                      <w:rFonts w:ascii="Arial" w:hAnsi="Arial" w:cs="Arial"/>
                      <w:color w:val="000000"/>
                      <w:sz w:val="20"/>
                      <w:szCs w:val="20"/>
                    </w:rPr>
                  </w:pPr>
                  <w:r w:rsidRPr="000348EF">
                    <w:rPr>
                      <w:rFonts w:ascii="Arial" w:hAnsi="Arial" w:cs="Arial"/>
                      <w:color w:val="000000"/>
                      <w:sz w:val="20"/>
                      <w:szCs w:val="20"/>
                    </w:rPr>
                    <w:t>All pre-financing activities have b</w:t>
                  </w:r>
                  <w:r>
                    <w:rPr>
                      <w:rFonts w:ascii="Arial" w:hAnsi="Arial" w:cs="Arial"/>
                      <w:color w:val="000000"/>
                      <w:sz w:val="20"/>
                      <w:szCs w:val="20"/>
                    </w:rPr>
                    <w:t>een recovered and/or reimbursed.</w:t>
                  </w:r>
                </w:p>
              </w:tc>
            </w:tr>
          </w:tbl>
          <w:p w14:paraId="68F98A7D" w14:textId="77777777" w:rsidR="008A7E9A" w:rsidRDefault="008A7E9A" w:rsidP="009E1ADE">
            <w:pPr>
              <w:pStyle w:val="Default"/>
              <w:rPr>
                <w:sz w:val="20"/>
                <w:szCs w:val="20"/>
              </w:rPr>
            </w:pPr>
          </w:p>
        </w:tc>
        <w:tc>
          <w:tcPr>
            <w:tcW w:w="2734" w:type="dxa"/>
          </w:tcPr>
          <w:p w14:paraId="4842DE70" w14:textId="77777777" w:rsidR="008A7E9A" w:rsidRDefault="008A7E9A" w:rsidP="009E1ADE">
            <w:pPr>
              <w:rPr>
                <w:rFonts w:ascii="Arial" w:hAnsi="Arial" w:cs="Arial"/>
                <w:sz w:val="20"/>
                <w:szCs w:val="20"/>
              </w:rPr>
            </w:pPr>
            <w:r>
              <w:rPr>
                <w:rFonts w:ascii="Arial" w:hAnsi="Arial" w:cs="Arial"/>
                <w:sz w:val="20"/>
                <w:szCs w:val="20"/>
              </w:rPr>
              <w:t>Project has a deficit.</w:t>
            </w:r>
          </w:p>
        </w:tc>
        <w:tc>
          <w:tcPr>
            <w:tcW w:w="3644" w:type="dxa"/>
          </w:tcPr>
          <w:p w14:paraId="485C4049" w14:textId="43503B1B" w:rsidR="008A7E9A" w:rsidRPr="00A874C2" w:rsidRDefault="008A7E9A" w:rsidP="009E1ADE">
            <w:pPr>
              <w:pStyle w:val="NormalWeb"/>
              <w:rPr>
                <w:rFonts w:ascii="Arial" w:hAnsi="Arial" w:cs="Arial"/>
                <w:sz w:val="20"/>
                <w:szCs w:val="20"/>
              </w:rPr>
            </w:pPr>
            <w:r w:rsidRPr="5710F6FC">
              <w:rPr>
                <w:rFonts w:ascii="Arial" w:eastAsia="Arial" w:hAnsi="Arial" w:cs="Arial"/>
                <w:sz w:val="20"/>
                <w:szCs w:val="20"/>
              </w:rPr>
              <w:t xml:space="preserve">The office should consider other available sources of funding to cover the deficit including consulting the bureau. If other sources are </w:t>
            </w:r>
            <w:r w:rsidR="5710F6FC" w:rsidRPr="5710F6FC">
              <w:rPr>
                <w:rFonts w:ascii="Arial" w:eastAsia="Arial" w:hAnsi="Arial" w:cs="Arial"/>
                <w:sz w:val="20"/>
                <w:szCs w:val="20"/>
              </w:rPr>
              <w:t>not</w:t>
            </w:r>
            <w:r w:rsidRPr="5710F6FC">
              <w:rPr>
                <w:rFonts w:ascii="Arial" w:eastAsia="Arial" w:hAnsi="Arial" w:cs="Arial"/>
                <w:sz w:val="20"/>
                <w:szCs w:val="20"/>
              </w:rPr>
              <w:t xml:space="preserve"> identified and the deficit is deemed irrecoverable, the office should </w:t>
            </w:r>
            <w:r w:rsidRPr="00B95630">
              <w:rPr>
                <w:rFonts w:ascii="Arial" w:hAnsi="Arial" w:cs="Arial"/>
                <w:sz w:val="20"/>
                <w:szCs w:val="20"/>
              </w:rPr>
              <w:t>fully document all action taken, including description, causes and responsibility of staff or others,</w:t>
            </w:r>
            <w:r>
              <w:rPr>
                <w:rFonts w:ascii="Arial" w:hAnsi="Arial" w:cs="Arial"/>
                <w:sz w:val="20"/>
                <w:szCs w:val="20"/>
              </w:rPr>
              <w:t xml:space="preserve"> obtain senior manager approval</w:t>
            </w:r>
            <w:r w:rsidRPr="00B95630">
              <w:rPr>
                <w:rFonts w:ascii="Arial" w:hAnsi="Arial" w:cs="Arial"/>
                <w:sz w:val="20"/>
                <w:szCs w:val="20"/>
              </w:rPr>
              <w:t>,</w:t>
            </w:r>
            <w:r>
              <w:rPr>
                <w:rFonts w:ascii="Arial" w:hAnsi="Arial" w:cs="Arial"/>
                <w:sz w:val="20"/>
                <w:szCs w:val="20"/>
              </w:rPr>
              <w:t xml:space="preserve"> </w:t>
            </w:r>
            <w:r w:rsidRPr="00B95630">
              <w:rPr>
                <w:rFonts w:ascii="Arial" w:hAnsi="Arial" w:cs="Arial"/>
                <w:sz w:val="20"/>
                <w:szCs w:val="20"/>
              </w:rPr>
              <w:t xml:space="preserve">and then contact their OFM </w:t>
            </w:r>
            <w:r>
              <w:rPr>
                <w:rFonts w:ascii="Arial" w:hAnsi="Arial" w:cs="Arial"/>
                <w:sz w:val="20"/>
                <w:szCs w:val="20"/>
              </w:rPr>
              <w:t>Finance Business Advisor (FBA)</w:t>
            </w:r>
            <w:r w:rsidRPr="00B95630">
              <w:rPr>
                <w:rFonts w:ascii="Arial" w:hAnsi="Arial" w:cs="Arial"/>
                <w:sz w:val="20"/>
                <w:szCs w:val="20"/>
              </w:rPr>
              <w:t xml:space="preserve"> for further guidance</w:t>
            </w:r>
            <w:r>
              <w:rPr>
                <w:rFonts w:ascii="Arial" w:hAnsi="Arial" w:cs="Arial"/>
                <w:sz w:val="20"/>
                <w:szCs w:val="20"/>
              </w:rPr>
              <w:t xml:space="preserve"> including whether a formal write-off request under the provisions of Financial Regulation 26.08 should be submitted</w:t>
            </w:r>
            <w:r w:rsidR="00031707">
              <w:rPr>
                <w:rFonts w:ascii="Arial" w:hAnsi="Arial" w:cs="Arial"/>
                <w:sz w:val="20"/>
                <w:szCs w:val="20"/>
              </w:rPr>
              <w:t xml:space="preserve"> to OFM/FPMR (Chief of Accounts)</w:t>
            </w:r>
            <w:r>
              <w:rPr>
                <w:rFonts w:ascii="Arial" w:hAnsi="Arial" w:cs="Arial"/>
                <w:sz w:val="20"/>
                <w:szCs w:val="20"/>
              </w:rPr>
              <w:t>.</w:t>
            </w:r>
          </w:p>
        </w:tc>
      </w:tr>
    </w:tbl>
    <w:p w14:paraId="089223AB" w14:textId="77777777" w:rsidR="008A7E9A" w:rsidRDefault="008A7E9A" w:rsidP="00C472B0">
      <w:pPr>
        <w:rPr>
          <w:rFonts w:ascii="Cambria" w:hAnsi="Cambria"/>
          <w:b/>
          <w:i/>
          <w:sz w:val="24"/>
          <w:szCs w:val="24"/>
          <w:u w:val="single"/>
        </w:rPr>
      </w:pPr>
    </w:p>
    <w:p w14:paraId="51DC36D9" w14:textId="3A52FAE3" w:rsidR="00BC5868" w:rsidRDefault="008F088A" w:rsidP="004D3983">
      <w:pPr>
        <w:pStyle w:val="Heading1"/>
        <w:rPr>
          <w:u w:val="single"/>
        </w:rPr>
      </w:pPr>
      <w:bookmarkStart w:id="21" w:name="_Toc51944977"/>
      <w:r>
        <w:rPr>
          <w:u w:val="single"/>
        </w:rPr>
        <w:t>9.0 BEST</w:t>
      </w:r>
      <w:r w:rsidR="00BC5868" w:rsidRPr="004D3983">
        <w:rPr>
          <w:u w:val="single"/>
        </w:rPr>
        <w:t xml:space="preserve"> Practices in Closing Projects</w:t>
      </w:r>
      <w:bookmarkEnd w:id="21"/>
    </w:p>
    <w:p w14:paraId="083101C4" w14:textId="77777777" w:rsidR="004D3983" w:rsidRPr="004D3983" w:rsidRDefault="004D3983" w:rsidP="004D3983">
      <w:pPr>
        <w:rPr>
          <w:lang w:val="en-GB"/>
        </w:rPr>
      </w:pPr>
    </w:p>
    <w:p w14:paraId="5B1D61E4" w14:textId="65B323A5" w:rsidR="00BC5868" w:rsidRPr="004D0DAC" w:rsidRDefault="015EB512" w:rsidP="009A77F5">
      <w:pPr>
        <w:pStyle w:val="ListParagraph"/>
        <w:numPr>
          <w:ilvl w:val="0"/>
          <w:numId w:val="25"/>
        </w:numPr>
        <w:rPr>
          <w:rFonts w:ascii="Cambria" w:hAnsi="Cambria"/>
          <w:sz w:val="24"/>
          <w:szCs w:val="24"/>
        </w:rPr>
      </w:pPr>
      <w:r w:rsidRPr="015EB512">
        <w:rPr>
          <w:rFonts w:ascii="Cambria" w:hAnsi="Cambria"/>
          <w:sz w:val="24"/>
          <w:szCs w:val="24"/>
        </w:rPr>
        <w:t xml:space="preserve">Begin as soon as project is operationally completed.  Do not delay.  The longer the time period between operational completion and financial completion the greater the likelihood that the closure will not be completed with the 12-month period per the financial regulations &amp; rules. </w:t>
      </w:r>
    </w:p>
    <w:p w14:paraId="11414FAF" w14:textId="1EB33459" w:rsidR="00DF459C" w:rsidRPr="004D0DAC" w:rsidRDefault="00F76EB0" w:rsidP="009A77F5">
      <w:pPr>
        <w:pStyle w:val="ListParagraph"/>
        <w:numPr>
          <w:ilvl w:val="0"/>
          <w:numId w:val="25"/>
        </w:numPr>
        <w:rPr>
          <w:rFonts w:ascii="Cambria" w:hAnsi="Cambria"/>
          <w:sz w:val="24"/>
          <w:szCs w:val="24"/>
        </w:rPr>
      </w:pPr>
      <w:r w:rsidRPr="004D0DAC">
        <w:rPr>
          <w:rFonts w:ascii="Cambria" w:hAnsi="Cambria"/>
          <w:sz w:val="24"/>
          <w:szCs w:val="24"/>
        </w:rPr>
        <w:t>In clearing balance sheet accounts, u</w:t>
      </w:r>
      <w:r w:rsidR="001E037D" w:rsidRPr="004D0DAC">
        <w:rPr>
          <w:rFonts w:ascii="Cambria" w:hAnsi="Cambria"/>
          <w:sz w:val="24"/>
          <w:szCs w:val="24"/>
        </w:rPr>
        <w:t>se the full C</w:t>
      </w:r>
      <w:r w:rsidRPr="004D0DAC">
        <w:rPr>
          <w:rFonts w:ascii="Cambria" w:hAnsi="Cambria"/>
          <w:sz w:val="24"/>
          <w:szCs w:val="24"/>
        </w:rPr>
        <w:t>hart of Accounts,</w:t>
      </w:r>
      <w:r w:rsidR="001E037D" w:rsidRPr="004D0DAC">
        <w:rPr>
          <w:rFonts w:ascii="Cambria" w:hAnsi="Cambria"/>
          <w:sz w:val="24"/>
          <w:szCs w:val="24"/>
        </w:rPr>
        <w:t xml:space="preserve"> i.e., </w:t>
      </w:r>
      <w:r w:rsidR="00DF459C" w:rsidRPr="004D0DAC">
        <w:rPr>
          <w:rFonts w:ascii="Cambria" w:hAnsi="Cambria"/>
          <w:sz w:val="24"/>
          <w:szCs w:val="24"/>
        </w:rPr>
        <w:t xml:space="preserve">business unit; account; fund; operating unit; department; </w:t>
      </w:r>
      <w:r w:rsidR="001E037D" w:rsidRPr="004D0DAC">
        <w:rPr>
          <w:rFonts w:ascii="Cambria" w:hAnsi="Cambria"/>
          <w:sz w:val="24"/>
          <w:szCs w:val="24"/>
        </w:rPr>
        <w:t xml:space="preserve">project, </w:t>
      </w:r>
      <w:r w:rsidR="009F62E1" w:rsidRPr="004D0DAC">
        <w:rPr>
          <w:rFonts w:ascii="Cambria" w:hAnsi="Cambria"/>
          <w:sz w:val="24"/>
          <w:szCs w:val="24"/>
        </w:rPr>
        <w:t>imp</w:t>
      </w:r>
      <w:r w:rsidRPr="004D0DAC">
        <w:rPr>
          <w:rFonts w:ascii="Cambria" w:hAnsi="Cambria"/>
          <w:sz w:val="24"/>
          <w:szCs w:val="24"/>
        </w:rPr>
        <w:t>lementing agency; and donor.</w:t>
      </w:r>
      <w:r w:rsidR="009F62E1" w:rsidRPr="004D0DAC">
        <w:rPr>
          <w:rFonts w:ascii="Cambria" w:hAnsi="Cambria"/>
          <w:sz w:val="24"/>
          <w:szCs w:val="24"/>
        </w:rPr>
        <w:t xml:space="preserve"> </w:t>
      </w:r>
      <w:r w:rsidR="00C63EC8">
        <w:rPr>
          <w:rFonts w:ascii="Cambria" w:hAnsi="Cambria"/>
          <w:sz w:val="24"/>
          <w:szCs w:val="24"/>
        </w:rPr>
        <w:t xml:space="preserve">Run Atlas Query </w:t>
      </w:r>
      <w:r w:rsidR="00C63EC8" w:rsidRPr="00AE2690">
        <w:rPr>
          <w:rFonts w:ascii="Cambria" w:hAnsi="Cambria"/>
          <w:sz w:val="24"/>
          <w:szCs w:val="24"/>
        </w:rPr>
        <w:t>OF</w:t>
      </w:r>
      <w:r w:rsidR="00CD5A74">
        <w:rPr>
          <w:rFonts w:ascii="Cambria" w:hAnsi="Cambria"/>
          <w:sz w:val="24"/>
          <w:szCs w:val="24"/>
        </w:rPr>
        <w:t>R</w:t>
      </w:r>
      <w:r w:rsidR="00C63EC8" w:rsidRPr="00AE2690">
        <w:rPr>
          <w:rFonts w:ascii="Cambria" w:hAnsi="Cambria"/>
          <w:sz w:val="24"/>
          <w:szCs w:val="24"/>
        </w:rPr>
        <w:t>M_FND_PRJ_CLOSURE_BAL_SHEET</w:t>
      </w:r>
    </w:p>
    <w:p w14:paraId="7290B4B0" w14:textId="77777777" w:rsidR="00275230" w:rsidRDefault="00275230" w:rsidP="00136CEF">
      <w:pPr>
        <w:jc w:val="center"/>
        <w:rPr>
          <w:rFonts w:ascii="Cambria" w:hAnsi="Cambria"/>
          <w:b/>
          <w:sz w:val="28"/>
          <w:szCs w:val="28"/>
        </w:rPr>
      </w:pPr>
    </w:p>
    <w:p w14:paraId="3470B1DC" w14:textId="77777777" w:rsidR="00CF3C48" w:rsidRDefault="00CF3C48" w:rsidP="00136CEF">
      <w:pPr>
        <w:jc w:val="center"/>
        <w:rPr>
          <w:rFonts w:ascii="Cambria" w:hAnsi="Cambria"/>
          <w:b/>
          <w:sz w:val="28"/>
          <w:szCs w:val="28"/>
        </w:rPr>
      </w:pPr>
    </w:p>
    <w:p w14:paraId="62640A61" w14:textId="77777777" w:rsidR="00D936B4" w:rsidRDefault="00D936B4">
      <w:pPr>
        <w:rPr>
          <w:rFonts w:ascii="Cambria" w:hAnsi="Cambria"/>
          <w:b/>
          <w:sz w:val="28"/>
          <w:szCs w:val="28"/>
        </w:rPr>
      </w:pPr>
      <w:r>
        <w:rPr>
          <w:rFonts w:ascii="Cambria" w:hAnsi="Cambria"/>
          <w:b/>
          <w:sz w:val="28"/>
          <w:szCs w:val="28"/>
        </w:rPr>
        <w:br w:type="page"/>
      </w:r>
    </w:p>
    <w:p w14:paraId="32EF13B0" w14:textId="77777777" w:rsidR="000F2C47" w:rsidRDefault="00136CEF" w:rsidP="008133C3">
      <w:pPr>
        <w:pStyle w:val="Heading1"/>
        <w:jc w:val="center"/>
      </w:pPr>
      <w:bookmarkStart w:id="22" w:name="_Toc51944978"/>
      <w:r w:rsidRPr="008133C3">
        <w:lastRenderedPageBreak/>
        <w:t>ANNEX 1</w:t>
      </w:r>
      <w:r w:rsidR="008133C3">
        <w:t xml:space="preserve"> -</w:t>
      </w:r>
      <w:r w:rsidR="000F2C47" w:rsidRPr="008133C3">
        <w:t xml:space="preserve">ANNOTATED </w:t>
      </w:r>
      <w:r w:rsidRPr="008133C3">
        <w:t>Proje</w:t>
      </w:r>
      <w:r w:rsidR="000F2C47" w:rsidRPr="008133C3">
        <w:t>ct Completion Check List (POPP)</w:t>
      </w:r>
      <w:bookmarkEnd w:id="22"/>
    </w:p>
    <w:p w14:paraId="18D328B9" w14:textId="11422D33" w:rsidR="00136CEF" w:rsidRPr="008133C3" w:rsidRDefault="008133C3" w:rsidP="008133C3">
      <w:pPr>
        <w:jc w:val="center"/>
        <w:rPr>
          <w:sz w:val="24"/>
          <w:szCs w:val="24"/>
        </w:rPr>
      </w:pPr>
      <w:r w:rsidRPr="008133C3">
        <w:rPr>
          <w:sz w:val="24"/>
          <w:szCs w:val="24"/>
          <w:lang w:val="en-GB"/>
        </w:rPr>
        <w:t>C</w:t>
      </w:r>
      <w:r w:rsidR="008F088A" w:rsidRPr="008133C3">
        <w:rPr>
          <w:sz w:val="24"/>
          <w:szCs w:val="24"/>
        </w:rPr>
        <w:t>compared</w:t>
      </w:r>
      <w:r w:rsidR="000F2C47" w:rsidRPr="008133C3">
        <w:rPr>
          <w:sz w:val="24"/>
          <w:szCs w:val="24"/>
        </w:rPr>
        <w:t xml:space="preserve"> with project closure checklist and operation</w:t>
      </w:r>
      <w:r w:rsidR="0009114A">
        <w:rPr>
          <w:sz w:val="24"/>
          <w:szCs w:val="24"/>
        </w:rPr>
        <w:t>al</w:t>
      </w:r>
      <w:r w:rsidR="000F2C47" w:rsidRPr="008133C3">
        <w:rPr>
          <w:sz w:val="24"/>
          <w:szCs w:val="24"/>
        </w:rPr>
        <w:t xml:space="preserve"> </w:t>
      </w:r>
      <w:r w:rsidR="0009114A">
        <w:rPr>
          <w:sz w:val="24"/>
          <w:szCs w:val="24"/>
        </w:rPr>
        <w:t>guidelines</w:t>
      </w:r>
      <w:r w:rsidR="000F2C47" w:rsidRPr="008133C3">
        <w:rPr>
          <w:sz w:val="24"/>
          <w:szCs w:val="24"/>
        </w:rPr>
        <w:t xml:space="preserve"> on project closing</w:t>
      </w:r>
    </w:p>
    <w:p w14:paraId="77CDF641" w14:textId="77777777" w:rsidR="00136CEF" w:rsidRDefault="00136CEF" w:rsidP="00136CEF">
      <w:pPr>
        <w:tabs>
          <w:tab w:val="left" w:pos="3856"/>
          <w:tab w:val="left" w:pos="5340"/>
          <w:tab w:val="left" w:pos="8899"/>
        </w:tabs>
        <w:spacing w:before="64"/>
        <w:ind w:left="970"/>
        <w:rPr>
          <w:b/>
          <w:sz w:val="28"/>
        </w:rPr>
      </w:pPr>
      <w:r>
        <w:rPr>
          <w:b/>
          <w:color w:val="006FC0"/>
          <w:sz w:val="28"/>
        </w:rPr>
        <w:t>Country</w:t>
      </w:r>
      <w:r>
        <w:rPr>
          <w:b/>
          <w:color w:val="006FC0"/>
          <w:spacing w:val="-2"/>
          <w:sz w:val="28"/>
        </w:rPr>
        <w:t xml:space="preserve"> </w:t>
      </w:r>
      <w:r>
        <w:rPr>
          <w:b/>
          <w:color w:val="006FC0"/>
          <w:sz w:val="28"/>
        </w:rPr>
        <w:t>Office:</w:t>
      </w:r>
      <w:r>
        <w:rPr>
          <w:b/>
          <w:color w:val="006FC0"/>
          <w:sz w:val="28"/>
          <w:u w:val="thick" w:color="006EBF"/>
        </w:rPr>
        <w:t xml:space="preserve"> </w:t>
      </w:r>
      <w:r w:rsidR="000F2C47">
        <w:rPr>
          <w:b/>
          <w:color w:val="006FC0"/>
          <w:sz w:val="28"/>
          <w:u w:val="thick" w:color="006EBF"/>
        </w:rPr>
        <w:t>XYZ</w:t>
      </w:r>
      <w:r>
        <w:rPr>
          <w:b/>
          <w:color w:val="006FC0"/>
          <w:sz w:val="28"/>
          <w:u w:val="thick" w:color="006EBF"/>
        </w:rPr>
        <w:tab/>
      </w:r>
      <w:r>
        <w:rPr>
          <w:b/>
          <w:color w:val="006FC0"/>
          <w:sz w:val="28"/>
        </w:rPr>
        <w:tab/>
        <w:t>Project/Output</w:t>
      </w:r>
      <w:r>
        <w:rPr>
          <w:b/>
          <w:color w:val="006FC0"/>
          <w:spacing w:val="-3"/>
          <w:sz w:val="28"/>
        </w:rPr>
        <w:t xml:space="preserve"> </w:t>
      </w:r>
      <w:r>
        <w:rPr>
          <w:b/>
          <w:color w:val="006FC0"/>
          <w:sz w:val="28"/>
        </w:rPr>
        <w:t xml:space="preserve">No. </w:t>
      </w:r>
      <w:r>
        <w:rPr>
          <w:b/>
          <w:color w:val="006FC0"/>
          <w:w w:val="99"/>
          <w:sz w:val="28"/>
          <w:u w:val="thick" w:color="006EBF"/>
        </w:rPr>
        <w:t xml:space="preserve"> </w:t>
      </w:r>
      <w:r w:rsidR="000F2C47">
        <w:rPr>
          <w:b/>
          <w:color w:val="006FC0"/>
          <w:w w:val="99"/>
          <w:sz w:val="28"/>
          <w:u w:val="thick" w:color="006EBF"/>
        </w:rPr>
        <w:t>12345</w:t>
      </w:r>
      <w:r>
        <w:rPr>
          <w:b/>
          <w:color w:val="006FC0"/>
          <w:sz w:val="28"/>
          <w:u w:val="thick" w:color="006EBF"/>
        </w:rPr>
        <w:tab/>
      </w:r>
    </w:p>
    <w:p w14:paraId="336D0C88" w14:textId="77777777" w:rsidR="00136CEF" w:rsidRDefault="00136CEF" w:rsidP="00136CEF">
      <w:pPr>
        <w:spacing w:before="2"/>
        <w:rPr>
          <w:b/>
          <w:sz w:val="15"/>
        </w:rPr>
      </w:pPr>
    </w:p>
    <w:p w14:paraId="79868D0D" w14:textId="77777777" w:rsidR="00136CEF" w:rsidRDefault="00136CEF" w:rsidP="00136CEF">
      <w:pPr>
        <w:spacing w:before="72"/>
        <w:ind w:left="220"/>
      </w:pPr>
      <w:r>
        <w:t>I confirm that all of the following matters have been considered and resolved:</w:t>
      </w:r>
    </w:p>
    <w:p w14:paraId="39DE2F26" w14:textId="77777777" w:rsidR="00136CEF" w:rsidRDefault="00136CEF" w:rsidP="00136CEF">
      <w:pPr>
        <w:spacing w:before="11"/>
        <w:rPr>
          <w:sz w:val="20"/>
        </w:rPr>
      </w:pPr>
    </w:p>
    <w:tbl>
      <w:tblPr>
        <w:tblW w:w="10688"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8"/>
        <w:gridCol w:w="1080"/>
        <w:gridCol w:w="1070"/>
        <w:gridCol w:w="7650"/>
      </w:tblGrid>
      <w:tr w:rsidR="00136CEF" w14:paraId="260376DA" w14:textId="77777777" w:rsidTr="007464B7">
        <w:trPr>
          <w:trHeight w:hRule="exact" w:val="470"/>
          <w:tblHeader/>
        </w:trPr>
        <w:tc>
          <w:tcPr>
            <w:tcW w:w="888" w:type="dxa"/>
          </w:tcPr>
          <w:p w14:paraId="1BC38F5C" w14:textId="77777777" w:rsidR="00136CEF" w:rsidRPr="0009734B" w:rsidRDefault="00136CEF" w:rsidP="00581B5C">
            <w:pPr>
              <w:jc w:val="center"/>
              <w:rPr>
                <w:b/>
              </w:rPr>
            </w:pPr>
            <w:r w:rsidRPr="0009734B">
              <w:rPr>
                <w:b/>
              </w:rPr>
              <w:t>POPP</w:t>
            </w:r>
          </w:p>
        </w:tc>
        <w:tc>
          <w:tcPr>
            <w:tcW w:w="1080" w:type="dxa"/>
          </w:tcPr>
          <w:p w14:paraId="385F8BFF" w14:textId="77777777" w:rsidR="00136CEF" w:rsidRPr="0009734B" w:rsidRDefault="00136CEF" w:rsidP="00581B5C">
            <w:pPr>
              <w:pStyle w:val="TableParagraph"/>
              <w:rPr>
                <w:b/>
                <w:sz w:val="20"/>
              </w:rPr>
            </w:pPr>
            <w:r>
              <w:rPr>
                <w:b/>
                <w:sz w:val="20"/>
              </w:rPr>
              <w:t>Work-Benc</w:t>
            </w:r>
            <w:r w:rsidRPr="0009734B">
              <w:rPr>
                <w:b/>
                <w:sz w:val="20"/>
              </w:rPr>
              <w:t>h</w:t>
            </w:r>
          </w:p>
          <w:p w14:paraId="448A8BBB" w14:textId="77777777" w:rsidR="00136CEF" w:rsidRDefault="00136CEF" w:rsidP="00581B5C">
            <w:pPr>
              <w:pStyle w:val="TableParagraph"/>
              <w:rPr>
                <w:sz w:val="20"/>
              </w:rPr>
            </w:pPr>
          </w:p>
          <w:p w14:paraId="121F5376" w14:textId="77777777" w:rsidR="00136CEF" w:rsidRDefault="00136CEF" w:rsidP="00581B5C">
            <w:pPr>
              <w:pStyle w:val="TableParagraph"/>
              <w:ind w:left="0"/>
              <w:rPr>
                <w:sz w:val="20"/>
              </w:rPr>
            </w:pPr>
            <w:r>
              <w:rPr>
                <w:sz w:val="20"/>
              </w:rPr>
              <w:t>e</w:t>
            </w:r>
          </w:p>
        </w:tc>
        <w:tc>
          <w:tcPr>
            <w:tcW w:w="1070" w:type="dxa"/>
          </w:tcPr>
          <w:p w14:paraId="56D19721" w14:textId="77777777" w:rsidR="00136CEF" w:rsidRPr="00C57A03" w:rsidRDefault="002F66EA" w:rsidP="002F66EA">
            <w:pPr>
              <w:pStyle w:val="TableParagraph"/>
              <w:rPr>
                <w:b/>
                <w:sz w:val="20"/>
              </w:rPr>
            </w:pPr>
            <w:r>
              <w:rPr>
                <w:b/>
                <w:sz w:val="20"/>
              </w:rPr>
              <w:t>GUIDELINES</w:t>
            </w:r>
          </w:p>
        </w:tc>
        <w:tc>
          <w:tcPr>
            <w:tcW w:w="7650" w:type="dxa"/>
          </w:tcPr>
          <w:p w14:paraId="419FAED8" w14:textId="77777777" w:rsidR="00136CEF" w:rsidRDefault="00136CEF" w:rsidP="00581B5C">
            <w:pPr>
              <w:pStyle w:val="TableParagraph"/>
              <w:rPr>
                <w:sz w:val="20"/>
              </w:rPr>
            </w:pPr>
          </w:p>
        </w:tc>
      </w:tr>
      <w:tr w:rsidR="00136CEF" w14:paraId="480D4D5E" w14:textId="77777777" w:rsidTr="00AE2690">
        <w:trPr>
          <w:trHeight w:hRule="exact" w:val="470"/>
        </w:trPr>
        <w:tc>
          <w:tcPr>
            <w:tcW w:w="888" w:type="dxa"/>
          </w:tcPr>
          <w:p w14:paraId="6DF34FA0" w14:textId="77777777" w:rsidR="00136CEF" w:rsidRDefault="00136CEF" w:rsidP="003423AA">
            <w:pPr>
              <w:jc w:val="center"/>
            </w:pPr>
            <w:r>
              <w:t>1</w:t>
            </w:r>
          </w:p>
        </w:tc>
        <w:tc>
          <w:tcPr>
            <w:tcW w:w="1080" w:type="dxa"/>
          </w:tcPr>
          <w:p w14:paraId="2A42A370" w14:textId="77777777" w:rsidR="00136CEF" w:rsidRDefault="00136CEF" w:rsidP="003423AA">
            <w:pPr>
              <w:pStyle w:val="TableParagraph"/>
              <w:jc w:val="center"/>
              <w:rPr>
                <w:sz w:val="20"/>
              </w:rPr>
            </w:pPr>
            <w:r>
              <w:rPr>
                <w:sz w:val="20"/>
              </w:rPr>
              <w:t>1</w:t>
            </w:r>
          </w:p>
        </w:tc>
        <w:tc>
          <w:tcPr>
            <w:tcW w:w="1070" w:type="dxa"/>
          </w:tcPr>
          <w:p w14:paraId="5984D255" w14:textId="77777777" w:rsidR="00136CEF" w:rsidRDefault="00136CEF" w:rsidP="003423AA">
            <w:pPr>
              <w:pStyle w:val="TableParagraph"/>
              <w:jc w:val="center"/>
              <w:rPr>
                <w:sz w:val="20"/>
              </w:rPr>
            </w:pPr>
            <w:r>
              <w:rPr>
                <w:sz w:val="20"/>
              </w:rPr>
              <w:t>1</w:t>
            </w:r>
          </w:p>
        </w:tc>
        <w:tc>
          <w:tcPr>
            <w:tcW w:w="7650" w:type="dxa"/>
          </w:tcPr>
          <w:p w14:paraId="5785EE21" w14:textId="77777777" w:rsidR="00136CEF" w:rsidRDefault="00136CEF" w:rsidP="00581B5C">
            <w:pPr>
              <w:pStyle w:val="TableParagraph"/>
              <w:rPr>
                <w:sz w:val="20"/>
              </w:rPr>
            </w:pPr>
            <w:r>
              <w:rPr>
                <w:sz w:val="20"/>
              </w:rPr>
              <w:t>No outstanding NEX advances – in either local currency or USD</w:t>
            </w:r>
          </w:p>
        </w:tc>
      </w:tr>
      <w:tr w:rsidR="00136CEF" w14:paraId="6D95D5DC" w14:textId="77777777" w:rsidTr="00AE2690">
        <w:trPr>
          <w:trHeight w:hRule="exact" w:val="470"/>
        </w:trPr>
        <w:tc>
          <w:tcPr>
            <w:tcW w:w="888" w:type="dxa"/>
          </w:tcPr>
          <w:p w14:paraId="415DDFC6" w14:textId="77777777" w:rsidR="00136CEF" w:rsidRDefault="00136CEF" w:rsidP="003423AA">
            <w:pPr>
              <w:jc w:val="center"/>
            </w:pPr>
            <w:r>
              <w:t>None</w:t>
            </w:r>
          </w:p>
        </w:tc>
        <w:tc>
          <w:tcPr>
            <w:tcW w:w="1080" w:type="dxa"/>
          </w:tcPr>
          <w:p w14:paraId="495E737D" w14:textId="77777777" w:rsidR="00136CEF" w:rsidRDefault="00136CEF" w:rsidP="003423AA">
            <w:pPr>
              <w:pStyle w:val="TableParagraph"/>
              <w:jc w:val="center"/>
              <w:rPr>
                <w:sz w:val="20"/>
              </w:rPr>
            </w:pPr>
            <w:r>
              <w:rPr>
                <w:sz w:val="20"/>
              </w:rPr>
              <w:t>None</w:t>
            </w:r>
          </w:p>
        </w:tc>
        <w:tc>
          <w:tcPr>
            <w:tcW w:w="1070" w:type="dxa"/>
          </w:tcPr>
          <w:p w14:paraId="478163F7" w14:textId="77777777" w:rsidR="00136CEF" w:rsidRDefault="00136CEF" w:rsidP="003423AA">
            <w:pPr>
              <w:pStyle w:val="TableParagraph"/>
              <w:jc w:val="center"/>
              <w:rPr>
                <w:sz w:val="20"/>
              </w:rPr>
            </w:pPr>
            <w:r>
              <w:rPr>
                <w:sz w:val="20"/>
              </w:rPr>
              <w:t>2</w:t>
            </w:r>
          </w:p>
        </w:tc>
        <w:tc>
          <w:tcPr>
            <w:tcW w:w="7650" w:type="dxa"/>
          </w:tcPr>
          <w:p w14:paraId="49E4E79A" w14:textId="77777777" w:rsidR="00136CEF" w:rsidRDefault="00136CEF" w:rsidP="00581B5C">
            <w:pPr>
              <w:pStyle w:val="TableParagraph"/>
              <w:rPr>
                <w:sz w:val="20"/>
              </w:rPr>
            </w:pPr>
            <w:r>
              <w:rPr>
                <w:sz w:val="20"/>
              </w:rPr>
              <w:t>No other outstanding advances</w:t>
            </w:r>
          </w:p>
        </w:tc>
      </w:tr>
      <w:tr w:rsidR="00136CEF" w14:paraId="399F61F0" w14:textId="77777777" w:rsidTr="00AE2690">
        <w:trPr>
          <w:trHeight w:hRule="exact" w:val="493"/>
        </w:trPr>
        <w:tc>
          <w:tcPr>
            <w:tcW w:w="888" w:type="dxa"/>
          </w:tcPr>
          <w:p w14:paraId="283A4DBD" w14:textId="77777777" w:rsidR="00136CEF" w:rsidRDefault="00136CEF" w:rsidP="003423AA">
            <w:pPr>
              <w:jc w:val="center"/>
            </w:pPr>
            <w:r>
              <w:t>2</w:t>
            </w:r>
          </w:p>
        </w:tc>
        <w:tc>
          <w:tcPr>
            <w:tcW w:w="1080" w:type="dxa"/>
          </w:tcPr>
          <w:p w14:paraId="5FC50607" w14:textId="77777777" w:rsidR="00136CEF" w:rsidRDefault="00136CEF" w:rsidP="003423AA">
            <w:pPr>
              <w:pStyle w:val="TableParagraph"/>
              <w:spacing w:line="230" w:lineRule="exact"/>
              <w:jc w:val="center"/>
              <w:rPr>
                <w:sz w:val="20"/>
              </w:rPr>
            </w:pPr>
            <w:r>
              <w:rPr>
                <w:sz w:val="20"/>
              </w:rPr>
              <w:t>2</w:t>
            </w:r>
          </w:p>
        </w:tc>
        <w:tc>
          <w:tcPr>
            <w:tcW w:w="1070" w:type="dxa"/>
          </w:tcPr>
          <w:p w14:paraId="2485277E" w14:textId="77777777" w:rsidR="00136CEF" w:rsidRDefault="00136CEF" w:rsidP="003423AA">
            <w:pPr>
              <w:pStyle w:val="TableParagraph"/>
              <w:spacing w:line="230" w:lineRule="exact"/>
              <w:jc w:val="center"/>
              <w:rPr>
                <w:sz w:val="20"/>
              </w:rPr>
            </w:pPr>
            <w:r>
              <w:rPr>
                <w:sz w:val="20"/>
              </w:rPr>
              <w:t>3</w:t>
            </w:r>
          </w:p>
        </w:tc>
        <w:tc>
          <w:tcPr>
            <w:tcW w:w="7650" w:type="dxa"/>
          </w:tcPr>
          <w:p w14:paraId="2348C44C" w14:textId="77777777" w:rsidR="00136CEF" w:rsidRDefault="00136CEF" w:rsidP="00581B5C">
            <w:pPr>
              <w:pStyle w:val="TableParagraph"/>
              <w:spacing w:line="230" w:lineRule="exact"/>
              <w:rPr>
                <w:sz w:val="20"/>
              </w:rPr>
            </w:pPr>
            <w:r>
              <w:rPr>
                <w:sz w:val="20"/>
              </w:rPr>
              <w:t>No outstanding PDRs</w:t>
            </w:r>
          </w:p>
        </w:tc>
      </w:tr>
      <w:tr w:rsidR="00136CEF" w14:paraId="11C256D7" w14:textId="77777777" w:rsidTr="00AE2690">
        <w:trPr>
          <w:trHeight w:hRule="exact" w:val="493"/>
        </w:trPr>
        <w:tc>
          <w:tcPr>
            <w:tcW w:w="888" w:type="dxa"/>
          </w:tcPr>
          <w:p w14:paraId="327D1539" w14:textId="77777777" w:rsidR="00136CEF" w:rsidRDefault="00136CEF" w:rsidP="003423AA">
            <w:pPr>
              <w:jc w:val="center"/>
            </w:pPr>
            <w:r>
              <w:t>3</w:t>
            </w:r>
          </w:p>
        </w:tc>
        <w:tc>
          <w:tcPr>
            <w:tcW w:w="1080" w:type="dxa"/>
          </w:tcPr>
          <w:p w14:paraId="03A3E7CE" w14:textId="77777777" w:rsidR="00136CEF" w:rsidRDefault="00136CEF" w:rsidP="003423AA">
            <w:pPr>
              <w:pStyle w:val="TableParagraph"/>
              <w:jc w:val="center"/>
              <w:rPr>
                <w:sz w:val="20"/>
              </w:rPr>
            </w:pPr>
            <w:r>
              <w:rPr>
                <w:sz w:val="20"/>
              </w:rPr>
              <w:t>3</w:t>
            </w:r>
          </w:p>
        </w:tc>
        <w:tc>
          <w:tcPr>
            <w:tcW w:w="1070" w:type="dxa"/>
          </w:tcPr>
          <w:p w14:paraId="420070E0" w14:textId="77777777" w:rsidR="00136CEF" w:rsidRDefault="00136CEF" w:rsidP="003423AA">
            <w:pPr>
              <w:pStyle w:val="TableParagraph"/>
              <w:jc w:val="center"/>
              <w:rPr>
                <w:sz w:val="20"/>
              </w:rPr>
            </w:pPr>
            <w:r>
              <w:rPr>
                <w:sz w:val="20"/>
              </w:rPr>
              <w:t>4</w:t>
            </w:r>
          </w:p>
        </w:tc>
        <w:tc>
          <w:tcPr>
            <w:tcW w:w="7650" w:type="dxa"/>
          </w:tcPr>
          <w:p w14:paraId="25F70D34" w14:textId="77777777" w:rsidR="00136CEF" w:rsidRDefault="00136CEF" w:rsidP="00581B5C">
            <w:pPr>
              <w:pStyle w:val="TableParagraph"/>
              <w:rPr>
                <w:sz w:val="20"/>
              </w:rPr>
            </w:pPr>
            <w:r>
              <w:rPr>
                <w:sz w:val="20"/>
              </w:rPr>
              <w:t>No open Purchase Orders</w:t>
            </w:r>
          </w:p>
        </w:tc>
      </w:tr>
      <w:tr w:rsidR="00136CEF" w14:paraId="367C03BC" w14:textId="77777777" w:rsidTr="00AE2690">
        <w:trPr>
          <w:trHeight w:hRule="exact" w:val="493"/>
        </w:trPr>
        <w:tc>
          <w:tcPr>
            <w:tcW w:w="888" w:type="dxa"/>
          </w:tcPr>
          <w:p w14:paraId="678A2C80" w14:textId="77777777" w:rsidR="00136CEF" w:rsidRDefault="00136CEF" w:rsidP="003423AA">
            <w:pPr>
              <w:jc w:val="center"/>
            </w:pPr>
            <w:r>
              <w:t>4</w:t>
            </w:r>
          </w:p>
        </w:tc>
        <w:tc>
          <w:tcPr>
            <w:tcW w:w="1080" w:type="dxa"/>
          </w:tcPr>
          <w:p w14:paraId="3ADA25C2" w14:textId="77777777" w:rsidR="00136CEF" w:rsidRDefault="00136CEF" w:rsidP="003423AA">
            <w:pPr>
              <w:pStyle w:val="TableParagraph"/>
              <w:jc w:val="center"/>
              <w:rPr>
                <w:sz w:val="20"/>
              </w:rPr>
            </w:pPr>
            <w:r>
              <w:rPr>
                <w:sz w:val="20"/>
              </w:rPr>
              <w:t>4</w:t>
            </w:r>
          </w:p>
        </w:tc>
        <w:tc>
          <w:tcPr>
            <w:tcW w:w="1070" w:type="dxa"/>
          </w:tcPr>
          <w:p w14:paraId="5DE75599" w14:textId="77777777" w:rsidR="00136CEF" w:rsidRDefault="00136CEF" w:rsidP="003423AA">
            <w:pPr>
              <w:pStyle w:val="TableParagraph"/>
              <w:jc w:val="center"/>
              <w:rPr>
                <w:sz w:val="20"/>
              </w:rPr>
            </w:pPr>
            <w:r>
              <w:rPr>
                <w:sz w:val="20"/>
              </w:rPr>
              <w:t>5</w:t>
            </w:r>
          </w:p>
        </w:tc>
        <w:tc>
          <w:tcPr>
            <w:tcW w:w="7650" w:type="dxa"/>
          </w:tcPr>
          <w:p w14:paraId="0ECBAB6C" w14:textId="77777777" w:rsidR="00136CEF" w:rsidRDefault="00136CEF" w:rsidP="00581B5C">
            <w:pPr>
              <w:pStyle w:val="TableParagraph"/>
              <w:rPr>
                <w:sz w:val="20"/>
              </w:rPr>
            </w:pPr>
            <w:r>
              <w:rPr>
                <w:sz w:val="20"/>
              </w:rPr>
              <w:t>No Receipt Accruals</w:t>
            </w:r>
          </w:p>
        </w:tc>
      </w:tr>
      <w:tr w:rsidR="00136CEF" w14:paraId="61E840F8" w14:textId="77777777" w:rsidTr="00AE2690">
        <w:trPr>
          <w:trHeight w:hRule="exact" w:val="469"/>
        </w:trPr>
        <w:tc>
          <w:tcPr>
            <w:tcW w:w="888" w:type="dxa"/>
          </w:tcPr>
          <w:p w14:paraId="4EA8114C" w14:textId="77777777" w:rsidR="00136CEF" w:rsidRDefault="00136CEF" w:rsidP="003423AA">
            <w:pPr>
              <w:jc w:val="center"/>
            </w:pPr>
            <w:r>
              <w:t>5</w:t>
            </w:r>
          </w:p>
        </w:tc>
        <w:tc>
          <w:tcPr>
            <w:tcW w:w="1080" w:type="dxa"/>
          </w:tcPr>
          <w:p w14:paraId="20AC6DD3" w14:textId="77777777" w:rsidR="00136CEF" w:rsidRDefault="00136CEF" w:rsidP="003423AA">
            <w:pPr>
              <w:pStyle w:val="TableParagraph"/>
              <w:jc w:val="center"/>
              <w:rPr>
                <w:sz w:val="20"/>
              </w:rPr>
            </w:pPr>
            <w:r>
              <w:rPr>
                <w:sz w:val="20"/>
              </w:rPr>
              <w:t>5</w:t>
            </w:r>
          </w:p>
        </w:tc>
        <w:tc>
          <w:tcPr>
            <w:tcW w:w="1070" w:type="dxa"/>
          </w:tcPr>
          <w:p w14:paraId="11FDE9A2" w14:textId="77777777" w:rsidR="00136CEF" w:rsidRDefault="00136CEF" w:rsidP="003423AA">
            <w:pPr>
              <w:pStyle w:val="TableParagraph"/>
              <w:jc w:val="center"/>
              <w:rPr>
                <w:sz w:val="20"/>
              </w:rPr>
            </w:pPr>
            <w:r>
              <w:rPr>
                <w:sz w:val="20"/>
              </w:rPr>
              <w:t>6</w:t>
            </w:r>
          </w:p>
        </w:tc>
        <w:tc>
          <w:tcPr>
            <w:tcW w:w="7650" w:type="dxa"/>
          </w:tcPr>
          <w:p w14:paraId="54F8A53F" w14:textId="77777777" w:rsidR="00136CEF" w:rsidRDefault="00136CEF" w:rsidP="00581B5C">
            <w:pPr>
              <w:pStyle w:val="TableParagraph"/>
              <w:rPr>
                <w:sz w:val="20"/>
              </w:rPr>
            </w:pPr>
            <w:r>
              <w:rPr>
                <w:sz w:val="20"/>
              </w:rPr>
              <w:t>No outstanding commitments</w:t>
            </w:r>
          </w:p>
        </w:tc>
      </w:tr>
      <w:tr w:rsidR="00136CEF" w14:paraId="2B9A3AA5" w14:textId="77777777" w:rsidTr="003423AA">
        <w:trPr>
          <w:trHeight w:hRule="exact" w:val="568"/>
        </w:trPr>
        <w:tc>
          <w:tcPr>
            <w:tcW w:w="888" w:type="dxa"/>
          </w:tcPr>
          <w:p w14:paraId="26115731" w14:textId="77777777" w:rsidR="00136CEF" w:rsidRDefault="00136CEF" w:rsidP="003423AA">
            <w:pPr>
              <w:jc w:val="center"/>
            </w:pPr>
            <w:r>
              <w:t>6</w:t>
            </w:r>
          </w:p>
        </w:tc>
        <w:tc>
          <w:tcPr>
            <w:tcW w:w="1080" w:type="dxa"/>
          </w:tcPr>
          <w:p w14:paraId="024AB843" w14:textId="77777777" w:rsidR="00136CEF" w:rsidRDefault="00136CEF" w:rsidP="003423AA">
            <w:pPr>
              <w:pStyle w:val="TableParagraph"/>
              <w:spacing w:line="230" w:lineRule="exact"/>
              <w:jc w:val="center"/>
              <w:rPr>
                <w:sz w:val="20"/>
              </w:rPr>
            </w:pPr>
            <w:r>
              <w:rPr>
                <w:sz w:val="20"/>
              </w:rPr>
              <w:t>6</w:t>
            </w:r>
          </w:p>
        </w:tc>
        <w:tc>
          <w:tcPr>
            <w:tcW w:w="1070" w:type="dxa"/>
          </w:tcPr>
          <w:p w14:paraId="078BA46E" w14:textId="77777777" w:rsidR="00136CEF" w:rsidRDefault="00136CEF" w:rsidP="003423AA">
            <w:pPr>
              <w:pStyle w:val="TableParagraph"/>
              <w:spacing w:line="230" w:lineRule="exact"/>
              <w:jc w:val="center"/>
              <w:rPr>
                <w:sz w:val="20"/>
              </w:rPr>
            </w:pPr>
            <w:r>
              <w:rPr>
                <w:sz w:val="20"/>
              </w:rPr>
              <w:t>7</w:t>
            </w:r>
          </w:p>
        </w:tc>
        <w:tc>
          <w:tcPr>
            <w:tcW w:w="7650" w:type="dxa"/>
          </w:tcPr>
          <w:p w14:paraId="132FCB62" w14:textId="368BE1F5" w:rsidR="00136CEF" w:rsidRDefault="00136CEF" w:rsidP="00581B5C">
            <w:pPr>
              <w:pStyle w:val="TableParagraph"/>
              <w:spacing w:line="230" w:lineRule="exact"/>
              <w:rPr>
                <w:sz w:val="20"/>
              </w:rPr>
            </w:pPr>
            <w:r>
              <w:rPr>
                <w:sz w:val="20"/>
              </w:rPr>
              <w:t xml:space="preserve">No pending prepayments and other </w:t>
            </w:r>
            <w:r w:rsidR="003423AA">
              <w:rPr>
                <w:sz w:val="20"/>
              </w:rPr>
              <w:t>non-</w:t>
            </w:r>
            <w:r>
              <w:rPr>
                <w:sz w:val="20"/>
              </w:rPr>
              <w:t xml:space="preserve">PO advances </w:t>
            </w:r>
            <w:r w:rsidRPr="008079E5">
              <w:rPr>
                <w:i/>
                <w:sz w:val="20"/>
              </w:rPr>
              <w:t>(</w:t>
            </w:r>
            <w:r w:rsidR="002F66EA">
              <w:rPr>
                <w:b/>
                <w:i/>
                <w:sz w:val="20"/>
              </w:rPr>
              <w:t>OPERATIONAL GUIDELINES</w:t>
            </w:r>
            <w:r w:rsidRPr="008079E5">
              <w:rPr>
                <w:b/>
                <w:i/>
                <w:sz w:val="20"/>
              </w:rPr>
              <w:t xml:space="preserve"> = No outstanding pre-paid vouchers – account 16065)</w:t>
            </w:r>
          </w:p>
        </w:tc>
      </w:tr>
      <w:tr w:rsidR="00136CEF" w14:paraId="6D560871" w14:textId="77777777" w:rsidTr="00AE2690">
        <w:trPr>
          <w:trHeight w:hRule="exact" w:val="470"/>
        </w:trPr>
        <w:tc>
          <w:tcPr>
            <w:tcW w:w="888" w:type="dxa"/>
          </w:tcPr>
          <w:p w14:paraId="56C8A48B" w14:textId="77777777" w:rsidR="00136CEF" w:rsidRDefault="00136CEF" w:rsidP="003423AA">
            <w:pPr>
              <w:jc w:val="center"/>
            </w:pPr>
            <w:r>
              <w:t>None</w:t>
            </w:r>
          </w:p>
        </w:tc>
        <w:tc>
          <w:tcPr>
            <w:tcW w:w="1080" w:type="dxa"/>
          </w:tcPr>
          <w:p w14:paraId="6A5D4D76" w14:textId="77777777" w:rsidR="00136CEF" w:rsidRDefault="00136CEF" w:rsidP="003423AA">
            <w:pPr>
              <w:pStyle w:val="TableParagraph"/>
              <w:spacing w:line="230" w:lineRule="exact"/>
              <w:jc w:val="center"/>
              <w:rPr>
                <w:sz w:val="20"/>
              </w:rPr>
            </w:pPr>
            <w:r>
              <w:rPr>
                <w:sz w:val="20"/>
              </w:rPr>
              <w:t>7</w:t>
            </w:r>
          </w:p>
        </w:tc>
        <w:tc>
          <w:tcPr>
            <w:tcW w:w="1070" w:type="dxa"/>
          </w:tcPr>
          <w:p w14:paraId="18718BAD" w14:textId="77777777" w:rsidR="00136CEF" w:rsidRDefault="00136CEF" w:rsidP="003423AA">
            <w:pPr>
              <w:pStyle w:val="TableParagraph"/>
              <w:spacing w:line="230" w:lineRule="exact"/>
              <w:jc w:val="center"/>
              <w:rPr>
                <w:sz w:val="20"/>
              </w:rPr>
            </w:pPr>
            <w:r>
              <w:rPr>
                <w:sz w:val="20"/>
              </w:rPr>
              <w:t>8</w:t>
            </w:r>
          </w:p>
        </w:tc>
        <w:tc>
          <w:tcPr>
            <w:tcW w:w="7650" w:type="dxa"/>
          </w:tcPr>
          <w:p w14:paraId="57081D39" w14:textId="77777777" w:rsidR="00136CEF" w:rsidRDefault="00136CEF" w:rsidP="00581B5C">
            <w:pPr>
              <w:pStyle w:val="TableParagraph"/>
              <w:spacing w:line="230" w:lineRule="exact"/>
              <w:rPr>
                <w:sz w:val="20"/>
              </w:rPr>
            </w:pPr>
            <w:r>
              <w:rPr>
                <w:sz w:val="20"/>
              </w:rPr>
              <w:t>No pending vouchers</w:t>
            </w:r>
          </w:p>
        </w:tc>
      </w:tr>
      <w:tr w:rsidR="00136CEF" w14:paraId="3C37D33B" w14:textId="77777777" w:rsidTr="00AE2690">
        <w:trPr>
          <w:trHeight w:hRule="exact" w:val="469"/>
        </w:trPr>
        <w:tc>
          <w:tcPr>
            <w:tcW w:w="888" w:type="dxa"/>
          </w:tcPr>
          <w:p w14:paraId="188ED71B" w14:textId="77777777" w:rsidR="00136CEF" w:rsidRDefault="00136CEF" w:rsidP="003423AA">
            <w:pPr>
              <w:jc w:val="center"/>
            </w:pPr>
            <w:r>
              <w:t>7</w:t>
            </w:r>
          </w:p>
        </w:tc>
        <w:tc>
          <w:tcPr>
            <w:tcW w:w="1080" w:type="dxa"/>
          </w:tcPr>
          <w:p w14:paraId="3ADEEA9F" w14:textId="77777777" w:rsidR="00136CEF" w:rsidRDefault="00136CEF" w:rsidP="003423AA">
            <w:pPr>
              <w:pStyle w:val="TableParagraph"/>
              <w:jc w:val="center"/>
              <w:rPr>
                <w:sz w:val="20"/>
              </w:rPr>
            </w:pPr>
            <w:r>
              <w:rPr>
                <w:sz w:val="20"/>
              </w:rPr>
              <w:t>8</w:t>
            </w:r>
          </w:p>
        </w:tc>
        <w:tc>
          <w:tcPr>
            <w:tcW w:w="1070" w:type="dxa"/>
          </w:tcPr>
          <w:p w14:paraId="14DB9800" w14:textId="77777777" w:rsidR="00136CEF" w:rsidRDefault="00136CEF" w:rsidP="003423AA">
            <w:pPr>
              <w:pStyle w:val="TableParagraph"/>
              <w:jc w:val="center"/>
              <w:rPr>
                <w:sz w:val="20"/>
              </w:rPr>
            </w:pPr>
            <w:r>
              <w:rPr>
                <w:sz w:val="20"/>
              </w:rPr>
              <w:t>9</w:t>
            </w:r>
          </w:p>
        </w:tc>
        <w:tc>
          <w:tcPr>
            <w:tcW w:w="7650" w:type="dxa"/>
          </w:tcPr>
          <w:p w14:paraId="4763015B" w14:textId="77777777" w:rsidR="00136CEF" w:rsidRDefault="00136CEF" w:rsidP="00581B5C">
            <w:pPr>
              <w:pStyle w:val="TableParagraph"/>
              <w:rPr>
                <w:sz w:val="20"/>
              </w:rPr>
            </w:pPr>
            <w:r>
              <w:rPr>
                <w:sz w:val="20"/>
              </w:rPr>
              <w:t>All pre-financing activities have been recovered and/or reimbursed</w:t>
            </w:r>
          </w:p>
        </w:tc>
      </w:tr>
      <w:tr w:rsidR="00136CEF" w14:paraId="75DC5442" w14:textId="77777777" w:rsidTr="00AE2690">
        <w:trPr>
          <w:trHeight w:hRule="exact" w:val="1004"/>
        </w:trPr>
        <w:tc>
          <w:tcPr>
            <w:tcW w:w="888" w:type="dxa"/>
          </w:tcPr>
          <w:p w14:paraId="44AF49BD" w14:textId="77777777" w:rsidR="00136CEF" w:rsidRDefault="00136CEF" w:rsidP="003423AA">
            <w:pPr>
              <w:jc w:val="center"/>
            </w:pPr>
            <w:r>
              <w:t>8</w:t>
            </w:r>
          </w:p>
        </w:tc>
        <w:tc>
          <w:tcPr>
            <w:tcW w:w="1080" w:type="dxa"/>
          </w:tcPr>
          <w:p w14:paraId="13ACA032" w14:textId="77777777" w:rsidR="00136CEF" w:rsidRDefault="00136CEF" w:rsidP="003423AA">
            <w:pPr>
              <w:pStyle w:val="TableParagraph"/>
              <w:spacing w:line="276" w:lineRule="auto"/>
              <w:jc w:val="center"/>
              <w:rPr>
                <w:sz w:val="20"/>
              </w:rPr>
            </w:pPr>
            <w:r>
              <w:rPr>
                <w:sz w:val="20"/>
              </w:rPr>
              <w:t>9</w:t>
            </w:r>
          </w:p>
        </w:tc>
        <w:tc>
          <w:tcPr>
            <w:tcW w:w="1070" w:type="dxa"/>
          </w:tcPr>
          <w:p w14:paraId="608A4B0B" w14:textId="77777777" w:rsidR="00136CEF" w:rsidRDefault="00136CEF" w:rsidP="003423AA">
            <w:pPr>
              <w:pStyle w:val="TableParagraph"/>
              <w:spacing w:line="276" w:lineRule="auto"/>
              <w:jc w:val="center"/>
              <w:rPr>
                <w:sz w:val="20"/>
              </w:rPr>
            </w:pPr>
            <w:r>
              <w:rPr>
                <w:sz w:val="20"/>
              </w:rPr>
              <w:t>10</w:t>
            </w:r>
          </w:p>
        </w:tc>
        <w:tc>
          <w:tcPr>
            <w:tcW w:w="7650" w:type="dxa"/>
          </w:tcPr>
          <w:p w14:paraId="346DDDA2" w14:textId="79D17041" w:rsidR="00136CEF" w:rsidRDefault="00136CEF" w:rsidP="008079E5">
            <w:pPr>
              <w:pStyle w:val="TableParagraph"/>
              <w:spacing w:line="276" w:lineRule="auto"/>
              <w:rPr>
                <w:sz w:val="20"/>
              </w:rPr>
            </w:pPr>
            <w:r>
              <w:rPr>
                <w:sz w:val="20"/>
              </w:rPr>
              <w:t xml:space="preserve">No pending GMS or Direct Project Charging (formerly ISS). (If Off-the-top GMS was used, extra-budgetary income taken must be reconciled to actual expenses/delivery. A pro-rata </w:t>
            </w:r>
            <w:r w:rsidR="003423AA">
              <w:rPr>
                <w:sz w:val="20"/>
              </w:rPr>
              <w:t>returns</w:t>
            </w:r>
            <w:r>
              <w:rPr>
                <w:sz w:val="20"/>
              </w:rPr>
              <w:t xml:space="preserve"> of GMS based on the balance of unspent funds must be done.</w:t>
            </w:r>
            <w:r w:rsidR="008079E5">
              <w:rPr>
                <w:sz w:val="20"/>
              </w:rPr>
              <w:t>)</w:t>
            </w:r>
          </w:p>
        </w:tc>
      </w:tr>
      <w:tr w:rsidR="00136CEF" w14:paraId="3D170AA0" w14:textId="77777777" w:rsidTr="00AE2690">
        <w:trPr>
          <w:trHeight w:hRule="exact" w:val="492"/>
        </w:trPr>
        <w:tc>
          <w:tcPr>
            <w:tcW w:w="888" w:type="dxa"/>
          </w:tcPr>
          <w:p w14:paraId="209961F6" w14:textId="77777777" w:rsidR="00136CEF" w:rsidRDefault="00136CEF" w:rsidP="003423AA">
            <w:pPr>
              <w:jc w:val="center"/>
            </w:pPr>
            <w:r>
              <w:t>9</w:t>
            </w:r>
          </w:p>
        </w:tc>
        <w:tc>
          <w:tcPr>
            <w:tcW w:w="1080" w:type="dxa"/>
          </w:tcPr>
          <w:p w14:paraId="374FE91E" w14:textId="77777777" w:rsidR="00136CEF" w:rsidRDefault="00136CEF" w:rsidP="003423AA">
            <w:pPr>
              <w:pStyle w:val="TableParagraph"/>
              <w:jc w:val="center"/>
              <w:rPr>
                <w:sz w:val="20"/>
              </w:rPr>
            </w:pPr>
            <w:r>
              <w:rPr>
                <w:sz w:val="20"/>
              </w:rPr>
              <w:t>10</w:t>
            </w:r>
          </w:p>
        </w:tc>
        <w:tc>
          <w:tcPr>
            <w:tcW w:w="1070" w:type="dxa"/>
          </w:tcPr>
          <w:p w14:paraId="0FAEFA12" w14:textId="77777777" w:rsidR="00136CEF" w:rsidRDefault="00136CEF" w:rsidP="003423AA">
            <w:pPr>
              <w:pStyle w:val="TableParagraph"/>
              <w:jc w:val="center"/>
              <w:rPr>
                <w:sz w:val="20"/>
              </w:rPr>
            </w:pPr>
            <w:r>
              <w:rPr>
                <w:sz w:val="20"/>
              </w:rPr>
              <w:t>11</w:t>
            </w:r>
          </w:p>
        </w:tc>
        <w:tc>
          <w:tcPr>
            <w:tcW w:w="7650" w:type="dxa"/>
          </w:tcPr>
          <w:p w14:paraId="46BC33AB" w14:textId="77777777" w:rsidR="00136CEF" w:rsidRDefault="00136CEF" w:rsidP="00581B5C">
            <w:pPr>
              <w:pStyle w:val="TableParagraph"/>
              <w:rPr>
                <w:sz w:val="20"/>
              </w:rPr>
            </w:pPr>
            <w:r>
              <w:rPr>
                <w:sz w:val="20"/>
              </w:rPr>
              <w:t>No pending GLJEs</w:t>
            </w:r>
          </w:p>
        </w:tc>
      </w:tr>
      <w:tr w:rsidR="00136CEF" w14:paraId="691837AD" w14:textId="77777777" w:rsidTr="00AE2690">
        <w:trPr>
          <w:trHeight w:hRule="exact" w:val="493"/>
        </w:trPr>
        <w:tc>
          <w:tcPr>
            <w:tcW w:w="888" w:type="dxa"/>
          </w:tcPr>
          <w:p w14:paraId="37FF7E5B" w14:textId="77777777" w:rsidR="00136CEF" w:rsidRDefault="00136CEF" w:rsidP="003423AA">
            <w:pPr>
              <w:jc w:val="center"/>
            </w:pPr>
            <w:r>
              <w:t>10</w:t>
            </w:r>
          </w:p>
        </w:tc>
        <w:tc>
          <w:tcPr>
            <w:tcW w:w="1080" w:type="dxa"/>
          </w:tcPr>
          <w:p w14:paraId="5F9F47EB" w14:textId="77777777" w:rsidR="00136CEF" w:rsidRDefault="00136CEF" w:rsidP="003423AA">
            <w:pPr>
              <w:pStyle w:val="TableParagraph"/>
              <w:spacing w:line="230" w:lineRule="exact"/>
              <w:jc w:val="center"/>
              <w:rPr>
                <w:sz w:val="20"/>
              </w:rPr>
            </w:pPr>
            <w:r>
              <w:rPr>
                <w:sz w:val="20"/>
              </w:rPr>
              <w:t>11</w:t>
            </w:r>
          </w:p>
        </w:tc>
        <w:tc>
          <w:tcPr>
            <w:tcW w:w="1070" w:type="dxa"/>
          </w:tcPr>
          <w:p w14:paraId="7C96DA8F" w14:textId="77777777" w:rsidR="00136CEF" w:rsidRDefault="00136CEF" w:rsidP="003423AA">
            <w:pPr>
              <w:pStyle w:val="TableParagraph"/>
              <w:spacing w:line="230" w:lineRule="exact"/>
              <w:jc w:val="center"/>
              <w:rPr>
                <w:sz w:val="20"/>
              </w:rPr>
            </w:pPr>
            <w:r>
              <w:rPr>
                <w:sz w:val="20"/>
              </w:rPr>
              <w:t>12</w:t>
            </w:r>
          </w:p>
        </w:tc>
        <w:tc>
          <w:tcPr>
            <w:tcW w:w="7650" w:type="dxa"/>
          </w:tcPr>
          <w:p w14:paraId="424B9822" w14:textId="77777777" w:rsidR="00136CEF" w:rsidRDefault="00136CEF" w:rsidP="00581B5C">
            <w:pPr>
              <w:pStyle w:val="TableParagraph"/>
              <w:spacing w:line="230" w:lineRule="exact"/>
              <w:rPr>
                <w:sz w:val="20"/>
              </w:rPr>
            </w:pPr>
            <w:r>
              <w:rPr>
                <w:sz w:val="20"/>
              </w:rPr>
              <w:t>No unapplied deposits or other unrecorded revenue</w:t>
            </w:r>
          </w:p>
        </w:tc>
      </w:tr>
      <w:tr w:rsidR="00136CEF" w14:paraId="6DEC0B86" w14:textId="77777777" w:rsidTr="00AE2690">
        <w:trPr>
          <w:trHeight w:hRule="exact" w:val="493"/>
        </w:trPr>
        <w:tc>
          <w:tcPr>
            <w:tcW w:w="888" w:type="dxa"/>
          </w:tcPr>
          <w:p w14:paraId="611CD431" w14:textId="77777777" w:rsidR="00136CEF" w:rsidRDefault="00136CEF" w:rsidP="003423AA">
            <w:pPr>
              <w:jc w:val="center"/>
            </w:pPr>
            <w:r>
              <w:t>11</w:t>
            </w:r>
          </w:p>
        </w:tc>
        <w:tc>
          <w:tcPr>
            <w:tcW w:w="1080" w:type="dxa"/>
          </w:tcPr>
          <w:p w14:paraId="2A054EAB" w14:textId="77777777" w:rsidR="00136CEF" w:rsidRDefault="00136CEF" w:rsidP="003423AA">
            <w:pPr>
              <w:pStyle w:val="TableParagraph"/>
              <w:spacing w:line="230" w:lineRule="exact"/>
              <w:ind w:right="160"/>
              <w:jc w:val="center"/>
              <w:rPr>
                <w:sz w:val="20"/>
              </w:rPr>
            </w:pPr>
            <w:r>
              <w:rPr>
                <w:sz w:val="20"/>
              </w:rPr>
              <w:t>12</w:t>
            </w:r>
          </w:p>
        </w:tc>
        <w:tc>
          <w:tcPr>
            <w:tcW w:w="1070" w:type="dxa"/>
          </w:tcPr>
          <w:p w14:paraId="28A7BB0F" w14:textId="77777777" w:rsidR="00136CEF" w:rsidRDefault="00136CEF" w:rsidP="003423AA">
            <w:pPr>
              <w:pStyle w:val="TableParagraph"/>
              <w:spacing w:line="230" w:lineRule="exact"/>
              <w:ind w:right="160"/>
              <w:jc w:val="center"/>
              <w:rPr>
                <w:sz w:val="20"/>
              </w:rPr>
            </w:pPr>
            <w:r>
              <w:rPr>
                <w:sz w:val="20"/>
              </w:rPr>
              <w:t>13</w:t>
            </w:r>
          </w:p>
        </w:tc>
        <w:tc>
          <w:tcPr>
            <w:tcW w:w="7650" w:type="dxa"/>
          </w:tcPr>
          <w:p w14:paraId="45BFE61F" w14:textId="77777777" w:rsidR="00136CEF" w:rsidRDefault="00136CEF" w:rsidP="00581B5C">
            <w:pPr>
              <w:pStyle w:val="TableParagraph"/>
              <w:spacing w:line="230" w:lineRule="exact"/>
              <w:ind w:right="160"/>
              <w:rPr>
                <w:sz w:val="20"/>
              </w:rPr>
            </w:pPr>
            <w:r>
              <w:rPr>
                <w:sz w:val="20"/>
              </w:rPr>
              <w:t>No outstanding Accounts Receivable to be received from donors per signed agreements</w:t>
            </w:r>
          </w:p>
        </w:tc>
      </w:tr>
      <w:tr w:rsidR="00136CEF" w14:paraId="0F18013F" w14:textId="77777777" w:rsidTr="00AE2690">
        <w:trPr>
          <w:trHeight w:hRule="exact" w:val="493"/>
        </w:trPr>
        <w:tc>
          <w:tcPr>
            <w:tcW w:w="888" w:type="dxa"/>
          </w:tcPr>
          <w:p w14:paraId="138312D6" w14:textId="77777777" w:rsidR="00136CEF" w:rsidRDefault="00136CEF" w:rsidP="003423AA">
            <w:pPr>
              <w:jc w:val="center"/>
            </w:pPr>
            <w:r>
              <w:t>None</w:t>
            </w:r>
          </w:p>
        </w:tc>
        <w:tc>
          <w:tcPr>
            <w:tcW w:w="1080" w:type="dxa"/>
          </w:tcPr>
          <w:p w14:paraId="267658A9" w14:textId="77777777" w:rsidR="00136CEF" w:rsidRDefault="00136CEF" w:rsidP="003423AA">
            <w:pPr>
              <w:pStyle w:val="TableParagraph"/>
              <w:spacing w:line="230" w:lineRule="exact"/>
              <w:ind w:right="160"/>
              <w:jc w:val="center"/>
              <w:rPr>
                <w:sz w:val="20"/>
              </w:rPr>
            </w:pPr>
            <w:r>
              <w:rPr>
                <w:sz w:val="20"/>
              </w:rPr>
              <w:t>None</w:t>
            </w:r>
          </w:p>
        </w:tc>
        <w:tc>
          <w:tcPr>
            <w:tcW w:w="1070" w:type="dxa"/>
          </w:tcPr>
          <w:p w14:paraId="253418B9" w14:textId="77777777" w:rsidR="00136CEF" w:rsidRDefault="00136CEF" w:rsidP="003423AA">
            <w:pPr>
              <w:pStyle w:val="TableParagraph"/>
              <w:spacing w:line="230" w:lineRule="exact"/>
              <w:ind w:right="160"/>
              <w:jc w:val="center"/>
              <w:rPr>
                <w:sz w:val="20"/>
              </w:rPr>
            </w:pPr>
            <w:r>
              <w:rPr>
                <w:sz w:val="20"/>
              </w:rPr>
              <w:t>14</w:t>
            </w:r>
          </w:p>
        </w:tc>
        <w:tc>
          <w:tcPr>
            <w:tcW w:w="7650" w:type="dxa"/>
          </w:tcPr>
          <w:p w14:paraId="5AA53611" w14:textId="77777777" w:rsidR="00136CEF" w:rsidRDefault="00136CEF" w:rsidP="00581B5C">
            <w:pPr>
              <w:pStyle w:val="TableParagraph"/>
              <w:spacing w:line="230" w:lineRule="exact"/>
              <w:ind w:right="160"/>
              <w:rPr>
                <w:sz w:val="20"/>
              </w:rPr>
            </w:pPr>
            <w:r>
              <w:rPr>
                <w:sz w:val="20"/>
              </w:rPr>
              <w:t>No outstanding Accounts Receivable to be collected from door (GL account 14015 including FX revaluation).</w:t>
            </w:r>
          </w:p>
        </w:tc>
      </w:tr>
      <w:tr w:rsidR="00136CEF" w14:paraId="417AF12B" w14:textId="77777777" w:rsidTr="00AE2690">
        <w:trPr>
          <w:trHeight w:hRule="exact" w:val="494"/>
        </w:trPr>
        <w:tc>
          <w:tcPr>
            <w:tcW w:w="888" w:type="dxa"/>
          </w:tcPr>
          <w:p w14:paraId="26F483E9" w14:textId="77777777" w:rsidR="00136CEF" w:rsidRDefault="00136CEF" w:rsidP="003423AA">
            <w:pPr>
              <w:jc w:val="center"/>
            </w:pPr>
            <w:r>
              <w:t>12</w:t>
            </w:r>
          </w:p>
        </w:tc>
        <w:tc>
          <w:tcPr>
            <w:tcW w:w="1080" w:type="dxa"/>
          </w:tcPr>
          <w:p w14:paraId="0D755A10" w14:textId="77777777" w:rsidR="00136CEF" w:rsidRDefault="00136CEF" w:rsidP="003423AA">
            <w:pPr>
              <w:pStyle w:val="TableParagraph"/>
              <w:spacing w:line="229" w:lineRule="exact"/>
              <w:jc w:val="center"/>
              <w:rPr>
                <w:sz w:val="20"/>
              </w:rPr>
            </w:pPr>
            <w:r>
              <w:rPr>
                <w:sz w:val="20"/>
              </w:rPr>
              <w:t>13</w:t>
            </w:r>
          </w:p>
        </w:tc>
        <w:tc>
          <w:tcPr>
            <w:tcW w:w="1070" w:type="dxa"/>
          </w:tcPr>
          <w:p w14:paraId="6A0CD82C" w14:textId="77777777" w:rsidR="00136CEF" w:rsidRDefault="00136CEF" w:rsidP="003423AA">
            <w:pPr>
              <w:pStyle w:val="TableParagraph"/>
              <w:spacing w:line="229" w:lineRule="exact"/>
              <w:jc w:val="center"/>
              <w:rPr>
                <w:sz w:val="20"/>
              </w:rPr>
            </w:pPr>
            <w:r>
              <w:rPr>
                <w:sz w:val="20"/>
              </w:rPr>
              <w:t>15</w:t>
            </w:r>
          </w:p>
        </w:tc>
        <w:tc>
          <w:tcPr>
            <w:tcW w:w="7650" w:type="dxa"/>
          </w:tcPr>
          <w:p w14:paraId="09CE1150" w14:textId="77777777" w:rsidR="00136CEF" w:rsidRDefault="00136CEF" w:rsidP="00581B5C">
            <w:pPr>
              <w:pStyle w:val="TableParagraph"/>
              <w:spacing w:line="229" w:lineRule="exact"/>
              <w:rPr>
                <w:sz w:val="20"/>
              </w:rPr>
            </w:pPr>
            <w:r>
              <w:rPr>
                <w:sz w:val="20"/>
              </w:rPr>
              <w:t>No AR direct journals in budget error or incomplete status</w:t>
            </w:r>
          </w:p>
        </w:tc>
      </w:tr>
      <w:tr w:rsidR="00136CEF" w14:paraId="6D40DF3F" w14:textId="77777777" w:rsidTr="00FB0AC3">
        <w:trPr>
          <w:trHeight w:hRule="exact" w:val="1090"/>
        </w:trPr>
        <w:tc>
          <w:tcPr>
            <w:tcW w:w="888" w:type="dxa"/>
          </w:tcPr>
          <w:p w14:paraId="2482E6EC" w14:textId="77777777" w:rsidR="00136CEF" w:rsidRDefault="00136CEF" w:rsidP="003423AA">
            <w:pPr>
              <w:jc w:val="center"/>
            </w:pPr>
            <w:r>
              <w:t>13</w:t>
            </w:r>
          </w:p>
        </w:tc>
        <w:tc>
          <w:tcPr>
            <w:tcW w:w="1080" w:type="dxa"/>
          </w:tcPr>
          <w:p w14:paraId="4CE1BF94" w14:textId="77777777" w:rsidR="00136CEF" w:rsidRDefault="00136CEF" w:rsidP="003423AA">
            <w:pPr>
              <w:pStyle w:val="TableParagraph"/>
              <w:spacing w:line="240" w:lineRule="auto"/>
              <w:ind w:right="160"/>
              <w:jc w:val="center"/>
              <w:rPr>
                <w:sz w:val="20"/>
              </w:rPr>
            </w:pPr>
            <w:r>
              <w:rPr>
                <w:sz w:val="20"/>
              </w:rPr>
              <w:t>14</w:t>
            </w:r>
          </w:p>
        </w:tc>
        <w:tc>
          <w:tcPr>
            <w:tcW w:w="1070" w:type="dxa"/>
          </w:tcPr>
          <w:p w14:paraId="0B7F746C" w14:textId="77777777" w:rsidR="00136CEF" w:rsidRDefault="00136CEF" w:rsidP="003423AA">
            <w:pPr>
              <w:pStyle w:val="TableParagraph"/>
              <w:spacing w:line="240" w:lineRule="auto"/>
              <w:ind w:right="160"/>
              <w:jc w:val="center"/>
              <w:rPr>
                <w:sz w:val="20"/>
              </w:rPr>
            </w:pPr>
            <w:r>
              <w:rPr>
                <w:sz w:val="20"/>
              </w:rPr>
              <w:t>16</w:t>
            </w:r>
          </w:p>
        </w:tc>
        <w:tc>
          <w:tcPr>
            <w:tcW w:w="7650" w:type="dxa"/>
          </w:tcPr>
          <w:p w14:paraId="33A21D0A" w14:textId="75A94908" w:rsidR="00136CEF" w:rsidRDefault="00136CEF" w:rsidP="00FB0AC3">
            <w:pPr>
              <w:pStyle w:val="TableParagraph"/>
              <w:spacing w:line="240" w:lineRule="auto"/>
              <w:ind w:right="160"/>
              <w:rPr>
                <w:sz w:val="20"/>
              </w:rPr>
            </w:pPr>
            <w:r>
              <w:rPr>
                <w:sz w:val="20"/>
              </w:rPr>
              <w:t xml:space="preserve">All assets are transferred or otherwise disposed of. </w:t>
            </w:r>
            <w:hyperlink r:id="rId117" w:history="1">
              <w:r w:rsidR="0011429B" w:rsidRPr="0011429B">
                <w:rPr>
                  <w:rStyle w:val="Hyperlink"/>
                  <w:sz w:val="20"/>
                </w:rPr>
                <w:t>UNDP Service Request Portal</w:t>
              </w:r>
            </w:hyperlink>
            <w:r w:rsidR="00FB0AC3">
              <w:rPr>
                <w:sz w:val="20"/>
              </w:rPr>
              <w:t xml:space="preserve"> for disposal and transfers have been submitted to GSSU</w:t>
            </w:r>
            <w:r w:rsidR="00FB0AC3" w:rsidRPr="002531FB">
              <w:rPr>
                <w:b/>
                <w:sz w:val="20"/>
              </w:rPr>
              <w:t>.</w:t>
            </w:r>
            <w:r w:rsidR="00FB0AC3">
              <w:rPr>
                <w:b/>
                <w:sz w:val="20"/>
              </w:rPr>
              <w:t xml:space="preserve"> </w:t>
            </w:r>
            <w:r>
              <w:rPr>
                <w:sz w:val="20"/>
              </w:rPr>
              <w:t>Asset transfer letters/ documents are in place</w:t>
            </w:r>
            <w:r w:rsidRPr="002531FB">
              <w:rPr>
                <w:b/>
                <w:sz w:val="20"/>
              </w:rPr>
              <w:t xml:space="preserve">. </w:t>
            </w:r>
            <w:r w:rsidRPr="008079E5">
              <w:rPr>
                <w:b/>
                <w:i/>
                <w:sz w:val="20"/>
              </w:rPr>
              <w:t>Workbench and</w:t>
            </w:r>
            <w:r w:rsidRPr="008079E5">
              <w:rPr>
                <w:i/>
                <w:sz w:val="20"/>
              </w:rPr>
              <w:t xml:space="preserve"> </w:t>
            </w:r>
            <w:r w:rsidR="002F66EA">
              <w:rPr>
                <w:b/>
                <w:i/>
                <w:sz w:val="20"/>
              </w:rPr>
              <w:t>OPERATIONAL GUIDELINES</w:t>
            </w:r>
            <w:r w:rsidRPr="008079E5">
              <w:rPr>
                <w:b/>
                <w:i/>
                <w:sz w:val="20"/>
              </w:rPr>
              <w:t xml:space="preserve"> states (GL accounts 18xxx) (Click for ISR Report).</w:t>
            </w:r>
          </w:p>
        </w:tc>
      </w:tr>
      <w:tr w:rsidR="00136CEF" w14:paraId="1861F84B" w14:textId="77777777" w:rsidTr="00FB0AC3">
        <w:trPr>
          <w:trHeight w:hRule="exact" w:val="532"/>
        </w:trPr>
        <w:tc>
          <w:tcPr>
            <w:tcW w:w="888" w:type="dxa"/>
          </w:tcPr>
          <w:p w14:paraId="6CC17330" w14:textId="77777777" w:rsidR="00136CEF" w:rsidRDefault="00136CEF" w:rsidP="003423AA">
            <w:pPr>
              <w:jc w:val="center"/>
            </w:pPr>
            <w:r>
              <w:t>None</w:t>
            </w:r>
          </w:p>
        </w:tc>
        <w:tc>
          <w:tcPr>
            <w:tcW w:w="1080" w:type="dxa"/>
          </w:tcPr>
          <w:p w14:paraId="546CE9A7" w14:textId="77777777" w:rsidR="00136CEF" w:rsidRDefault="00136CEF" w:rsidP="003423AA">
            <w:pPr>
              <w:pStyle w:val="TableParagraph"/>
              <w:spacing w:line="240" w:lineRule="auto"/>
              <w:ind w:right="160"/>
              <w:jc w:val="center"/>
              <w:rPr>
                <w:sz w:val="20"/>
              </w:rPr>
            </w:pPr>
            <w:r>
              <w:rPr>
                <w:sz w:val="20"/>
              </w:rPr>
              <w:t>15</w:t>
            </w:r>
          </w:p>
        </w:tc>
        <w:tc>
          <w:tcPr>
            <w:tcW w:w="1070" w:type="dxa"/>
          </w:tcPr>
          <w:p w14:paraId="714C9730" w14:textId="77777777" w:rsidR="00136CEF" w:rsidRDefault="00136CEF" w:rsidP="003423AA">
            <w:pPr>
              <w:pStyle w:val="TableParagraph"/>
              <w:spacing w:line="240" w:lineRule="auto"/>
              <w:ind w:right="160"/>
              <w:jc w:val="center"/>
              <w:rPr>
                <w:sz w:val="20"/>
              </w:rPr>
            </w:pPr>
            <w:r>
              <w:rPr>
                <w:sz w:val="20"/>
              </w:rPr>
              <w:t>17</w:t>
            </w:r>
          </w:p>
        </w:tc>
        <w:tc>
          <w:tcPr>
            <w:tcW w:w="7650" w:type="dxa"/>
          </w:tcPr>
          <w:p w14:paraId="2250FF61" w14:textId="77777777" w:rsidR="00136CEF" w:rsidRDefault="00136CEF" w:rsidP="00581B5C">
            <w:pPr>
              <w:pStyle w:val="TableParagraph"/>
              <w:spacing w:line="240" w:lineRule="auto"/>
              <w:ind w:right="160"/>
              <w:rPr>
                <w:sz w:val="20"/>
              </w:rPr>
            </w:pPr>
            <w:r>
              <w:rPr>
                <w:sz w:val="20"/>
              </w:rPr>
              <w:t xml:space="preserve">All unused inventory items held at the end of the project have been disposed of or transferred to other projects. </w:t>
            </w:r>
          </w:p>
        </w:tc>
      </w:tr>
      <w:tr w:rsidR="00136CEF" w14:paraId="1A633CFE" w14:textId="77777777" w:rsidTr="00FB0AC3">
        <w:trPr>
          <w:trHeight w:hRule="exact" w:val="550"/>
        </w:trPr>
        <w:tc>
          <w:tcPr>
            <w:tcW w:w="888" w:type="dxa"/>
          </w:tcPr>
          <w:p w14:paraId="017F16BD" w14:textId="77777777" w:rsidR="00136CEF" w:rsidRDefault="00136CEF" w:rsidP="003423AA">
            <w:pPr>
              <w:jc w:val="center"/>
            </w:pPr>
            <w:r>
              <w:t>14</w:t>
            </w:r>
          </w:p>
        </w:tc>
        <w:tc>
          <w:tcPr>
            <w:tcW w:w="1080" w:type="dxa"/>
          </w:tcPr>
          <w:p w14:paraId="0397FAB3" w14:textId="77777777" w:rsidR="00136CEF" w:rsidRDefault="00136CEF" w:rsidP="003423AA">
            <w:pPr>
              <w:pStyle w:val="TableParagraph"/>
              <w:spacing w:line="240" w:lineRule="auto"/>
              <w:ind w:right="160"/>
              <w:jc w:val="center"/>
              <w:rPr>
                <w:sz w:val="20"/>
              </w:rPr>
            </w:pPr>
            <w:r>
              <w:rPr>
                <w:sz w:val="20"/>
              </w:rPr>
              <w:t>16</w:t>
            </w:r>
          </w:p>
        </w:tc>
        <w:tc>
          <w:tcPr>
            <w:tcW w:w="1070" w:type="dxa"/>
          </w:tcPr>
          <w:p w14:paraId="787954AE" w14:textId="77777777" w:rsidR="00136CEF" w:rsidRDefault="00136CEF" w:rsidP="003423AA">
            <w:pPr>
              <w:pStyle w:val="TableParagraph"/>
              <w:spacing w:line="240" w:lineRule="auto"/>
              <w:ind w:right="160"/>
              <w:jc w:val="center"/>
              <w:rPr>
                <w:sz w:val="20"/>
              </w:rPr>
            </w:pPr>
            <w:r>
              <w:rPr>
                <w:sz w:val="20"/>
              </w:rPr>
              <w:t>18</w:t>
            </w:r>
          </w:p>
        </w:tc>
        <w:tc>
          <w:tcPr>
            <w:tcW w:w="7650" w:type="dxa"/>
          </w:tcPr>
          <w:p w14:paraId="61B290A0" w14:textId="77777777" w:rsidR="00136CEF" w:rsidRDefault="00136CEF" w:rsidP="00581B5C">
            <w:pPr>
              <w:pStyle w:val="TableParagraph"/>
              <w:spacing w:line="240" w:lineRule="auto"/>
              <w:ind w:right="160"/>
              <w:rPr>
                <w:sz w:val="20"/>
              </w:rPr>
            </w:pPr>
            <w:r>
              <w:rPr>
                <w:sz w:val="20"/>
              </w:rPr>
              <w:t>Ensure all transactions for sale/transfer/donation/disposal etc. of assets have been processed and GMS charged</w:t>
            </w:r>
          </w:p>
        </w:tc>
      </w:tr>
      <w:tr w:rsidR="00136CEF" w14:paraId="26215951" w14:textId="77777777" w:rsidTr="003423AA">
        <w:trPr>
          <w:trHeight w:hRule="exact" w:val="640"/>
        </w:trPr>
        <w:tc>
          <w:tcPr>
            <w:tcW w:w="888" w:type="dxa"/>
          </w:tcPr>
          <w:p w14:paraId="6C27A135" w14:textId="77777777" w:rsidR="00136CEF" w:rsidRDefault="00136CEF" w:rsidP="003423AA">
            <w:pPr>
              <w:jc w:val="center"/>
            </w:pPr>
            <w:r>
              <w:lastRenderedPageBreak/>
              <w:t>15</w:t>
            </w:r>
          </w:p>
        </w:tc>
        <w:tc>
          <w:tcPr>
            <w:tcW w:w="1080" w:type="dxa"/>
          </w:tcPr>
          <w:p w14:paraId="47604C4A" w14:textId="77777777" w:rsidR="00136CEF" w:rsidRDefault="00136CEF" w:rsidP="003423AA">
            <w:pPr>
              <w:pStyle w:val="TableParagraph"/>
              <w:spacing w:line="240" w:lineRule="auto"/>
              <w:ind w:right="160"/>
              <w:jc w:val="center"/>
              <w:rPr>
                <w:sz w:val="20"/>
              </w:rPr>
            </w:pPr>
            <w:r>
              <w:rPr>
                <w:sz w:val="20"/>
              </w:rPr>
              <w:t>17</w:t>
            </w:r>
          </w:p>
        </w:tc>
        <w:tc>
          <w:tcPr>
            <w:tcW w:w="1070" w:type="dxa"/>
          </w:tcPr>
          <w:p w14:paraId="545B8B39" w14:textId="77777777" w:rsidR="00136CEF" w:rsidRDefault="00136CEF" w:rsidP="003423AA">
            <w:pPr>
              <w:pStyle w:val="TableParagraph"/>
              <w:spacing w:line="240" w:lineRule="auto"/>
              <w:ind w:right="160"/>
              <w:jc w:val="center"/>
              <w:rPr>
                <w:sz w:val="20"/>
              </w:rPr>
            </w:pPr>
            <w:r>
              <w:rPr>
                <w:sz w:val="20"/>
              </w:rPr>
              <w:t>19</w:t>
            </w:r>
          </w:p>
        </w:tc>
        <w:tc>
          <w:tcPr>
            <w:tcW w:w="7650" w:type="dxa"/>
          </w:tcPr>
          <w:p w14:paraId="56F8E977" w14:textId="77777777" w:rsidR="00136CEF" w:rsidRDefault="00136CEF" w:rsidP="00581B5C">
            <w:pPr>
              <w:pStyle w:val="TableParagraph"/>
              <w:spacing w:line="240" w:lineRule="auto"/>
              <w:ind w:right="160"/>
              <w:rPr>
                <w:sz w:val="20"/>
              </w:rPr>
            </w:pPr>
            <w:r>
              <w:rPr>
                <w:sz w:val="20"/>
              </w:rPr>
              <w:t>All items held as inventory should be distributed or transferred to recipient or returned to donor as specified in the donor agreement</w:t>
            </w:r>
          </w:p>
        </w:tc>
      </w:tr>
      <w:tr w:rsidR="00136CEF" w14:paraId="26264D1F" w14:textId="77777777" w:rsidTr="003423AA">
        <w:trPr>
          <w:trHeight w:hRule="exact" w:val="622"/>
        </w:trPr>
        <w:tc>
          <w:tcPr>
            <w:tcW w:w="888" w:type="dxa"/>
          </w:tcPr>
          <w:p w14:paraId="686C3F28" w14:textId="77777777" w:rsidR="00136CEF" w:rsidRDefault="00136CEF" w:rsidP="003423AA">
            <w:pPr>
              <w:jc w:val="center"/>
            </w:pPr>
            <w:r>
              <w:t>16</w:t>
            </w:r>
          </w:p>
        </w:tc>
        <w:tc>
          <w:tcPr>
            <w:tcW w:w="1080" w:type="dxa"/>
          </w:tcPr>
          <w:p w14:paraId="1BBFCD5B" w14:textId="77777777" w:rsidR="00136CEF" w:rsidRDefault="00136CEF" w:rsidP="003423AA">
            <w:pPr>
              <w:pStyle w:val="TableParagraph"/>
              <w:spacing w:line="230" w:lineRule="exact"/>
              <w:jc w:val="center"/>
              <w:rPr>
                <w:sz w:val="20"/>
              </w:rPr>
            </w:pPr>
            <w:r>
              <w:rPr>
                <w:sz w:val="20"/>
              </w:rPr>
              <w:t>18</w:t>
            </w:r>
          </w:p>
        </w:tc>
        <w:tc>
          <w:tcPr>
            <w:tcW w:w="1070" w:type="dxa"/>
          </w:tcPr>
          <w:p w14:paraId="2835DE26" w14:textId="77777777" w:rsidR="00136CEF" w:rsidRDefault="00136CEF" w:rsidP="003423AA">
            <w:pPr>
              <w:pStyle w:val="TableParagraph"/>
              <w:spacing w:line="230" w:lineRule="exact"/>
              <w:jc w:val="center"/>
              <w:rPr>
                <w:sz w:val="20"/>
              </w:rPr>
            </w:pPr>
            <w:r>
              <w:rPr>
                <w:sz w:val="20"/>
              </w:rPr>
              <w:t>20</w:t>
            </w:r>
          </w:p>
        </w:tc>
        <w:tc>
          <w:tcPr>
            <w:tcW w:w="7650" w:type="dxa"/>
          </w:tcPr>
          <w:p w14:paraId="35981339" w14:textId="77777777" w:rsidR="00136CEF" w:rsidRDefault="00136CEF" w:rsidP="00581B5C">
            <w:pPr>
              <w:pStyle w:val="TableParagraph"/>
              <w:spacing w:line="230" w:lineRule="exact"/>
              <w:rPr>
                <w:sz w:val="20"/>
              </w:rPr>
            </w:pPr>
            <w:r>
              <w:rPr>
                <w:sz w:val="20"/>
              </w:rPr>
              <w:t>All project petty cash is cleared</w:t>
            </w:r>
            <w:r w:rsidRPr="00720B2E">
              <w:rPr>
                <w:b/>
                <w:sz w:val="20"/>
              </w:rPr>
              <w:t xml:space="preserve">.  </w:t>
            </w:r>
            <w:r w:rsidRPr="008079E5">
              <w:rPr>
                <w:b/>
                <w:i/>
                <w:sz w:val="20"/>
              </w:rPr>
              <w:t xml:space="preserve">Workbench and </w:t>
            </w:r>
            <w:r w:rsidR="002F66EA">
              <w:rPr>
                <w:b/>
                <w:i/>
                <w:sz w:val="20"/>
              </w:rPr>
              <w:t>OPERATIONAL GUIDELINES</w:t>
            </w:r>
            <w:r w:rsidRPr="008079E5">
              <w:rPr>
                <w:b/>
                <w:i/>
                <w:sz w:val="20"/>
              </w:rPr>
              <w:t xml:space="preserve"> states Project Cash Advance Accounts</w:t>
            </w:r>
          </w:p>
        </w:tc>
      </w:tr>
      <w:tr w:rsidR="00136CEF" w14:paraId="23D632A7" w14:textId="77777777" w:rsidTr="00AE2690">
        <w:trPr>
          <w:trHeight w:hRule="exact" w:val="470"/>
        </w:trPr>
        <w:tc>
          <w:tcPr>
            <w:tcW w:w="888" w:type="dxa"/>
          </w:tcPr>
          <w:p w14:paraId="266968D1" w14:textId="77777777" w:rsidR="00136CEF" w:rsidRDefault="00136CEF" w:rsidP="003423AA">
            <w:pPr>
              <w:jc w:val="center"/>
            </w:pPr>
            <w:r>
              <w:t>17</w:t>
            </w:r>
          </w:p>
        </w:tc>
        <w:tc>
          <w:tcPr>
            <w:tcW w:w="1080" w:type="dxa"/>
          </w:tcPr>
          <w:p w14:paraId="34E6E980" w14:textId="77777777" w:rsidR="00136CEF" w:rsidRDefault="00136CEF" w:rsidP="003423AA">
            <w:pPr>
              <w:pStyle w:val="TableParagraph"/>
              <w:jc w:val="center"/>
              <w:rPr>
                <w:sz w:val="20"/>
              </w:rPr>
            </w:pPr>
            <w:r>
              <w:rPr>
                <w:sz w:val="20"/>
              </w:rPr>
              <w:t>19</w:t>
            </w:r>
          </w:p>
        </w:tc>
        <w:tc>
          <w:tcPr>
            <w:tcW w:w="1070" w:type="dxa"/>
          </w:tcPr>
          <w:p w14:paraId="1998A998" w14:textId="77777777" w:rsidR="00136CEF" w:rsidRDefault="00136CEF" w:rsidP="003423AA">
            <w:pPr>
              <w:pStyle w:val="TableParagraph"/>
              <w:jc w:val="center"/>
              <w:rPr>
                <w:sz w:val="20"/>
              </w:rPr>
            </w:pPr>
            <w:r>
              <w:rPr>
                <w:sz w:val="20"/>
              </w:rPr>
              <w:t>21</w:t>
            </w:r>
          </w:p>
        </w:tc>
        <w:tc>
          <w:tcPr>
            <w:tcW w:w="7650" w:type="dxa"/>
          </w:tcPr>
          <w:p w14:paraId="10AEFABF" w14:textId="77777777" w:rsidR="00136CEF" w:rsidRDefault="00136CEF" w:rsidP="00581B5C">
            <w:pPr>
              <w:pStyle w:val="TableParagraph"/>
              <w:rPr>
                <w:sz w:val="20"/>
              </w:rPr>
            </w:pPr>
            <w:r>
              <w:rPr>
                <w:sz w:val="20"/>
              </w:rPr>
              <w:t>Project bank account is fully reconciled and closed</w:t>
            </w:r>
          </w:p>
        </w:tc>
      </w:tr>
      <w:tr w:rsidR="00136CEF" w14:paraId="70AAE247" w14:textId="77777777" w:rsidTr="00AE2690">
        <w:trPr>
          <w:trHeight w:hRule="exact" w:val="470"/>
        </w:trPr>
        <w:tc>
          <w:tcPr>
            <w:tcW w:w="888" w:type="dxa"/>
          </w:tcPr>
          <w:p w14:paraId="6B61EC29" w14:textId="77777777" w:rsidR="00136CEF" w:rsidRDefault="00136CEF" w:rsidP="003423AA">
            <w:pPr>
              <w:jc w:val="center"/>
            </w:pPr>
            <w:r>
              <w:t>None</w:t>
            </w:r>
          </w:p>
        </w:tc>
        <w:tc>
          <w:tcPr>
            <w:tcW w:w="1080" w:type="dxa"/>
          </w:tcPr>
          <w:p w14:paraId="26ADC347" w14:textId="77777777" w:rsidR="00136CEF" w:rsidRDefault="00136CEF" w:rsidP="003423AA">
            <w:pPr>
              <w:pStyle w:val="TableParagraph"/>
              <w:jc w:val="center"/>
              <w:rPr>
                <w:sz w:val="20"/>
              </w:rPr>
            </w:pPr>
            <w:r>
              <w:rPr>
                <w:sz w:val="20"/>
              </w:rPr>
              <w:t>20</w:t>
            </w:r>
          </w:p>
        </w:tc>
        <w:tc>
          <w:tcPr>
            <w:tcW w:w="1070" w:type="dxa"/>
          </w:tcPr>
          <w:p w14:paraId="7329414C" w14:textId="77777777" w:rsidR="00136CEF" w:rsidRDefault="00136CEF" w:rsidP="003423AA">
            <w:pPr>
              <w:pStyle w:val="TableParagraph"/>
              <w:jc w:val="center"/>
              <w:rPr>
                <w:sz w:val="20"/>
              </w:rPr>
            </w:pPr>
            <w:r>
              <w:rPr>
                <w:sz w:val="20"/>
              </w:rPr>
              <w:t>22</w:t>
            </w:r>
          </w:p>
        </w:tc>
        <w:tc>
          <w:tcPr>
            <w:tcW w:w="7650" w:type="dxa"/>
          </w:tcPr>
          <w:p w14:paraId="10BAFDE5" w14:textId="77777777" w:rsidR="00136CEF" w:rsidRDefault="00136CEF" w:rsidP="00581B5C">
            <w:pPr>
              <w:pStyle w:val="TableParagraph"/>
              <w:rPr>
                <w:sz w:val="20"/>
              </w:rPr>
            </w:pPr>
            <w:r>
              <w:rPr>
                <w:sz w:val="20"/>
              </w:rPr>
              <w:t>All Staff receivables in USD only.</w:t>
            </w:r>
          </w:p>
        </w:tc>
      </w:tr>
      <w:tr w:rsidR="00136CEF" w14:paraId="313E76F1" w14:textId="77777777" w:rsidTr="00AE2690">
        <w:trPr>
          <w:trHeight w:hRule="exact" w:val="469"/>
        </w:trPr>
        <w:tc>
          <w:tcPr>
            <w:tcW w:w="888" w:type="dxa"/>
          </w:tcPr>
          <w:p w14:paraId="66B79E73" w14:textId="77777777" w:rsidR="00136CEF" w:rsidRDefault="00136CEF" w:rsidP="003423AA">
            <w:pPr>
              <w:jc w:val="center"/>
            </w:pPr>
            <w:r>
              <w:t>18</w:t>
            </w:r>
          </w:p>
        </w:tc>
        <w:tc>
          <w:tcPr>
            <w:tcW w:w="1080" w:type="dxa"/>
          </w:tcPr>
          <w:p w14:paraId="2D4687E8" w14:textId="77777777" w:rsidR="00136CEF" w:rsidRDefault="00136CEF" w:rsidP="003423AA">
            <w:pPr>
              <w:pStyle w:val="TableParagraph"/>
              <w:jc w:val="center"/>
              <w:rPr>
                <w:sz w:val="20"/>
              </w:rPr>
            </w:pPr>
            <w:r>
              <w:rPr>
                <w:sz w:val="20"/>
              </w:rPr>
              <w:t>21</w:t>
            </w:r>
          </w:p>
        </w:tc>
        <w:tc>
          <w:tcPr>
            <w:tcW w:w="1070" w:type="dxa"/>
          </w:tcPr>
          <w:p w14:paraId="05D898DD" w14:textId="77777777" w:rsidR="00136CEF" w:rsidRDefault="00136CEF" w:rsidP="003423AA">
            <w:pPr>
              <w:pStyle w:val="TableParagraph"/>
              <w:jc w:val="center"/>
              <w:rPr>
                <w:sz w:val="20"/>
              </w:rPr>
            </w:pPr>
            <w:r>
              <w:rPr>
                <w:sz w:val="20"/>
              </w:rPr>
              <w:t>23</w:t>
            </w:r>
          </w:p>
        </w:tc>
        <w:tc>
          <w:tcPr>
            <w:tcW w:w="7650" w:type="dxa"/>
          </w:tcPr>
          <w:p w14:paraId="616D17FF" w14:textId="77777777" w:rsidR="00136CEF" w:rsidRDefault="00136CEF" w:rsidP="00581B5C">
            <w:pPr>
              <w:pStyle w:val="TableParagraph"/>
              <w:rPr>
                <w:sz w:val="20"/>
              </w:rPr>
            </w:pPr>
            <w:r>
              <w:rPr>
                <w:sz w:val="20"/>
              </w:rPr>
              <w:t>All accrued employee benefits are fully accounted</w:t>
            </w:r>
          </w:p>
        </w:tc>
      </w:tr>
      <w:tr w:rsidR="00136CEF" w14:paraId="171D09A3" w14:textId="77777777" w:rsidTr="00AE2690">
        <w:trPr>
          <w:trHeight w:hRule="exact" w:val="470"/>
        </w:trPr>
        <w:tc>
          <w:tcPr>
            <w:tcW w:w="888" w:type="dxa"/>
          </w:tcPr>
          <w:p w14:paraId="4465C535" w14:textId="77777777" w:rsidR="00136CEF" w:rsidRDefault="00136CEF" w:rsidP="003423AA">
            <w:pPr>
              <w:jc w:val="center"/>
            </w:pPr>
            <w:r>
              <w:t>19</w:t>
            </w:r>
          </w:p>
        </w:tc>
        <w:tc>
          <w:tcPr>
            <w:tcW w:w="1080" w:type="dxa"/>
          </w:tcPr>
          <w:p w14:paraId="0F4B4AF0" w14:textId="77777777" w:rsidR="00136CEF" w:rsidRDefault="00136CEF" w:rsidP="003423AA">
            <w:pPr>
              <w:pStyle w:val="TableParagraph"/>
              <w:spacing w:line="230" w:lineRule="exact"/>
              <w:jc w:val="center"/>
              <w:rPr>
                <w:sz w:val="20"/>
              </w:rPr>
            </w:pPr>
            <w:r>
              <w:rPr>
                <w:sz w:val="20"/>
              </w:rPr>
              <w:t>22</w:t>
            </w:r>
          </w:p>
        </w:tc>
        <w:tc>
          <w:tcPr>
            <w:tcW w:w="1070" w:type="dxa"/>
          </w:tcPr>
          <w:p w14:paraId="56869401" w14:textId="77777777" w:rsidR="00136CEF" w:rsidRDefault="00136CEF" w:rsidP="003423AA">
            <w:pPr>
              <w:pStyle w:val="TableParagraph"/>
              <w:spacing w:line="230" w:lineRule="exact"/>
              <w:jc w:val="center"/>
              <w:rPr>
                <w:sz w:val="20"/>
              </w:rPr>
            </w:pPr>
            <w:r>
              <w:rPr>
                <w:sz w:val="20"/>
              </w:rPr>
              <w:t>24</w:t>
            </w:r>
          </w:p>
        </w:tc>
        <w:tc>
          <w:tcPr>
            <w:tcW w:w="7650" w:type="dxa"/>
          </w:tcPr>
          <w:p w14:paraId="03E8DAC2" w14:textId="77777777" w:rsidR="00136CEF" w:rsidRDefault="00136CEF" w:rsidP="00581B5C">
            <w:pPr>
              <w:pStyle w:val="TableParagraph"/>
              <w:spacing w:line="230" w:lineRule="exact"/>
              <w:rPr>
                <w:sz w:val="20"/>
              </w:rPr>
            </w:pPr>
            <w:r>
              <w:rPr>
                <w:sz w:val="20"/>
              </w:rPr>
              <w:t>No other pending liabilities</w:t>
            </w:r>
          </w:p>
        </w:tc>
      </w:tr>
      <w:tr w:rsidR="00136CEF" w14:paraId="43625FD1" w14:textId="77777777" w:rsidTr="00AE2690">
        <w:trPr>
          <w:trHeight w:hRule="exact" w:val="470"/>
        </w:trPr>
        <w:tc>
          <w:tcPr>
            <w:tcW w:w="888" w:type="dxa"/>
          </w:tcPr>
          <w:p w14:paraId="50077ECA" w14:textId="77777777" w:rsidR="00136CEF" w:rsidRDefault="00136CEF" w:rsidP="003423AA">
            <w:pPr>
              <w:jc w:val="center"/>
            </w:pPr>
            <w:r>
              <w:t>20</w:t>
            </w:r>
          </w:p>
        </w:tc>
        <w:tc>
          <w:tcPr>
            <w:tcW w:w="1080" w:type="dxa"/>
          </w:tcPr>
          <w:p w14:paraId="4A97FDA6" w14:textId="77777777" w:rsidR="00136CEF" w:rsidRDefault="00136CEF" w:rsidP="003423AA">
            <w:pPr>
              <w:pStyle w:val="TableParagraph"/>
              <w:jc w:val="center"/>
              <w:rPr>
                <w:sz w:val="20"/>
              </w:rPr>
            </w:pPr>
            <w:r>
              <w:rPr>
                <w:sz w:val="20"/>
              </w:rPr>
              <w:t>23</w:t>
            </w:r>
          </w:p>
        </w:tc>
        <w:tc>
          <w:tcPr>
            <w:tcW w:w="1070" w:type="dxa"/>
          </w:tcPr>
          <w:p w14:paraId="43EAA338" w14:textId="77777777" w:rsidR="00136CEF" w:rsidRDefault="00136CEF" w:rsidP="003423AA">
            <w:pPr>
              <w:pStyle w:val="TableParagraph"/>
              <w:jc w:val="center"/>
              <w:rPr>
                <w:sz w:val="20"/>
              </w:rPr>
            </w:pPr>
            <w:r>
              <w:rPr>
                <w:sz w:val="20"/>
              </w:rPr>
              <w:t>25</w:t>
            </w:r>
          </w:p>
        </w:tc>
        <w:tc>
          <w:tcPr>
            <w:tcW w:w="7650" w:type="dxa"/>
          </w:tcPr>
          <w:p w14:paraId="1B8473FD" w14:textId="77777777" w:rsidR="00136CEF" w:rsidRDefault="00136CEF" w:rsidP="00581B5C">
            <w:pPr>
              <w:pStyle w:val="TableParagraph"/>
              <w:rPr>
                <w:sz w:val="20"/>
              </w:rPr>
            </w:pPr>
            <w:r>
              <w:rPr>
                <w:sz w:val="20"/>
              </w:rPr>
              <w:t>The CDR for the previous quarter shows zero future expenses (commitments).</w:t>
            </w:r>
          </w:p>
        </w:tc>
      </w:tr>
      <w:tr w:rsidR="00136CEF" w14:paraId="1F1A873D" w14:textId="77777777" w:rsidTr="003423AA">
        <w:trPr>
          <w:trHeight w:hRule="exact" w:val="352"/>
        </w:trPr>
        <w:tc>
          <w:tcPr>
            <w:tcW w:w="888" w:type="dxa"/>
          </w:tcPr>
          <w:p w14:paraId="3002A387" w14:textId="77777777" w:rsidR="00136CEF" w:rsidRDefault="00136CEF" w:rsidP="003423AA">
            <w:pPr>
              <w:jc w:val="center"/>
            </w:pPr>
            <w:r>
              <w:t>21</w:t>
            </w:r>
          </w:p>
        </w:tc>
        <w:tc>
          <w:tcPr>
            <w:tcW w:w="1080" w:type="dxa"/>
          </w:tcPr>
          <w:p w14:paraId="70483A45" w14:textId="77777777" w:rsidR="00136CEF" w:rsidRDefault="00136CEF" w:rsidP="003423AA">
            <w:pPr>
              <w:pStyle w:val="TableParagraph"/>
              <w:jc w:val="center"/>
              <w:rPr>
                <w:sz w:val="20"/>
              </w:rPr>
            </w:pPr>
            <w:r>
              <w:rPr>
                <w:sz w:val="20"/>
              </w:rPr>
              <w:t>24</w:t>
            </w:r>
          </w:p>
        </w:tc>
        <w:tc>
          <w:tcPr>
            <w:tcW w:w="1070" w:type="dxa"/>
          </w:tcPr>
          <w:p w14:paraId="1DF06D2B" w14:textId="77777777" w:rsidR="00136CEF" w:rsidRDefault="00136CEF" w:rsidP="003423AA">
            <w:pPr>
              <w:pStyle w:val="TableParagraph"/>
              <w:jc w:val="center"/>
              <w:rPr>
                <w:sz w:val="20"/>
              </w:rPr>
            </w:pPr>
            <w:r>
              <w:rPr>
                <w:sz w:val="20"/>
              </w:rPr>
              <w:t>26</w:t>
            </w:r>
          </w:p>
        </w:tc>
        <w:tc>
          <w:tcPr>
            <w:tcW w:w="7650" w:type="dxa"/>
          </w:tcPr>
          <w:p w14:paraId="2B98C717" w14:textId="77777777" w:rsidR="00136CEF" w:rsidRDefault="00136CEF" w:rsidP="00581B5C">
            <w:pPr>
              <w:pStyle w:val="TableParagraph"/>
              <w:rPr>
                <w:sz w:val="20"/>
              </w:rPr>
            </w:pPr>
            <w:r>
              <w:rPr>
                <w:sz w:val="20"/>
              </w:rPr>
              <w:t>Final LPAC/ steering committee minutes are available</w:t>
            </w:r>
          </w:p>
        </w:tc>
      </w:tr>
      <w:tr w:rsidR="00136CEF" w14:paraId="68EBDB2A" w14:textId="77777777" w:rsidTr="00AE2690">
        <w:trPr>
          <w:trHeight w:hRule="exact" w:val="470"/>
        </w:trPr>
        <w:tc>
          <w:tcPr>
            <w:tcW w:w="888" w:type="dxa"/>
          </w:tcPr>
          <w:p w14:paraId="57C2E662" w14:textId="77777777" w:rsidR="00136CEF" w:rsidRDefault="00136CEF" w:rsidP="003423AA">
            <w:pPr>
              <w:jc w:val="center"/>
            </w:pPr>
            <w:r>
              <w:t>22</w:t>
            </w:r>
          </w:p>
        </w:tc>
        <w:tc>
          <w:tcPr>
            <w:tcW w:w="1080" w:type="dxa"/>
          </w:tcPr>
          <w:p w14:paraId="6B0D126B" w14:textId="77777777" w:rsidR="00136CEF" w:rsidRDefault="00136CEF" w:rsidP="003423AA">
            <w:pPr>
              <w:pStyle w:val="TableParagraph"/>
              <w:jc w:val="center"/>
              <w:rPr>
                <w:sz w:val="20"/>
              </w:rPr>
            </w:pPr>
            <w:r>
              <w:rPr>
                <w:sz w:val="20"/>
              </w:rPr>
              <w:t>25</w:t>
            </w:r>
          </w:p>
        </w:tc>
        <w:tc>
          <w:tcPr>
            <w:tcW w:w="1070" w:type="dxa"/>
          </w:tcPr>
          <w:p w14:paraId="6F888463" w14:textId="77777777" w:rsidR="00136CEF" w:rsidRDefault="00136CEF" w:rsidP="003423AA">
            <w:pPr>
              <w:pStyle w:val="TableParagraph"/>
              <w:jc w:val="center"/>
              <w:rPr>
                <w:sz w:val="20"/>
              </w:rPr>
            </w:pPr>
            <w:r>
              <w:rPr>
                <w:sz w:val="20"/>
              </w:rPr>
              <w:t>27</w:t>
            </w:r>
          </w:p>
        </w:tc>
        <w:tc>
          <w:tcPr>
            <w:tcW w:w="7650" w:type="dxa"/>
          </w:tcPr>
          <w:p w14:paraId="634BAAFF" w14:textId="77777777" w:rsidR="00136CEF" w:rsidRDefault="00136CEF" w:rsidP="00581B5C">
            <w:pPr>
              <w:pStyle w:val="TableParagraph"/>
              <w:rPr>
                <w:sz w:val="20"/>
              </w:rPr>
            </w:pPr>
            <w:r>
              <w:rPr>
                <w:sz w:val="20"/>
              </w:rPr>
              <w:t>All audit observations are closed with supporting documentation.</w:t>
            </w:r>
          </w:p>
        </w:tc>
      </w:tr>
      <w:tr w:rsidR="00136CEF" w14:paraId="0581B91A" w14:textId="77777777" w:rsidTr="003423AA">
        <w:trPr>
          <w:trHeight w:hRule="exact" w:val="595"/>
        </w:trPr>
        <w:tc>
          <w:tcPr>
            <w:tcW w:w="888" w:type="dxa"/>
          </w:tcPr>
          <w:p w14:paraId="3B43D4FE" w14:textId="77777777" w:rsidR="00136CEF" w:rsidRDefault="00136CEF" w:rsidP="003423AA">
            <w:pPr>
              <w:jc w:val="center"/>
            </w:pPr>
            <w:r>
              <w:t>23</w:t>
            </w:r>
          </w:p>
        </w:tc>
        <w:tc>
          <w:tcPr>
            <w:tcW w:w="1080" w:type="dxa"/>
          </w:tcPr>
          <w:p w14:paraId="344EDBFB" w14:textId="77777777" w:rsidR="00136CEF" w:rsidRDefault="00136CEF" w:rsidP="003423AA">
            <w:pPr>
              <w:pStyle w:val="TableParagraph"/>
              <w:spacing w:line="240" w:lineRule="auto"/>
              <w:ind w:right="260"/>
              <w:jc w:val="center"/>
              <w:rPr>
                <w:sz w:val="20"/>
              </w:rPr>
            </w:pPr>
            <w:r>
              <w:rPr>
                <w:sz w:val="20"/>
              </w:rPr>
              <w:t>26</w:t>
            </w:r>
          </w:p>
        </w:tc>
        <w:tc>
          <w:tcPr>
            <w:tcW w:w="1070" w:type="dxa"/>
          </w:tcPr>
          <w:p w14:paraId="5059FF81" w14:textId="77777777" w:rsidR="00136CEF" w:rsidRDefault="00136CEF" w:rsidP="003423AA">
            <w:pPr>
              <w:pStyle w:val="TableParagraph"/>
              <w:spacing w:line="240" w:lineRule="auto"/>
              <w:ind w:right="260"/>
              <w:jc w:val="center"/>
              <w:rPr>
                <w:sz w:val="20"/>
              </w:rPr>
            </w:pPr>
            <w:r>
              <w:rPr>
                <w:sz w:val="20"/>
              </w:rPr>
              <w:t>28</w:t>
            </w:r>
          </w:p>
        </w:tc>
        <w:tc>
          <w:tcPr>
            <w:tcW w:w="7650" w:type="dxa"/>
          </w:tcPr>
          <w:p w14:paraId="27ABD11B" w14:textId="77777777" w:rsidR="00136CEF" w:rsidRDefault="00136CEF" w:rsidP="00581B5C">
            <w:pPr>
              <w:pStyle w:val="TableParagraph"/>
              <w:spacing w:line="240" w:lineRule="auto"/>
              <w:ind w:right="260"/>
              <w:rPr>
                <w:sz w:val="20"/>
              </w:rPr>
            </w:pPr>
            <w:r>
              <w:rPr>
                <w:sz w:val="20"/>
              </w:rPr>
              <w:t>The final CDR is signed by UNDP and the Implementing Partner. Final report submitted by responsible parties.</w:t>
            </w:r>
          </w:p>
        </w:tc>
      </w:tr>
      <w:tr w:rsidR="00136CEF" w14:paraId="2FDAC197" w14:textId="77777777" w:rsidTr="003423AA">
        <w:trPr>
          <w:trHeight w:hRule="exact" w:val="667"/>
        </w:trPr>
        <w:tc>
          <w:tcPr>
            <w:tcW w:w="888" w:type="dxa"/>
          </w:tcPr>
          <w:p w14:paraId="5CA6C813" w14:textId="77777777" w:rsidR="00136CEF" w:rsidRDefault="00136CEF" w:rsidP="003423AA">
            <w:pPr>
              <w:jc w:val="center"/>
            </w:pPr>
            <w:r>
              <w:t>24</w:t>
            </w:r>
          </w:p>
        </w:tc>
        <w:tc>
          <w:tcPr>
            <w:tcW w:w="1080" w:type="dxa"/>
          </w:tcPr>
          <w:p w14:paraId="0556727F" w14:textId="77777777" w:rsidR="00136CEF" w:rsidRDefault="00136CEF" w:rsidP="003423AA">
            <w:pPr>
              <w:pStyle w:val="TableParagraph"/>
              <w:spacing w:line="230" w:lineRule="exact"/>
              <w:ind w:right="0"/>
              <w:jc w:val="center"/>
              <w:rPr>
                <w:sz w:val="20"/>
              </w:rPr>
            </w:pPr>
            <w:r>
              <w:rPr>
                <w:sz w:val="20"/>
              </w:rPr>
              <w:t>27</w:t>
            </w:r>
          </w:p>
        </w:tc>
        <w:tc>
          <w:tcPr>
            <w:tcW w:w="1070" w:type="dxa"/>
          </w:tcPr>
          <w:p w14:paraId="607333B3" w14:textId="77777777" w:rsidR="00136CEF" w:rsidRDefault="00136CEF" w:rsidP="003423AA">
            <w:pPr>
              <w:pStyle w:val="TableParagraph"/>
              <w:spacing w:line="230" w:lineRule="exact"/>
              <w:ind w:right="0"/>
              <w:jc w:val="center"/>
              <w:rPr>
                <w:sz w:val="20"/>
              </w:rPr>
            </w:pPr>
            <w:r>
              <w:rPr>
                <w:sz w:val="20"/>
              </w:rPr>
              <w:t>29</w:t>
            </w:r>
          </w:p>
        </w:tc>
        <w:tc>
          <w:tcPr>
            <w:tcW w:w="7650" w:type="dxa"/>
          </w:tcPr>
          <w:p w14:paraId="3E933165" w14:textId="77777777" w:rsidR="00136CEF" w:rsidRDefault="00136CEF" w:rsidP="00581B5C">
            <w:pPr>
              <w:pStyle w:val="TableParagraph"/>
              <w:spacing w:line="230" w:lineRule="exact"/>
              <w:ind w:right="0"/>
              <w:rPr>
                <w:sz w:val="20"/>
              </w:rPr>
            </w:pPr>
            <w:r>
              <w:rPr>
                <w:sz w:val="20"/>
              </w:rPr>
              <w:t>If a cost sharing project, the unexpended balance has been agreed to the general ledger.</w:t>
            </w:r>
          </w:p>
        </w:tc>
      </w:tr>
      <w:tr w:rsidR="00136CEF" w14:paraId="3C4BF65C" w14:textId="77777777" w:rsidTr="003423AA">
        <w:trPr>
          <w:trHeight w:hRule="exact" w:val="883"/>
        </w:trPr>
        <w:tc>
          <w:tcPr>
            <w:tcW w:w="888" w:type="dxa"/>
          </w:tcPr>
          <w:p w14:paraId="764185C9" w14:textId="77777777" w:rsidR="00136CEF" w:rsidRDefault="00136CEF" w:rsidP="003423AA">
            <w:pPr>
              <w:jc w:val="center"/>
            </w:pPr>
            <w:r>
              <w:t>25</w:t>
            </w:r>
          </w:p>
        </w:tc>
        <w:tc>
          <w:tcPr>
            <w:tcW w:w="1080" w:type="dxa"/>
          </w:tcPr>
          <w:p w14:paraId="4AB6583F" w14:textId="77777777" w:rsidR="00136CEF" w:rsidRDefault="00136CEF" w:rsidP="003423AA">
            <w:pPr>
              <w:pStyle w:val="TableParagraph"/>
              <w:spacing w:line="230" w:lineRule="exact"/>
              <w:ind w:right="0"/>
              <w:jc w:val="center"/>
              <w:rPr>
                <w:sz w:val="20"/>
              </w:rPr>
            </w:pPr>
            <w:r>
              <w:rPr>
                <w:sz w:val="20"/>
              </w:rPr>
              <w:t>28</w:t>
            </w:r>
          </w:p>
        </w:tc>
        <w:tc>
          <w:tcPr>
            <w:tcW w:w="1070" w:type="dxa"/>
          </w:tcPr>
          <w:p w14:paraId="506435D6" w14:textId="77777777" w:rsidR="00136CEF" w:rsidRDefault="00136CEF" w:rsidP="003423AA">
            <w:pPr>
              <w:pStyle w:val="TableParagraph"/>
              <w:spacing w:line="230" w:lineRule="exact"/>
              <w:ind w:right="0"/>
              <w:jc w:val="center"/>
              <w:rPr>
                <w:sz w:val="20"/>
              </w:rPr>
            </w:pPr>
            <w:r>
              <w:rPr>
                <w:sz w:val="20"/>
              </w:rPr>
              <w:t>30</w:t>
            </w:r>
          </w:p>
        </w:tc>
        <w:tc>
          <w:tcPr>
            <w:tcW w:w="7650" w:type="dxa"/>
          </w:tcPr>
          <w:p w14:paraId="4D471DB8" w14:textId="2546F27D" w:rsidR="00136CEF" w:rsidRDefault="00136CEF" w:rsidP="003423AA">
            <w:pPr>
              <w:pStyle w:val="TableParagraph"/>
              <w:spacing w:line="230" w:lineRule="exact"/>
              <w:ind w:right="0"/>
              <w:rPr>
                <w:sz w:val="20"/>
              </w:rPr>
            </w:pPr>
            <w:r>
              <w:rPr>
                <w:sz w:val="20"/>
              </w:rPr>
              <w:t>Consultations with donors on the disposition of unexpended cost sharing balances, where required by</w:t>
            </w:r>
            <w:r w:rsidR="003423AA">
              <w:rPr>
                <w:sz w:val="20"/>
              </w:rPr>
              <w:t xml:space="preserve"> </w:t>
            </w:r>
            <w:r>
              <w:rPr>
                <w:sz w:val="20"/>
              </w:rPr>
              <w:t>the contribution agreement, have taken place and are documented in writing.</w:t>
            </w:r>
          </w:p>
        </w:tc>
      </w:tr>
      <w:tr w:rsidR="00136CEF" w14:paraId="6FA5462C" w14:textId="77777777" w:rsidTr="00AE2690">
        <w:trPr>
          <w:trHeight w:hRule="exact" w:val="532"/>
        </w:trPr>
        <w:tc>
          <w:tcPr>
            <w:tcW w:w="888" w:type="dxa"/>
          </w:tcPr>
          <w:p w14:paraId="4936EB15" w14:textId="77777777" w:rsidR="00136CEF" w:rsidRDefault="00136CEF" w:rsidP="003423AA">
            <w:pPr>
              <w:jc w:val="center"/>
            </w:pPr>
            <w:r>
              <w:t>26</w:t>
            </w:r>
          </w:p>
        </w:tc>
        <w:tc>
          <w:tcPr>
            <w:tcW w:w="1080" w:type="dxa"/>
          </w:tcPr>
          <w:p w14:paraId="5AE55F4A" w14:textId="77777777" w:rsidR="00136CEF" w:rsidRDefault="00136CEF" w:rsidP="003423AA">
            <w:pPr>
              <w:pStyle w:val="TableParagraph"/>
              <w:spacing w:line="230" w:lineRule="exact"/>
              <w:ind w:right="0"/>
              <w:jc w:val="center"/>
              <w:rPr>
                <w:sz w:val="20"/>
              </w:rPr>
            </w:pPr>
            <w:r>
              <w:rPr>
                <w:sz w:val="20"/>
              </w:rPr>
              <w:t>29</w:t>
            </w:r>
          </w:p>
        </w:tc>
        <w:tc>
          <w:tcPr>
            <w:tcW w:w="1070" w:type="dxa"/>
          </w:tcPr>
          <w:p w14:paraId="2C8591D8" w14:textId="77777777" w:rsidR="00136CEF" w:rsidRDefault="00136CEF" w:rsidP="003423AA">
            <w:pPr>
              <w:pStyle w:val="TableParagraph"/>
              <w:spacing w:line="230" w:lineRule="exact"/>
              <w:ind w:right="0"/>
              <w:jc w:val="center"/>
              <w:rPr>
                <w:sz w:val="20"/>
              </w:rPr>
            </w:pPr>
            <w:r>
              <w:rPr>
                <w:sz w:val="20"/>
              </w:rPr>
              <w:t>31</w:t>
            </w:r>
          </w:p>
        </w:tc>
        <w:tc>
          <w:tcPr>
            <w:tcW w:w="7650" w:type="dxa"/>
          </w:tcPr>
          <w:p w14:paraId="1B38DDE4" w14:textId="77777777" w:rsidR="00136CEF" w:rsidRDefault="00136CEF" w:rsidP="00581B5C">
            <w:pPr>
              <w:pStyle w:val="TableParagraph"/>
              <w:spacing w:line="230" w:lineRule="exact"/>
              <w:ind w:right="0"/>
              <w:rPr>
                <w:sz w:val="20"/>
              </w:rPr>
            </w:pPr>
            <w:r>
              <w:rPr>
                <w:sz w:val="20"/>
              </w:rPr>
              <w:t>All refunds to donors have been transferred to Account 21030 (Pending Refunds to Donors) and the project balance is zero.</w:t>
            </w:r>
          </w:p>
        </w:tc>
      </w:tr>
      <w:tr w:rsidR="00136CEF" w14:paraId="124EEE14" w14:textId="77777777" w:rsidTr="00AE2690">
        <w:trPr>
          <w:trHeight w:hRule="exact" w:val="550"/>
        </w:trPr>
        <w:tc>
          <w:tcPr>
            <w:tcW w:w="888" w:type="dxa"/>
          </w:tcPr>
          <w:p w14:paraId="3281F7BA" w14:textId="77777777" w:rsidR="00136CEF" w:rsidRDefault="00136CEF" w:rsidP="003423AA">
            <w:pPr>
              <w:jc w:val="center"/>
            </w:pPr>
            <w:r>
              <w:t>27</w:t>
            </w:r>
          </w:p>
        </w:tc>
        <w:tc>
          <w:tcPr>
            <w:tcW w:w="1080" w:type="dxa"/>
          </w:tcPr>
          <w:p w14:paraId="3F096A38" w14:textId="77777777" w:rsidR="00136CEF" w:rsidRDefault="00136CEF" w:rsidP="003423AA">
            <w:pPr>
              <w:pStyle w:val="TableParagraph"/>
              <w:spacing w:line="230" w:lineRule="exact"/>
              <w:ind w:right="0"/>
              <w:jc w:val="center"/>
              <w:rPr>
                <w:sz w:val="20"/>
              </w:rPr>
            </w:pPr>
            <w:r>
              <w:rPr>
                <w:sz w:val="20"/>
              </w:rPr>
              <w:t>30</w:t>
            </w:r>
          </w:p>
        </w:tc>
        <w:tc>
          <w:tcPr>
            <w:tcW w:w="1070" w:type="dxa"/>
          </w:tcPr>
          <w:p w14:paraId="673CC367" w14:textId="77777777" w:rsidR="00136CEF" w:rsidRDefault="00136CEF" w:rsidP="003423AA">
            <w:pPr>
              <w:pStyle w:val="TableParagraph"/>
              <w:spacing w:line="230" w:lineRule="exact"/>
              <w:ind w:right="0"/>
              <w:jc w:val="center"/>
              <w:rPr>
                <w:sz w:val="20"/>
              </w:rPr>
            </w:pPr>
            <w:r>
              <w:rPr>
                <w:sz w:val="20"/>
              </w:rPr>
              <w:t>32</w:t>
            </w:r>
          </w:p>
        </w:tc>
        <w:tc>
          <w:tcPr>
            <w:tcW w:w="7650" w:type="dxa"/>
          </w:tcPr>
          <w:p w14:paraId="21213730" w14:textId="77777777" w:rsidR="00136CEF" w:rsidRDefault="00136CEF" w:rsidP="00581B5C">
            <w:pPr>
              <w:pStyle w:val="TableParagraph"/>
              <w:spacing w:line="230" w:lineRule="exact"/>
              <w:ind w:right="0"/>
              <w:rPr>
                <w:sz w:val="20"/>
              </w:rPr>
            </w:pPr>
            <w:r>
              <w:rPr>
                <w:sz w:val="20"/>
              </w:rPr>
              <w:t>Notified Treasury Contributions Unit if the donor agreement requires interest to be refunded to the donor if specified in the agreement.</w:t>
            </w:r>
          </w:p>
        </w:tc>
      </w:tr>
      <w:tr w:rsidR="00136CEF" w14:paraId="27EC319C" w14:textId="77777777" w:rsidTr="003423AA">
        <w:trPr>
          <w:trHeight w:hRule="exact" w:val="352"/>
        </w:trPr>
        <w:tc>
          <w:tcPr>
            <w:tcW w:w="888" w:type="dxa"/>
          </w:tcPr>
          <w:p w14:paraId="79102D3C" w14:textId="77777777" w:rsidR="00136CEF" w:rsidRDefault="00136CEF" w:rsidP="003423AA">
            <w:pPr>
              <w:jc w:val="center"/>
            </w:pPr>
            <w:r>
              <w:t>28</w:t>
            </w:r>
          </w:p>
        </w:tc>
        <w:tc>
          <w:tcPr>
            <w:tcW w:w="1080" w:type="dxa"/>
          </w:tcPr>
          <w:p w14:paraId="7CA44AEF" w14:textId="77777777" w:rsidR="00136CEF" w:rsidRDefault="00136CEF" w:rsidP="003423AA">
            <w:pPr>
              <w:pStyle w:val="TableParagraph"/>
              <w:spacing w:line="230" w:lineRule="exact"/>
              <w:ind w:right="0"/>
              <w:jc w:val="center"/>
              <w:rPr>
                <w:sz w:val="20"/>
              </w:rPr>
            </w:pPr>
            <w:r>
              <w:rPr>
                <w:sz w:val="20"/>
              </w:rPr>
              <w:t>31</w:t>
            </w:r>
          </w:p>
        </w:tc>
        <w:tc>
          <w:tcPr>
            <w:tcW w:w="1070" w:type="dxa"/>
          </w:tcPr>
          <w:p w14:paraId="45DBA1A5" w14:textId="77777777" w:rsidR="00136CEF" w:rsidRDefault="00136CEF" w:rsidP="003423AA">
            <w:pPr>
              <w:pStyle w:val="TableParagraph"/>
              <w:spacing w:line="230" w:lineRule="exact"/>
              <w:ind w:right="0"/>
              <w:jc w:val="center"/>
              <w:rPr>
                <w:sz w:val="20"/>
              </w:rPr>
            </w:pPr>
            <w:r>
              <w:rPr>
                <w:sz w:val="20"/>
              </w:rPr>
              <w:t>33</w:t>
            </w:r>
          </w:p>
        </w:tc>
        <w:tc>
          <w:tcPr>
            <w:tcW w:w="7650" w:type="dxa"/>
          </w:tcPr>
          <w:p w14:paraId="15D5034C" w14:textId="19FDEB24" w:rsidR="00136CEF" w:rsidRDefault="00136CEF" w:rsidP="00581B5C">
            <w:pPr>
              <w:pStyle w:val="TableParagraph"/>
              <w:spacing w:line="230" w:lineRule="exact"/>
              <w:ind w:right="0"/>
              <w:rPr>
                <w:sz w:val="20"/>
              </w:rPr>
            </w:pPr>
            <w:r>
              <w:rPr>
                <w:sz w:val="20"/>
              </w:rPr>
              <w:t xml:space="preserve">Notified the </w:t>
            </w:r>
            <w:r w:rsidR="003423AA">
              <w:rPr>
                <w:sz w:val="20"/>
              </w:rPr>
              <w:t xml:space="preserve">GSSU </w:t>
            </w:r>
            <w:r>
              <w:rPr>
                <w:sz w:val="20"/>
              </w:rPr>
              <w:t>to close any associated contract in the contracts module.</w:t>
            </w:r>
          </w:p>
        </w:tc>
      </w:tr>
      <w:tr w:rsidR="00136CEF" w14:paraId="78950FF9" w14:textId="77777777" w:rsidTr="00AE2690">
        <w:trPr>
          <w:trHeight w:hRule="exact" w:val="532"/>
        </w:trPr>
        <w:tc>
          <w:tcPr>
            <w:tcW w:w="888" w:type="dxa"/>
          </w:tcPr>
          <w:p w14:paraId="2B37ED96" w14:textId="77777777" w:rsidR="00136CEF" w:rsidRDefault="00136CEF" w:rsidP="003423AA">
            <w:pPr>
              <w:jc w:val="center"/>
            </w:pPr>
            <w:r>
              <w:t>29</w:t>
            </w:r>
          </w:p>
        </w:tc>
        <w:tc>
          <w:tcPr>
            <w:tcW w:w="1080" w:type="dxa"/>
          </w:tcPr>
          <w:p w14:paraId="1BA26B03" w14:textId="77777777" w:rsidR="00136CEF" w:rsidRDefault="00136CEF" w:rsidP="003423AA">
            <w:pPr>
              <w:pStyle w:val="TableParagraph"/>
              <w:spacing w:line="230" w:lineRule="exact"/>
              <w:ind w:right="0"/>
              <w:jc w:val="center"/>
              <w:rPr>
                <w:sz w:val="20"/>
              </w:rPr>
            </w:pPr>
            <w:r>
              <w:rPr>
                <w:sz w:val="20"/>
              </w:rPr>
              <w:t>32</w:t>
            </w:r>
          </w:p>
        </w:tc>
        <w:tc>
          <w:tcPr>
            <w:tcW w:w="1070" w:type="dxa"/>
          </w:tcPr>
          <w:p w14:paraId="40F00B8F" w14:textId="77777777" w:rsidR="00136CEF" w:rsidRDefault="00136CEF" w:rsidP="003423AA">
            <w:pPr>
              <w:pStyle w:val="TableParagraph"/>
              <w:spacing w:line="230" w:lineRule="exact"/>
              <w:ind w:right="0"/>
              <w:jc w:val="center"/>
              <w:rPr>
                <w:sz w:val="20"/>
              </w:rPr>
            </w:pPr>
            <w:r>
              <w:rPr>
                <w:sz w:val="20"/>
              </w:rPr>
              <w:t>34</w:t>
            </w:r>
          </w:p>
        </w:tc>
        <w:tc>
          <w:tcPr>
            <w:tcW w:w="7650" w:type="dxa"/>
          </w:tcPr>
          <w:p w14:paraId="53F85300" w14:textId="77777777" w:rsidR="00136CEF" w:rsidRDefault="00136CEF" w:rsidP="00581B5C">
            <w:pPr>
              <w:pStyle w:val="TableParagraph"/>
              <w:spacing w:line="230" w:lineRule="exact"/>
              <w:ind w:right="0"/>
              <w:rPr>
                <w:sz w:val="20"/>
              </w:rPr>
            </w:pPr>
            <w:r>
              <w:rPr>
                <w:sz w:val="20"/>
              </w:rPr>
              <w:t>All donor reports, as established in the Cost Sharing agreement, were submitted and acknowledged receipt by the donor representative.</w:t>
            </w:r>
          </w:p>
        </w:tc>
      </w:tr>
      <w:tr w:rsidR="00136CEF" w14:paraId="35BE6B39" w14:textId="77777777" w:rsidTr="00AE2690">
        <w:trPr>
          <w:trHeight w:hRule="exact" w:val="264"/>
        </w:trPr>
        <w:tc>
          <w:tcPr>
            <w:tcW w:w="888" w:type="dxa"/>
          </w:tcPr>
          <w:p w14:paraId="0992AFA8" w14:textId="77777777" w:rsidR="00136CEF" w:rsidRDefault="00136CEF" w:rsidP="003423AA">
            <w:pPr>
              <w:jc w:val="center"/>
            </w:pPr>
            <w:r>
              <w:t>None</w:t>
            </w:r>
          </w:p>
        </w:tc>
        <w:tc>
          <w:tcPr>
            <w:tcW w:w="1080" w:type="dxa"/>
          </w:tcPr>
          <w:p w14:paraId="5B697E98" w14:textId="77777777" w:rsidR="00136CEF" w:rsidRDefault="00136CEF" w:rsidP="003423AA">
            <w:pPr>
              <w:pStyle w:val="TableParagraph"/>
              <w:spacing w:line="230" w:lineRule="exact"/>
              <w:ind w:right="0"/>
              <w:jc w:val="center"/>
              <w:rPr>
                <w:sz w:val="20"/>
              </w:rPr>
            </w:pPr>
            <w:r>
              <w:rPr>
                <w:sz w:val="20"/>
              </w:rPr>
              <w:t>33</w:t>
            </w:r>
          </w:p>
        </w:tc>
        <w:tc>
          <w:tcPr>
            <w:tcW w:w="1070" w:type="dxa"/>
          </w:tcPr>
          <w:p w14:paraId="792A80C1" w14:textId="77777777" w:rsidR="00136CEF" w:rsidRDefault="00136CEF" w:rsidP="003423AA">
            <w:pPr>
              <w:pStyle w:val="TableParagraph"/>
              <w:spacing w:line="230" w:lineRule="exact"/>
              <w:ind w:right="0"/>
              <w:jc w:val="center"/>
              <w:rPr>
                <w:sz w:val="20"/>
              </w:rPr>
            </w:pPr>
            <w:r>
              <w:rPr>
                <w:sz w:val="20"/>
              </w:rPr>
              <w:t>35</w:t>
            </w:r>
          </w:p>
        </w:tc>
        <w:tc>
          <w:tcPr>
            <w:tcW w:w="7650" w:type="dxa"/>
          </w:tcPr>
          <w:p w14:paraId="6E9A6FC3" w14:textId="77777777" w:rsidR="00136CEF" w:rsidRDefault="00136CEF" w:rsidP="00581B5C">
            <w:pPr>
              <w:pStyle w:val="TableParagraph"/>
              <w:spacing w:line="230" w:lineRule="exact"/>
              <w:ind w:right="0"/>
              <w:rPr>
                <w:sz w:val="20"/>
              </w:rPr>
            </w:pPr>
            <w:r>
              <w:rPr>
                <w:sz w:val="20"/>
              </w:rPr>
              <w:t>Ensure project accounts are closed.  Project status = “F”.</w:t>
            </w:r>
          </w:p>
        </w:tc>
      </w:tr>
      <w:tr w:rsidR="006D76B6" w14:paraId="07F82703" w14:textId="77777777" w:rsidTr="00AE2690">
        <w:trPr>
          <w:trHeight w:hRule="exact" w:val="264"/>
        </w:trPr>
        <w:tc>
          <w:tcPr>
            <w:tcW w:w="888" w:type="dxa"/>
          </w:tcPr>
          <w:p w14:paraId="1C42229F" w14:textId="3719FE96" w:rsidR="006D76B6" w:rsidRDefault="006D76B6" w:rsidP="003423AA">
            <w:pPr>
              <w:jc w:val="center"/>
            </w:pPr>
            <w:r>
              <w:t>None</w:t>
            </w:r>
          </w:p>
        </w:tc>
        <w:tc>
          <w:tcPr>
            <w:tcW w:w="1080" w:type="dxa"/>
          </w:tcPr>
          <w:p w14:paraId="3036F1F3" w14:textId="2A782A83" w:rsidR="006D76B6" w:rsidRDefault="006D76B6" w:rsidP="003423AA">
            <w:pPr>
              <w:pStyle w:val="TableParagraph"/>
              <w:spacing w:line="230" w:lineRule="exact"/>
              <w:ind w:right="0"/>
              <w:jc w:val="center"/>
              <w:rPr>
                <w:sz w:val="20"/>
              </w:rPr>
            </w:pPr>
            <w:r w:rsidRPr="006D76B6">
              <w:rPr>
                <w:rFonts w:asciiTheme="minorHAnsi" w:eastAsiaTheme="minorHAnsi" w:hAnsiTheme="minorHAnsi" w:cstheme="minorBidi"/>
              </w:rPr>
              <w:t>None</w:t>
            </w:r>
          </w:p>
        </w:tc>
        <w:tc>
          <w:tcPr>
            <w:tcW w:w="1070" w:type="dxa"/>
          </w:tcPr>
          <w:p w14:paraId="46ECB5FE" w14:textId="731DA59B" w:rsidR="006D76B6" w:rsidRDefault="006D76B6" w:rsidP="003423AA">
            <w:pPr>
              <w:pStyle w:val="TableParagraph"/>
              <w:spacing w:line="230" w:lineRule="exact"/>
              <w:ind w:right="0"/>
              <w:jc w:val="center"/>
              <w:rPr>
                <w:sz w:val="20"/>
              </w:rPr>
            </w:pPr>
            <w:r>
              <w:rPr>
                <w:sz w:val="20"/>
              </w:rPr>
              <w:t>36</w:t>
            </w:r>
          </w:p>
        </w:tc>
        <w:tc>
          <w:tcPr>
            <w:tcW w:w="7650" w:type="dxa"/>
          </w:tcPr>
          <w:p w14:paraId="020EAC64" w14:textId="673FDB7B" w:rsidR="006D76B6" w:rsidRDefault="006D76B6" w:rsidP="00581B5C">
            <w:pPr>
              <w:pStyle w:val="TableParagraph"/>
              <w:spacing w:line="230" w:lineRule="exact"/>
              <w:ind w:right="0"/>
              <w:rPr>
                <w:sz w:val="20"/>
              </w:rPr>
            </w:pPr>
            <w:r w:rsidRPr="006D76B6">
              <w:rPr>
                <w:sz w:val="20"/>
              </w:rPr>
              <w:t>Ensure staff, UNV and SC positions are properly inactivated or transferred in Atlas HCM</w:t>
            </w:r>
          </w:p>
        </w:tc>
      </w:tr>
      <w:tr w:rsidR="006D76B6" w14:paraId="555CA854" w14:textId="77777777" w:rsidTr="006D76B6">
        <w:trPr>
          <w:trHeight w:hRule="exact" w:val="487"/>
        </w:trPr>
        <w:tc>
          <w:tcPr>
            <w:tcW w:w="888" w:type="dxa"/>
          </w:tcPr>
          <w:p w14:paraId="424A8FA7" w14:textId="7B48948F" w:rsidR="006D76B6" w:rsidRDefault="006D76B6" w:rsidP="003423AA">
            <w:pPr>
              <w:jc w:val="center"/>
            </w:pPr>
            <w:r>
              <w:t>None</w:t>
            </w:r>
          </w:p>
        </w:tc>
        <w:tc>
          <w:tcPr>
            <w:tcW w:w="1080" w:type="dxa"/>
          </w:tcPr>
          <w:p w14:paraId="4175E378" w14:textId="5AB45134" w:rsidR="006D76B6" w:rsidRDefault="006D76B6" w:rsidP="003423AA">
            <w:pPr>
              <w:pStyle w:val="TableParagraph"/>
              <w:spacing w:line="230" w:lineRule="exact"/>
              <w:ind w:right="0"/>
              <w:jc w:val="center"/>
              <w:rPr>
                <w:sz w:val="20"/>
              </w:rPr>
            </w:pPr>
            <w:r w:rsidRPr="006D76B6">
              <w:rPr>
                <w:sz w:val="20"/>
              </w:rPr>
              <w:t>None</w:t>
            </w:r>
          </w:p>
        </w:tc>
        <w:tc>
          <w:tcPr>
            <w:tcW w:w="1070" w:type="dxa"/>
          </w:tcPr>
          <w:p w14:paraId="62A4385A" w14:textId="0035E76F" w:rsidR="006D76B6" w:rsidRDefault="006D76B6" w:rsidP="003423AA">
            <w:pPr>
              <w:pStyle w:val="TableParagraph"/>
              <w:spacing w:line="230" w:lineRule="exact"/>
              <w:ind w:right="0"/>
              <w:jc w:val="center"/>
              <w:rPr>
                <w:sz w:val="20"/>
              </w:rPr>
            </w:pPr>
            <w:r>
              <w:rPr>
                <w:sz w:val="20"/>
              </w:rPr>
              <w:t>37</w:t>
            </w:r>
          </w:p>
        </w:tc>
        <w:tc>
          <w:tcPr>
            <w:tcW w:w="7650" w:type="dxa"/>
          </w:tcPr>
          <w:p w14:paraId="5112B2A8" w14:textId="352D2E7D" w:rsidR="006D76B6" w:rsidRDefault="006D76B6" w:rsidP="00581B5C">
            <w:pPr>
              <w:pStyle w:val="TableParagraph"/>
              <w:spacing w:line="230" w:lineRule="exact"/>
              <w:ind w:right="0"/>
              <w:rPr>
                <w:sz w:val="20"/>
              </w:rPr>
            </w:pPr>
            <w:r w:rsidRPr="006D76B6">
              <w:rPr>
                <w:sz w:val="20"/>
              </w:rPr>
              <w:t>If the project is funded by MPTF, the balances in UNDP GL must be reconciled to the Gateway balance for the mapped MPTF project</w:t>
            </w:r>
          </w:p>
        </w:tc>
      </w:tr>
    </w:tbl>
    <w:p w14:paraId="65244C63" w14:textId="77777777" w:rsidR="008133C3" w:rsidRDefault="008133C3" w:rsidP="008133C3"/>
    <w:p w14:paraId="3C935445" w14:textId="1F7BF7FA" w:rsidR="00136CEF" w:rsidRPr="008133C3" w:rsidRDefault="008133C3" w:rsidP="008133C3">
      <w:pPr>
        <w:rPr>
          <w:b/>
          <w:bCs/>
        </w:rPr>
      </w:pPr>
      <w:r>
        <w:t xml:space="preserve">    </w:t>
      </w:r>
      <w:r w:rsidR="00136CEF" w:rsidRPr="00D470D1">
        <w:rPr>
          <w:rFonts w:ascii="Calibri"/>
          <w:b/>
          <w:sz w:val="28"/>
        </w:rPr>
        <w:t>Name</w:t>
      </w:r>
      <w:r w:rsidR="00136CEF" w:rsidRPr="008133C3">
        <w:rPr>
          <w:b/>
          <w:bCs/>
        </w:rPr>
        <w:t xml:space="preserve">  </w:t>
      </w:r>
      <w:r w:rsidR="00136CEF" w:rsidRPr="008133C3">
        <w:rPr>
          <w:b/>
          <w:bCs/>
          <w:spacing w:val="-1"/>
        </w:rPr>
        <w:t xml:space="preserve"> </w:t>
      </w:r>
      <w:r w:rsidR="00136CEF" w:rsidRPr="008133C3">
        <w:rPr>
          <w:b/>
          <w:bCs/>
          <w:w w:val="99"/>
          <w:u w:val="thick"/>
        </w:rPr>
        <w:t xml:space="preserve"> </w:t>
      </w:r>
      <w:r w:rsidR="00D470D1">
        <w:rPr>
          <w:b/>
          <w:bCs/>
          <w:w w:val="99"/>
          <w:u w:val="thick"/>
        </w:rPr>
        <w:t>_________________________________</w:t>
      </w:r>
      <w:r w:rsidR="00136CEF" w:rsidRPr="008133C3">
        <w:rPr>
          <w:b/>
          <w:bCs/>
          <w:u w:val="thick"/>
        </w:rPr>
        <w:tab/>
      </w:r>
    </w:p>
    <w:p w14:paraId="7B14C0E4" w14:textId="77777777" w:rsidR="00136CEF" w:rsidRDefault="00136CEF" w:rsidP="00136CEF">
      <w:pPr>
        <w:pStyle w:val="BodyText"/>
        <w:rPr>
          <w:rFonts w:ascii="Calibri"/>
          <w:sz w:val="17"/>
        </w:rPr>
      </w:pPr>
    </w:p>
    <w:p w14:paraId="6638E542" w14:textId="77777777" w:rsidR="00136CEF" w:rsidRDefault="00136CEF" w:rsidP="00136CEF">
      <w:pPr>
        <w:tabs>
          <w:tab w:val="left" w:pos="5442"/>
        </w:tabs>
        <w:spacing w:before="43"/>
        <w:ind w:left="220"/>
        <w:rPr>
          <w:rFonts w:ascii="Calibri"/>
          <w:b/>
          <w:sz w:val="28"/>
        </w:rPr>
      </w:pPr>
      <w:r>
        <w:rPr>
          <w:rFonts w:ascii="Calibri"/>
          <w:b/>
          <w:sz w:val="28"/>
        </w:rPr>
        <w:t xml:space="preserve">Title   </w:t>
      </w:r>
      <w:r>
        <w:rPr>
          <w:rFonts w:ascii="Calibri"/>
          <w:b/>
          <w:w w:val="99"/>
          <w:sz w:val="28"/>
          <w:u w:val="thick"/>
        </w:rPr>
        <w:t xml:space="preserve"> </w:t>
      </w:r>
      <w:r>
        <w:rPr>
          <w:rFonts w:ascii="Calibri"/>
          <w:b/>
          <w:sz w:val="28"/>
          <w:u w:val="thick"/>
        </w:rPr>
        <w:tab/>
      </w:r>
    </w:p>
    <w:p w14:paraId="2FC00DB0" w14:textId="77777777" w:rsidR="00136CEF" w:rsidRDefault="00136CEF" w:rsidP="00136CEF">
      <w:pPr>
        <w:pStyle w:val="BodyText"/>
        <w:rPr>
          <w:rFonts w:ascii="Calibri"/>
          <w:sz w:val="17"/>
        </w:rPr>
      </w:pPr>
    </w:p>
    <w:p w14:paraId="75D9E450" w14:textId="28EECBE8" w:rsidR="00136CEF" w:rsidRDefault="00136CEF" w:rsidP="00D470D1">
      <w:pPr>
        <w:tabs>
          <w:tab w:val="left" w:pos="3960"/>
          <w:tab w:val="left" w:pos="6068"/>
          <w:tab w:val="left" w:pos="9391"/>
        </w:tabs>
        <w:spacing w:before="43"/>
        <w:ind w:left="220"/>
        <w:rPr>
          <w:rFonts w:ascii="Calibri"/>
          <w:b/>
          <w:sz w:val="28"/>
        </w:rPr>
      </w:pPr>
      <w:r>
        <w:rPr>
          <w:rFonts w:ascii="Calibri"/>
          <w:b/>
          <w:sz w:val="28"/>
        </w:rPr>
        <w:t>Signature</w:t>
      </w:r>
      <w:r>
        <w:rPr>
          <w:rFonts w:ascii="Calibri"/>
          <w:b/>
          <w:sz w:val="28"/>
          <w:u w:val="thick"/>
        </w:rPr>
        <w:t xml:space="preserve"> </w:t>
      </w:r>
      <w:r>
        <w:rPr>
          <w:rFonts w:ascii="Calibri"/>
          <w:b/>
          <w:sz w:val="28"/>
          <w:u w:val="thick"/>
        </w:rPr>
        <w:tab/>
      </w:r>
      <w:r>
        <w:rPr>
          <w:rFonts w:ascii="Calibri"/>
          <w:b/>
          <w:sz w:val="28"/>
        </w:rPr>
        <w:tab/>
        <w:t>Date</w:t>
      </w:r>
      <w:r>
        <w:rPr>
          <w:rFonts w:ascii="Calibri"/>
          <w:b/>
          <w:spacing w:val="-1"/>
          <w:sz w:val="28"/>
        </w:rPr>
        <w:t xml:space="preserve"> </w:t>
      </w:r>
      <w:r>
        <w:rPr>
          <w:rFonts w:ascii="Calibri"/>
          <w:b/>
          <w:w w:val="99"/>
          <w:sz w:val="28"/>
          <w:u w:val="thick"/>
        </w:rPr>
        <w:t xml:space="preserve"> </w:t>
      </w:r>
      <w:r w:rsidR="00D470D1">
        <w:rPr>
          <w:rFonts w:ascii="Calibri"/>
          <w:b/>
          <w:w w:val="99"/>
          <w:sz w:val="28"/>
          <w:u w:val="thick"/>
        </w:rPr>
        <w:t>_____</w:t>
      </w:r>
    </w:p>
    <w:p w14:paraId="4318C6ED" w14:textId="77777777" w:rsidR="00136CEF" w:rsidRDefault="00136CEF" w:rsidP="00136CEF">
      <w:pPr>
        <w:pStyle w:val="BodyText"/>
        <w:spacing w:before="6"/>
        <w:rPr>
          <w:rFonts w:ascii="Calibri"/>
          <w:sz w:val="14"/>
        </w:rPr>
      </w:pPr>
    </w:p>
    <w:p w14:paraId="5A99DA39" w14:textId="210241C5" w:rsidR="0084623B" w:rsidRDefault="00136CEF" w:rsidP="006D76B6">
      <w:pPr>
        <w:pStyle w:val="BodyText"/>
        <w:spacing w:before="75" w:line="276" w:lineRule="auto"/>
        <w:ind w:left="220" w:right="490"/>
        <w:rPr>
          <w:rFonts w:ascii="Cambria" w:hAnsi="Cambria"/>
          <w:b w:val="0"/>
          <w:sz w:val="24"/>
          <w:szCs w:val="24"/>
        </w:rPr>
      </w:pPr>
      <w:r>
        <w:t>The check list must be signed by the Resident Representative/Head of Office or a senior official designated by the Resident Representative/Head of Office.</w:t>
      </w:r>
      <w:r w:rsidR="0084623B">
        <w:rPr>
          <w:rFonts w:ascii="Cambria" w:hAnsi="Cambria"/>
          <w:b w:val="0"/>
          <w:sz w:val="24"/>
          <w:szCs w:val="24"/>
        </w:rPr>
        <w:br w:type="page"/>
      </w:r>
    </w:p>
    <w:p w14:paraId="34BC673D" w14:textId="77777777" w:rsidR="00E23D7B" w:rsidRDefault="00E23D7B" w:rsidP="00E23D7B"/>
    <w:p w14:paraId="6910DB0B" w14:textId="657EE1F4" w:rsidR="0084623B" w:rsidRDefault="0084623B" w:rsidP="004D3983">
      <w:pPr>
        <w:pStyle w:val="Heading1"/>
        <w:jc w:val="center"/>
      </w:pPr>
      <w:bookmarkStart w:id="23" w:name="_Toc51944979"/>
      <w:r w:rsidRPr="00E23D7B">
        <w:t>A</w:t>
      </w:r>
      <w:r w:rsidR="008955F9">
        <w:t>NNEX</w:t>
      </w:r>
      <w:r w:rsidRPr="00E23D7B">
        <w:t xml:space="preserve"> </w:t>
      </w:r>
      <w:r w:rsidR="00A1685E">
        <w:t>2</w:t>
      </w:r>
      <w:bookmarkEnd w:id="23"/>
    </w:p>
    <w:p w14:paraId="46B035B9" w14:textId="77777777" w:rsidR="004D3983" w:rsidRPr="004D3983" w:rsidRDefault="004D3983" w:rsidP="004D3983">
      <w:pPr>
        <w:rPr>
          <w:lang w:val="en-GB"/>
        </w:rPr>
      </w:pPr>
    </w:p>
    <w:p w14:paraId="7109D64B" w14:textId="77777777" w:rsidR="008133C3" w:rsidRDefault="0084623B" w:rsidP="009A77F5">
      <w:pPr>
        <w:pStyle w:val="Heading2"/>
        <w:numPr>
          <w:ilvl w:val="0"/>
          <w:numId w:val="30"/>
        </w:numPr>
      </w:pPr>
      <w:bookmarkStart w:id="24" w:name="_Toc51944980"/>
      <w:r w:rsidRPr="00AE2690">
        <w:t>Annotated Listing of Active, Inactive and Restricted Balance Sheet Accounts</w:t>
      </w:r>
      <w:bookmarkEnd w:id="24"/>
    </w:p>
    <w:p w14:paraId="216EDE27" w14:textId="77777777" w:rsidR="008133C3" w:rsidRDefault="008133C3" w:rsidP="008133C3">
      <w:pPr>
        <w:ind w:firstLine="720"/>
      </w:pPr>
    </w:p>
    <w:p w14:paraId="354D4F04" w14:textId="246B67C3" w:rsidR="0084623B" w:rsidRDefault="00BF3C85" w:rsidP="008133C3">
      <w:pPr>
        <w:ind w:firstLine="720"/>
      </w:pPr>
      <w:r>
        <w:t xml:space="preserve">Download Annex </w:t>
      </w:r>
      <w:r w:rsidR="00752EF9">
        <w:t>2</w:t>
      </w:r>
      <w:r>
        <w:t xml:space="preserve"> in excel from this </w:t>
      </w:r>
      <w:hyperlink r:id="rId118" w:history="1">
        <w:r w:rsidRPr="00E44B70">
          <w:rPr>
            <w:rStyle w:val="Hyperlink"/>
            <w:rFonts w:ascii="Cambria" w:hAnsi="Cambria"/>
            <w:sz w:val="24"/>
            <w:szCs w:val="24"/>
          </w:rPr>
          <w:t>link</w:t>
        </w:r>
      </w:hyperlink>
    </w:p>
    <w:p w14:paraId="71DD25EA" w14:textId="77777777" w:rsidR="008133C3" w:rsidRPr="00AE2690" w:rsidRDefault="008133C3" w:rsidP="008133C3">
      <w:pPr>
        <w:ind w:firstLine="720"/>
      </w:pPr>
    </w:p>
    <w:p w14:paraId="4C047D90" w14:textId="4927D37F" w:rsidR="00751C4F" w:rsidRDefault="00EA44C7" w:rsidP="009102CE">
      <w:pPr>
        <w:rPr>
          <w:rFonts w:cs="Arial"/>
          <w:b/>
        </w:rPr>
      </w:pPr>
      <w:r>
        <w:rPr>
          <w:rFonts w:cs="Arial"/>
          <w:b/>
        </w:rPr>
        <w:t>The t</w:t>
      </w:r>
      <w:r w:rsidR="00751C4F">
        <w:rPr>
          <w:rFonts w:cs="Arial"/>
          <w:b/>
        </w:rPr>
        <w:t xml:space="preserve">able below shows </w:t>
      </w:r>
      <w:r>
        <w:rPr>
          <w:rFonts w:cs="Arial"/>
          <w:b/>
        </w:rPr>
        <w:t xml:space="preserve">a </w:t>
      </w:r>
      <w:r w:rsidR="00751C4F">
        <w:rPr>
          <w:rFonts w:cs="Arial"/>
          <w:b/>
        </w:rPr>
        <w:t xml:space="preserve">sample of account codes. </w:t>
      </w:r>
    </w:p>
    <w:p w14:paraId="6351EB61" w14:textId="77777777" w:rsidR="0084623B" w:rsidRDefault="00751C4F" w:rsidP="009102CE">
      <w:pPr>
        <w:rPr>
          <w:rFonts w:cs="Arial"/>
          <w:b/>
        </w:rPr>
      </w:pPr>
      <w:r>
        <w:rPr>
          <w:rFonts w:cs="Arial"/>
          <w:b/>
        </w:rPr>
        <w:t>For full list, please run Atlas Query UN_GL_ACCOUNT_TBL_STATUS</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
        <w:gridCol w:w="1980"/>
        <w:gridCol w:w="1530"/>
        <w:gridCol w:w="810"/>
        <w:gridCol w:w="1080"/>
        <w:gridCol w:w="990"/>
        <w:gridCol w:w="900"/>
        <w:gridCol w:w="1350"/>
      </w:tblGrid>
      <w:tr w:rsidR="00D936B4" w:rsidRPr="00751C4F" w14:paraId="61923314" w14:textId="77777777" w:rsidTr="00D936B4">
        <w:trPr>
          <w:trHeight w:val="300"/>
        </w:trPr>
        <w:tc>
          <w:tcPr>
            <w:tcW w:w="985" w:type="dxa"/>
            <w:shd w:val="clear" w:color="000000" w:fill="C0C0C0"/>
            <w:noWrap/>
            <w:vAlign w:val="bottom"/>
            <w:hideMark/>
          </w:tcPr>
          <w:p w14:paraId="58BFE1EC" w14:textId="77777777" w:rsidR="00751C4F" w:rsidRPr="00751C4F" w:rsidRDefault="00751C4F" w:rsidP="00751C4F">
            <w:pPr>
              <w:spacing w:after="0" w:line="240" w:lineRule="auto"/>
              <w:rPr>
                <w:rFonts w:ascii="Arial Unicode MS" w:eastAsia="Arial Unicode MS" w:hAnsi="Arial Unicode MS" w:cs="Arial Unicode MS"/>
                <w:b/>
                <w:bCs/>
                <w:sz w:val="20"/>
                <w:szCs w:val="20"/>
                <w:lang w:bidi="th-TH"/>
              </w:rPr>
            </w:pPr>
            <w:r w:rsidRPr="00751C4F">
              <w:rPr>
                <w:rFonts w:ascii="Arial Unicode MS" w:eastAsia="Arial Unicode MS" w:hAnsi="Arial Unicode MS" w:cs="Arial Unicode MS" w:hint="eastAsia"/>
                <w:b/>
                <w:bCs/>
                <w:sz w:val="20"/>
                <w:szCs w:val="20"/>
                <w:lang w:bidi="th-TH"/>
              </w:rPr>
              <w:t>Account</w:t>
            </w:r>
          </w:p>
        </w:tc>
        <w:tc>
          <w:tcPr>
            <w:tcW w:w="1980" w:type="dxa"/>
            <w:shd w:val="clear" w:color="000000" w:fill="C0C0C0"/>
            <w:noWrap/>
            <w:vAlign w:val="bottom"/>
            <w:hideMark/>
          </w:tcPr>
          <w:p w14:paraId="544AF3F9" w14:textId="77777777" w:rsidR="00751C4F" w:rsidRPr="00751C4F" w:rsidRDefault="00751C4F" w:rsidP="00751C4F">
            <w:pPr>
              <w:spacing w:after="0" w:line="240" w:lineRule="auto"/>
              <w:rPr>
                <w:rFonts w:ascii="Arial Unicode MS" w:eastAsia="Arial Unicode MS" w:hAnsi="Arial Unicode MS" w:cs="Arial Unicode MS"/>
                <w:b/>
                <w:bCs/>
                <w:sz w:val="20"/>
                <w:szCs w:val="20"/>
                <w:lang w:bidi="th-TH"/>
              </w:rPr>
            </w:pPr>
            <w:proofErr w:type="spellStart"/>
            <w:r w:rsidRPr="00751C4F">
              <w:rPr>
                <w:rFonts w:ascii="Arial Unicode MS" w:eastAsia="Arial Unicode MS" w:hAnsi="Arial Unicode MS" w:cs="Arial Unicode MS" w:hint="eastAsia"/>
                <w:b/>
                <w:bCs/>
                <w:sz w:val="20"/>
                <w:szCs w:val="20"/>
                <w:lang w:bidi="th-TH"/>
              </w:rPr>
              <w:t>Descr</w:t>
            </w:r>
            <w:proofErr w:type="spellEnd"/>
          </w:p>
        </w:tc>
        <w:tc>
          <w:tcPr>
            <w:tcW w:w="1530" w:type="dxa"/>
            <w:shd w:val="clear" w:color="000000" w:fill="C0C0C0"/>
            <w:noWrap/>
            <w:vAlign w:val="bottom"/>
            <w:hideMark/>
          </w:tcPr>
          <w:p w14:paraId="5A7E7E1C" w14:textId="77777777" w:rsidR="00751C4F" w:rsidRPr="00751C4F" w:rsidRDefault="00751C4F" w:rsidP="00751C4F">
            <w:pPr>
              <w:spacing w:after="0" w:line="240" w:lineRule="auto"/>
              <w:rPr>
                <w:rFonts w:ascii="Arial Unicode MS" w:eastAsia="Arial Unicode MS" w:hAnsi="Arial Unicode MS" w:cs="Arial Unicode MS"/>
                <w:b/>
                <w:bCs/>
                <w:sz w:val="20"/>
                <w:szCs w:val="20"/>
                <w:lang w:bidi="th-TH"/>
              </w:rPr>
            </w:pPr>
            <w:r w:rsidRPr="00751C4F">
              <w:rPr>
                <w:rFonts w:ascii="Arial Unicode MS" w:eastAsia="Arial Unicode MS" w:hAnsi="Arial Unicode MS" w:cs="Arial Unicode MS" w:hint="eastAsia"/>
                <w:b/>
                <w:bCs/>
                <w:sz w:val="20"/>
                <w:szCs w:val="20"/>
                <w:lang w:bidi="th-TH"/>
              </w:rPr>
              <w:t>Short Desc</w:t>
            </w:r>
          </w:p>
        </w:tc>
        <w:tc>
          <w:tcPr>
            <w:tcW w:w="810" w:type="dxa"/>
            <w:shd w:val="clear" w:color="000000" w:fill="C0C0C0"/>
            <w:noWrap/>
            <w:vAlign w:val="bottom"/>
            <w:hideMark/>
          </w:tcPr>
          <w:p w14:paraId="41B8CC2B" w14:textId="77777777" w:rsidR="00751C4F" w:rsidRPr="00751C4F" w:rsidRDefault="00751C4F" w:rsidP="00751C4F">
            <w:pPr>
              <w:spacing w:after="0" w:line="240" w:lineRule="auto"/>
              <w:rPr>
                <w:rFonts w:ascii="Arial Unicode MS" w:eastAsia="Arial Unicode MS" w:hAnsi="Arial Unicode MS" w:cs="Arial Unicode MS"/>
                <w:b/>
                <w:bCs/>
                <w:sz w:val="20"/>
                <w:szCs w:val="20"/>
                <w:lang w:bidi="th-TH"/>
              </w:rPr>
            </w:pPr>
            <w:r w:rsidRPr="00751C4F">
              <w:rPr>
                <w:rFonts w:ascii="Arial Unicode MS" w:eastAsia="Arial Unicode MS" w:hAnsi="Arial Unicode MS" w:cs="Arial Unicode MS" w:hint="eastAsia"/>
                <w:b/>
                <w:bCs/>
                <w:sz w:val="20"/>
                <w:szCs w:val="20"/>
                <w:lang w:bidi="th-TH"/>
              </w:rPr>
              <w:t>Type</w:t>
            </w:r>
          </w:p>
        </w:tc>
        <w:tc>
          <w:tcPr>
            <w:tcW w:w="1080" w:type="dxa"/>
            <w:shd w:val="clear" w:color="000000" w:fill="C0C0C0"/>
            <w:noWrap/>
            <w:vAlign w:val="bottom"/>
            <w:hideMark/>
          </w:tcPr>
          <w:p w14:paraId="697D58D9" w14:textId="77777777" w:rsidR="00751C4F" w:rsidRPr="00751C4F" w:rsidRDefault="00751C4F" w:rsidP="00751C4F">
            <w:pPr>
              <w:spacing w:after="0" w:line="240" w:lineRule="auto"/>
              <w:rPr>
                <w:rFonts w:ascii="Arial Unicode MS" w:eastAsia="Arial Unicode MS" w:hAnsi="Arial Unicode MS" w:cs="Arial Unicode MS"/>
                <w:b/>
                <w:bCs/>
                <w:sz w:val="20"/>
                <w:szCs w:val="20"/>
                <w:lang w:bidi="th-TH"/>
              </w:rPr>
            </w:pPr>
            <w:r w:rsidRPr="00751C4F">
              <w:rPr>
                <w:rFonts w:ascii="Arial Unicode MS" w:eastAsia="Arial Unicode MS" w:hAnsi="Arial Unicode MS" w:cs="Arial Unicode MS" w:hint="eastAsia"/>
                <w:b/>
                <w:bCs/>
                <w:sz w:val="20"/>
                <w:szCs w:val="20"/>
                <w:lang w:bidi="th-TH"/>
              </w:rPr>
              <w:t>Bud. Only</w:t>
            </w:r>
          </w:p>
        </w:tc>
        <w:tc>
          <w:tcPr>
            <w:tcW w:w="990" w:type="dxa"/>
            <w:shd w:val="clear" w:color="000000" w:fill="C0C0C0"/>
            <w:noWrap/>
            <w:vAlign w:val="bottom"/>
            <w:hideMark/>
          </w:tcPr>
          <w:p w14:paraId="08C664C3" w14:textId="77777777" w:rsidR="00751C4F" w:rsidRPr="00751C4F" w:rsidRDefault="00751C4F" w:rsidP="00751C4F">
            <w:pPr>
              <w:spacing w:after="0" w:line="240" w:lineRule="auto"/>
              <w:jc w:val="center"/>
              <w:rPr>
                <w:rFonts w:ascii="Arial Unicode MS" w:eastAsia="Arial Unicode MS" w:hAnsi="Arial Unicode MS" w:cs="Arial Unicode MS"/>
                <w:b/>
                <w:bCs/>
                <w:sz w:val="20"/>
                <w:szCs w:val="20"/>
                <w:lang w:bidi="th-TH"/>
              </w:rPr>
            </w:pPr>
            <w:r w:rsidRPr="00751C4F">
              <w:rPr>
                <w:rFonts w:ascii="Arial Unicode MS" w:eastAsia="Arial Unicode MS" w:hAnsi="Arial Unicode MS" w:cs="Arial Unicode MS" w:hint="eastAsia"/>
                <w:b/>
                <w:bCs/>
                <w:sz w:val="20"/>
                <w:szCs w:val="20"/>
                <w:lang w:bidi="th-TH"/>
              </w:rPr>
              <w:t>Control Flag</w:t>
            </w:r>
          </w:p>
        </w:tc>
        <w:tc>
          <w:tcPr>
            <w:tcW w:w="900" w:type="dxa"/>
            <w:shd w:val="clear" w:color="000000" w:fill="C0C0C0"/>
            <w:noWrap/>
            <w:vAlign w:val="bottom"/>
            <w:hideMark/>
          </w:tcPr>
          <w:p w14:paraId="3E143DD8" w14:textId="77777777" w:rsidR="00751C4F" w:rsidRPr="00751C4F" w:rsidRDefault="00751C4F" w:rsidP="00751C4F">
            <w:pPr>
              <w:spacing w:after="0" w:line="240" w:lineRule="auto"/>
              <w:rPr>
                <w:rFonts w:ascii="Arial Unicode MS" w:eastAsia="Arial Unicode MS" w:hAnsi="Arial Unicode MS" w:cs="Arial Unicode MS"/>
                <w:b/>
                <w:bCs/>
                <w:sz w:val="20"/>
                <w:szCs w:val="20"/>
                <w:lang w:bidi="th-TH"/>
              </w:rPr>
            </w:pPr>
            <w:r w:rsidRPr="00751C4F">
              <w:rPr>
                <w:rFonts w:ascii="Arial Unicode MS" w:eastAsia="Arial Unicode MS" w:hAnsi="Arial Unicode MS" w:cs="Arial Unicode MS" w:hint="eastAsia"/>
                <w:b/>
                <w:bCs/>
                <w:sz w:val="20"/>
                <w:szCs w:val="20"/>
                <w:lang w:bidi="th-TH"/>
              </w:rPr>
              <w:t>Status</w:t>
            </w:r>
          </w:p>
        </w:tc>
        <w:tc>
          <w:tcPr>
            <w:tcW w:w="1350" w:type="dxa"/>
            <w:shd w:val="clear" w:color="000000" w:fill="C0C0C0"/>
            <w:noWrap/>
            <w:vAlign w:val="bottom"/>
            <w:hideMark/>
          </w:tcPr>
          <w:p w14:paraId="2995595E" w14:textId="45906F2C" w:rsidR="00751C4F" w:rsidRPr="00751C4F" w:rsidRDefault="00751C4F" w:rsidP="00751C4F">
            <w:pPr>
              <w:spacing w:after="0" w:line="240" w:lineRule="auto"/>
              <w:rPr>
                <w:rFonts w:ascii="Arial Unicode MS" w:eastAsia="Arial Unicode MS" w:hAnsi="Arial Unicode MS" w:cs="Arial Unicode MS"/>
                <w:b/>
                <w:bCs/>
                <w:sz w:val="20"/>
                <w:szCs w:val="20"/>
                <w:lang w:bidi="th-TH"/>
              </w:rPr>
            </w:pPr>
            <w:r w:rsidRPr="00751C4F">
              <w:rPr>
                <w:rFonts w:ascii="Arial Unicode MS" w:eastAsia="Arial Unicode MS" w:hAnsi="Arial Unicode MS" w:cs="Arial Unicode MS" w:hint="eastAsia"/>
                <w:b/>
                <w:bCs/>
                <w:sz w:val="20"/>
                <w:szCs w:val="20"/>
                <w:lang w:bidi="th-TH"/>
              </w:rPr>
              <w:t>Open</w:t>
            </w:r>
            <w:r w:rsidR="007D5C67">
              <w:rPr>
                <w:rFonts w:ascii="Arial Unicode MS" w:eastAsia="Arial Unicode MS" w:hAnsi="Arial Unicode MS" w:cs="Arial Unicode MS"/>
                <w:b/>
                <w:bCs/>
                <w:sz w:val="20"/>
                <w:szCs w:val="20"/>
                <w:lang w:bidi="th-TH"/>
              </w:rPr>
              <w:t xml:space="preserve"> </w:t>
            </w:r>
            <w:r w:rsidRPr="00751C4F">
              <w:rPr>
                <w:rFonts w:ascii="Arial Unicode MS" w:eastAsia="Arial Unicode MS" w:hAnsi="Arial Unicode MS" w:cs="Arial Unicode MS" w:hint="eastAsia"/>
                <w:b/>
                <w:bCs/>
                <w:sz w:val="20"/>
                <w:szCs w:val="20"/>
                <w:lang w:bidi="th-TH"/>
              </w:rPr>
              <w:t>Item</w:t>
            </w:r>
          </w:p>
        </w:tc>
      </w:tr>
      <w:tr w:rsidR="00D936B4" w:rsidRPr="00751C4F" w14:paraId="3AEB5697" w14:textId="77777777" w:rsidTr="00D936B4">
        <w:trPr>
          <w:trHeight w:val="300"/>
        </w:trPr>
        <w:tc>
          <w:tcPr>
            <w:tcW w:w="985" w:type="dxa"/>
            <w:shd w:val="clear" w:color="000000" w:fill="FFC000"/>
            <w:noWrap/>
            <w:vAlign w:val="bottom"/>
            <w:hideMark/>
          </w:tcPr>
          <w:p w14:paraId="40BE6E7E" w14:textId="77777777" w:rsidR="00751C4F" w:rsidRPr="00751C4F" w:rsidRDefault="00751C4F" w:rsidP="00751C4F">
            <w:pPr>
              <w:spacing w:after="0" w:line="240" w:lineRule="auto"/>
              <w:rPr>
                <w:rFonts w:ascii="Arial Unicode MS" w:eastAsia="Arial Unicode MS" w:hAnsi="Arial Unicode MS" w:cs="Arial Unicode MS"/>
                <w:sz w:val="20"/>
                <w:szCs w:val="20"/>
                <w:lang w:bidi="th-TH"/>
              </w:rPr>
            </w:pPr>
            <w:r w:rsidRPr="00751C4F">
              <w:rPr>
                <w:rFonts w:ascii="Arial Unicode MS" w:eastAsia="Arial Unicode MS" w:hAnsi="Arial Unicode MS" w:cs="Arial Unicode MS" w:hint="eastAsia"/>
                <w:sz w:val="20"/>
                <w:szCs w:val="20"/>
                <w:lang w:bidi="th-TH"/>
              </w:rPr>
              <w:t>10000</w:t>
            </w:r>
          </w:p>
        </w:tc>
        <w:tc>
          <w:tcPr>
            <w:tcW w:w="1980" w:type="dxa"/>
            <w:shd w:val="clear" w:color="000000" w:fill="FFC000"/>
            <w:noWrap/>
            <w:vAlign w:val="bottom"/>
            <w:hideMark/>
          </w:tcPr>
          <w:p w14:paraId="64A1A4A6" w14:textId="77777777" w:rsidR="00751C4F" w:rsidRPr="00751C4F" w:rsidRDefault="00751C4F" w:rsidP="00751C4F">
            <w:pPr>
              <w:spacing w:after="0" w:line="240" w:lineRule="auto"/>
              <w:rPr>
                <w:rFonts w:ascii="Arial Unicode MS" w:eastAsia="Arial Unicode MS" w:hAnsi="Arial Unicode MS" w:cs="Arial Unicode MS"/>
                <w:sz w:val="20"/>
                <w:szCs w:val="20"/>
                <w:lang w:bidi="th-TH"/>
              </w:rPr>
            </w:pPr>
            <w:r w:rsidRPr="00751C4F">
              <w:rPr>
                <w:rFonts w:ascii="Arial Unicode MS" w:eastAsia="Arial Unicode MS" w:hAnsi="Arial Unicode MS" w:cs="Arial Unicode MS" w:hint="eastAsia"/>
                <w:sz w:val="20"/>
                <w:szCs w:val="20"/>
                <w:lang w:bidi="th-TH"/>
              </w:rPr>
              <w:t>Assets</w:t>
            </w:r>
          </w:p>
        </w:tc>
        <w:tc>
          <w:tcPr>
            <w:tcW w:w="1530" w:type="dxa"/>
            <w:shd w:val="clear" w:color="000000" w:fill="FFC000"/>
            <w:noWrap/>
            <w:vAlign w:val="bottom"/>
            <w:hideMark/>
          </w:tcPr>
          <w:p w14:paraId="28365C15" w14:textId="77777777" w:rsidR="00751C4F" w:rsidRPr="00751C4F" w:rsidRDefault="00751C4F" w:rsidP="00751C4F">
            <w:pPr>
              <w:spacing w:after="0" w:line="240" w:lineRule="auto"/>
              <w:rPr>
                <w:rFonts w:ascii="Arial Unicode MS" w:eastAsia="Arial Unicode MS" w:hAnsi="Arial Unicode MS" w:cs="Arial Unicode MS"/>
                <w:sz w:val="20"/>
                <w:szCs w:val="20"/>
                <w:lang w:bidi="th-TH"/>
              </w:rPr>
            </w:pPr>
            <w:r w:rsidRPr="00751C4F">
              <w:rPr>
                <w:rFonts w:ascii="Arial Unicode MS" w:eastAsia="Arial Unicode MS" w:hAnsi="Arial Unicode MS" w:cs="Arial Unicode MS" w:hint="eastAsia"/>
                <w:sz w:val="20"/>
                <w:szCs w:val="20"/>
                <w:lang w:bidi="th-TH"/>
              </w:rPr>
              <w:t>Assets</w:t>
            </w:r>
          </w:p>
        </w:tc>
        <w:tc>
          <w:tcPr>
            <w:tcW w:w="810" w:type="dxa"/>
            <w:shd w:val="clear" w:color="000000" w:fill="FFC000"/>
            <w:noWrap/>
            <w:vAlign w:val="bottom"/>
            <w:hideMark/>
          </w:tcPr>
          <w:p w14:paraId="48775B0F" w14:textId="77777777" w:rsidR="00751C4F" w:rsidRPr="00751C4F" w:rsidRDefault="00751C4F" w:rsidP="00751C4F">
            <w:pPr>
              <w:spacing w:after="0" w:line="240" w:lineRule="auto"/>
              <w:jc w:val="center"/>
              <w:rPr>
                <w:rFonts w:ascii="Arial Unicode MS" w:eastAsia="Arial Unicode MS" w:hAnsi="Arial Unicode MS" w:cs="Arial Unicode MS"/>
                <w:sz w:val="20"/>
                <w:szCs w:val="20"/>
                <w:lang w:bidi="th-TH"/>
              </w:rPr>
            </w:pPr>
            <w:r w:rsidRPr="00751C4F">
              <w:rPr>
                <w:rFonts w:ascii="Arial Unicode MS" w:eastAsia="Arial Unicode MS" w:hAnsi="Arial Unicode MS" w:cs="Arial Unicode MS" w:hint="eastAsia"/>
                <w:sz w:val="20"/>
                <w:szCs w:val="20"/>
                <w:lang w:bidi="th-TH"/>
              </w:rPr>
              <w:t>A</w:t>
            </w:r>
          </w:p>
        </w:tc>
        <w:tc>
          <w:tcPr>
            <w:tcW w:w="1080" w:type="dxa"/>
            <w:shd w:val="clear" w:color="000000" w:fill="FFC000"/>
            <w:noWrap/>
            <w:vAlign w:val="bottom"/>
            <w:hideMark/>
          </w:tcPr>
          <w:p w14:paraId="25ED2897" w14:textId="77777777" w:rsidR="00751C4F" w:rsidRPr="00751C4F" w:rsidRDefault="00751C4F" w:rsidP="00751C4F">
            <w:pPr>
              <w:spacing w:after="0" w:line="240" w:lineRule="auto"/>
              <w:jc w:val="center"/>
              <w:rPr>
                <w:rFonts w:ascii="Arial Unicode MS" w:eastAsia="Arial Unicode MS" w:hAnsi="Arial Unicode MS" w:cs="Arial Unicode MS"/>
                <w:sz w:val="20"/>
                <w:szCs w:val="20"/>
                <w:lang w:bidi="th-TH"/>
              </w:rPr>
            </w:pPr>
            <w:r w:rsidRPr="00751C4F">
              <w:rPr>
                <w:rFonts w:ascii="Arial Unicode MS" w:eastAsia="Arial Unicode MS" w:hAnsi="Arial Unicode MS" w:cs="Arial Unicode MS" w:hint="eastAsia"/>
                <w:sz w:val="20"/>
                <w:szCs w:val="20"/>
                <w:lang w:bidi="th-TH"/>
              </w:rPr>
              <w:t>Y</w:t>
            </w:r>
          </w:p>
        </w:tc>
        <w:tc>
          <w:tcPr>
            <w:tcW w:w="990" w:type="dxa"/>
            <w:shd w:val="clear" w:color="000000" w:fill="FFC000"/>
            <w:noWrap/>
            <w:vAlign w:val="bottom"/>
            <w:hideMark/>
          </w:tcPr>
          <w:p w14:paraId="163AF00A" w14:textId="77777777" w:rsidR="00751C4F" w:rsidRPr="00751C4F" w:rsidRDefault="00751C4F" w:rsidP="00751C4F">
            <w:pPr>
              <w:spacing w:after="0" w:line="240" w:lineRule="auto"/>
              <w:jc w:val="center"/>
              <w:rPr>
                <w:rFonts w:ascii="Arial Unicode MS" w:eastAsia="Arial Unicode MS" w:hAnsi="Arial Unicode MS" w:cs="Arial Unicode MS"/>
                <w:sz w:val="20"/>
                <w:szCs w:val="20"/>
                <w:lang w:bidi="th-TH"/>
              </w:rPr>
            </w:pPr>
            <w:r w:rsidRPr="00751C4F">
              <w:rPr>
                <w:rFonts w:ascii="Arial Unicode MS" w:eastAsia="Arial Unicode MS" w:hAnsi="Arial Unicode MS" w:cs="Arial Unicode MS" w:hint="eastAsia"/>
                <w:sz w:val="20"/>
                <w:szCs w:val="20"/>
                <w:lang w:bidi="th-TH"/>
              </w:rPr>
              <w:t>N</w:t>
            </w:r>
          </w:p>
        </w:tc>
        <w:tc>
          <w:tcPr>
            <w:tcW w:w="900" w:type="dxa"/>
            <w:shd w:val="clear" w:color="000000" w:fill="FFC000"/>
            <w:noWrap/>
            <w:vAlign w:val="bottom"/>
            <w:hideMark/>
          </w:tcPr>
          <w:p w14:paraId="6E177889" w14:textId="77777777" w:rsidR="00751C4F" w:rsidRPr="00751C4F" w:rsidRDefault="00751C4F" w:rsidP="00751C4F">
            <w:pPr>
              <w:spacing w:after="0" w:line="240" w:lineRule="auto"/>
              <w:jc w:val="center"/>
              <w:rPr>
                <w:rFonts w:ascii="Arial Unicode MS" w:eastAsia="Arial Unicode MS" w:hAnsi="Arial Unicode MS" w:cs="Arial Unicode MS"/>
                <w:sz w:val="20"/>
                <w:szCs w:val="20"/>
                <w:lang w:bidi="th-TH"/>
              </w:rPr>
            </w:pPr>
            <w:r w:rsidRPr="00751C4F">
              <w:rPr>
                <w:rFonts w:ascii="Arial Unicode MS" w:eastAsia="Arial Unicode MS" w:hAnsi="Arial Unicode MS" w:cs="Arial Unicode MS" w:hint="eastAsia"/>
                <w:sz w:val="20"/>
                <w:szCs w:val="20"/>
                <w:lang w:bidi="th-TH"/>
              </w:rPr>
              <w:t>A</w:t>
            </w:r>
          </w:p>
        </w:tc>
        <w:tc>
          <w:tcPr>
            <w:tcW w:w="1350" w:type="dxa"/>
            <w:shd w:val="clear" w:color="000000" w:fill="FFC000"/>
            <w:noWrap/>
            <w:vAlign w:val="bottom"/>
            <w:hideMark/>
          </w:tcPr>
          <w:p w14:paraId="157815DC" w14:textId="77777777" w:rsidR="00751C4F" w:rsidRPr="00751C4F" w:rsidRDefault="00751C4F" w:rsidP="00751C4F">
            <w:pPr>
              <w:spacing w:after="0" w:line="240" w:lineRule="auto"/>
              <w:jc w:val="center"/>
              <w:rPr>
                <w:rFonts w:ascii="Arial Unicode MS" w:eastAsia="Arial Unicode MS" w:hAnsi="Arial Unicode MS" w:cs="Arial Unicode MS"/>
                <w:sz w:val="20"/>
                <w:szCs w:val="20"/>
                <w:lang w:bidi="th-TH"/>
              </w:rPr>
            </w:pPr>
            <w:r w:rsidRPr="00751C4F">
              <w:rPr>
                <w:rFonts w:ascii="Arial Unicode MS" w:eastAsia="Arial Unicode MS" w:hAnsi="Arial Unicode MS" w:cs="Arial Unicode MS" w:hint="eastAsia"/>
                <w:sz w:val="20"/>
                <w:szCs w:val="20"/>
                <w:lang w:bidi="th-TH"/>
              </w:rPr>
              <w:t>N</w:t>
            </w:r>
          </w:p>
        </w:tc>
      </w:tr>
      <w:tr w:rsidR="00D936B4" w:rsidRPr="00751C4F" w14:paraId="57AA46F1" w14:textId="77777777" w:rsidTr="00AE2690">
        <w:trPr>
          <w:trHeight w:val="300"/>
        </w:trPr>
        <w:tc>
          <w:tcPr>
            <w:tcW w:w="985" w:type="dxa"/>
            <w:shd w:val="clear" w:color="auto" w:fill="auto"/>
            <w:noWrap/>
            <w:vAlign w:val="bottom"/>
            <w:hideMark/>
          </w:tcPr>
          <w:p w14:paraId="7165A523" w14:textId="77777777" w:rsidR="00751C4F" w:rsidRPr="00751C4F" w:rsidRDefault="00751C4F" w:rsidP="00751C4F">
            <w:pPr>
              <w:spacing w:after="0" w:line="240" w:lineRule="auto"/>
              <w:rPr>
                <w:rFonts w:ascii="Arial Unicode MS" w:eastAsia="Arial Unicode MS" w:hAnsi="Arial Unicode MS" w:cs="Arial Unicode MS"/>
                <w:sz w:val="20"/>
                <w:szCs w:val="20"/>
                <w:lang w:bidi="th-TH"/>
              </w:rPr>
            </w:pPr>
            <w:r w:rsidRPr="00751C4F">
              <w:rPr>
                <w:rFonts w:ascii="Arial Unicode MS" w:eastAsia="Arial Unicode MS" w:hAnsi="Arial Unicode MS" w:cs="Arial Unicode MS" w:hint="eastAsia"/>
                <w:sz w:val="20"/>
                <w:szCs w:val="20"/>
                <w:lang w:bidi="th-TH"/>
              </w:rPr>
              <w:t>11000</w:t>
            </w:r>
          </w:p>
        </w:tc>
        <w:tc>
          <w:tcPr>
            <w:tcW w:w="1980" w:type="dxa"/>
            <w:shd w:val="clear" w:color="auto" w:fill="auto"/>
            <w:noWrap/>
            <w:vAlign w:val="bottom"/>
            <w:hideMark/>
          </w:tcPr>
          <w:p w14:paraId="637D1817" w14:textId="77777777" w:rsidR="00751C4F" w:rsidRPr="00751C4F" w:rsidRDefault="00751C4F" w:rsidP="00751C4F">
            <w:pPr>
              <w:spacing w:after="0" w:line="240" w:lineRule="auto"/>
              <w:rPr>
                <w:rFonts w:ascii="Arial Unicode MS" w:eastAsia="Arial Unicode MS" w:hAnsi="Arial Unicode MS" w:cs="Arial Unicode MS"/>
                <w:sz w:val="20"/>
                <w:szCs w:val="20"/>
                <w:lang w:bidi="th-TH"/>
              </w:rPr>
            </w:pPr>
            <w:r w:rsidRPr="00751C4F">
              <w:rPr>
                <w:rFonts w:ascii="Arial Unicode MS" w:eastAsia="Arial Unicode MS" w:hAnsi="Arial Unicode MS" w:cs="Arial Unicode MS" w:hint="eastAsia"/>
                <w:sz w:val="20"/>
                <w:szCs w:val="20"/>
                <w:lang w:bidi="th-TH"/>
              </w:rPr>
              <w:t>Cash &amp; Near Cash</w:t>
            </w:r>
          </w:p>
        </w:tc>
        <w:tc>
          <w:tcPr>
            <w:tcW w:w="1530" w:type="dxa"/>
            <w:shd w:val="clear" w:color="auto" w:fill="auto"/>
            <w:noWrap/>
            <w:vAlign w:val="bottom"/>
            <w:hideMark/>
          </w:tcPr>
          <w:p w14:paraId="5112053E" w14:textId="77777777" w:rsidR="00751C4F" w:rsidRPr="00751C4F" w:rsidRDefault="00751C4F" w:rsidP="00751C4F">
            <w:pPr>
              <w:spacing w:after="0" w:line="240" w:lineRule="auto"/>
              <w:rPr>
                <w:rFonts w:ascii="Arial Unicode MS" w:eastAsia="Arial Unicode MS" w:hAnsi="Arial Unicode MS" w:cs="Arial Unicode MS"/>
                <w:sz w:val="20"/>
                <w:szCs w:val="20"/>
                <w:lang w:bidi="th-TH"/>
              </w:rPr>
            </w:pPr>
            <w:proofErr w:type="spellStart"/>
            <w:r w:rsidRPr="00751C4F">
              <w:rPr>
                <w:rFonts w:ascii="Arial Unicode MS" w:eastAsia="Arial Unicode MS" w:hAnsi="Arial Unicode MS" w:cs="Arial Unicode MS" w:hint="eastAsia"/>
                <w:sz w:val="20"/>
                <w:szCs w:val="20"/>
                <w:lang w:bidi="th-TH"/>
              </w:rPr>
              <w:t>Cash&amp;Near</w:t>
            </w:r>
            <w:proofErr w:type="spellEnd"/>
          </w:p>
        </w:tc>
        <w:tc>
          <w:tcPr>
            <w:tcW w:w="810" w:type="dxa"/>
            <w:shd w:val="clear" w:color="auto" w:fill="auto"/>
            <w:noWrap/>
            <w:vAlign w:val="bottom"/>
            <w:hideMark/>
          </w:tcPr>
          <w:p w14:paraId="3B600207" w14:textId="77777777" w:rsidR="00751C4F" w:rsidRPr="00751C4F" w:rsidRDefault="00751C4F" w:rsidP="00751C4F">
            <w:pPr>
              <w:spacing w:after="0" w:line="240" w:lineRule="auto"/>
              <w:jc w:val="center"/>
              <w:rPr>
                <w:rFonts w:ascii="Arial Unicode MS" w:eastAsia="Arial Unicode MS" w:hAnsi="Arial Unicode MS" w:cs="Arial Unicode MS"/>
                <w:sz w:val="20"/>
                <w:szCs w:val="20"/>
                <w:lang w:bidi="th-TH"/>
              </w:rPr>
            </w:pPr>
            <w:r w:rsidRPr="00751C4F">
              <w:rPr>
                <w:rFonts w:ascii="Arial Unicode MS" w:eastAsia="Arial Unicode MS" w:hAnsi="Arial Unicode MS" w:cs="Arial Unicode MS" w:hint="eastAsia"/>
                <w:sz w:val="20"/>
                <w:szCs w:val="20"/>
                <w:lang w:bidi="th-TH"/>
              </w:rPr>
              <w:t>A</w:t>
            </w:r>
          </w:p>
        </w:tc>
        <w:tc>
          <w:tcPr>
            <w:tcW w:w="1080" w:type="dxa"/>
            <w:shd w:val="clear" w:color="auto" w:fill="auto"/>
            <w:noWrap/>
            <w:vAlign w:val="bottom"/>
            <w:hideMark/>
          </w:tcPr>
          <w:p w14:paraId="6D3A8C99" w14:textId="77777777" w:rsidR="00751C4F" w:rsidRPr="00751C4F" w:rsidRDefault="00751C4F" w:rsidP="00751C4F">
            <w:pPr>
              <w:spacing w:after="0" w:line="240" w:lineRule="auto"/>
              <w:jc w:val="center"/>
              <w:rPr>
                <w:rFonts w:ascii="Arial Unicode MS" w:eastAsia="Arial Unicode MS" w:hAnsi="Arial Unicode MS" w:cs="Arial Unicode MS"/>
                <w:sz w:val="20"/>
                <w:szCs w:val="20"/>
                <w:lang w:bidi="th-TH"/>
              </w:rPr>
            </w:pPr>
            <w:r w:rsidRPr="00751C4F">
              <w:rPr>
                <w:rFonts w:ascii="Arial Unicode MS" w:eastAsia="Arial Unicode MS" w:hAnsi="Arial Unicode MS" w:cs="Arial Unicode MS" w:hint="eastAsia"/>
                <w:sz w:val="20"/>
                <w:szCs w:val="20"/>
                <w:lang w:bidi="th-TH"/>
              </w:rPr>
              <w:t>N</w:t>
            </w:r>
          </w:p>
        </w:tc>
        <w:tc>
          <w:tcPr>
            <w:tcW w:w="990" w:type="dxa"/>
            <w:shd w:val="clear" w:color="000000" w:fill="FF0000"/>
            <w:noWrap/>
            <w:vAlign w:val="bottom"/>
            <w:hideMark/>
          </w:tcPr>
          <w:p w14:paraId="7A30C36A" w14:textId="77777777" w:rsidR="00751C4F" w:rsidRPr="00751C4F" w:rsidRDefault="00751C4F" w:rsidP="00751C4F">
            <w:pPr>
              <w:spacing w:after="0" w:line="240" w:lineRule="auto"/>
              <w:jc w:val="center"/>
              <w:rPr>
                <w:rFonts w:ascii="Arial Unicode MS" w:eastAsia="Arial Unicode MS" w:hAnsi="Arial Unicode MS" w:cs="Arial Unicode MS"/>
                <w:b/>
                <w:bCs/>
                <w:sz w:val="20"/>
                <w:szCs w:val="20"/>
                <w:lang w:bidi="th-TH"/>
              </w:rPr>
            </w:pPr>
            <w:r w:rsidRPr="00751C4F">
              <w:rPr>
                <w:rFonts w:ascii="Arial Unicode MS" w:eastAsia="Arial Unicode MS" w:hAnsi="Arial Unicode MS" w:cs="Arial Unicode MS" w:hint="eastAsia"/>
                <w:b/>
                <w:bCs/>
                <w:sz w:val="20"/>
                <w:szCs w:val="20"/>
                <w:lang w:bidi="th-TH"/>
              </w:rPr>
              <w:t>Y</w:t>
            </w:r>
          </w:p>
        </w:tc>
        <w:tc>
          <w:tcPr>
            <w:tcW w:w="900" w:type="dxa"/>
            <w:shd w:val="clear" w:color="000000" w:fill="FF0000"/>
            <w:noWrap/>
            <w:vAlign w:val="bottom"/>
            <w:hideMark/>
          </w:tcPr>
          <w:p w14:paraId="3BC5A0D6" w14:textId="77777777" w:rsidR="00751C4F" w:rsidRPr="00751C4F" w:rsidRDefault="00751C4F" w:rsidP="00751C4F">
            <w:pPr>
              <w:spacing w:after="0" w:line="240" w:lineRule="auto"/>
              <w:jc w:val="center"/>
              <w:rPr>
                <w:rFonts w:ascii="Arial Unicode MS" w:eastAsia="Arial Unicode MS" w:hAnsi="Arial Unicode MS" w:cs="Arial Unicode MS"/>
                <w:b/>
                <w:bCs/>
                <w:sz w:val="20"/>
                <w:szCs w:val="20"/>
                <w:lang w:bidi="th-TH"/>
              </w:rPr>
            </w:pPr>
            <w:r w:rsidRPr="00751C4F">
              <w:rPr>
                <w:rFonts w:ascii="Arial Unicode MS" w:eastAsia="Arial Unicode MS" w:hAnsi="Arial Unicode MS" w:cs="Arial Unicode MS" w:hint="eastAsia"/>
                <w:b/>
                <w:bCs/>
                <w:sz w:val="20"/>
                <w:szCs w:val="20"/>
                <w:lang w:bidi="th-TH"/>
              </w:rPr>
              <w:t>I</w:t>
            </w:r>
          </w:p>
        </w:tc>
        <w:tc>
          <w:tcPr>
            <w:tcW w:w="1350" w:type="dxa"/>
            <w:shd w:val="clear" w:color="auto" w:fill="auto"/>
            <w:noWrap/>
            <w:vAlign w:val="bottom"/>
            <w:hideMark/>
          </w:tcPr>
          <w:p w14:paraId="27B7F7CD" w14:textId="77777777" w:rsidR="00751C4F" w:rsidRPr="00751C4F" w:rsidRDefault="00751C4F" w:rsidP="00751C4F">
            <w:pPr>
              <w:spacing w:after="0" w:line="240" w:lineRule="auto"/>
              <w:jc w:val="center"/>
              <w:rPr>
                <w:rFonts w:ascii="Arial Unicode MS" w:eastAsia="Arial Unicode MS" w:hAnsi="Arial Unicode MS" w:cs="Arial Unicode MS"/>
                <w:sz w:val="20"/>
                <w:szCs w:val="20"/>
                <w:lang w:bidi="th-TH"/>
              </w:rPr>
            </w:pPr>
            <w:r w:rsidRPr="00751C4F">
              <w:rPr>
                <w:rFonts w:ascii="Arial Unicode MS" w:eastAsia="Arial Unicode MS" w:hAnsi="Arial Unicode MS" w:cs="Arial Unicode MS" w:hint="eastAsia"/>
                <w:sz w:val="20"/>
                <w:szCs w:val="20"/>
                <w:lang w:bidi="th-TH"/>
              </w:rPr>
              <w:t>N</w:t>
            </w:r>
          </w:p>
        </w:tc>
      </w:tr>
      <w:tr w:rsidR="00D936B4" w:rsidRPr="00751C4F" w14:paraId="5DE45F11" w14:textId="77777777" w:rsidTr="00AE2690">
        <w:trPr>
          <w:trHeight w:val="300"/>
        </w:trPr>
        <w:tc>
          <w:tcPr>
            <w:tcW w:w="985" w:type="dxa"/>
            <w:shd w:val="clear" w:color="auto" w:fill="auto"/>
            <w:noWrap/>
            <w:vAlign w:val="bottom"/>
            <w:hideMark/>
          </w:tcPr>
          <w:p w14:paraId="3A7072BA" w14:textId="77777777" w:rsidR="00751C4F" w:rsidRPr="00751C4F" w:rsidRDefault="00751C4F" w:rsidP="00751C4F">
            <w:pPr>
              <w:spacing w:after="0" w:line="240" w:lineRule="auto"/>
              <w:rPr>
                <w:rFonts w:ascii="Arial Unicode MS" w:eastAsia="Arial Unicode MS" w:hAnsi="Arial Unicode MS" w:cs="Arial Unicode MS"/>
                <w:sz w:val="20"/>
                <w:szCs w:val="20"/>
                <w:lang w:bidi="th-TH"/>
              </w:rPr>
            </w:pPr>
            <w:r w:rsidRPr="00751C4F">
              <w:rPr>
                <w:rFonts w:ascii="Arial Unicode MS" w:eastAsia="Arial Unicode MS" w:hAnsi="Arial Unicode MS" w:cs="Arial Unicode MS" w:hint="eastAsia"/>
                <w:sz w:val="20"/>
                <w:szCs w:val="20"/>
                <w:lang w:bidi="th-TH"/>
              </w:rPr>
              <w:t>11002</w:t>
            </w:r>
          </w:p>
        </w:tc>
        <w:tc>
          <w:tcPr>
            <w:tcW w:w="1980" w:type="dxa"/>
            <w:shd w:val="clear" w:color="auto" w:fill="auto"/>
            <w:noWrap/>
            <w:vAlign w:val="bottom"/>
            <w:hideMark/>
          </w:tcPr>
          <w:p w14:paraId="06EE27FC" w14:textId="77777777" w:rsidR="00751C4F" w:rsidRPr="00751C4F" w:rsidRDefault="00751C4F" w:rsidP="00751C4F">
            <w:pPr>
              <w:spacing w:after="0" w:line="240" w:lineRule="auto"/>
              <w:rPr>
                <w:rFonts w:ascii="Arial Unicode MS" w:eastAsia="Arial Unicode MS" w:hAnsi="Arial Unicode MS" w:cs="Arial Unicode MS"/>
                <w:sz w:val="20"/>
                <w:szCs w:val="20"/>
                <w:lang w:bidi="th-TH"/>
              </w:rPr>
            </w:pPr>
            <w:r w:rsidRPr="00751C4F">
              <w:rPr>
                <w:rFonts w:ascii="Arial Unicode MS" w:eastAsia="Arial Unicode MS" w:hAnsi="Arial Unicode MS" w:cs="Arial Unicode MS" w:hint="eastAsia"/>
                <w:sz w:val="20"/>
                <w:szCs w:val="20"/>
                <w:lang w:bidi="th-TH"/>
              </w:rPr>
              <w:t>Cash at MDTFO</w:t>
            </w:r>
          </w:p>
        </w:tc>
        <w:tc>
          <w:tcPr>
            <w:tcW w:w="1530" w:type="dxa"/>
            <w:shd w:val="clear" w:color="auto" w:fill="auto"/>
            <w:noWrap/>
            <w:vAlign w:val="bottom"/>
            <w:hideMark/>
          </w:tcPr>
          <w:p w14:paraId="79809CED" w14:textId="77777777" w:rsidR="00751C4F" w:rsidRPr="00751C4F" w:rsidRDefault="00751C4F" w:rsidP="00751C4F">
            <w:pPr>
              <w:spacing w:after="0" w:line="240" w:lineRule="auto"/>
              <w:rPr>
                <w:rFonts w:ascii="Arial Unicode MS" w:eastAsia="Arial Unicode MS" w:hAnsi="Arial Unicode MS" w:cs="Arial Unicode MS"/>
                <w:sz w:val="20"/>
                <w:szCs w:val="20"/>
                <w:lang w:bidi="th-TH"/>
              </w:rPr>
            </w:pPr>
            <w:r w:rsidRPr="00751C4F">
              <w:rPr>
                <w:rFonts w:ascii="Arial Unicode MS" w:eastAsia="Arial Unicode MS" w:hAnsi="Arial Unicode MS" w:cs="Arial Unicode MS" w:hint="eastAsia"/>
                <w:sz w:val="20"/>
                <w:szCs w:val="20"/>
                <w:lang w:bidi="th-TH"/>
              </w:rPr>
              <w:t>Cash MDTF1</w:t>
            </w:r>
          </w:p>
        </w:tc>
        <w:tc>
          <w:tcPr>
            <w:tcW w:w="810" w:type="dxa"/>
            <w:shd w:val="clear" w:color="auto" w:fill="auto"/>
            <w:noWrap/>
            <w:vAlign w:val="bottom"/>
            <w:hideMark/>
          </w:tcPr>
          <w:p w14:paraId="56111AA5" w14:textId="77777777" w:rsidR="00751C4F" w:rsidRPr="00751C4F" w:rsidRDefault="00751C4F" w:rsidP="00751C4F">
            <w:pPr>
              <w:spacing w:after="0" w:line="240" w:lineRule="auto"/>
              <w:jc w:val="center"/>
              <w:rPr>
                <w:rFonts w:ascii="Arial Unicode MS" w:eastAsia="Arial Unicode MS" w:hAnsi="Arial Unicode MS" w:cs="Arial Unicode MS"/>
                <w:sz w:val="20"/>
                <w:szCs w:val="20"/>
                <w:lang w:bidi="th-TH"/>
              </w:rPr>
            </w:pPr>
            <w:r w:rsidRPr="00751C4F">
              <w:rPr>
                <w:rFonts w:ascii="Arial Unicode MS" w:eastAsia="Arial Unicode MS" w:hAnsi="Arial Unicode MS" w:cs="Arial Unicode MS" w:hint="eastAsia"/>
                <w:sz w:val="20"/>
                <w:szCs w:val="20"/>
                <w:lang w:bidi="th-TH"/>
              </w:rPr>
              <w:t>A</w:t>
            </w:r>
          </w:p>
        </w:tc>
        <w:tc>
          <w:tcPr>
            <w:tcW w:w="1080" w:type="dxa"/>
            <w:shd w:val="clear" w:color="auto" w:fill="auto"/>
            <w:noWrap/>
            <w:vAlign w:val="bottom"/>
            <w:hideMark/>
          </w:tcPr>
          <w:p w14:paraId="6938112B" w14:textId="77777777" w:rsidR="00751C4F" w:rsidRPr="00751C4F" w:rsidRDefault="00751C4F" w:rsidP="00751C4F">
            <w:pPr>
              <w:spacing w:after="0" w:line="240" w:lineRule="auto"/>
              <w:jc w:val="center"/>
              <w:rPr>
                <w:rFonts w:ascii="Arial Unicode MS" w:eastAsia="Arial Unicode MS" w:hAnsi="Arial Unicode MS" w:cs="Arial Unicode MS"/>
                <w:sz w:val="20"/>
                <w:szCs w:val="20"/>
                <w:lang w:bidi="th-TH"/>
              </w:rPr>
            </w:pPr>
            <w:r w:rsidRPr="00751C4F">
              <w:rPr>
                <w:rFonts w:ascii="Arial Unicode MS" w:eastAsia="Arial Unicode MS" w:hAnsi="Arial Unicode MS" w:cs="Arial Unicode MS" w:hint="eastAsia"/>
                <w:sz w:val="20"/>
                <w:szCs w:val="20"/>
                <w:lang w:bidi="th-TH"/>
              </w:rPr>
              <w:t>N</w:t>
            </w:r>
          </w:p>
        </w:tc>
        <w:tc>
          <w:tcPr>
            <w:tcW w:w="990" w:type="dxa"/>
            <w:shd w:val="clear" w:color="auto" w:fill="auto"/>
            <w:noWrap/>
            <w:vAlign w:val="bottom"/>
            <w:hideMark/>
          </w:tcPr>
          <w:p w14:paraId="26F787AC" w14:textId="77777777" w:rsidR="00751C4F" w:rsidRPr="00751C4F" w:rsidRDefault="00751C4F" w:rsidP="00751C4F">
            <w:pPr>
              <w:spacing w:after="0" w:line="240" w:lineRule="auto"/>
              <w:jc w:val="center"/>
              <w:rPr>
                <w:rFonts w:ascii="Arial Unicode MS" w:eastAsia="Arial Unicode MS" w:hAnsi="Arial Unicode MS" w:cs="Arial Unicode MS"/>
                <w:sz w:val="20"/>
                <w:szCs w:val="20"/>
                <w:lang w:bidi="th-TH"/>
              </w:rPr>
            </w:pPr>
            <w:r w:rsidRPr="00751C4F">
              <w:rPr>
                <w:rFonts w:ascii="Arial Unicode MS" w:eastAsia="Arial Unicode MS" w:hAnsi="Arial Unicode MS" w:cs="Arial Unicode MS" w:hint="eastAsia"/>
                <w:sz w:val="20"/>
                <w:szCs w:val="20"/>
                <w:lang w:bidi="th-TH"/>
              </w:rPr>
              <w:t>N</w:t>
            </w:r>
          </w:p>
        </w:tc>
        <w:tc>
          <w:tcPr>
            <w:tcW w:w="900" w:type="dxa"/>
            <w:shd w:val="clear" w:color="000000" w:fill="FF0000"/>
            <w:noWrap/>
            <w:vAlign w:val="bottom"/>
            <w:hideMark/>
          </w:tcPr>
          <w:p w14:paraId="011C9E4A" w14:textId="77777777" w:rsidR="00751C4F" w:rsidRPr="00751C4F" w:rsidRDefault="00751C4F" w:rsidP="00751C4F">
            <w:pPr>
              <w:spacing w:after="0" w:line="240" w:lineRule="auto"/>
              <w:jc w:val="center"/>
              <w:rPr>
                <w:rFonts w:ascii="Arial Unicode MS" w:eastAsia="Arial Unicode MS" w:hAnsi="Arial Unicode MS" w:cs="Arial Unicode MS"/>
                <w:b/>
                <w:bCs/>
                <w:sz w:val="20"/>
                <w:szCs w:val="20"/>
                <w:lang w:bidi="th-TH"/>
              </w:rPr>
            </w:pPr>
            <w:r w:rsidRPr="00751C4F">
              <w:rPr>
                <w:rFonts w:ascii="Arial Unicode MS" w:eastAsia="Arial Unicode MS" w:hAnsi="Arial Unicode MS" w:cs="Arial Unicode MS" w:hint="eastAsia"/>
                <w:b/>
                <w:bCs/>
                <w:sz w:val="20"/>
                <w:szCs w:val="20"/>
                <w:lang w:bidi="th-TH"/>
              </w:rPr>
              <w:t>I</w:t>
            </w:r>
          </w:p>
        </w:tc>
        <w:tc>
          <w:tcPr>
            <w:tcW w:w="1350" w:type="dxa"/>
            <w:shd w:val="clear" w:color="auto" w:fill="auto"/>
            <w:noWrap/>
            <w:vAlign w:val="bottom"/>
            <w:hideMark/>
          </w:tcPr>
          <w:p w14:paraId="41F13754" w14:textId="77777777" w:rsidR="00751C4F" w:rsidRPr="00751C4F" w:rsidRDefault="00751C4F" w:rsidP="00751C4F">
            <w:pPr>
              <w:spacing w:after="0" w:line="240" w:lineRule="auto"/>
              <w:jc w:val="center"/>
              <w:rPr>
                <w:rFonts w:ascii="Arial Unicode MS" w:eastAsia="Arial Unicode MS" w:hAnsi="Arial Unicode MS" w:cs="Arial Unicode MS"/>
                <w:sz w:val="20"/>
                <w:szCs w:val="20"/>
                <w:lang w:bidi="th-TH"/>
              </w:rPr>
            </w:pPr>
            <w:r w:rsidRPr="00751C4F">
              <w:rPr>
                <w:rFonts w:ascii="Arial Unicode MS" w:eastAsia="Arial Unicode MS" w:hAnsi="Arial Unicode MS" w:cs="Arial Unicode MS" w:hint="eastAsia"/>
                <w:sz w:val="20"/>
                <w:szCs w:val="20"/>
                <w:lang w:bidi="th-TH"/>
              </w:rPr>
              <w:t>N</w:t>
            </w:r>
          </w:p>
        </w:tc>
      </w:tr>
      <w:tr w:rsidR="00D936B4" w:rsidRPr="00751C4F" w14:paraId="69AA641D" w14:textId="77777777" w:rsidTr="00AE2690">
        <w:trPr>
          <w:trHeight w:val="300"/>
        </w:trPr>
        <w:tc>
          <w:tcPr>
            <w:tcW w:w="985" w:type="dxa"/>
            <w:shd w:val="clear" w:color="auto" w:fill="auto"/>
            <w:noWrap/>
            <w:vAlign w:val="bottom"/>
            <w:hideMark/>
          </w:tcPr>
          <w:p w14:paraId="1D1FF468" w14:textId="77777777" w:rsidR="00751C4F" w:rsidRPr="00751C4F" w:rsidRDefault="00751C4F" w:rsidP="00751C4F">
            <w:pPr>
              <w:spacing w:after="0" w:line="240" w:lineRule="auto"/>
              <w:rPr>
                <w:rFonts w:ascii="Arial Unicode MS" w:eastAsia="Arial Unicode MS" w:hAnsi="Arial Unicode MS" w:cs="Arial Unicode MS"/>
                <w:sz w:val="20"/>
                <w:szCs w:val="20"/>
                <w:lang w:bidi="th-TH"/>
              </w:rPr>
            </w:pPr>
            <w:r w:rsidRPr="00751C4F">
              <w:rPr>
                <w:rFonts w:ascii="Arial Unicode MS" w:eastAsia="Arial Unicode MS" w:hAnsi="Arial Unicode MS" w:cs="Arial Unicode MS" w:hint="eastAsia"/>
                <w:sz w:val="20"/>
                <w:szCs w:val="20"/>
                <w:lang w:bidi="th-TH"/>
              </w:rPr>
              <w:t>11004</w:t>
            </w:r>
          </w:p>
        </w:tc>
        <w:tc>
          <w:tcPr>
            <w:tcW w:w="1980" w:type="dxa"/>
            <w:shd w:val="clear" w:color="auto" w:fill="auto"/>
            <w:noWrap/>
            <w:vAlign w:val="bottom"/>
            <w:hideMark/>
          </w:tcPr>
          <w:p w14:paraId="6DEFFC77" w14:textId="77777777" w:rsidR="00751C4F" w:rsidRPr="00751C4F" w:rsidRDefault="00751C4F" w:rsidP="00751C4F">
            <w:pPr>
              <w:spacing w:after="0" w:line="240" w:lineRule="auto"/>
              <w:rPr>
                <w:rFonts w:ascii="Arial Unicode MS" w:eastAsia="Arial Unicode MS" w:hAnsi="Arial Unicode MS" w:cs="Arial Unicode MS"/>
                <w:sz w:val="20"/>
                <w:szCs w:val="20"/>
                <w:lang w:bidi="th-TH"/>
              </w:rPr>
            </w:pPr>
            <w:r w:rsidRPr="00751C4F">
              <w:rPr>
                <w:rFonts w:ascii="Arial Unicode MS" w:eastAsia="Arial Unicode MS" w:hAnsi="Arial Unicode MS" w:cs="Arial Unicode MS" w:hint="eastAsia"/>
                <w:sz w:val="20"/>
                <w:szCs w:val="20"/>
                <w:lang w:bidi="th-TH"/>
              </w:rPr>
              <w:t>Cash at UNU</w:t>
            </w:r>
          </w:p>
        </w:tc>
        <w:tc>
          <w:tcPr>
            <w:tcW w:w="1530" w:type="dxa"/>
            <w:shd w:val="clear" w:color="auto" w:fill="auto"/>
            <w:noWrap/>
            <w:vAlign w:val="bottom"/>
            <w:hideMark/>
          </w:tcPr>
          <w:p w14:paraId="2AB55466" w14:textId="77777777" w:rsidR="00751C4F" w:rsidRPr="00751C4F" w:rsidRDefault="00751C4F" w:rsidP="00751C4F">
            <w:pPr>
              <w:spacing w:after="0" w:line="240" w:lineRule="auto"/>
              <w:rPr>
                <w:rFonts w:ascii="Arial Unicode MS" w:eastAsia="Arial Unicode MS" w:hAnsi="Arial Unicode MS" w:cs="Arial Unicode MS"/>
                <w:sz w:val="20"/>
                <w:szCs w:val="20"/>
                <w:lang w:bidi="th-TH"/>
              </w:rPr>
            </w:pPr>
            <w:r w:rsidRPr="00751C4F">
              <w:rPr>
                <w:rFonts w:ascii="Arial Unicode MS" w:eastAsia="Arial Unicode MS" w:hAnsi="Arial Unicode MS" w:cs="Arial Unicode MS" w:hint="eastAsia"/>
                <w:sz w:val="20"/>
                <w:szCs w:val="20"/>
                <w:lang w:bidi="th-TH"/>
              </w:rPr>
              <w:t>Cash UNU</w:t>
            </w:r>
          </w:p>
        </w:tc>
        <w:tc>
          <w:tcPr>
            <w:tcW w:w="810" w:type="dxa"/>
            <w:shd w:val="clear" w:color="auto" w:fill="auto"/>
            <w:noWrap/>
            <w:vAlign w:val="bottom"/>
            <w:hideMark/>
          </w:tcPr>
          <w:p w14:paraId="09738794" w14:textId="77777777" w:rsidR="00751C4F" w:rsidRPr="00751C4F" w:rsidRDefault="00751C4F" w:rsidP="00751C4F">
            <w:pPr>
              <w:spacing w:after="0" w:line="240" w:lineRule="auto"/>
              <w:jc w:val="center"/>
              <w:rPr>
                <w:rFonts w:ascii="Arial Unicode MS" w:eastAsia="Arial Unicode MS" w:hAnsi="Arial Unicode MS" w:cs="Arial Unicode MS"/>
                <w:sz w:val="20"/>
                <w:szCs w:val="20"/>
                <w:lang w:bidi="th-TH"/>
              </w:rPr>
            </w:pPr>
            <w:r w:rsidRPr="00751C4F">
              <w:rPr>
                <w:rFonts w:ascii="Arial Unicode MS" w:eastAsia="Arial Unicode MS" w:hAnsi="Arial Unicode MS" w:cs="Arial Unicode MS" w:hint="eastAsia"/>
                <w:sz w:val="20"/>
                <w:szCs w:val="20"/>
                <w:lang w:bidi="th-TH"/>
              </w:rPr>
              <w:t>A</w:t>
            </w:r>
          </w:p>
        </w:tc>
        <w:tc>
          <w:tcPr>
            <w:tcW w:w="1080" w:type="dxa"/>
            <w:shd w:val="clear" w:color="auto" w:fill="auto"/>
            <w:noWrap/>
            <w:vAlign w:val="bottom"/>
            <w:hideMark/>
          </w:tcPr>
          <w:p w14:paraId="3024E6EC" w14:textId="77777777" w:rsidR="00751C4F" w:rsidRPr="00751C4F" w:rsidRDefault="00751C4F" w:rsidP="00751C4F">
            <w:pPr>
              <w:spacing w:after="0" w:line="240" w:lineRule="auto"/>
              <w:jc w:val="center"/>
              <w:rPr>
                <w:rFonts w:ascii="Arial Unicode MS" w:eastAsia="Arial Unicode MS" w:hAnsi="Arial Unicode MS" w:cs="Arial Unicode MS"/>
                <w:sz w:val="20"/>
                <w:szCs w:val="20"/>
                <w:lang w:bidi="th-TH"/>
              </w:rPr>
            </w:pPr>
            <w:r w:rsidRPr="00751C4F">
              <w:rPr>
                <w:rFonts w:ascii="Arial Unicode MS" w:eastAsia="Arial Unicode MS" w:hAnsi="Arial Unicode MS" w:cs="Arial Unicode MS" w:hint="eastAsia"/>
                <w:sz w:val="20"/>
                <w:szCs w:val="20"/>
                <w:lang w:bidi="th-TH"/>
              </w:rPr>
              <w:t>N</w:t>
            </w:r>
          </w:p>
        </w:tc>
        <w:tc>
          <w:tcPr>
            <w:tcW w:w="990" w:type="dxa"/>
            <w:shd w:val="clear" w:color="auto" w:fill="auto"/>
            <w:noWrap/>
            <w:vAlign w:val="bottom"/>
            <w:hideMark/>
          </w:tcPr>
          <w:p w14:paraId="12BBC161" w14:textId="77777777" w:rsidR="00751C4F" w:rsidRPr="00751C4F" w:rsidRDefault="00751C4F" w:rsidP="00751C4F">
            <w:pPr>
              <w:spacing w:after="0" w:line="240" w:lineRule="auto"/>
              <w:jc w:val="center"/>
              <w:rPr>
                <w:rFonts w:ascii="Arial Unicode MS" w:eastAsia="Arial Unicode MS" w:hAnsi="Arial Unicode MS" w:cs="Arial Unicode MS"/>
                <w:sz w:val="20"/>
                <w:szCs w:val="20"/>
                <w:lang w:bidi="th-TH"/>
              </w:rPr>
            </w:pPr>
            <w:r w:rsidRPr="00751C4F">
              <w:rPr>
                <w:rFonts w:ascii="Arial Unicode MS" w:eastAsia="Arial Unicode MS" w:hAnsi="Arial Unicode MS" w:cs="Arial Unicode MS" w:hint="eastAsia"/>
                <w:sz w:val="20"/>
                <w:szCs w:val="20"/>
                <w:lang w:bidi="th-TH"/>
              </w:rPr>
              <w:t>N</w:t>
            </w:r>
          </w:p>
        </w:tc>
        <w:tc>
          <w:tcPr>
            <w:tcW w:w="900" w:type="dxa"/>
            <w:shd w:val="clear" w:color="auto" w:fill="auto"/>
            <w:noWrap/>
            <w:vAlign w:val="bottom"/>
            <w:hideMark/>
          </w:tcPr>
          <w:p w14:paraId="47F67151" w14:textId="77777777" w:rsidR="00751C4F" w:rsidRPr="00751C4F" w:rsidRDefault="00751C4F" w:rsidP="00751C4F">
            <w:pPr>
              <w:spacing w:after="0" w:line="240" w:lineRule="auto"/>
              <w:jc w:val="center"/>
              <w:rPr>
                <w:rFonts w:ascii="Arial Unicode MS" w:eastAsia="Arial Unicode MS" w:hAnsi="Arial Unicode MS" w:cs="Arial Unicode MS"/>
                <w:sz w:val="20"/>
                <w:szCs w:val="20"/>
                <w:lang w:bidi="th-TH"/>
              </w:rPr>
            </w:pPr>
            <w:r w:rsidRPr="00751C4F">
              <w:rPr>
                <w:rFonts w:ascii="Arial Unicode MS" w:eastAsia="Arial Unicode MS" w:hAnsi="Arial Unicode MS" w:cs="Arial Unicode MS" w:hint="eastAsia"/>
                <w:sz w:val="20"/>
                <w:szCs w:val="20"/>
                <w:lang w:bidi="th-TH"/>
              </w:rPr>
              <w:t>A</w:t>
            </w:r>
          </w:p>
        </w:tc>
        <w:tc>
          <w:tcPr>
            <w:tcW w:w="1350" w:type="dxa"/>
            <w:shd w:val="clear" w:color="auto" w:fill="auto"/>
            <w:noWrap/>
            <w:vAlign w:val="bottom"/>
            <w:hideMark/>
          </w:tcPr>
          <w:p w14:paraId="54660A6A" w14:textId="77777777" w:rsidR="00751C4F" w:rsidRPr="00751C4F" w:rsidRDefault="00751C4F" w:rsidP="00751C4F">
            <w:pPr>
              <w:spacing w:after="0" w:line="240" w:lineRule="auto"/>
              <w:jc w:val="center"/>
              <w:rPr>
                <w:rFonts w:ascii="Arial Unicode MS" w:eastAsia="Arial Unicode MS" w:hAnsi="Arial Unicode MS" w:cs="Arial Unicode MS"/>
                <w:sz w:val="20"/>
                <w:szCs w:val="20"/>
                <w:lang w:bidi="th-TH"/>
              </w:rPr>
            </w:pPr>
            <w:r w:rsidRPr="00751C4F">
              <w:rPr>
                <w:rFonts w:ascii="Arial Unicode MS" w:eastAsia="Arial Unicode MS" w:hAnsi="Arial Unicode MS" w:cs="Arial Unicode MS" w:hint="eastAsia"/>
                <w:sz w:val="20"/>
                <w:szCs w:val="20"/>
                <w:lang w:bidi="th-TH"/>
              </w:rPr>
              <w:t>N</w:t>
            </w:r>
          </w:p>
        </w:tc>
      </w:tr>
    </w:tbl>
    <w:p w14:paraId="48CFA40C" w14:textId="77777777" w:rsidR="00751C4F" w:rsidRDefault="00751C4F" w:rsidP="009102CE">
      <w:pPr>
        <w:rPr>
          <w:rFonts w:cs="Arial"/>
          <w:b/>
        </w:rPr>
      </w:pPr>
    </w:p>
    <w:p w14:paraId="6D85BAF3" w14:textId="77777777" w:rsidR="008955F9" w:rsidRDefault="008955F9" w:rsidP="008955F9">
      <w:pPr>
        <w:rPr>
          <w:rFonts w:cs="Arial"/>
          <w:b/>
        </w:rPr>
      </w:pPr>
      <w:r>
        <w:rPr>
          <w:rFonts w:cs="Arial"/>
          <w:b/>
        </w:rPr>
        <w:t>Navigation: Reporting Tools &gt; Query &gt; Query Viewer</w:t>
      </w:r>
    </w:p>
    <w:p w14:paraId="3E61EBC5" w14:textId="77777777" w:rsidR="00D936B4" w:rsidRDefault="00D936B4">
      <w:pPr>
        <w:rPr>
          <w:rFonts w:cs="Arial"/>
          <w:b/>
        </w:rPr>
      </w:pPr>
      <w:r>
        <w:rPr>
          <w:rFonts w:cs="Arial"/>
          <w:b/>
        </w:rPr>
        <w:br w:type="page"/>
      </w:r>
    </w:p>
    <w:p w14:paraId="4D9EC932" w14:textId="77777777" w:rsidR="00D936B4" w:rsidRDefault="00D936B4" w:rsidP="009A77F5">
      <w:pPr>
        <w:pStyle w:val="Heading2"/>
        <w:numPr>
          <w:ilvl w:val="0"/>
          <w:numId w:val="30"/>
        </w:numPr>
      </w:pPr>
      <w:bookmarkStart w:id="25" w:name="_Toc51944981"/>
      <w:r>
        <w:lastRenderedPageBreak/>
        <w:t>Balance Sheet Accounts -Clean-up guidance for fund and project closures</w:t>
      </w:r>
      <w:bookmarkEnd w:id="25"/>
    </w:p>
    <w:tbl>
      <w:tblPr>
        <w:tblW w:w="10890" w:type="dxa"/>
        <w:tblInd w:w="-630" w:type="dxa"/>
        <w:tblLook w:val="04A0" w:firstRow="1" w:lastRow="0" w:firstColumn="1" w:lastColumn="0" w:noHBand="0" w:noVBand="1"/>
      </w:tblPr>
      <w:tblGrid>
        <w:gridCol w:w="1260"/>
        <w:gridCol w:w="1260"/>
        <w:gridCol w:w="1530"/>
        <w:gridCol w:w="1260"/>
        <w:gridCol w:w="1350"/>
        <w:gridCol w:w="4230"/>
      </w:tblGrid>
      <w:tr w:rsidR="00D936B4" w:rsidRPr="00D936B4" w14:paraId="595C3DD0" w14:textId="77777777" w:rsidTr="00E5285F">
        <w:trPr>
          <w:trHeight w:val="315"/>
          <w:tblHeader/>
        </w:trPr>
        <w:tc>
          <w:tcPr>
            <w:tcW w:w="1260" w:type="dxa"/>
            <w:tcBorders>
              <w:top w:val="nil"/>
              <w:left w:val="nil"/>
              <w:bottom w:val="nil"/>
              <w:right w:val="nil"/>
            </w:tcBorders>
            <w:shd w:val="clear" w:color="auto" w:fill="auto"/>
            <w:noWrap/>
            <w:vAlign w:val="center"/>
            <w:hideMark/>
          </w:tcPr>
          <w:p w14:paraId="5F995AD4" w14:textId="77777777" w:rsidR="00D936B4" w:rsidRPr="00D936B4" w:rsidRDefault="00D936B4" w:rsidP="00D936B4">
            <w:pPr>
              <w:spacing w:after="0" w:line="240" w:lineRule="auto"/>
              <w:rPr>
                <w:rFonts w:ascii="Times New Roman" w:eastAsia="Times New Roman" w:hAnsi="Times New Roman" w:cs="Times New Roman"/>
                <w:sz w:val="24"/>
                <w:szCs w:val="24"/>
                <w:lang w:bidi="th-TH"/>
              </w:rPr>
            </w:pPr>
          </w:p>
        </w:tc>
        <w:tc>
          <w:tcPr>
            <w:tcW w:w="2790" w:type="dxa"/>
            <w:gridSpan w:val="2"/>
            <w:tcBorders>
              <w:top w:val="single" w:sz="4" w:space="0" w:color="808080"/>
              <w:left w:val="single" w:sz="4" w:space="0" w:color="808080"/>
              <w:bottom w:val="single" w:sz="4" w:space="0" w:color="808080"/>
              <w:right w:val="single" w:sz="4" w:space="0" w:color="808080"/>
            </w:tcBorders>
            <w:shd w:val="clear" w:color="000000" w:fill="DDEBF7"/>
            <w:noWrap/>
            <w:vAlign w:val="center"/>
            <w:hideMark/>
          </w:tcPr>
          <w:p w14:paraId="193E64CA" w14:textId="77777777" w:rsidR="00D936B4" w:rsidRPr="00D936B4" w:rsidRDefault="00D936B4" w:rsidP="00D936B4">
            <w:pPr>
              <w:spacing w:after="0" w:line="240" w:lineRule="auto"/>
              <w:jc w:val="center"/>
              <w:rPr>
                <w:rFonts w:ascii="Calibri" w:eastAsia="Arial Unicode MS" w:hAnsi="Calibri" w:cs="Arial Unicode MS"/>
                <w:b/>
                <w:bCs/>
                <w:color w:val="262626"/>
                <w:lang w:bidi="th-TH"/>
              </w:rPr>
            </w:pPr>
            <w:r w:rsidRPr="00D936B4">
              <w:rPr>
                <w:rFonts w:ascii="Calibri" w:eastAsia="Arial Unicode MS" w:hAnsi="Calibri" w:cs="Arial Unicode MS"/>
                <w:b/>
                <w:bCs/>
                <w:color w:val="262626"/>
                <w:lang w:bidi="th-TH"/>
              </w:rPr>
              <w:t>Fund Closure</w:t>
            </w:r>
          </w:p>
        </w:tc>
        <w:tc>
          <w:tcPr>
            <w:tcW w:w="2610" w:type="dxa"/>
            <w:gridSpan w:val="2"/>
            <w:tcBorders>
              <w:top w:val="single" w:sz="4" w:space="0" w:color="808080"/>
              <w:left w:val="nil"/>
              <w:bottom w:val="single" w:sz="4" w:space="0" w:color="808080"/>
              <w:right w:val="single" w:sz="4" w:space="0" w:color="808080"/>
            </w:tcBorders>
            <w:shd w:val="clear" w:color="000000" w:fill="DDEBF7"/>
            <w:noWrap/>
            <w:vAlign w:val="center"/>
            <w:hideMark/>
          </w:tcPr>
          <w:p w14:paraId="09AD50D5" w14:textId="77777777" w:rsidR="00D936B4" w:rsidRPr="00D936B4" w:rsidRDefault="00D936B4" w:rsidP="00D936B4">
            <w:pPr>
              <w:spacing w:after="0" w:line="240" w:lineRule="auto"/>
              <w:jc w:val="center"/>
              <w:rPr>
                <w:rFonts w:ascii="Calibri" w:eastAsia="Arial Unicode MS" w:hAnsi="Calibri" w:cs="Arial Unicode MS"/>
                <w:b/>
                <w:bCs/>
                <w:color w:val="262626"/>
                <w:lang w:bidi="th-TH"/>
              </w:rPr>
            </w:pPr>
            <w:r w:rsidRPr="00D936B4">
              <w:rPr>
                <w:rFonts w:ascii="Calibri" w:eastAsia="Arial Unicode MS" w:hAnsi="Calibri" w:cs="Arial Unicode MS"/>
                <w:b/>
                <w:bCs/>
                <w:color w:val="262626"/>
                <w:lang w:bidi="th-TH"/>
              </w:rPr>
              <w:t>Project Closure</w:t>
            </w:r>
          </w:p>
        </w:tc>
        <w:tc>
          <w:tcPr>
            <w:tcW w:w="4230" w:type="dxa"/>
            <w:vMerge w:val="restart"/>
            <w:tcBorders>
              <w:top w:val="single" w:sz="4" w:space="0" w:color="808080"/>
              <w:left w:val="single" w:sz="4" w:space="0" w:color="808080"/>
              <w:bottom w:val="single" w:sz="4" w:space="0" w:color="808080"/>
              <w:right w:val="single" w:sz="4" w:space="0" w:color="808080"/>
            </w:tcBorders>
            <w:shd w:val="clear" w:color="000000" w:fill="DDEBF7"/>
            <w:vAlign w:val="center"/>
            <w:hideMark/>
          </w:tcPr>
          <w:p w14:paraId="5902BEBD" w14:textId="77777777" w:rsidR="00D936B4" w:rsidRPr="00D936B4" w:rsidRDefault="00D936B4" w:rsidP="00D936B4">
            <w:pPr>
              <w:spacing w:after="0" w:line="240" w:lineRule="auto"/>
              <w:jc w:val="center"/>
              <w:rPr>
                <w:rFonts w:ascii="Calibri" w:eastAsia="Arial Unicode MS" w:hAnsi="Calibri" w:cs="Arial Unicode MS"/>
                <w:b/>
                <w:bCs/>
                <w:color w:val="262626"/>
                <w:lang w:bidi="th-TH"/>
              </w:rPr>
            </w:pPr>
            <w:r w:rsidRPr="00D936B4">
              <w:rPr>
                <w:rFonts w:ascii="Calibri" w:eastAsia="Arial Unicode MS" w:hAnsi="Calibri" w:cs="Arial Unicode MS"/>
                <w:b/>
                <w:bCs/>
                <w:color w:val="262626"/>
                <w:lang w:bidi="th-TH"/>
              </w:rPr>
              <w:t>Comments</w:t>
            </w:r>
          </w:p>
        </w:tc>
      </w:tr>
      <w:tr w:rsidR="00D936B4" w:rsidRPr="00D936B4" w14:paraId="2854D14C" w14:textId="77777777" w:rsidTr="00E5285F">
        <w:trPr>
          <w:trHeight w:val="1200"/>
          <w:tblHeader/>
        </w:trPr>
        <w:tc>
          <w:tcPr>
            <w:tcW w:w="1260" w:type="dxa"/>
            <w:tcBorders>
              <w:top w:val="single" w:sz="4" w:space="0" w:color="808080"/>
              <w:left w:val="single" w:sz="4" w:space="0" w:color="808080"/>
              <w:bottom w:val="nil"/>
              <w:right w:val="single" w:sz="4" w:space="0" w:color="808080"/>
            </w:tcBorders>
            <w:shd w:val="clear" w:color="000000" w:fill="DDEBF7"/>
            <w:vAlign w:val="center"/>
            <w:hideMark/>
          </w:tcPr>
          <w:p w14:paraId="42BC36A5" w14:textId="77777777" w:rsidR="00D936B4" w:rsidRPr="00D936B4" w:rsidRDefault="00D936B4" w:rsidP="00D936B4">
            <w:pPr>
              <w:spacing w:after="0" w:line="240" w:lineRule="auto"/>
              <w:jc w:val="center"/>
              <w:rPr>
                <w:rFonts w:ascii="Calibri" w:eastAsia="Arial Unicode MS" w:hAnsi="Calibri" w:cs="Arial Unicode MS"/>
                <w:b/>
                <w:bCs/>
                <w:color w:val="262626"/>
                <w:lang w:bidi="th-TH"/>
              </w:rPr>
            </w:pPr>
            <w:r w:rsidRPr="00D936B4">
              <w:rPr>
                <w:rFonts w:ascii="Calibri" w:eastAsia="Arial Unicode MS" w:hAnsi="Calibri" w:cs="Arial Unicode MS"/>
                <w:b/>
                <w:bCs/>
                <w:color w:val="262626"/>
                <w:lang w:bidi="th-TH"/>
              </w:rPr>
              <w:t>Account Codes</w:t>
            </w:r>
          </w:p>
        </w:tc>
        <w:tc>
          <w:tcPr>
            <w:tcW w:w="1260" w:type="dxa"/>
            <w:tcBorders>
              <w:top w:val="nil"/>
              <w:left w:val="nil"/>
              <w:bottom w:val="nil"/>
              <w:right w:val="single" w:sz="4" w:space="0" w:color="808080"/>
            </w:tcBorders>
            <w:shd w:val="clear" w:color="000000" w:fill="DDEBF7"/>
            <w:vAlign w:val="center"/>
            <w:hideMark/>
          </w:tcPr>
          <w:p w14:paraId="498928DD" w14:textId="77777777" w:rsidR="00D936B4" w:rsidRPr="00D936B4" w:rsidRDefault="00D936B4" w:rsidP="00D936B4">
            <w:pPr>
              <w:spacing w:after="0" w:line="240" w:lineRule="auto"/>
              <w:jc w:val="center"/>
              <w:rPr>
                <w:rFonts w:ascii="Calibri" w:eastAsia="Arial Unicode MS" w:hAnsi="Calibri" w:cs="Arial Unicode MS"/>
                <w:b/>
                <w:bCs/>
                <w:color w:val="262626"/>
                <w:lang w:bidi="th-TH"/>
              </w:rPr>
            </w:pPr>
            <w:r w:rsidRPr="00D936B4">
              <w:rPr>
                <w:rFonts w:ascii="Calibri" w:eastAsia="Arial Unicode MS" w:hAnsi="Calibri" w:cs="Arial Unicode MS"/>
                <w:b/>
                <w:bCs/>
                <w:color w:val="262626"/>
                <w:lang w:bidi="th-TH"/>
              </w:rPr>
              <w:t>Clean-up required to close</w:t>
            </w:r>
          </w:p>
        </w:tc>
        <w:tc>
          <w:tcPr>
            <w:tcW w:w="1530" w:type="dxa"/>
            <w:tcBorders>
              <w:top w:val="nil"/>
              <w:left w:val="nil"/>
              <w:bottom w:val="nil"/>
              <w:right w:val="single" w:sz="4" w:space="0" w:color="808080"/>
            </w:tcBorders>
            <w:shd w:val="clear" w:color="000000" w:fill="DDEBF7"/>
            <w:vAlign w:val="center"/>
            <w:hideMark/>
          </w:tcPr>
          <w:p w14:paraId="2DF186B8" w14:textId="77777777" w:rsidR="00D936B4" w:rsidRPr="00D936B4" w:rsidRDefault="00D936B4" w:rsidP="00D936B4">
            <w:pPr>
              <w:spacing w:after="0" w:line="240" w:lineRule="auto"/>
              <w:jc w:val="center"/>
              <w:rPr>
                <w:rFonts w:ascii="Calibri" w:eastAsia="Arial Unicode MS" w:hAnsi="Calibri" w:cs="Arial Unicode MS"/>
                <w:b/>
                <w:bCs/>
                <w:color w:val="262626"/>
                <w:lang w:bidi="th-TH"/>
              </w:rPr>
            </w:pPr>
            <w:r w:rsidRPr="00D936B4">
              <w:rPr>
                <w:rFonts w:ascii="Calibri" w:eastAsia="Arial Unicode MS" w:hAnsi="Calibri" w:cs="Arial Unicode MS"/>
                <w:b/>
                <w:bCs/>
                <w:color w:val="262626"/>
                <w:lang w:bidi="th-TH"/>
              </w:rPr>
              <w:t>Included in resource balance calculations</w:t>
            </w:r>
          </w:p>
        </w:tc>
        <w:tc>
          <w:tcPr>
            <w:tcW w:w="1260" w:type="dxa"/>
            <w:tcBorders>
              <w:top w:val="nil"/>
              <w:left w:val="nil"/>
              <w:bottom w:val="nil"/>
              <w:right w:val="single" w:sz="4" w:space="0" w:color="808080"/>
            </w:tcBorders>
            <w:shd w:val="clear" w:color="000000" w:fill="DDEBF7"/>
            <w:vAlign w:val="center"/>
            <w:hideMark/>
          </w:tcPr>
          <w:p w14:paraId="25CA11EB" w14:textId="77777777" w:rsidR="00D936B4" w:rsidRPr="00D936B4" w:rsidRDefault="00D936B4" w:rsidP="00D936B4">
            <w:pPr>
              <w:spacing w:after="0" w:line="240" w:lineRule="auto"/>
              <w:jc w:val="center"/>
              <w:rPr>
                <w:rFonts w:ascii="Calibri" w:eastAsia="Arial Unicode MS" w:hAnsi="Calibri" w:cs="Arial Unicode MS"/>
                <w:b/>
                <w:bCs/>
                <w:color w:val="262626"/>
                <w:lang w:bidi="th-TH"/>
              </w:rPr>
            </w:pPr>
            <w:r w:rsidRPr="00D936B4">
              <w:rPr>
                <w:rFonts w:ascii="Calibri" w:eastAsia="Arial Unicode MS" w:hAnsi="Calibri" w:cs="Arial Unicode MS"/>
                <w:b/>
                <w:bCs/>
                <w:color w:val="262626"/>
                <w:lang w:bidi="th-TH"/>
              </w:rPr>
              <w:t>Clean-up required to close</w:t>
            </w:r>
          </w:p>
        </w:tc>
        <w:tc>
          <w:tcPr>
            <w:tcW w:w="1350" w:type="dxa"/>
            <w:tcBorders>
              <w:top w:val="nil"/>
              <w:left w:val="nil"/>
              <w:bottom w:val="nil"/>
              <w:right w:val="single" w:sz="4" w:space="0" w:color="808080"/>
            </w:tcBorders>
            <w:shd w:val="clear" w:color="000000" w:fill="DDEBF7"/>
            <w:vAlign w:val="center"/>
            <w:hideMark/>
          </w:tcPr>
          <w:p w14:paraId="541E2C60" w14:textId="77777777" w:rsidR="00D936B4" w:rsidRPr="00D936B4" w:rsidRDefault="00D936B4" w:rsidP="00D936B4">
            <w:pPr>
              <w:spacing w:after="0" w:line="240" w:lineRule="auto"/>
              <w:jc w:val="center"/>
              <w:rPr>
                <w:rFonts w:ascii="Calibri" w:eastAsia="Arial Unicode MS" w:hAnsi="Calibri" w:cs="Arial Unicode MS"/>
                <w:b/>
                <w:bCs/>
                <w:color w:val="262626"/>
                <w:lang w:bidi="th-TH"/>
              </w:rPr>
            </w:pPr>
            <w:r w:rsidRPr="00D936B4">
              <w:rPr>
                <w:rFonts w:ascii="Calibri" w:eastAsia="Arial Unicode MS" w:hAnsi="Calibri" w:cs="Arial Unicode MS"/>
                <w:b/>
                <w:bCs/>
                <w:color w:val="262626"/>
                <w:lang w:bidi="th-TH"/>
              </w:rPr>
              <w:t>Included in resource balance calculations</w:t>
            </w:r>
          </w:p>
        </w:tc>
        <w:tc>
          <w:tcPr>
            <w:tcW w:w="4230" w:type="dxa"/>
            <w:vMerge/>
            <w:tcBorders>
              <w:top w:val="single" w:sz="4" w:space="0" w:color="808080"/>
              <w:left w:val="single" w:sz="4" w:space="0" w:color="808080"/>
              <w:bottom w:val="single" w:sz="4" w:space="0" w:color="808080"/>
              <w:right w:val="single" w:sz="4" w:space="0" w:color="808080"/>
            </w:tcBorders>
            <w:vAlign w:val="center"/>
            <w:hideMark/>
          </w:tcPr>
          <w:p w14:paraId="24994E12" w14:textId="77777777" w:rsidR="00D936B4" w:rsidRPr="00D936B4" w:rsidRDefault="00D936B4" w:rsidP="00D936B4">
            <w:pPr>
              <w:spacing w:after="0" w:line="240" w:lineRule="auto"/>
              <w:rPr>
                <w:rFonts w:ascii="Calibri" w:eastAsia="Arial Unicode MS" w:hAnsi="Calibri" w:cs="Arial Unicode MS"/>
                <w:b/>
                <w:bCs/>
                <w:color w:val="262626"/>
                <w:lang w:bidi="th-TH"/>
              </w:rPr>
            </w:pPr>
          </w:p>
        </w:tc>
      </w:tr>
      <w:tr w:rsidR="00D936B4" w:rsidRPr="00D936B4" w14:paraId="3A4CABE5" w14:textId="77777777" w:rsidTr="00AE2690">
        <w:trPr>
          <w:trHeight w:val="390"/>
        </w:trPr>
        <w:tc>
          <w:tcPr>
            <w:tcW w:w="126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8EE1265" w14:textId="77777777" w:rsidR="00D936B4" w:rsidRPr="00D936B4" w:rsidRDefault="00D936B4" w:rsidP="00D936B4">
            <w:pPr>
              <w:spacing w:after="0" w:line="240" w:lineRule="auto"/>
              <w:jc w:val="center"/>
              <w:rPr>
                <w:rFonts w:ascii="Calibri" w:eastAsia="Arial Unicode MS" w:hAnsi="Calibri" w:cs="Arial Unicode MS"/>
                <w:b/>
                <w:bCs/>
                <w:color w:val="262626"/>
                <w:lang w:bidi="th-TH"/>
              </w:rPr>
            </w:pPr>
            <w:r w:rsidRPr="00D936B4">
              <w:rPr>
                <w:rFonts w:ascii="Calibri" w:eastAsia="Arial Unicode MS" w:hAnsi="Calibri" w:cs="Arial Unicode MS"/>
                <w:b/>
                <w:bCs/>
                <w:color w:val="262626"/>
                <w:lang w:bidi="th-TH"/>
              </w:rPr>
              <w:t xml:space="preserve">1xxxx </w:t>
            </w:r>
            <w:r w:rsidRPr="00D936B4">
              <w:rPr>
                <w:rFonts w:ascii="Calibri" w:eastAsia="Arial Unicode MS" w:hAnsi="Calibri" w:cs="Arial Unicode MS"/>
                <w:b/>
                <w:bCs/>
                <w:color w:val="333333"/>
                <w:vertAlign w:val="superscript"/>
                <w:lang w:bidi="th-TH"/>
              </w:rPr>
              <w:t>(1)</w:t>
            </w:r>
          </w:p>
        </w:tc>
        <w:tc>
          <w:tcPr>
            <w:tcW w:w="1260" w:type="dxa"/>
            <w:tcBorders>
              <w:top w:val="single" w:sz="4" w:space="0" w:color="808080"/>
              <w:left w:val="nil"/>
              <w:bottom w:val="single" w:sz="4" w:space="0" w:color="808080"/>
              <w:right w:val="single" w:sz="4" w:space="0" w:color="808080"/>
            </w:tcBorders>
            <w:shd w:val="clear" w:color="auto" w:fill="auto"/>
            <w:noWrap/>
            <w:vAlign w:val="center"/>
            <w:hideMark/>
          </w:tcPr>
          <w:p w14:paraId="404498F7" w14:textId="77777777" w:rsidR="00D936B4" w:rsidRPr="00D936B4" w:rsidRDefault="00D936B4" w:rsidP="00D936B4">
            <w:pPr>
              <w:spacing w:after="0" w:line="240" w:lineRule="auto"/>
              <w:jc w:val="center"/>
              <w:rPr>
                <w:rFonts w:ascii="Wingdings" w:eastAsia="Arial Unicode MS" w:hAnsi="Wingdings" w:cs="Arial Unicode MS" w:hint="eastAsia"/>
                <w:b/>
                <w:bCs/>
                <w:color w:val="FF0000"/>
                <w:sz w:val="32"/>
                <w:szCs w:val="32"/>
                <w:lang w:bidi="th-TH"/>
              </w:rPr>
            </w:pPr>
            <w:r w:rsidRPr="00D936B4">
              <w:rPr>
                <w:rFonts w:ascii="Wingdings" w:eastAsia="Arial Unicode MS" w:hAnsi="Wingdings" w:cs="Arial Unicode MS"/>
                <w:b/>
                <w:bCs/>
                <w:color w:val="FF0000"/>
                <w:sz w:val="32"/>
                <w:szCs w:val="32"/>
                <w:lang w:bidi="th-TH"/>
              </w:rPr>
              <w:t></w:t>
            </w:r>
          </w:p>
        </w:tc>
        <w:tc>
          <w:tcPr>
            <w:tcW w:w="1530" w:type="dxa"/>
            <w:tcBorders>
              <w:top w:val="single" w:sz="4" w:space="0" w:color="808080"/>
              <w:left w:val="nil"/>
              <w:bottom w:val="single" w:sz="4" w:space="0" w:color="808080"/>
              <w:right w:val="single" w:sz="4" w:space="0" w:color="808080"/>
            </w:tcBorders>
            <w:shd w:val="clear" w:color="auto" w:fill="auto"/>
            <w:noWrap/>
            <w:vAlign w:val="center"/>
            <w:hideMark/>
          </w:tcPr>
          <w:p w14:paraId="22AD0144" w14:textId="77777777" w:rsidR="00D936B4" w:rsidRPr="00D936B4" w:rsidRDefault="00D936B4" w:rsidP="00D936B4">
            <w:pPr>
              <w:spacing w:after="0" w:line="240" w:lineRule="auto"/>
              <w:jc w:val="center"/>
              <w:rPr>
                <w:rFonts w:ascii="Wingdings" w:eastAsia="Arial Unicode MS" w:hAnsi="Wingdings" w:cs="Arial Unicode MS" w:hint="eastAsia"/>
                <w:b/>
                <w:bCs/>
                <w:color w:val="FF0000"/>
                <w:sz w:val="32"/>
                <w:szCs w:val="32"/>
                <w:lang w:bidi="th-TH"/>
              </w:rPr>
            </w:pPr>
            <w:r w:rsidRPr="00D936B4">
              <w:rPr>
                <w:rFonts w:ascii="Wingdings" w:eastAsia="Arial Unicode MS" w:hAnsi="Wingdings" w:cs="Arial Unicode MS"/>
                <w:b/>
                <w:bCs/>
                <w:color w:val="FF0000"/>
                <w:sz w:val="32"/>
                <w:szCs w:val="32"/>
                <w:lang w:bidi="th-TH"/>
              </w:rPr>
              <w:t></w:t>
            </w:r>
          </w:p>
        </w:tc>
        <w:tc>
          <w:tcPr>
            <w:tcW w:w="1260" w:type="dxa"/>
            <w:tcBorders>
              <w:top w:val="single" w:sz="4" w:space="0" w:color="808080"/>
              <w:left w:val="nil"/>
              <w:bottom w:val="single" w:sz="4" w:space="0" w:color="808080"/>
              <w:right w:val="single" w:sz="4" w:space="0" w:color="808080"/>
            </w:tcBorders>
            <w:shd w:val="clear" w:color="auto" w:fill="auto"/>
            <w:noWrap/>
            <w:vAlign w:val="center"/>
            <w:hideMark/>
          </w:tcPr>
          <w:p w14:paraId="621656C2" w14:textId="77777777" w:rsidR="00D936B4" w:rsidRPr="00D936B4" w:rsidRDefault="00D936B4" w:rsidP="00D936B4">
            <w:pPr>
              <w:spacing w:after="0" w:line="240" w:lineRule="auto"/>
              <w:jc w:val="center"/>
              <w:rPr>
                <w:rFonts w:ascii="Wingdings" w:eastAsia="Arial Unicode MS" w:hAnsi="Wingdings" w:cs="Arial Unicode MS" w:hint="eastAsia"/>
                <w:b/>
                <w:bCs/>
                <w:color w:val="FF0000"/>
                <w:sz w:val="32"/>
                <w:szCs w:val="32"/>
                <w:lang w:bidi="th-TH"/>
              </w:rPr>
            </w:pPr>
            <w:r w:rsidRPr="00D936B4">
              <w:rPr>
                <w:rFonts w:ascii="Wingdings" w:eastAsia="Arial Unicode MS" w:hAnsi="Wingdings" w:cs="Arial Unicode MS"/>
                <w:b/>
                <w:bCs/>
                <w:color w:val="FF0000"/>
                <w:sz w:val="32"/>
                <w:szCs w:val="32"/>
                <w:lang w:bidi="th-TH"/>
              </w:rPr>
              <w:t></w:t>
            </w:r>
          </w:p>
        </w:tc>
        <w:tc>
          <w:tcPr>
            <w:tcW w:w="1350" w:type="dxa"/>
            <w:tcBorders>
              <w:top w:val="single" w:sz="4" w:space="0" w:color="808080"/>
              <w:left w:val="nil"/>
              <w:bottom w:val="single" w:sz="4" w:space="0" w:color="808080"/>
              <w:right w:val="single" w:sz="4" w:space="0" w:color="808080"/>
            </w:tcBorders>
            <w:shd w:val="clear" w:color="auto" w:fill="auto"/>
            <w:noWrap/>
            <w:vAlign w:val="center"/>
            <w:hideMark/>
          </w:tcPr>
          <w:p w14:paraId="0E0B2E24" w14:textId="77777777" w:rsidR="00D936B4" w:rsidRPr="00D936B4" w:rsidRDefault="00D936B4" w:rsidP="00D936B4">
            <w:pPr>
              <w:spacing w:after="0" w:line="240" w:lineRule="auto"/>
              <w:jc w:val="center"/>
              <w:rPr>
                <w:rFonts w:ascii="Wingdings" w:eastAsia="Arial Unicode MS" w:hAnsi="Wingdings" w:cs="Arial Unicode MS" w:hint="eastAsia"/>
                <w:b/>
                <w:bCs/>
                <w:color w:val="FF0000"/>
                <w:sz w:val="32"/>
                <w:szCs w:val="32"/>
                <w:lang w:bidi="th-TH"/>
              </w:rPr>
            </w:pPr>
            <w:r w:rsidRPr="00D936B4">
              <w:rPr>
                <w:rFonts w:ascii="Wingdings" w:eastAsia="Arial Unicode MS" w:hAnsi="Wingdings" w:cs="Arial Unicode MS"/>
                <w:b/>
                <w:bCs/>
                <w:color w:val="FF0000"/>
                <w:sz w:val="32"/>
                <w:szCs w:val="32"/>
                <w:lang w:bidi="th-TH"/>
              </w:rPr>
              <w:t></w:t>
            </w:r>
          </w:p>
        </w:tc>
        <w:tc>
          <w:tcPr>
            <w:tcW w:w="4230" w:type="dxa"/>
            <w:tcBorders>
              <w:top w:val="nil"/>
              <w:left w:val="nil"/>
              <w:bottom w:val="single" w:sz="4" w:space="0" w:color="808080"/>
              <w:right w:val="single" w:sz="4" w:space="0" w:color="808080"/>
            </w:tcBorders>
            <w:shd w:val="clear" w:color="auto" w:fill="auto"/>
            <w:vAlign w:val="center"/>
            <w:hideMark/>
          </w:tcPr>
          <w:p w14:paraId="5DF5D080" w14:textId="77777777" w:rsidR="00D936B4" w:rsidRPr="00D936B4" w:rsidRDefault="00D936B4" w:rsidP="00D936B4">
            <w:pPr>
              <w:spacing w:after="0" w:line="240" w:lineRule="auto"/>
              <w:jc w:val="center"/>
              <w:rPr>
                <w:rFonts w:ascii="Calibri" w:eastAsia="Arial Unicode MS" w:hAnsi="Calibri" w:cs="Arial Unicode MS"/>
                <w:color w:val="262626"/>
                <w:lang w:bidi="th-TH"/>
              </w:rPr>
            </w:pPr>
            <w:r w:rsidRPr="00D936B4">
              <w:rPr>
                <w:rFonts w:ascii="Calibri" w:eastAsia="Arial Unicode MS" w:hAnsi="Calibri" w:cs="Arial Unicode MS"/>
                <w:color w:val="262626"/>
                <w:lang w:bidi="th-TH"/>
              </w:rPr>
              <w:t> </w:t>
            </w:r>
          </w:p>
        </w:tc>
      </w:tr>
      <w:tr w:rsidR="00D936B4" w:rsidRPr="00D936B4" w14:paraId="6A0322AC" w14:textId="77777777" w:rsidTr="00AE2690">
        <w:trPr>
          <w:trHeight w:val="390"/>
        </w:trPr>
        <w:tc>
          <w:tcPr>
            <w:tcW w:w="1260" w:type="dxa"/>
            <w:tcBorders>
              <w:top w:val="nil"/>
              <w:left w:val="single" w:sz="4" w:space="0" w:color="808080"/>
              <w:bottom w:val="single" w:sz="4" w:space="0" w:color="808080"/>
              <w:right w:val="single" w:sz="4" w:space="0" w:color="808080"/>
            </w:tcBorders>
            <w:shd w:val="clear" w:color="auto" w:fill="auto"/>
            <w:noWrap/>
            <w:vAlign w:val="center"/>
            <w:hideMark/>
          </w:tcPr>
          <w:p w14:paraId="2A6B5186" w14:textId="77777777" w:rsidR="00D936B4" w:rsidRPr="00D936B4" w:rsidRDefault="00D936B4" w:rsidP="00D936B4">
            <w:pPr>
              <w:spacing w:after="0" w:line="240" w:lineRule="auto"/>
              <w:jc w:val="center"/>
              <w:rPr>
                <w:rFonts w:ascii="Calibri" w:eastAsia="Arial Unicode MS" w:hAnsi="Calibri" w:cs="Arial Unicode MS"/>
                <w:b/>
                <w:bCs/>
                <w:color w:val="262626"/>
                <w:lang w:bidi="th-TH"/>
              </w:rPr>
            </w:pPr>
            <w:r w:rsidRPr="00D936B4">
              <w:rPr>
                <w:rFonts w:ascii="Calibri" w:eastAsia="Arial Unicode MS" w:hAnsi="Calibri" w:cs="Arial Unicode MS"/>
                <w:b/>
                <w:bCs/>
                <w:color w:val="262626"/>
                <w:lang w:bidi="th-TH"/>
              </w:rPr>
              <w:t>11015</w:t>
            </w:r>
          </w:p>
        </w:tc>
        <w:tc>
          <w:tcPr>
            <w:tcW w:w="1260" w:type="dxa"/>
            <w:tcBorders>
              <w:top w:val="nil"/>
              <w:left w:val="nil"/>
              <w:bottom w:val="single" w:sz="4" w:space="0" w:color="808080"/>
              <w:right w:val="single" w:sz="4" w:space="0" w:color="808080"/>
            </w:tcBorders>
            <w:shd w:val="clear" w:color="auto" w:fill="auto"/>
            <w:noWrap/>
            <w:vAlign w:val="center"/>
            <w:hideMark/>
          </w:tcPr>
          <w:p w14:paraId="722359A5" w14:textId="77777777" w:rsidR="00D936B4" w:rsidRPr="00D936B4" w:rsidRDefault="00D936B4" w:rsidP="00D936B4">
            <w:pPr>
              <w:spacing w:after="0" w:line="240" w:lineRule="auto"/>
              <w:jc w:val="center"/>
              <w:rPr>
                <w:rFonts w:ascii="Wingdings" w:eastAsia="Arial Unicode MS" w:hAnsi="Wingdings" w:cs="Arial Unicode MS" w:hint="eastAsia"/>
                <w:b/>
                <w:bCs/>
                <w:color w:val="00B050"/>
                <w:sz w:val="32"/>
                <w:szCs w:val="32"/>
                <w:lang w:bidi="th-TH"/>
              </w:rPr>
            </w:pPr>
            <w:r w:rsidRPr="00D936B4">
              <w:rPr>
                <w:rFonts w:ascii="Wingdings" w:eastAsia="Arial Unicode MS" w:hAnsi="Wingdings" w:cs="Arial Unicode MS"/>
                <w:b/>
                <w:bCs/>
                <w:color w:val="00B050"/>
                <w:sz w:val="32"/>
                <w:szCs w:val="32"/>
                <w:lang w:bidi="th-TH"/>
              </w:rPr>
              <w:t></w:t>
            </w:r>
          </w:p>
        </w:tc>
        <w:tc>
          <w:tcPr>
            <w:tcW w:w="1530" w:type="dxa"/>
            <w:tcBorders>
              <w:top w:val="nil"/>
              <w:left w:val="nil"/>
              <w:bottom w:val="single" w:sz="4" w:space="0" w:color="808080"/>
              <w:right w:val="single" w:sz="4" w:space="0" w:color="808080"/>
            </w:tcBorders>
            <w:shd w:val="clear" w:color="auto" w:fill="auto"/>
            <w:noWrap/>
            <w:vAlign w:val="center"/>
            <w:hideMark/>
          </w:tcPr>
          <w:p w14:paraId="5132F238" w14:textId="77777777" w:rsidR="00D936B4" w:rsidRPr="00D936B4" w:rsidRDefault="00D936B4" w:rsidP="00D936B4">
            <w:pPr>
              <w:spacing w:after="0" w:line="240" w:lineRule="auto"/>
              <w:jc w:val="center"/>
              <w:rPr>
                <w:rFonts w:ascii="Wingdings" w:eastAsia="Arial Unicode MS" w:hAnsi="Wingdings" w:cs="Arial Unicode MS" w:hint="eastAsia"/>
                <w:b/>
                <w:bCs/>
                <w:color w:val="FF0000"/>
                <w:sz w:val="32"/>
                <w:szCs w:val="32"/>
                <w:lang w:bidi="th-TH"/>
              </w:rPr>
            </w:pPr>
            <w:r w:rsidRPr="00D936B4">
              <w:rPr>
                <w:rFonts w:ascii="Wingdings" w:eastAsia="Arial Unicode MS" w:hAnsi="Wingdings" w:cs="Arial Unicode MS"/>
                <w:b/>
                <w:bCs/>
                <w:color w:val="FF0000"/>
                <w:sz w:val="32"/>
                <w:szCs w:val="32"/>
                <w:lang w:bidi="th-TH"/>
              </w:rPr>
              <w:t></w:t>
            </w:r>
          </w:p>
        </w:tc>
        <w:tc>
          <w:tcPr>
            <w:tcW w:w="1260" w:type="dxa"/>
            <w:tcBorders>
              <w:top w:val="nil"/>
              <w:left w:val="nil"/>
              <w:bottom w:val="single" w:sz="4" w:space="0" w:color="808080"/>
              <w:right w:val="single" w:sz="4" w:space="0" w:color="808080"/>
            </w:tcBorders>
            <w:shd w:val="clear" w:color="auto" w:fill="auto"/>
            <w:noWrap/>
            <w:vAlign w:val="center"/>
            <w:hideMark/>
          </w:tcPr>
          <w:p w14:paraId="2A83421C" w14:textId="77777777" w:rsidR="00D936B4" w:rsidRPr="00D936B4" w:rsidRDefault="00D936B4" w:rsidP="00D936B4">
            <w:pPr>
              <w:spacing w:after="0" w:line="240" w:lineRule="auto"/>
              <w:jc w:val="center"/>
              <w:rPr>
                <w:rFonts w:ascii="Wingdings" w:eastAsia="Arial Unicode MS" w:hAnsi="Wingdings" w:cs="Arial Unicode MS" w:hint="eastAsia"/>
                <w:b/>
                <w:bCs/>
                <w:color w:val="00B050"/>
                <w:sz w:val="32"/>
                <w:szCs w:val="32"/>
                <w:lang w:bidi="th-TH"/>
              </w:rPr>
            </w:pPr>
            <w:r w:rsidRPr="00D936B4">
              <w:rPr>
                <w:rFonts w:ascii="Wingdings" w:eastAsia="Arial Unicode MS" w:hAnsi="Wingdings" w:cs="Arial Unicode MS"/>
                <w:b/>
                <w:bCs/>
                <w:color w:val="00B050"/>
                <w:sz w:val="32"/>
                <w:szCs w:val="32"/>
                <w:lang w:bidi="th-TH"/>
              </w:rPr>
              <w:t></w:t>
            </w:r>
          </w:p>
        </w:tc>
        <w:tc>
          <w:tcPr>
            <w:tcW w:w="1350" w:type="dxa"/>
            <w:tcBorders>
              <w:top w:val="nil"/>
              <w:left w:val="nil"/>
              <w:bottom w:val="single" w:sz="4" w:space="0" w:color="808080"/>
              <w:right w:val="single" w:sz="4" w:space="0" w:color="808080"/>
            </w:tcBorders>
            <w:shd w:val="clear" w:color="auto" w:fill="auto"/>
            <w:noWrap/>
            <w:vAlign w:val="center"/>
            <w:hideMark/>
          </w:tcPr>
          <w:p w14:paraId="088BF801" w14:textId="77777777" w:rsidR="00D936B4" w:rsidRPr="00D936B4" w:rsidRDefault="00D936B4" w:rsidP="00D936B4">
            <w:pPr>
              <w:spacing w:after="0" w:line="240" w:lineRule="auto"/>
              <w:jc w:val="center"/>
              <w:rPr>
                <w:rFonts w:ascii="Wingdings" w:eastAsia="Arial Unicode MS" w:hAnsi="Wingdings" w:cs="Arial Unicode MS" w:hint="eastAsia"/>
                <w:b/>
                <w:bCs/>
                <w:color w:val="FF0000"/>
                <w:sz w:val="32"/>
                <w:szCs w:val="32"/>
                <w:lang w:bidi="th-TH"/>
              </w:rPr>
            </w:pPr>
            <w:r w:rsidRPr="00D936B4">
              <w:rPr>
                <w:rFonts w:ascii="Wingdings" w:eastAsia="Arial Unicode MS" w:hAnsi="Wingdings" w:cs="Arial Unicode MS"/>
                <w:b/>
                <w:bCs/>
                <w:color w:val="FF0000"/>
                <w:sz w:val="32"/>
                <w:szCs w:val="32"/>
                <w:lang w:bidi="th-TH"/>
              </w:rPr>
              <w:t></w:t>
            </w:r>
          </w:p>
        </w:tc>
        <w:tc>
          <w:tcPr>
            <w:tcW w:w="4230" w:type="dxa"/>
            <w:tcBorders>
              <w:top w:val="nil"/>
              <w:left w:val="nil"/>
              <w:bottom w:val="single" w:sz="4" w:space="0" w:color="808080"/>
              <w:right w:val="single" w:sz="4" w:space="0" w:color="808080"/>
            </w:tcBorders>
            <w:shd w:val="clear" w:color="auto" w:fill="auto"/>
            <w:vAlign w:val="center"/>
            <w:hideMark/>
          </w:tcPr>
          <w:p w14:paraId="7CB5EAF1" w14:textId="77777777" w:rsidR="00D936B4" w:rsidRPr="00D936B4" w:rsidRDefault="00D936B4" w:rsidP="00D936B4">
            <w:pPr>
              <w:spacing w:after="0" w:line="240" w:lineRule="auto"/>
              <w:jc w:val="center"/>
              <w:rPr>
                <w:rFonts w:ascii="Calibri" w:eastAsia="Arial Unicode MS" w:hAnsi="Calibri" w:cs="Arial Unicode MS"/>
                <w:color w:val="262626"/>
                <w:lang w:bidi="th-TH"/>
              </w:rPr>
            </w:pPr>
            <w:r w:rsidRPr="00D936B4">
              <w:rPr>
                <w:rFonts w:ascii="Calibri" w:eastAsia="Arial Unicode MS" w:hAnsi="Calibri" w:cs="Arial Unicode MS"/>
                <w:color w:val="262626"/>
                <w:lang w:bidi="th-TH"/>
              </w:rPr>
              <w:t> </w:t>
            </w:r>
          </w:p>
        </w:tc>
      </w:tr>
      <w:tr w:rsidR="00D936B4" w:rsidRPr="00D936B4" w14:paraId="320B2FB3" w14:textId="77777777" w:rsidTr="00AE2690">
        <w:trPr>
          <w:trHeight w:val="1200"/>
        </w:trPr>
        <w:tc>
          <w:tcPr>
            <w:tcW w:w="1260" w:type="dxa"/>
            <w:tcBorders>
              <w:top w:val="nil"/>
              <w:left w:val="single" w:sz="4" w:space="0" w:color="808080"/>
              <w:bottom w:val="single" w:sz="4" w:space="0" w:color="808080"/>
              <w:right w:val="single" w:sz="4" w:space="0" w:color="808080"/>
            </w:tcBorders>
            <w:shd w:val="clear" w:color="auto" w:fill="auto"/>
            <w:vAlign w:val="center"/>
            <w:hideMark/>
          </w:tcPr>
          <w:p w14:paraId="15561BE5" w14:textId="77777777" w:rsidR="00D936B4" w:rsidRPr="00D936B4" w:rsidRDefault="00D936B4" w:rsidP="00D936B4">
            <w:pPr>
              <w:spacing w:after="0" w:line="240" w:lineRule="auto"/>
              <w:jc w:val="center"/>
              <w:rPr>
                <w:rFonts w:ascii="Calibri" w:eastAsia="Arial Unicode MS" w:hAnsi="Calibri" w:cs="Arial Unicode MS"/>
                <w:b/>
                <w:bCs/>
                <w:color w:val="262626"/>
                <w:lang w:bidi="th-TH"/>
              </w:rPr>
            </w:pPr>
            <w:r w:rsidRPr="00D936B4">
              <w:rPr>
                <w:rFonts w:ascii="Calibri" w:eastAsia="Arial Unicode MS" w:hAnsi="Calibri" w:cs="Arial Unicode MS"/>
                <w:b/>
                <w:bCs/>
                <w:color w:val="262626"/>
                <w:lang w:bidi="th-TH"/>
              </w:rPr>
              <w:t xml:space="preserve">13010 </w:t>
            </w:r>
            <w:r w:rsidRPr="00D936B4">
              <w:rPr>
                <w:rFonts w:ascii="Calibri" w:eastAsia="Arial Unicode MS" w:hAnsi="Calibri" w:cs="Arial Unicode MS"/>
                <w:b/>
                <w:bCs/>
                <w:color w:val="262626"/>
                <w:lang w:bidi="th-TH"/>
              </w:rPr>
              <w:br/>
              <w:t>14015</w:t>
            </w:r>
            <w:r w:rsidRPr="00D936B4">
              <w:rPr>
                <w:rFonts w:ascii="Calibri" w:eastAsia="Arial Unicode MS" w:hAnsi="Calibri" w:cs="Arial Unicode MS"/>
                <w:b/>
                <w:bCs/>
                <w:color w:val="262626"/>
                <w:lang w:bidi="th-TH"/>
              </w:rPr>
              <w:br/>
              <w:t>14081</w:t>
            </w:r>
            <w:r w:rsidRPr="00D936B4">
              <w:rPr>
                <w:rFonts w:ascii="Calibri" w:eastAsia="Arial Unicode MS" w:hAnsi="Calibri" w:cs="Arial Unicode MS"/>
                <w:b/>
                <w:bCs/>
                <w:color w:val="262626"/>
                <w:lang w:bidi="th-TH"/>
              </w:rPr>
              <w:br/>
              <w:t>17002</w:t>
            </w:r>
          </w:p>
        </w:tc>
        <w:tc>
          <w:tcPr>
            <w:tcW w:w="1260" w:type="dxa"/>
            <w:tcBorders>
              <w:top w:val="nil"/>
              <w:left w:val="nil"/>
              <w:bottom w:val="single" w:sz="4" w:space="0" w:color="808080"/>
              <w:right w:val="single" w:sz="4" w:space="0" w:color="808080"/>
            </w:tcBorders>
            <w:shd w:val="clear" w:color="auto" w:fill="auto"/>
            <w:noWrap/>
            <w:vAlign w:val="center"/>
            <w:hideMark/>
          </w:tcPr>
          <w:p w14:paraId="2378D9E3" w14:textId="77777777" w:rsidR="00D936B4" w:rsidRPr="00D936B4" w:rsidRDefault="00D936B4" w:rsidP="00D936B4">
            <w:pPr>
              <w:spacing w:after="0" w:line="240" w:lineRule="auto"/>
              <w:jc w:val="center"/>
              <w:rPr>
                <w:rFonts w:ascii="Wingdings" w:eastAsia="Arial Unicode MS" w:hAnsi="Wingdings" w:cs="Arial Unicode MS" w:hint="eastAsia"/>
                <w:b/>
                <w:bCs/>
                <w:color w:val="00B050"/>
                <w:sz w:val="32"/>
                <w:szCs w:val="32"/>
                <w:lang w:bidi="th-TH"/>
              </w:rPr>
            </w:pPr>
            <w:r w:rsidRPr="00D936B4">
              <w:rPr>
                <w:rFonts w:ascii="Wingdings" w:eastAsia="Arial Unicode MS" w:hAnsi="Wingdings" w:cs="Arial Unicode MS"/>
                <w:b/>
                <w:bCs/>
                <w:color w:val="00B050"/>
                <w:sz w:val="32"/>
                <w:szCs w:val="32"/>
                <w:lang w:bidi="th-TH"/>
              </w:rPr>
              <w:t></w:t>
            </w:r>
          </w:p>
        </w:tc>
        <w:tc>
          <w:tcPr>
            <w:tcW w:w="1530" w:type="dxa"/>
            <w:tcBorders>
              <w:top w:val="nil"/>
              <w:left w:val="nil"/>
              <w:bottom w:val="single" w:sz="4" w:space="0" w:color="808080"/>
              <w:right w:val="single" w:sz="4" w:space="0" w:color="808080"/>
            </w:tcBorders>
            <w:shd w:val="clear" w:color="auto" w:fill="auto"/>
            <w:noWrap/>
            <w:vAlign w:val="center"/>
            <w:hideMark/>
          </w:tcPr>
          <w:p w14:paraId="6E4BAE0E" w14:textId="77777777" w:rsidR="00D936B4" w:rsidRPr="00D936B4" w:rsidRDefault="00D936B4" w:rsidP="00D936B4">
            <w:pPr>
              <w:spacing w:after="0" w:line="240" w:lineRule="auto"/>
              <w:jc w:val="center"/>
              <w:rPr>
                <w:rFonts w:ascii="Wingdings" w:eastAsia="Arial Unicode MS" w:hAnsi="Wingdings" w:cs="Arial Unicode MS" w:hint="eastAsia"/>
                <w:b/>
                <w:bCs/>
                <w:color w:val="00B050"/>
                <w:sz w:val="32"/>
                <w:szCs w:val="32"/>
                <w:lang w:bidi="th-TH"/>
              </w:rPr>
            </w:pPr>
            <w:r w:rsidRPr="00D936B4">
              <w:rPr>
                <w:rFonts w:ascii="Wingdings" w:eastAsia="Arial Unicode MS" w:hAnsi="Wingdings" w:cs="Arial Unicode MS"/>
                <w:b/>
                <w:bCs/>
                <w:color w:val="00B050"/>
                <w:sz w:val="32"/>
                <w:szCs w:val="32"/>
                <w:lang w:bidi="th-TH"/>
              </w:rPr>
              <w:t></w:t>
            </w:r>
          </w:p>
        </w:tc>
        <w:tc>
          <w:tcPr>
            <w:tcW w:w="1260" w:type="dxa"/>
            <w:tcBorders>
              <w:top w:val="nil"/>
              <w:left w:val="nil"/>
              <w:bottom w:val="single" w:sz="4" w:space="0" w:color="808080"/>
              <w:right w:val="single" w:sz="4" w:space="0" w:color="808080"/>
            </w:tcBorders>
            <w:shd w:val="clear" w:color="auto" w:fill="auto"/>
            <w:noWrap/>
            <w:vAlign w:val="center"/>
            <w:hideMark/>
          </w:tcPr>
          <w:p w14:paraId="6861520F" w14:textId="77777777" w:rsidR="00D936B4" w:rsidRPr="00D936B4" w:rsidRDefault="00D936B4" w:rsidP="00D936B4">
            <w:pPr>
              <w:spacing w:after="0" w:line="240" w:lineRule="auto"/>
              <w:jc w:val="center"/>
              <w:rPr>
                <w:rFonts w:ascii="Wingdings" w:eastAsia="Arial Unicode MS" w:hAnsi="Wingdings" w:cs="Arial Unicode MS" w:hint="eastAsia"/>
                <w:b/>
                <w:bCs/>
                <w:color w:val="00B050"/>
                <w:sz w:val="32"/>
                <w:szCs w:val="32"/>
                <w:lang w:bidi="th-TH"/>
              </w:rPr>
            </w:pPr>
            <w:r w:rsidRPr="00D936B4">
              <w:rPr>
                <w:rFonts w:ascii="Wingdings" w:eastAsia="Arial Unicode MS" w:hAnsi="Wingdings" w:cs="Arial Unicode MS"/>
                <w:b/>
                <w:bCs/>
                <w:color w:val="00B050"/>
                <w:sz w:val="32"/>
                <w:szCs w:val="32"/>
                <w:lang w:bidi="th-TH"/>
              </w:rPr>
              <w:t></w:t>
            </w:r>
          </w:p>
        </w:tc>
        <w:tc>
          <w:tcPr>
            <w:tcW w:w="1350" w:type="dxa"/>
            <w:tcBorders>
              <w:top w:val="nil"/>
              <w:left w:val="nil"/>
              <w:bottom w:val="single" w:sz="4" w:space="0" w:color="808080"/>
              <w:right w:val="single" w:sz="4" w:space="0" w:color="808080"/>
            </w:tcBorders>
            <w:shd w:val="clear" w:color="auto" w:fill="auto"/>
            <w:noWrap/>
            <w:vAlign w:val="center"/>
            <w:hideMark/>
          </w:tcPr>
          <w:p w14:paraId="7895F6C4" w14:textId="77777777" w:rsidR="00D936B4" w:rsidRPr="00D936B4" w:rsidRDefault="00D936B4" w:rsidP="00D936B4">
            <w:pPr>
              <w:spacing w:after="0" w:line="240" w:lineRule="auto"/>
              <w:jc w:val="center"/>
              <w:rPr>
                <w:rFonts w:ascii="Wingdings" w:eastAsia="Arial Unicode MS" w:hAnsi="Wingdings" w:cs="Arial Unicode MS" w:hint="eastAsia"/>
                <w:b/>
                <w:bCs/>
                <w:color w:val="00B050"/>
                <w:sz w:val="32"/>
                <w:szCs w:val="32"/>
                <w:lang w:bidi="th-TH"/>
              </w:rPr>
            </w:pPr>
            <w:r w:rsidRPr="00D936B4">
              <w:rPr>
                <w:rFonts w:ascii="Wingdings" w:eastAsia="Arial Unicode MS" w:hAnsi="Wingdings" w:cs="Arial Unicode MS"/>
                <w:b/>
                <w:bCs/>
                <w:color w:val="00B050"/>
                <w:sz w:val="32"/>
                <w:szCs w:val="32"/>
                <w:lang w:bidi="th-TH"/>
              </w:rPr>
              <w:t></w:t>
            </w:r>
          </w:p>
        </w:tc>
        <w:tc>
          <w:tcPr>
            <w:tcW w:w="4230" w:type="dxa"/>
            <w:tcBorders>
              <w:top w:val="nil"/>
              <w:left w:val="nil"/>
              <w:bottom w:val="single" w:sz="4" w:space="0" w:color="808080"/>
              <w:right w:val="single" w:sz="4" w:space="0" w:color="808080"/>
            </w:tcBorders>
            <w:shd w:val="clear" w:color="auto" w:fill="auto"/>
            <w:vAlign w:val="center"/>
            <w:hideMark/>
          </w:tcPr>
          <w:p w14:paraId="2C28BDEE" w14:textId="77777777" w:rsidR="00D936B4" w:rsidRPr="00D936B4" w:rsidRDefault="00D936B4" w:rsidP="00D936B4">
            <w:pPr>
              <w:spacing w:after="0" w:line="240" w:lineRule="auto"/>
              <w:jc w:val="center"/>
              <w:rPr>
                <w:rFonts w:ascii="Calibri" w:eastAsia="Arial Unicode MS" w:hAnsi="Calibri" w:cs="Arial Unicode MS"/>
                <w:color w:val="262626"/>
                <w:lang w:bidi="th-TH"/>
              </w:rPr>
            </w:pPr>
            <w:r w:rsidRPr="00D936B4">
              <w:rPr>
                <w:rFonts w:ascii="Calibri" w:eastAsia="Arial Unicode MS" w:hAnsi="Calibri" w:cs="Arial Unicode MS"/>
                <w:color w:val="262626"/>
                <w:lang w:bidi="th-TH"/>
              </w:rPr>
              <w:t> </w:t>
            </w:r>
          </w:p>
        </w:tc>
      </w:tr>
      <w:tr w:rsidR="00D936B4" w:rsidRPr="00D936B4" w14:paraId="4F386CD5" w14:textId="77777777" w:rsidTr="00AE2690">
        <w:trPr>
          <w:trHeight w:val="900"/>
        </w:trPr>
        <w:tc>
          <w:tcPr>
            <w:tcW w:w="1260" w:type="dxa"/>
            <w:tcBorders>
              <w:top w:val="nil"/>
              <w:left w:val="single" w:sz="4" w:space="0" w:color="808080"/>
              <w:bottom w:val="single" w:sz="4" w:space="0" w:color="808080"/>
              <w:right w:val="single" w:sz="4" w:space="0" w:color="808080"/>
            </w:tcBorders>
            <w:shd w:val="clear" w:color="auto" w:fill="auto"/>
            <w:noWrap/>
            <w:vAlign w:val="center"/>
            <w:hideMark/>
          </w:tcPr>
          <w:p w14:paraId="7231B081" w14:textId="77777777" w:rsidR="00D936B4" w:rsidRPr="00D936B4" w:rsidRDefault="00D936B4" w:rsidP="00D936B4">
            <w:pPr>
              <w:spacing w:after="0" w:line="240" w:lineRule="auto"/>
              <w:jc w:val="center"/>
              <w:rPr>
                <w:rFonts w:ascii="Calibri" w:eastAsia="Arial Unicode MS" w:hAnsi="Calibri" w:cs="Arial Unicode MS"/>
                <w:b/>
                <w:bCs/>
                <w:color w:val="262626"/>
                <w:lang w:bidi="th-TH"/>
              </w:rPr>
            </w:pPr>
            <w:r w:rsidRPr="00D936B4">
              <w:rPr>
                <w:rFonts w:ascii="Calibri" w:eastAsia="Arial Unicode MS" w:hAnsi="Calibri" w:cs="Arial Unicode MS"/>
                <w:b/>
                <w:bCs/>
                <w:color w:val="262626"/>
                <w:lang w:bidi="th-TH"/>
              </w:rPr>
              <w:t xml:space="preserve">14xxx </w:t>
            </w:r>
            <w:r w:rsidRPr="00D936B4">
              <w:rPr>
                <w:rFonts w:ascii="Calibri" w:eastAsia="Arial Unicode MS" w:hAnsi="Calibri" w:cs="Arial Unicode MS"/>
                <w:b/>
                <w:bCs/>
                <w:color w:val="333333"/>
                <w:vertAlign w:val="superscript"/>
                <w:lang w:bidi="th-TH"/>
              </w:rPr>
              <w:t>(1)</w:t>
            </w:r>
          </w:p>
        </w:tc>
        <w:tc>
          <w:tcPr>
            <w:tcW w:w="1260" w:type="dxa"/>
            <w:tcBorders>
              <w:top w:val="nil"/>
              <w:left w:val="nil"/>
              <w:bottom w:val="single" w:sz="4" w:space="0" w:color="808080"/>
              <w:right w:val="single" w:sz="4" w:space="0" w:color="808080"/>
            </w:tcBorders>
            <w:shd w:val="clear" w:color="auto" w:fill="auto"/>
            <w:noWrap/>
            <w:vAlign w:val="center"/>
            <w:hideMark/>
          </w:tcPr>
          <w:p w14:paraId="774D33D4" w14:textId="77777777" w:rsidR="00D936B4" w:rsidRPr="00D936B4" w:rsidRDefault="00D936B4" w:rsidP="00D936B4">
            <w:pPr>
              <w:spacing w:after="0" w:line="240" w:lineRule="auto"/>
              <w:jc w:val="center"/>
              <w:rPr>
                <w:rFonts w:ascii="Wingdings" w:eastAsia="Arial Unicode MS" w:hAnsi="Wingdings" w:cs="Arial Unicode MS" w:hint="eastAsia"/>
                <w:b/>
                <w:bCs/>
                <w:color w:val="00B050"/>
                <w:sz w:val="32"/>
                <w:szCs w:val="32"/>
                <w:lang w:bidi="th-TH"/>
              </w:rPr>
            </w:pPr>
            <w:r w:rsidRPr="00D936B4">
              <w:rPr>
                <w:rFonts w:ascii="Wingdings" w:eastAsia="Arial Unicode MS" w:hAnsi="Wingdings" w:cs="Arial Unicode MS"/>
                <w:b/>
                <w:bCs/>
                <w:color w:val="00B050"/>
                <w:sz w:val="32"/>
                <w:szCs w:val="32"/>
                <w:lang w:bidi="th-TH"/>
              </w:rPr>
              <w:t></w:t>
            </w:r>
          </w:p>
        </w:tc>
        <w:tc>
          <w:tcPr>
            <w:tcW w:w="1530" w:type="dxa"/>
            <w:tcBorders>
              <w:top w:val="nil"/>
              <w:left w:val="nil"/>
              <w:bottom w:val="single" w:sz="4" w:space="0" w:color="808080"/>
              <w:right w:val="single" w:sz="4" w:space="0" w:color="808080"/>
            </w:tcBorders>
            <w:shd w:val="clear" w:color="auto" w:fill="auto"/>
            <w:noWrap/>
            <w:vAlign w:val="center"/>
            <w:hideMark/>
          </w:tcPr>
          <w:p w14:paraId="67CA4CAA" w14:textId="77777777" w:rsidR="00D936B4" w:rsidRPr="00D936B4" w:rsidRDefault="00D936B4" w:rsidP="00D936B4">
            <w:pPr>
              <w:spacing w:after="0" w:line="240" w:lineRule="auto"/>
              <w:jc w:val="center"/>
              <w:rPr>
                <w:rFonts w:ascii="Wingdings" w:eastAsia="Arial Unicode MS" w:hAnsi="Wingdings" w:cs="Arial Unicode MS" w:hint="eastAsia"/>
                <w:b/>
                <w:bCs/>
                <w:color w:val="FF0000"/>
                <w:sz w:val="32"/>
                <w:szCs w:val="32"/>
                <w:lang w:bidi="th-TH"/>
              </w:rPr>
            </w:pPr>
            <w:r w:rsidRPr="00D936B4">
              <w:rPr>
                <w:rFonts w:ascii="Wingdings" w:eastAsia="Arial Unicode MS" w:hAnsi="Wingdings" w:cs="Arial Unicode MS"/>
                <w:b/>
                <w:bCs/>
                <w:color w:val="FF0000"/>
                <w:sz w:val="32"/>
                <w:szCs w:val="32"/>
                <w:lang w:bidi="th-TH"/>
              </w:rPr>
              <w:t></w:t>
            </w:r>
          </w:p>
        </w:tc>
        <w:tc>
          <w:tcPr>
            <w:tcW w:w="1260" w:type="dxa"/>
            <w:tcBorders>
              <w:top w:val="nil"/>
              <w:left w:val="nil"/>
              <w:bottom w:val="single" w:sz="4" w:space="0" w:color="808080"/>
              <w:right w:val="single" w:sz="4" w:space="0" w:color="808080"/>
            </w:tcBorders>
            <w:shd w:val="clear" w:color="auto" w:fill="auto"/>
            <w:noWrap/>
            <w:vAlign w:val="center"/>
            <w:hideMark/>
          </w:tcPr>
          <w:p w14:paraId="56EC1150" w14:textId="77777777" w:rsidR="00D936B4" w:rsidRPr="00D936B4" w:rsidRDefault="00D936B4" w:rsidP="00D936B4">
            <w:pPr>
              <w:spacing w:after="0" w:line="240" w:lineRule="auto"/>
              <w:jc w:val="center"/>
              <w:rPr>
                <w:rFonts w:ascii="Wingdings" w:eastAsia="Arial Unicode MS" w:hAnsi="Wingdings" w:cs="Arial Unicode MS" w:hint="eastAsia"/>
                <w:b/>
                <w:bCs/>
                <w:color w:val="00B050"/>
                <w:sz w:val="32"/>
                <w:szCs w:val="32"/>
                <w:lang w:bidi="th-TH"/>
              </w:rPr>
            </w:pPr>
            <w:r w:rsidRPr="00D936B4">
              <w:rPr>
                <w:rFonts w:ascii="Wingdings" w:eastAsia="Arial Unicode MS" w:hAnsi="Wingdings" w:cs="Arial Unicode MS"/>
                <w:b/>
                <w:bCs/>
                <w:color w:val="00B050"/>
                <w:sz w:val="32"/>
                <w:szCs w:val="32"/>
                <w:lang w:bidi="th-TH"/>
              </w:rPr>
              <w:t></w:t>
            </w:r>
          </w:p>
        </w:tc>
        <w:tc>
          <w:tcPr>
            <w:tcW w:w="1350" w:type="dxa"/>
            <w:tcBorders>
              <w:top w:val="nil"/>
              <w:left w:val="nil"/>
              <w:bottom w:val="single" w:sz="4" w:space="0" w:color="808080"/>
              <w:right w:val="single" w:sz="4" w:space="0" w:color="808080"/>
            </w:tcBorders>
            <w:shd w:val="clear" w:color="auto" w:fill="auto"/>
            <w:noWrap/>
            <w:vAlign w:val="center"/>
            <w:hideMark/>
          </w:tcPr>
          <w:p w14:paraId="3961180F" w14:textId="77777777" w:rsidR="00D936B4" w:rsidRPr="00D936B4" w:rsidRDefault="00D936B4" w:rsidP="00D936B4">
            <w:pPr>
              <w:spacing w:after="0" w:line="240" w:lineRule="auto"/>
              <w:jc w:val="center"/>
              <w:rPr>
                <w:rFonts w:ascii="Wingdings" w:eastAsia="Arial Unicode MS" w:hAnsi="Wingdings" w:cs="Arial Unicode MS" w:hint="eastAsia"/>
                <w:b/>
                <w:bCs/>
                <w:color w:val="FF0000"/>
                <w:sz w:val="32"/>
                <w:szCs w:val="32"/>
                <w:lang w:bidi="th-TH"/>
              </w:rPr>
            </w:pPr>
            <w:r w:rsidRPr="00D936B4">
              <w:rPr>
                <w:rFonts w:ascii="Wingdings" w:eastAsia="Arial Unicode MS" w:hAnsi="Wingdings" w:cs="Arial Unicode MS"/>
                <w:b/>
                <w:bCs/>
                <w:color w:val="FF0000"/>
                <w:sz w:val="32"/>
                <w:szCs w:val="32"/>
                <w:lang w:bidi="th-TH"/>
              </w:rPr>
              <w:t></w:t>
            </w:r>
          </w:p>
        </w:tc>
        <w:tc>
          <w:tcPr>
            <w:tcW w:w="4230" w:type="dxa"/>
            <w:tcBorders>
              <w:top w:val="nil"/>
              <w:left w:val="nil"/>
              <w:bottom w:val="single" w:sz="4" w:space="0" w:color="808080"/>
              <w:right w:val="single" w:sz="4" w:space="0" w:color="808080"/>
            </w:tcBorders>
            <w:shd w:val="clear" w:color="auto" w:fill="auto"/>
            <w:vAlign w:val="center"/>
            <w:hideMark/>
          </w:tcPr>
          <w:p w14:paraId="5CE4C3CD" w14:textId="77777777" w:rsidR="00D936B4" w:rsidRPr="00D936B4" w:rsidRDefault="00D936B4" w:rsidP="00D936B4">
            <w:pPr>
              <w:spacing w:after="0" w:line="240" w:lineRule="auto"/>
              <w:jc w:val="center"/>
              <w:rPr>
                <w:rFonts w:ascii="Calibri" w:eastAsia="Arial Unicode MS" w:hAnsi="Calibri" w:cs="Arial Unicode MS"/>
                <w:color w:val="262626"/>
                <w:lang w:bidi="th-TH"/>
              </w:rPr>
            </w:pPr>
            <w:r w:rsidRPr="00D936B4">
              <w:rPr>
                <w:rFonts w:ascii="Calibri" w:eastAsia="Arial Unicode MS" w:hAnsi="Calibri" w:cs="Arial Unicode MS"/>
                <w:color w:val="262626"/>
                <w:lang w:bidi="th-TH"/>
              </w:rPr>
              <w:t xml:space="preserve">- If the account is not appearing, please contact HQ for advice. </w:t>
            </w:r>
            <w:r w:rsidRPr="00D936B4">
              <w:rPr>
                <w:rFonts w:ascii="Calibri" w:eastAsia="Arial Unicode MS" w:hAnsi="Calibri" w:cs="Arial Unicode MS"/>
                <w:color w:val="262626"/>
                <w:lang w:bidi="th-TH"/>
              </w:rPr>
              <w:br/>
              <w:t>- Some of these accounts require "open item key". If the clean-up requires entries without open item key, please contact HQ for advice as well.</w:t>
            </w:r>
          </w:p>
        </w:tc>
      </w:tr>
      <w:tr w:rsidR="00D936B4" w:rsidRPr="00D936B4" w14:paraId="01F1405C" w14:textId="77777777" w:rsidTr="00AE2690">
        <w:trPr>
          <w:trHeight w:val="390"/>
        </w:trPr>
        <w:tc>
          <w:tcPr>
            <w:tcW w:w="1260" w:type="dxa"/>
            <w:tcBorders>
              <w:top w:val="nil"/>
              <w:left w:val="single" w:sz="4" w:space="0" w:color="808080"/>
              <w:bottom w:val="single" w:sz="4" w:space="0" w:color="808080"/>
              <w:right w:val="single" w:sz="4" w:space="0" w:color="808080"/>
            </w:tcBorders>
            <w:shd w:val="clear" w:color="auto" w:fill="auto"/>
            <w:noWrap/>
            <w:vAlign w:val="center"/>
            <w:hideMark/>
          </w:tcPr>
          <w:p w14:paraId="42B40DA8" w14:textId="77777777" w:rsidR="00D936B4" w:rsidRPr="00D936B4" w:rsidRDefault="00D936B4" w:rsidP="00D936B4">
            <w:pPr>
              <w:spacing w:after="0" w:line="240" w:lineRule="auto"/>
              <w:jc w:val="center"/>
              <w:rPr>
                <w:rFonts w:ascii="Calibri" w:eastAsia="Arial Unicode MS" w:hAnsi="Calibri" w:cs="Arial Unicode MS"/>
                <w:b/>
                <w:bCs/>
                <w:color w:val="262626"/>
                <w:lang w:bidi="th-TH"/>
              </w:rPr>
            </w:pPr>
            <w:r w:rsidRPr="00D936B4">
              <w:rPr>
                <w:rFonts w:ascii="Calibri" w:eastAsia="Arial Unicode MS" w:hAnsi="Calibri" w:cs="Arial Unicode MS"/>
                <w:b/>
                <w:bCs/>
                <w:color w:val="262626"/>
                <w:lang w:bidi="th-TH"/>
              </w:rPr>
              <w:t>14057</w:t>
            </w:r>
          </w:p>
        </w:tc>
        <w:tc>
          <w:tcPr>
            <w:tcW w:w="1260" w:type="dxa"/>
            <w:tcBorders>
              <w:top w:val="nil"/>
              <w:left w:val="nil"/>
              <w:bottom w:val="single" w:sz="4" w:space="0" w:color="808080"/>
              <w:right w:val="single" w:sz="4" w:space="0" w:color="808080"/>
            </w:tcBorders>
            <w:shd w:val="clear" w:color="auto" w:fill="auto"/>
            <w:noWrap/>
            <w:vAlign w:val="center"/>
            <w:hideMark/>
          </w:tcPr>
          <w:p w14:paraId="107CBD8D" w14:textId="77777777" w:rsidR="00D936B4" w:rsidRPr="00D936B4" w:rsidRDefault="00D936B4" w:rsidP="00D936B4">
            <w:pPr>
              <w:spacing w:after="0" w:line="240" w:lineRule="auto"/>
              <w:jc w:val="center"/>
              <w:rPr>
                <w:rFonts w:ascii="Wingdings" w:eastAsia="Arial Unicode MS" w:hAnsi="Wingdings" w:cs="Arial Unicode MS" w:hint="eastAsia"/>
                <w:b/>
                <w:bCs/>
                <w:color w:val="00B050"/>
                <w:sz w:val="32"/>
                <w:szCs w:val="32"/>
                <w:lang w:bidi="th-TH"/>
              </w:rPr>
            </w:pPr>
            <w:r w:rsidRPr="00D936B4">
              <w:rPr>
                <w:rFonts w:ascii="Wingdings" w:eastAsia="Arial Unicode MS" w:hAnsi="Wingdings" w:cs="Arial Unicode MS"/>
                <w:b/>
                <w:bCs/>
                <w:color w:val="00B050"/>
                <w:sz w:val="32"/>
                <w:szCs w:val="32"/>
                <w:lang w:bidi="th-TH"/>
              </w:rPr>
              <w:t></w:t>
            </w:r>
          </w:p>
        </w:tc>
        <w:tc>
          <w:tcPr>
            <w:tcW w:w="1530" w:type="dxa"/>
            <w:tcBorders>
              <w:top w:val="nil"/>
              <w:left w:val="nil"/>
              <w:bottom w:val="single" w:sz="4" w:space="0" w:color="808080"/>
              <w:right w:val="single" w:sz="4" w:space="0" w:color="808080"/>
            </w:tcBorders>
            <w:shd w:val="clear" w:color="auto" w:fill="auto"/>
            <w:noWrap/>
            <w:vAlign w:val="center"/>
            <w:hideMark/>
          </w:tcPr>
          <w:p w14:paraId="1C8083B2" w14:textId="77777777" w:rsidR="00D936B4" w:rsidRPr="00D936B4" w:rsidRDefault="00D936B4" w:rsidP="00D936B4">
            <w:pPr>
              <w:spacing w:after="0" w:line="240" w:lineRule="auto"/>
              <w:jc w:val="center"/>
              <w:rPr>
                <w:rFonts w:ascii="Wingdings" w:eastAsia="Arial Unicode MS" w:hAnsi="Wingdings" w:cs="Arial Unicode MS" w:hint="eastAsia"/>
                <w:b/>
                <w:bCs/>
                <w:color w:val="00B050"/>
                <w:sz w:val="32"/>
                <w:szCs w:val="32"/>
                <w:lang w:bidi="th-TH"/>
              </w:rPr>
            </w:pPr>
            <w:r w:rsidRPr="00D936B4">
              <w:rPr>
                <w:rFonts w:ascii="Wingdings" w:eastAsia="Arial Unicode MS" w:hAnsi="Wingdings" w:cs="Arial Unicode MS"/>
                <w:b/>
                <w:bCs/>
                <w:color w:val="00B050"/>
                <w:sz w:val="32"/>
                <w:szCs w:val="32"/>
                <w:lang w:bidi="th-TH"/>
              </w:rPr>
              <w:t></w:t>
            </w:r>
          </w:p>
        </w:tc>
        <w:tc>
          <w:tcPr>
            <w:tcW w:w="1260" w:type="dxa"/>
            <w:tcBorders>
              <w:top w:val="nil"/>
              <w:left w:val="nil"/>
              <w:bottom w:val="single" w:sz="4" w:space="0" w:color="808080"/>
              <w:right w:val="single" w:sz="4" w:space="0" w:color="808080"/>
            </w:tcBorders>
            <w:shd w:val="clear" w:color="auto" w:fill="auto"/>
            <w:noWrap/>
            <w:vAlign w:val="center"/>
            <w:hideMark/>
          </w:tcPr>
          <w:p w14:paraId="0949035B" w14:textId="77777777" w:rsidR="00D936B4" w:rsidRPr="00D936B4" w:rsidRDefault="00D936B4" w:rsidP="00D936B4">
            <w:pPr>
              <w:spacing w:after="0" w:line="240" w:lineRule="auto"/>
              <w:jc w:val="center"/>
              <w:rPr>
                <w:rFonts w:ascii="Wingdings" w:eastAsia="Arial Unicode MS" w:hAnsi="Wingdings" w:cs="Arial Unicode MS" w:hint="eastAsia"/>
                <w:b/>
                <w:bCs/>
                <w:color w:val="00B050"/>
                <w:sz w:val="32"/>
                <w:szCs w:val="32"/>
                <w:lang w:bidi="th-TH"/>
              </w:rPr>
            </w:pPr>
            <w:r w:rsidRPr="00D936B4">
              <w:rPr>
                <w:rFonts w:ascii="Wingdings" w:eastAsia="Arial Unicode MS" w:hAnsi="Wingdings" w:cs="Arial Unicode MS"/>
                <w:b/>
                <w:bCs/>
                <w:color w:val="00B050"/>
                <w:sz w:val="32"/>
                <w:szCs w:val="32"/>
                <w:lang w:bidi="th-TH"/>
              </w:rPr>
              <w:t></w:t>
            </w:r>
          </w:p>
        </w:tc>
        <w:tc>
          <w:tcPr>
            <w:tcW w:w="1350" w:type="dxa"/>
            <w:tcBorders>
              <w:top w:val="nil"/>
              <w:left w:val="nil"/>
              <w:bottom w:val="single" w:sz="4" w:space="0" w:color="808080"/>
              <w:right w:val="single" w:sz="4" w:space="0" w:color="808080"/>
            </w:tcBorders>
            <w:shd w:val="clear" w:color="auto" w:fill="auto"/>
            <w:noWrap/>
            <w:vAlign w:val="center"/>
            <w:hideMark/>
          </w:tcPr>
          <w:p w14:paraId="51127CAB" w14:textId="77777777" w:rsidR="00D936B4" w:rsidRPr="00D936B4" w:rsidRDefault="00D936B4" w:rsidP="00D936B4">
            <w:pPr>
              <w:spacing w:after="0" w:line="240" w:lineRule="auto"/>
              <w:jc w:val="center"/>
              <w:rPr>
                <w:rFonts w:ascii="Wingdings" w:eastAsia="Arial Unicode MS" w:hAnsi="Wingdings" w:cs="Arial Unicode MS" w:hint="eastAsia"/>
                <w:b/>
                <w:bCs/>
                <w:color w:val="00B050"/>
                <w:sz w:val="32"/>
                <w:szCs w:val="32"/>
                <w:lang w:bidi="th-TH"/>
              </w:rPr>
            </w:pPr>
            <w:r w:rsidRPr="00D936B4">
              <w:rPr>
                <w:rFonts w:ascii="Wingdings" w:eastAsia="Arial Unicode MS" w:hAnsi="Wingdings" w:cs="Arial Unicode MS"/>
                <w:b/>
                <w:bCs/>
                <w:color w:val="00B050"/>
                <w:sz w:val="32"/>
                <w:szCs w:val="32"/>
                <w:lang w:bidi="th-TH"/>
              </w:rPr>
              <w:t></w:t>
            </w:r>
          </w:p>
        </w:tc>
        <w:tc>
          <w:tcPr>
            <w:tcW w:w="4230" w:type="dxa"/>
            <w:tcBorders>
              <w:top w:val="nil"/>
              <w:left w:val="nil"/>
              <w:bottom w:val="single" w:sz="4" w:space="0" w:color="808080"/>
              <w:right w:val="single" w:sz="4" w:space="0" w:color="808080"/>
            </w:tcBorders>
            <w:shd w:val="clear" w:color="auto" w:fill="auto"/>
            <w:vAlign w:val="center"/>
            <w:hideMark/>
          </w:tcPr>
          <w:p w14:paraId="4D459851" w14:textId="77777777" w:rsidR="00D936B4" w:rsidRPr="00D936B4" w:rsidRDefault="00D936B4" w:rsidP="00D936B4">
            <w:pPr>
              <w:spacing w:after="0" w:line="240" w:lineRule="auto"/>
              <w:jc w:val="center"/>
              <w:rPr>
                <w:rFonts w:ascii="Calibri" w:eastAsia="Arial Unicode MS" w:hAnsi="Calibri" w:cs="Arial Unicode MS"/>
                <w:color w:val="262626"/>
                <w:lang w:bidi="th-TH"/>
              </w:rPr>
            </w:pPr>
            <w:r w:rsidRPr="00D936B4">
              <w:rPr>
                <w:rFonts w:ascii="Calibri" w:eastAsia="Arial Unicode MS" w:hAnsi="Calibri" w:cs="Arial Unicode MS"/>
                <w:color w:val="262626"/>
                <w:lang w:bidi="th-TH"/>
              </w:rPr>
              <w:t> </w:t>
            </w:r>
          </w:p>
        </w:tc>
      </w:tr>
      <w:tr w:rsidR="00D936B4" w:rsidRPr="00D936B4" w14:paraId="501BC6E2" w14:textId="77777777" w:rsidTr="00AE2690">
        <w:trPr>
          <w:trHeight w:val="390"/>
        </w:trPr>
        <w:tc>
          <w:tcPr>
            <w:tcW w:w="1260" w:type="dxa"/>
            <w:tcBorders>
              <w:top w:val="nil"/>
              <w:left w:val="single" w:sz="4" w:space="0" w:color="808080"/>
              <w:bottom w:val="single" w:sz="4" w:space="0" w:color="808080"/>
              <w:right w:val="single" w:sz="4" w:space="0" w:color="808080"/>
            </w:tcBorders>
            <w:shd w:val="clear" w:color="auto" w:fill="auto"/>
            <w:noWrap/>
            <w:vAlign w:val="center"/>
            <w:hideMark/>
          </w:tcPr>
          <w:p w14:paraId="1F3EB03D" w14:textId="77777777" w:rsidR="00D936B4" w:rsidRPr="00D936B4" w:rsidRDefault="00D936B4" w:rsidP="00D936B4">
            <w:pPr>
              <w:spacing w:after="0" w:line="240" w:lineRule="auto"/>
              <w:jc w:val="center"/>
              <w:rPr>
                <w:rFonts w:ascii="Calibri" w:eastAsia="Arial Unicode MS" w:hAnsi="Calibri" w:cs="Arial Unicode MS"/>
                <w:b/>
                <w:bCs/>
                <w:color w:val="262626"/>
                <w:lang w:bidi="th-TH"/>
              </w:rPr>
            </w:pPr>
            <w:r w:rsidRPr="00D936B4">
              <w:rPr>
                <w:rFonts w:ascii="Calibri" w:eastAsia="Arial Unicode MS" w:hAnsi="Calibri" w:cs="Arial Unicode MS"/>
                <w:b/>
                <w:bCs/>
                <w:color w:val="262626"/>
                <w:lang w:bidi="th-TH"/>
              </w:rPr>
              <w:t>1460x</w:t>
            </w:r>
          </w:p>
        </w:tc>
        <w:tc>
          <w:tcPr>
            <w:tcW w:w="1260" w:type="dxa"/>
            <w:tcBorders>
              <w:top w:val="nil"/>
              <w:left w:val="nil"/>
              <w:bottom w:val="single" w:sz="4" w:space="0" w:color="808080"/>
              <w:right w:val="single" w:sz="4" w:space="0" w:color="808080"/>
            </w:tcBorders>
            <w:shd w:val="clear" w:color="auto" w:fill="auto"/>
            <w:noWrap/>
            <w:vAlign w:val="center"/>
            <w:hideMark/>
          </w:tcPr>
          <w:p w14:paraId="42FBCB16" w14:textId="77777777" w:rsidR="00D936B4" w:rsidRPr="00D936B4" w:rsidRDefault="00D936B4" w:rsidP="00D936B4">
            <w:pPr>
              <w:spacing w:after="0" w:line="240" w:lineRule="auto"/>
              <w:jc w:val="center"/>
              <w:rPr>
                <w:rFonts w:ascii="Wingdings" w:eastAsia="Arial Unicode MS" w:hAnsi="Wingdings" w:cs="Arial Unicode MS" w:hint="eastAsia"/>
                <w:b/>
                <w:bCs/>
                <w:color w:val="00B050"/>
                <w:sz w:val="32"/>
                <w:szCs w:val="32"/>
                <w:lang w:bidi="th-TH"/>
              </w:rPr>
            </w:pPr>
            <w:r w:rsidRPr="00D936B4">
              <w:rPr>
                <w:rFonts w:ascii="Wingdings" w:eastAsia="Arial Unicode MS" w:hAnsi="Wingdings" w:cs="Arial Unicode MS"/>
                <w:b/>
                <w:bCs/>
                <w:color w:val="00B050"/>
                <w:sz w:val="32"/>
                <w:szCs w:val="32"/>
                <w:lang w:bidi="th-TH"/>
              </w:rPr>
              <w:t></w:t>
            </w:r>
          </w:p>
        </w:tc>
        <w:tc>
          <w:tcPr>
            <w:tcW w:w="1530" w:type="dxa"/>
            <w:tcBorders>
              <w:top w:val="nil"/>
              <w:left w:val="nil"/>
              <w:bottom w:val="single" w:sz="4" w:space="0" w:color="808080"/>
              <w:right w:val="single" w:sz="4" w:space="0" w:color="808080"/>
            </w:tcBorders>
            <w:shd w:val="clear" w:color="auto" w:fill="auto"/>
            <w:noWrap/>
            <w:vAlign w:val="center"/>
            <w:hideMark/>
          </w:tcPr>
          <w:p w14:paraId="50AADAF1" w14:textId="77777777" w:rsidR="00D936B4" w:rsidRPr="00D936B4" w:rsidRDefault="00D936B4" w:rsidP="00D936B4">
            <w:pPr>
              <w:spacing w:after="0" w:line="240" w:lineRule="auto"/>
              <w:jc w:val="center"/>
              <w:rPr>
                <w:rFonts w:ascii="Wingdings" w:eastAsia="Arial Unicode MS" w:hAnsi="Wingdings" w:cs="Arial Unicode MS" w:hint="eastAsia"/>
                <w:b/>
                <w:bCs/>
                <w:color w:val="00B050"/>
                <w:sz w:val="32"/>
                <w:szCs w:val="32"/>
                <w:lang w:bidi="th-TH"/>
              </w:rPr>
            </w:pPr>
            <w:r w:rsidRPr="00D936B4">
              <w:rPr>
                <w:rFonts w:ascii="Wingdings" w:eastAsia="Arial Unicode MS" w:hAnsi="Wingdings" w:cs="Arial Unicode MS"/>
                <w:b/>
                <w:bCs/>
                <w:color w:val="00B050"/>
                <w:sz w:val="32"/>
                <w:szCs w:val="32"/>
                <w:lang w:bidi="th-TH"/>
              </w:rPr>
              <w:t></w:t>
            </w:r>
          </w:p>
        </w:tc>
        <w:tc>
          <w:tcPr>
            <w:tcW w:w="1260" w:type="dxa"/>
            <w:tcBorders>
              <w:top w:val="nil"/>
              <w:left w:val="nil"/>
              <w:bottom w:val="single" w:sz="4" w:space="0" w:color="808080"/>
              <w:right w:val="single" w:sz="4" w:space="0" w:color="808080"/>
            </w:tcBorders>
            <w:shd w:val="clear" w:color="auto" w:fill="auto"/>
            <w:noWrap/>
            <w:vAlign w:val="center"/>
            <w:hideMark/>
          </w:tcPr>
          <w:p w14:paraId="459E221F" w14:textId="77777777" w:rsidR="00D936B4" w:rsidRPr="00D936B4" w:rsidRDefault="00D936B4" w:rsidP="00D936B4">
            <w:pPr>
              <w:spacing w:after="0" w:line="240" w:lineRule="auto"/>
              <w:jc w:val="center"/>
              <w:rPr>
                <w:rFonts w:ascii="Wingdings" w:eastAsia="Arial Unicode MS" w:hAnsi="Wingdings" w:cs="Arial Unicode MS" w:hint="eastAsia"/>
                <w:b/>
                <w:bCs/>
                <w:color w:val="00B050"/>
                <w:sz w:val="32"/>
                <w:szCs w:val="32"/>
                <w:lang w:bidi="th-TH"/>
              </w:rPr>
            </w:pPr>
            <w:r w:rsidRPr="00D936B4">
              <w:rPr>
                <w:rFonts w:ascii="Wingdings" w:eastAsia="Arial Unicode MS" w:hAnsi="Wingdings" w:cs="Arial Unicode MS"/>
                <w:b/>
                <w:bCs/>
                <w:color w:val="00B050"/>
                <w:sz w:val="32"/>
                <w:szCs w:val="32"/>
                <w:lang w:bidi="th-TH"/>
              </w:rPr>
              <w:t></w:t>
            </w:r>
          </w:p>
        </w:tc>
        <w:tc>
          <w:tcPr>
            <w:tcW w:w="1350" w:type="dxa"/>
            <w:tcBorders>
              <w:top w:val="nil"/>
              <w:left w:val="nil"/>
              <w:bottom w:val="single" w:sz="4" w:space="0" w:color="808080"/>
              <w:right w:val="single" w:sz="4" w:space="0" w:color="808080"/>
            </w:tcBorders>
            <w:shd w:val="clear" w:color="auto" w:fill="auto"/>
            <w:noWrap/>
            <w:vAlign w:val="center"/>
            <w:hideMark/>
          </w:tcPr>
          <w:p w14:paraId="5E8FDF8B" w14:textId="77777777" w:rsidR="00D936B4" w:rsidRPr="00D936B4" w:rsidRDefault="00D936B4" w:rsidP="00D936B4">
            <w:pPr>
              <w:spacing w:after="0" w:line="240" w:lineRule="auto"/>
              <w:jc w:val="center"/>
              <w:rPr>
                <w:rFonts w:ascii="Wingdings" w:eastAsia="Arial Unicode MS" w:hAnsi="Wingdings" w:cs="Arial Unicode MS" w:hint="eastAsia"/>
                <w:b/>
                <w:bCs/>
                <w:color w:val="00B050"/>
                <w:sz w:val="32"/>
                <w:szCs w:val="32"/>
                <w:lang w:bidi="th-TH"/>
              </w:rPr>
            </w:pPr>
            <w:r w:rsidRPr="00D936B4">
              <w:rPr>
                <w:rFonts w:ascii="Wingdings" w:eastAsia="Arial Unicode MS" w:hAnsi="Wingdings" w:cs="Arial Unicode MS"/>
                <w:b/>
                <w:bCs/>
                <w:color w:val="00B050"/>
                <w:sz w:val="32"/>
                <w:szCs w:val="32"/>
                <w:lang w:bidi="th-TH"/>
              </w:rPr>
              <w:t></w:t>
            </w:r>
          </w:p>
        </w:tc>
        <w:tc>
          <w:tcPr>
            <w:tcW w:w="4230" w:type="dxa"/>
            <w:tcBorders>
              <w:top w:val="nil"/>
              <w:left w:val="nil"/>
              <w:bottom w:val="single" w:sz="4" w:space="0" w:color="808080"/>
              <w:right w:val="single" w:sz="4" w:space="0" w:color="808080"/>
            </w:tcBorders>
            <w:shd w:val="clear" w:color="auto" w:fill="auto"/>
            <w:vAlign w:val="center"/>
            <w:hideMark/>
          </w:tcPr>
          <w:p w14:paraId="507FC0FF" w14:textId="6DE64B52" w:rsidR="00D936B4" w:rsidRPr="00D936B4" w:rsidRDefault="00D936B4" w:rsidP="00D936B4">
            <w:pPr>
              <w:spacing w:after="0" w:line="240" w:lineRule="auto"/>
              <w:jc w:val="center"/>
              <w:rPr>
                <w:rFonts w:ascii="Calibri" w:eastAsia="Arial Unicode MS" w:hAnsi="Calibri" w:cs="Arial Unicode MS"/>
                <w:color w:val="262626"/>
                <w:lang w:bidi="th-TH"/>
              </w:rPr>
            </w:pPr>
            <w:r w:rsidRPr="00D936B4">
              <w:rPr>
                <w:rFonts w:ascii="Calibri" w:eastAsia="Arial Unicode MS" w:hAnsi="Calibri" w:cs="Arial Unicode MS"/>
                <w:color w:val="262626"/>
                <w:lang w:bidi="th-TH"/>
              </w:rPr>
              <w:t>Inventory accoun</w:t>
            </w:r>
            <w:r w:rsidR="0009114A">
              <w:rPr>
                <w:rFonts w:ascii="Calibri" w:eastAsia="Arial Unicode MS" w:hAnsi="Calibri" w:cs="Arial Unicode MS"/>
                <w:color w:val="262626"/>
                <w:lang w:bidi="th-TH"/>
              </w:rPr>
              <w:t>t</w:t>
            </w:r>
            <w:r w:rsidRPr="00D936B4">
              <w:rPr>
                <w:rFonts w:ascii="Calibri" w:eastAsia="Arial Unicode MS" w:hAnsi="Calibri" w:cs="Arial Unicode MS"/>
                <w:color w:val="262626"/>
                <w:lang w:bidi="th-TH"/>
              </w:rPr>
              <w:t>s (14601 &amp; 14602)</w:t>
            </w:r>
          </w:p>
        </w:tc>
      </w:tr>
      <w:tr w:rsidR="00D936B4" w:rsidRPr="00D936B4" w14:paraId="40B77755" w14:textId="77777777" w:rsidTr="00AE2690">
        <w:trPr>
          <w:trHeight w:val="390"/>
        </w:trPr>
        <w:tc>
          <w:tcPr>
            <w:tcW w:w="1260" w:type="dxa"/>
            <w:tcBorders>
              <w:top w:val="nil"/>
              <w:left w:val="single" w:sz="4" w:space="0" w:color="808080"/>
              <w:bottom w:val="single" w:sz="4" w:space="0" w:color="808080"/>
              <w:right w:val="single" w:sz="4" w:space="0" w:color="808080"/>
            </w:tcBorders>
            <w:shd w:val="clear" w:color="auto" w:fill="auto"/>
            <w:noWrap/>
            <w:vAlign w:val="center"/>
            <w:hideMark/>
          </w:tcPr>
          <w:p w14:paraId="54A9BA8C" w14:textId="77777777" w:rsidR="00D936B4" w:rsidRPr="00D936B4" w:rsidRDefault="00D936B4" w:rsidP="00D936B4">
            <w:pPr>
              <w:spacing w:after="0" w:line="240" w:lineRule="auto"/>
              <w:jc w:val="center"/>
              <w:rPr>
                <w:rFonts w:ascii="Calibri" w:eastAsia="Arial Unicode MS" w:hAnsi="Calibri" w:cs="Arial Unicode MS"/>
                <w:b/>
                <w:bCs/>
                <w:color w:val="262626"/>
                <w:lang w:bidi="th-TH"/>
              </w:rPr>
            </w:pPr>
            <w:r w:rsidRPr="00D936B4">
              <w:rPr>
                <w:rFonts w:ascii="Calibri" w:eastAsia="Arial Unicode MS" w:hAnsi="Calibri" w:cs="Arial Unicode MS"/>
                <w:b/>
                <w:bCs/>
                <w:color w:val="262626"/>
                <w:lang w:bidi="th-TH"/>
              </w:rPr>
              <w:t>1600x</w:t>
            </w:r>
          </w:p>
        </w:tc>
        <w:tc>
          <w:tcPr>
            <w:tcW w:w="1260" w:type="dxa"/>
            <w:tcBorders>
              <w:top w:val="nil"/>
              <w:left w:val="nil"/>
              <w:bottom w:val="single" w:sz="4" w:space="0" w:color="808080"/>
              <w:right w:val="single" w:sz="4" w:space="0" w:color="808080"/>
            </w:tcBorders>
            <w:shd w:val="clear" w:color="auto" w:fill="auto"/>
            <w:noWrap/>
            <w:vAlign w:val="center"/>
            <w:hideMark/>
          </w:tcPr>
          <w:p w14:paraId="0E665CA9" w14:textId="77777777" w:rsidR="00D936B4" w:rsidRPr="00D936B4" w:rsidRDefault="00D936B4" w:rsidP="00D936B4">
            <w:pPr>
              <w:spacing w:after="0" w:line="240" w:lineRule="auto"/>
              <w:jc w:val="center"/>
              <w:rPr>
                <w:rFonts w:ascii="Wingdings" w:eastAsia="Arial Unicode MS" w:hAnsi="Wingdings" w:cs="Arial Unicode MS" w:hint="eastAsia"/>
                <w:b/>
                <w:bCs/>
                <w:color w:val="00B050"/>
                <w:sz w:val="32"/>
                <w:szCs w:val="32"/>
                <w:lang w:bidi="th-TH"/>
              </w:rPr>
            </w:pPr>
            <w:r w:rsidRPr="00D936B4">
              <w:rPr>
                <w:rFonts w:ascii="Wingdings" w:eastAsia="Arial Unicode MS" w:hAnsi="Wingdings" w:cs="Arial Unicode MS"/>
                <w:b/>
                <w:bCs/>
                <w:color w:val="00B050"/>
                <w:sz w:val="32"/>
                <w:szCs w:val="32"/>
                <w:lang w:bidi="th-TH"/>
              </w:rPr>
              <w:t></w:t>
            </w:r>
          </w:p>
        </w:tc>
        <w:tc>
          <w:tcPr>
            <w:tcW w:w="1530" w:type="dxa"/>
            <w:tcBorders>
              <w:top w:val="nil"/>
              <w:left w:val="nil"/>
              <w:bottom w:val="single" w:sz="4" w:space="0" w:color="808080"/>
              <w:right w:val="single" w:sz="4" w:space="0" w:color="808080"/>
            </w:tcBorders>
            <w:shd w:val="clear" w:color="auto" w:fill="auto"/>
            <w:noWrap/>
            <w:vAlign w:val="center"/>
            <w:hideMark/>
          </w:tcPr>
          <w:p w14:paraId="07FD8408" w14:textId="77777777" w:rsidR="00D936B4" w:rsidRPr="00D936B4" w:rsidRDefault="00D936B4" w:rsidP="00D936B4">
            <w:pPr>
              <w:spacing w:after="0" w:line="240" w:lineRule="auto"/>
              <w:jc w:val="center"/>
              <w:rPr>
                <w:rFonts w:ascii="Wingdings" w:eastAsia="Arial Unicode MS" w:hAnsi="Wingdings" w:cs="Arial Unicode MS" w:hint="eastAsia"/>
                <w:b/>
                <w:bCs/>
                <w:color w:val="00B050"/>
                <w:sz w:val="32"/>
                <w:szCs w:val="32"/>
                <w:lang w:bidi="th-TH"/>
              </w:rPr>
            </w:pPr>
            <w:r w:rsidRPr="00D936B4">
              <w:rPr>
                <w:rFonts w:ascii="Wingdings" w:eastAsia="Arial Unicode MS" w:hAnsi="Wingdings" w:cs="Arial Unicode MS"/>
                <w:b/>
                <w:bCs/>
                <w:color w:val="00B050"/>
                <w:sz w:val="32"/>
                <w:szCs w:val="32"/>
                <w:lang w:bidi="th-TH"/>
              </w:rPr>
              <w:t></w:t>
            </w:r>
          </w:p>
        </w:tc>
        <w:tc>
          <w:tcPr>
            <w:tcW w:w="1260" w:type="dxa"/>
            <w:tcBorders>
              <w:top w:val="nil"/>
              <w:left w:val="nil"/>
              <w:bottom w:val="single" w:sz="4" w:space="0" w:color="808080"/>
              <w:right w:val="single" w:sz="4" w:space="0" w:color="808080"/>
            </w:tcBorders>
            <w:shd w:val="clear" w:color="auto" w:fill="auto"/>
            <w:noWrap/>
            <w:vAlign w:val="center"/>
            <w:hideMark/>
          </w:tcPr>
          <w:p w14:paraId="23BEE912" w14:textId="77777777" w:rsidR="00D936B4" w:rsidRPr="00D936B4" w:rsidRDefault="00D936B4" w:rsidP="00D936B4">
            <w:pPr>
              <w:spacing w:after="0" w:line="240" w:lineRule="auto"/>
              <w:jc w:val="center"/>
              <w:rPr>
                <w:rFonts w:ascii="Wingdings" w:eastAsia="Arial Unicode MS" w:hAnsi="Wingdings" w:cs="Arial Unicode MS" w:hint="eastAsia"/>
                <w:b/>
                <w:bCs/>
                <w:color w:val="00B050"/>
                <w:sz w:val="32"/>
                <w:szCs w:val="32"/>
                <w:lang w:bidi="th-TH"/>
              </w:rPr>
            </w:pPr>
            <w:r w:rsidRPr="00D936B4">
              <w:rPr>
                <w:rFonts w:ascii="Wingdings" w:eastAsia="Arial Unicode MS" w:hAnsi="Wingdings" w:cs="Arial Unicode MS"/>
                <w:b/>
                <w:bCs/>
                <w:color w:val="00B050"/>
                <w:sz w:val="32"/>
                <w:szCs w:val="32"/>
                <w:lang w:bidi="th-TH"/>
              </w:rPr>
              <w:t></w:t>
            </w:r>
          </w:p>
        </w:tc>
        <w:tc>
          <w:tcPr>
            <w:tcW w:w="1350" w:type="dxa"/>
            <w:tcBorders>
              <w:top w:val="nil"/>
              <w:left w:val="nil"/>
              <w:bottom w:val="single" w:sz="4" w:space="0" w:color="808080"/>
              <w:right w:val="single" w:sz="4" w:space="0" w:color="808080"/>
            </w:tcBorders>
            <w:shd w:val="clear" w:color="auto" w:fill="auto"/>
            <w:noWrap/>
            <w:vAlign w:val="center"/>
            <w:hideMark/>
          </w:tcPr>
          <w:p w14:paraId="6E0019EC" w14:textId="77777777" w:rsidR="00D936B4" w:rsidRPr="00D936B4" w:rsidRDefault="00D936B4" w:rsidP="00D936B4">
            <w:pPr>
              <w:spacing w:after="0" w:line="240" w:lineRule="auto"/>
              <w:jc w:val="center"/>
              <w:rPr>
                <w:rFonts w:ascii="Wingdings" w:eastAsia="Arial Unicode MS" w:hAnsi="Wingdings" w:cs="Arial Unicode MS" w:hint="eastAsia"/>
                <w:b/>
                <w:bCs/>
                <w:color w:val="00B050"/>
                <w:sz w:val="32"/>
                <w:szCs w:val="32"/>
                <w:lang w:bidi="th-TH"/>
              </w:rPr>
            </w:pPr>
            <w:r w:rsidRPr="00D936B4">
              <w:rPr>
                <w:rFonts w:ascii="Wingdings" w:eastAsia="Arial Unicode MS" w:hAnsi="Wingdings" w:cs="Arial Unicode MS"/>
                <w:b/>
                <w:bCs/>
                <w:color w:val="00B050"/>
                <w:sz w:val="32"/>
                <w:szCs w:val="32"/>
                <w:lang w:bidi="th-TH"/>
              </w:rPr>
              <w:t></w:t>
            </w:r>
          </w:p>
        </w:tc>
        <w:tc>
          <w:tcPr>
            <w:tcW w:w="4230" w:type="dxa"/>
            <w:tcBorders>
              <w:top w:val="nil"/>
              <w:left w:val="nil"/>
              <w:bottom w:val="single" w:sz="4" w:space="0" w:color="808080"/>
              <w:right w:val="single" w:sz="4" w:space="0" w:color="808080"/>
            </w:tcBorders>
            <w:shd w:val="clear" w:color="auto" w:fill="auto"/>
            <w:vAlign w:val="center"/>
            <w:hideMark/>
          </w:tcPr>
          <w:p w14:paraId="14EF7064" w14:textId="77777777" w:rsidR="00D936B4" w:rsidRPr="00D936B4" w:rsidRDefault="00D936B4" w:rsidP="00D936B4">
            <w:pPr>
              <w:spacing w:after="0" w:line="240" w:lineRule="auto"/>
              <w:jc w:val="center"/>
              <w:rPr>
                <w:rFonts w:ascii="Calibri" w:eastAsia="Arial Unicode MS" w:hAnsi="Calibri" w:cs="Arial Unicode MS"/>
                <w:color w:val="262626"/>
                <w:lang w:bidi="th-TH"/>
              </w:rPr>
            </w:pPr>
            <w:r w:rsidRPr="00D936B4">
              <w:rPr>
                <w:rFonts w:ascii="Calibri" w:eastAsia="Arial Unicode MS" w:hAnsi="Calibri" w:cs="Arial Unicode MS"/>
                <w:color w:val="262626"/>
                <w:lang w:bidi="th-TH"/>
              </w:rPr>
              <w:t>Including NEX advances (16005), DBS (16006), old Cash arrangement (16007)</w:t>
            </w:r>
          </w:p>
        </w:tc>
      </w:tr>
      <w:tr w:rsidR="00D936B4" w:rsidRPr="00D936B4" w14:paraId="35C5B529" w14:textId="77777777" w:rsidTr="00AE2690">
        <w:trPr>
          <w:trHeight w:val="390"/>
        </w:trPr>
        <w:tc>
          <w:tcPr>
            <w:tcW w:w="1260" w:type="dxa"/>
            <w:tcBorders>
              <w:top w:val="nil"/>
              <w:left w:val="single" w:sz="4" w:space="0" w:color="808080"/>
              <w:bottom w:val="single" w:sz="4" w:space="0" w:color="808080"/>
              <w:right w:val="single" w:sz="4" w:space="0" w:color="808080"/>
            </w:tcBorders>
            <w:shd w:val="clear" w:color="auto" w:fill="auto"/>
            <w:noWrap/>
            <w:vAlign w:val="center"/>
            <w:hideMark/>
          </w:tcPr>
          <w:p w14:paraId="5969CAE6" w14:textId="77777777" w:rsidR="00D936B4" w:rsidRPr="00D936B4" w:rsidRDefault="00D936B4" w:rsidP="00D936B4">
            <w:pPr>
              <w:spacing w:after="0" w:line="240" w:lineRule="auto"/>
              <w:jc w:val="center"/>
              <w:rPr>
                <w:rFonts w:ascii="Calibri" w:eastAsia="Arial Unicode MS" w:hAnsi="Calibri" w:cs="Arial Unicode MS"/>
                <w:b/>
                <w:bCs/>
                <w:color w:val="262626"/>
                <w:lang w:bidi="th-TH"/>
              </w:rPr>
            </w:pPr>
            <w:r w:rsidRPr="00D936B4">
              <w:rPr>
                <w:rFonts w:ascii="Calibri" w:eastAsia="Arial Unicode MS" w:hAnsi="Calibri" w:cs="Arial Unicode MS"/>
                <w:b/>
                <w:bCs/>
                <w:color w:val="262626"/>
                <w:lang w:bidi="th-TH"/>
              </w:rPr>
              <w:t xml:space="preserve">16010 </w:t>
            </w:r>
            <w:r w:rsidRPr="00D936B4">
              <w:rPr>
                <w:rFonts w:ascii="Calibri" w:eastAsia="Arial Unicode MS" w:hAnsi="Calibri" w:cs="Arial Unicode MS"/>
                <w:b/>
                <w:bCs/>
                <w:color w:val="333333"/>
                <w:vertAlign w:val="superscript"/>
                <w:lang w:bidi="th-TH"/>
              </w:rPr>
              <w:t>(2)</w:t>
            </w:r>
          </w:p>
        </w:tc>
        <w:tc>
          <w:tcPr>
            <w:tcW w:w="1260" w:type="dxa"/>
            <w:tcBorders>
              <w:top w:val="nil"/>
              <w:left w:val="nil"/>
              <w:bottom w:val="single" w:sz="4" w:space="0" w:color="808080"/>
              <w:right w:val="single" w:sz="4" w:space="0" w:color="808080"/>
            </w:tcBorders>
            <w:shd w:val="clear" w:color="auto" w:fill="auto"/>
            <w:noWrap/>
            <w:vAlign w:val="center"/>
            <w:hideMark/>
          </w:tcPr>
          <w:p w14:paraId="4A99BD49" w14:textId="77777777" w:rsidR="00D936B4" w:rsidRPr="00D936B4" w:rsidRDefault="00D936B4" w:rsidP="00D936B4">
            <w:pPr>
              <w:spacing w:after="0" w:line="240" w:lineRule="auto"/>
              <w:jc w:val="center"/>
              <w:rPr>
                <w:rFonts w:ascii="Wingdings" w:eastAsia="Arial Unicode MS" w:hAnsi="Wingdings" w:cs="Arial Unicode MS" w:hint="eastAsia"/>
                <w:b/>
                <w:bCs/>
                <w:color w:val="00B050"/>
                <w:sz w:val="32"/>
                <w:szCs w:val="32"/>
                <w:lang w:bidi="th-TH"/>
              </w:rPr>
            </w:pPr>
            <w:r w:rsidRPr="00D936B4">
              <w:rPr>
                <w:rFonts w:ascii="Wingdings" w:eastAsia="Arial Unicode MS" w:hAnsi="Wingdings" w:cs="Arial Unicode MS"/>
                <w:b/>
                <w:bCs/>
                <w:color w:val="00B050"/>
                <w:sz w:val="32"/>
                <w:szCs w:val="32"/>
                <w:lang w:bidi="th-TH"/>
              </w:rPr>
              <w:t></w:t>
            </w:r>
          </w:p>
        </w:tc>
        <w:tc>
          <w:tcPr>
            <w:tcW w:w="1530" w:type="dxa"/>
            <w:tcBorders>
              <w:top w:val="nil"/>
              <w:left w:val="nil"/>
              <w:bottom w:val="single" w:sz="4" w:space="0" w:color="808080"/>
              <w:right w:val="single" w:sz="4" w:space="0" w:color="808080"/>
            </w:tcBorders>
            <w:shd w:val="clear" w:color="auto" w:fill="auto"/>
            <w:noWrap/>
            <w:vAlign w:val="center"/>
            <w:hideMark/>
          </w:tcPr>
          <w:p w14:paraId="06FF6A4C" w14:textId="77777777" w:rsidR="00D936B4" w:rsidRPr="00D936B4" w:rsidRDefault="00D936B4" w:rsidP="00D936B4">
            <w:pPr>
              <w:spacing w:after="0" w:line="240" w:lineRule="auto"/>
              <w:jc w:val="center"/>
              <w:rPr>
                <w:rFonts w:ascii="Wingdings" w:eastAsia="Arial Unicode MS" w:hAnsi="Wingdings" w:cs="Arial Unicode MS" w:hint="eastAsia"/>
                <w:b/>
                <w:bCs/>
                <w:color w:val="FF0000"/>
                <w:sz w:val="32"/>
                <w:szCs w:val="32"/>
                <w:lang w:bidi="th-TH"/>
              </w:rPr>
            </w:pPr>
            <w:r w:rsidRPr="00D936B4">
              <w:rPr>
                <w:rFonts w:ascii="Wingdings" w:eastAsia="Arial Unicode MS" w:hAnsi="Wingdings" w:cs="Arial Unicode MS"/>
                <w:b/>
                <w:bCs/>
                <w:color w:val="FF0000"/>
                <w:sz w:val="32"/>
                <w:szCs w:val="32"/>
                <w:lang w:bidi="th-TH"/>
              </w:rPr>
              <w:t></w:t>
            </w:r>
          </w:p>
        </w:tc>
        <w:tc>
          <w:tcPr>
            <w:tcW w:w="1260" w:type="dxa"/>
            <w:tcBorders>
              <w:top w:val="nil"/>
              <w:left w:val="nil"/>
              <w:bottom w:val="single" w:sz="4" w:space="0" w:color="808080"/>
              <w:right w:val="single" w:sz="4" w:space="0" w:color="808080"/>
            </w:tcBorders>
            <w:shd w:val="clear" w:color="auto" w:fill="auto"/>
            <w:noWrap/>
            <w:vAlign w:val="center"/>
            <w:hideMark/>
          </w:tcPr>
          <w:p w14:paraId="0F9D91BF" w14:textId="77777777" w:rsidR="00D936B4" w:rsidRPr="00D936B4" w:rsidRDefault="00D936B4" w:rsidP="00D936B4">
            <w:pPr>
              <w:spacing w:after="0" w:line="240" w:lineRule="auto"/>
              <w:jc w:val="center"/>
              <w:rPr>
                <w:rFonts w:ascii="Wingdings" w:eastAsia="Arial Unicode MS" w:hAnsi="Wingdings" w:cs="Arial Unicode MS" w:hint="eastAsia"/>
                <w:b/>
                <w:bCs/>
                <w:color w:val="00B050"/>
                <w:sz w:val="32"/>
                <w:szCs w:val="32"/>
                <w:lang w:bidi="th-TH"/>
              </w:rPr>
            </w:pPr>
            <w:r w:rsidRPr="00D936B4">
              <w:rPr>
                <w:rFonts w:ascii="Wingdings" w:eastAsia="Arial Unicode MS" w:hAnsi="Wingdings" w:cs="Arial Unicode MS"/>
                <w:b/>
                <w:bCs/>
                <w:color w:val="00B050"/>
                <w:sz w:val="32"/>
                <w:szCs w:val="32"/>
                <w:lang w:bidi="th-TH"/>
              </w:rPr>
              <w:t></w:t>
            </w:r>
          </w:p>
        </w:tc>
        <w:tc>
          <w:tcPr>
            <w:tcW w:w="1350" w:type="dxa"/>
            <w:tcBorders>
              <w:top w:val="nil"/>
              <w:left w:val="nil"/>
              <w:bottom w:val="single" w:sz="4" w:space="0" w:color="808080"/>
              <w:right w:val="single" w:sz="4" w:space="0" w:color="808080"/>
            </w:tcBorders>
            <w:shd w:val="clear" w:color="auto" w:fill="auto"/>
            <w:noWrap/>
            <w:vAlign w:val="center"/>
            <w:hideMark/>
          </w:tcPr>
          <w:p w14:paraId="2AECFF57" w14:textId="77777777" w:rsidR="00D936B4" w:rsidRPr="00D936B4" w:rsidRDefault="00D936B4" w:rsidP="00D936B4">
            <w:pPr>
              <w:spacing w:after="0" w:line="240" w:lineRule="auto"/>
              <w:jc w:val="center"/>
              <w:rPr>
                <w:rFonts w:ascii="Wingdings" w:eastAsia="Arial Unicode MS" w:hAnsi="Wingdings" w:cs="Arial Unicode MS" w:hint="eastAsia"/>
                <w:b/>
                <w:bCs/>
                <w:color w:val="FF0000"/>
                <w:sz w:val="32"/>
                <w:szCs w:val="32"/>
                <w:lang w:bidi="th-TH"/>
              </w:rPr>
            </w:pPr>
            <w:r w:rsidRPr="00D936B4">
              <w:rPr>
                <w:rFonts w:ascii="Wingdings" w:eastAsia="Arial Unicode MS" w:hAnsi="Wingdings" w:cs="Arial Unicode MS"/>
                <w:b/>
                <w:bCs/>
                <w:color w:val="FF0000"/>
                <w:sz w:val="32"/>
                <w:szCs w:val="32"/>
                <w:lang w:bidi="th-TH"/>
              </w:rPr>
              <w:t></w:t>
            </w:r>
          </w:p>
        </w:tc>
        <w:tc>
          <w:tcPr>
            <w:tcW w:w="4230" w:type="dxa"/>
            <w:tcBorders>
              <w:top w:val="nil"/>
              <w:left w:val="nil"/>
              <w:bottom w:val="single" w:sz="4" w:space="0" w:color="808080"/>
              <w:right w:val="single" w:sz="4" w:space="0" w:color="808080"/>
            </w:tcBorders>
            <w:shd w:val="clear" w:color="auto" w:fill="auto"/>
            <w:vAlign w:val="center"/>
            <w:hideMark/>
          </w:tcPr>
          <w:p w14:paraId="610C73DC" w14:textId="77777777" w:rsidR="00D936B4" w:rsidRPr="00D936B4" w:rsidRDefault="00D936B4" w:rsidP="00D936B4">
            <w:pPr>
              <w:spacing w:after="0" w:line="240" w:lineRule="auto"/>
              <w:jc w:val="center"/>
              <w:rPr>
                <w:rFonts w:ascii="Calibri" w:eastAsia="Arial Unicode MS" w:hAnsi="Calibri" w:cs="Arial Unicode MS"/>
                <w:color w:val="262626"/>
                <w:lang w:bidi="th-TH"/>
              </w:rPr>
            </w:pPr>
            <w:r w:rsidRPr="00D936B4">
              <w:rPr>
                <w:rFonts w:ascii="Calibri" w:eastAsia="Arial Unicode MS" w:hAnsi="Calibri" w:cs="Arial Unicode MS"/>
                <w:color w:val="262626"/>
                <w:lang w:bidi="th-TH"/>
              </w:rPr>
              <w:t> </w:t>
            </w:r>
          </w:p>
        </w:tc>
      </w:tr>
      <w:tr w:rsidR="00D936B4" w:rsidRPr="00D936B4" w14:paraId="7D4B3475" w14:textId="77777777" w:rsidTr="00AE2690">
        <w:trPr>
          <w:trHeight w:val="1500"/>
        </w:trPr>
        <w:tc>
          <w:tcPr>
            <w:tcW w:w="1260" w:type="dxa"/>
            <w:tcBorders>
              <w:top w:val="nil"/>
              <w:left w:val="single" w:sz="4" w:space="0" w:color="808080"/>
              <w:bottom w:val="single" w:sz="4" w:space="0" w:color="808080"/>
              <w:right w:val="single" w:sz="4" w:space="0" w:color="808080"/>
            </w:tcBorders>
            <w:shd w:val="clear" w:color="auto" w:fill="auto"/>
            <w:noWrap/>
            <w:vAlign w:val="center"/>
            <w:hideMark/>
          </w:tcPr>
          <w:p w14:paraId="7CC3B17E" w14:textId="77777777" w:rsidR="00D936B4" w:rsidRPr="00D936B4" w:rsidRDefault="00D936B4" w:rsidP="00D936B4">
            <w:pPr>
              <w:spacing w:after="0" w:line="240" w:lineRule="auto"/>
              <w:jc w:val="center"/>
              <w:rPr>
                <w:rFonts w:ascii="Calibri" w:eastAsia="Arial Unicode MS" w:hAnsi="Calibri" w:cs="Arial Unicode MS"/>
                <w:b/>
                <w:bCs/>
                <w:color w:val="262626"/>
                <w:lang w:bidi="th-TH"/>
              </w:rPr>
            </w:pPr>
            <w:r w:rsidRPr="00D936B4">
              <w:rPr>
                <w:rFonts w:ascii="Calibri" w:eastAsia="Arial Unicode MS" w:hAnsi="Calibri" w:cs="Arial Unicode MS"/>
                <w:b/>
                <w:bCs/>
                <w:color w:val="262626"/>
                <w:lang w:bidi="th-TH"/>
              </w:rPr>
              <w:t xml:space="preserve">16015 </w:t>
            </w:r>
            <w:r w:rsidRPr="00D936B4">
              <w:rPr>
                <w:rFonts w:ascii="Calibri" w:eastAsia="Arial Unicode MS" w:hAnsi="Calibri" w:cs="Arial Unicode MS"/>
                <w:b/>
                <w:bCs/>
                <w:color w:val="333333"/>
                <w:vertAlign w:val="superscript"/>
                <w:lang w:bidi="th-TH"/>
              </w:rPr>
              <w:t>(2)</w:t>
            </w:r>
          </w:p>
        </w:tc>
        <w:tc>
          <w:tcPr>
            <w:tcW w:w="1260" w:type="dxa"/>
            <w:tcBorders>
              <w:top w:val="nil"/>
              <w:left w:val="nil"/>
              <w:bottom w:val="single" w:sz="4" w:space="0" w:color="808080"/>
              <w:right w:val="single" w:sz="4" w:space="0" w:color="808080"/>
            </w:tcBorders>
            <w:shd w:val="clear" w:color="auto" w:fill="auto"/>
            <w:noWrap/>
            <w:vAlign w:val="center"/>
            <w:hideMark/>
          </w:tcPr>
          <w:p w14:paraId="7A7D398A" w14:textId="77777777" w:rsidR="00D936B4" w:rsidRPr="00D936B4" w:rsidRDefault="00D936B4" w:rsidP="00D936B4">
            <w:pPr>
              <w:spacing w:after="0" w:line="240" w:lineRule="auto"/>
              <w:jc w:val="center"/>
              <w:rPr>
                <w:rFonts w:ascii="Wingdings" w:eastAsia="Arial Unicode MS" w:hAnsi="Wingdings" w:cs="Arial Unicode MS" w:hint="eastAsia"/>
                <w:b/>
                <w:bCs/>
                <w:color w:val="00B050"/>
                <w:sz w:val="32"/>
                <w:szCs w:val="32"/>
                <w:lang w:bidi="th-TH"/>
              </w:rPr>
            </w:pPr>
            <w:r w:rsidRPr="00D936B4">
              <w:rPr>
                <w:rFonts w:ascii="Wingdings" w:eastAsia="Arial Unicode MS" w:hAnsi="Wingdings" w:cs="Arial Unicode MS"/>
                <w:b/>
                <w:bCs/>
                <w:color w:val="00B050"/>
                <w:sz w:val="32"/>
                <w:szCs w:val="32"/>
                <w:lang w:bidi="th-TH"/>
              </w:rPr>
              <w:t></w:t>
            </w:r>
          </w:p>
        </w:tc>
        <w:tc>
          <w:tcPr>
            <w:tcW w:w="1530" w:type="dxa"/>
            <w:tcBorders>
              <w:top w:val="nil"/>
              <w:left w:val="nil"/>
              <w:bottom w:val="single" w:sz="4" w:space="0" w:color="808080"/>
              <w:right w:val="single" w:sz="4" w:space="0" w:color="808080"/>
            </w:tcBorders>
            <w:shd w:val="clear" w:color="auto" w:fill="auto"/>
            <w:noWrap/>
            <w:vAlign w:val="center"/>
            <w:hideMark/>
          </w:tcPr>
          <w:p w14:paraId="31154C42" w14:textId="77777777" w:rsidR="00D936B4" w:rsidRPr="00D936B4" w:rsidRDefault="00D936B4" w:rsidP="00D936B4">
            <w:pPr>
              <w:spacing w:after="0" w:line="240" w:lineRule="auto"/>
              <w:jc w:val="center"/>
              <w:rPr>
                <w:rFonts w:ascii="Wingdings" w:eastAsia="Arial Unicode MS" w:hAnsi="Wingdings" w:cs="Arial Unicode MS" w:hint="eastAsia"/>
                <w:b/>
                <w:bCs/>
                <w:color w:val="FF0000"/>
                <w:sz w:val="32"/>
                <w:szCs w:val="32"/>
                <w:lang w:bidi="th-TH"/>
              </w:rPr>
            </w:pPr>
            <w:r w:rsidRPr="00D936B4">
              <w:rPr>
                <w:rFonts w:ascii="Wingdings" w:eastAsia="Arial Unicode MS" w:hAnsi="Wingdings" w:cs="Arial Unicode MS"/>
                <w:b/>
                <w:bCs/>
                <w:color w:val="FF0000"/>
                <w:sz w:val="32"/>
                <w:szCs w:val="32"/>
                <w:lang w:bidi="th-TH"/>
              </w:rPr>
              <w:t></w:t>
            </w:r>
          </w:p>
        </w:tc>
        <w:tc>
          <w:tcPr>
            <w:tcW w:w="1260" w:type="dxa"/>
            <w:tcBorders>
              <w:top w:val="nil"/>
              <w:left w:val="nil"/>
              <w:bottom w:val="single" w:sz="4" w:space="0" w:color="808080"/>
              <w:right w:val="single" w:sz="4" w:space="0" w:color="808080"/>
            </w:tcBorders>
            <w:shd w:val="clear" w:color="auto" w:fill="auto"/>
            <w:noWrap/>
            <w:vAlign w:val="center"/>
            <w:hideMark/>
          </w:tcPr>
          <w:p w14:paraId="191B53D3" w14:textId="77777777" w:rsidR="00D936B4" w:rsidRPr="00D936B4" w:rsidRDefault="00D936B4" w:rsidP="00D936B4">
            <w:pPr>
              <w:spacing w:after="0" w:line="240" w:lineRule="auto"/>
              <w:jc w:val="center"/>
              <w:rPr>
                <w:rFonts w:ascii="Wingdings" w:eastAsia="Arial Unicode MS" w:hAnsi="Wingdings" w:cs="Arial Unicode MS" w:hint="eastAsia"/>
                <w:b/>
                <w:bCs/>
                <w:color w:val="00B050"/>
                <w:sz w:val="32"/>
                <w:szCs w:val="32"/>
                <w:lang w:bidi="th-TH"/>
              </w:rPr>
            </w:pPr>
            <w:r w:rsidRPr="00D936B4">
              <w:rPr>
                <w:rFonts w:ascii="Wingdings" w:eastAsia="Arial Unicode MS" w:hAnsi="Wingdings" w:cs="Arial Unicode MS"/>
                <w:b/>
                <w:bCs/>
                <w:color w:val="00B050"/>
                <w:sz w:val="32"/>
                <w:szCs w:val="32"/>
                <w:lang w:bidi="th-TH"/>
              </w:rPr>
              <w:t></w:t>
            </w:r>
          </w:p>
        </w:tc>
        <w:tc>
          <w:tcPr>
            <w:tcW w:w="1350" w:type="dxa"/>
            <w:tcBorders>
              <w:top w:val="nil"/>
              <w:left w:val="nil"/>
              <w:bottom w:val="single" w:sz="4" w:space="0" w:color="808080"/>
              <w:right w:val="single" w:sz="4" w:space="0" w:color="808080"/>
            </w:tcBorders>
            <w:shd w:val="clear" w:color="auto" w:fill="auto"/>
            <w:noWrap/>
            <w:vAlign w:val="center"/>
            <w:hideMark/>
          </w:tcPr>
          <w:p w14:paraId="486B82F2" w14:textId="77777777" w:rsidR="00D936B4" w:rsidRPr="00D936B4" w:rsidRDefault="00D936B4" w:rsidP="00D936B4">
            <w:pPr>
              <w:spacing w:after="0" w:line="240" w:lineRule="auto"/>
              <w:jc w:val="center"/>
              <w:rPr>
                <w:rFonts w:ascii="Wingdings" w:eastAsia="Arial Unicode MS" w:hAnsi="Wingdings" w:cs="Arial Unicode MS" w:hint="eastAsia"/>
                <w:b/>
                <w:bCs/>
                <w:color w:val="FF0000"/>
                <w:sz w:val="32"/>
                <w:szCs w:val="32"/>
                <w:lang w:bidi="th-TH"/>
              </w:rPr>
            </w:pPr>
            <w:r w:rsidRPr="00D936B4">
              <w:rPr>
                <w:rFonts w:ascii="Wingdings" w:eastAsia="Arial Unicode MS" w:hAnsi="Wingdings" w:cs="Arial Unicode MS"/>
                <w:b/>
                <w:bCs/>
                <w:color w:val="FF0000"/>
                <w:sz w:val="32"/>
                <w:szCs w:val="32"/>
                <w:lang w:bidi="th-TH"/>
              </w:rPr>
              <w:t></w:t>
            </w:r>
          </w:p>
        </w:tc>
        <w:tc>
          <w:tcPr>
            <w:tcW w:w="4230" w:type="dxa"/>
            <w:tcBorders>
              <w:top w:val="nil"/>
              <w:left w:val="nil"/>
              <w:bottom w:val="single" w:sz="4" w:space="0" w:color="808080"/>
              <w:right w:val="single" w:sz="4" w:space="0" w:color="808080"/>
            </w:tcBorders>
            <w:shd w:val="clear" w:color="auto" w:fill="auto"/>
            <w:vAlign w:val="center"/>
            <w:hideMark/>
          </w:tcPr>
          <w:p w14:paraId="5F8B47B8" w14:textId="31A634DA" w:rsidR="00D936B4" w:rsidRPr="00D936B4" w:rsidRDefault="00D936B4" w:rsidP="00D936B4">
            <w:pPr>
              <w:spacing w:after="0" w:line="240" w:lineRule="auto"/>
              <w:jc w:val="center"/>
              <w:rPr>
                <w:rFonts w:ascii="Calibri" w:eastAsia="Arial Unicode MS" w:hAnsi="Calibri" w:cs="Arial Unicode MS"/>
                <w:color w:val="262626"/>
                <w:lang w:bidi="th-TH"/>
              </w:rPr>
            </w:pPr>
            <w:r w:rsidRPr="00D936B4">
              <w:rPr>
                <w:rFonts w:ascii="Calibri" w:eastAsia="Arial Unicode MS" w:hAnsi="Calibri" w:cs="Arial Unicode MS"/>
                <w:color w:val="262626"/>
                <w:lang w:bidi="th-TH"/>
              </w:rPr>
              <w:t>- Run the Trial Balance (TB) for this account and your operating unit. If there is no Balance</w:t>
            </w:r>
            <w:r w:rsidR="006D76B6">
              <w:rPr>
                <w:rFonts w:ascii="Calibri" w:eastAsia="Arial Unicode MS" w:hAnsi="Calibri" w:cs="Arial Unicode MS"/>
                <w:color w:val="262626"/>
                <w:lang w:bidi="th-TH"/>
              </w:rPr>
              <w:t>,</w:t>
            </w:r>
            <w:r w:rsidRPr="00D936B4">
              <w:rPr>
                <w:rFonts w:ascii="Calibri" w:eastAsia="Arial Unicode MS" w:hAnsi="Calibri" w:cs="Arial Unicode MS"/>
                <w:color w:val="262626"/>
                <w:lang w:bidi="th-TH"/>
              </w:rPr>
              <w:t xml:space="preserve"> please ignore the Balance at the project level. Otherwise, contact your HQ focal point for advice to clear the existing balances sitting at the project level.</w:t>
            </w:r>
            <w:r w:rsidRPr="00D936B4">
              <w:rPr>
                <w:rFonts w:ascii="Calibri" w:eastAsia="Arial Unicode MS" w:hAnsi="Calibri" w:cs="Arial Unicode MS"/>
                <w:color w:val="262626"/>
                <w:lang w:bidi="th-TH"/>
              </w:rPr>
              <w:br/>
              <w:t xml:space="preserve">- If balance is at H17 OU, </w:t>
            </w:r>
            <w:r w:rsidR="00A80260">
              <w:rPr>
                <w:rFonts w:ascii="Calibri" w:eastAsia="Arial Unicode MS" w:hAnsi="Calibri" w:cs="Arial Unicode MS"/>
                <w:color w:val="262626"/>
                <w:lang w:bidi="th-TH"/>
              </w:rPr>
              <w:t xml:space="preserve">please contact </w:t>
            </w:r>
            <w:r w:rsidR="002A5CF0">
              <w:rPr>
                <w:rFonts w:asciiTheme="majorHAnsi" w:hAnsiTheme="majorHAnsi"/>
                <w:color w:val="404040" w:themeColor="text1" w:themeTint="BF"/>
                <w:sz w:val="20"/>
                <w:szCs w:val="20"/>
              </w:rPr>
              <w:t>GSSU AGENCIES</w:t>
            </w:r>
            <w:r w:rsidR="00A80260">
              <w:t xml:space="preserve"> </w:t>
            </w:r>
            <w:r w:rsidR="00A80260" w:rsidRPr="00913F0A">
              <w:rPr>
                <w:color w:val="404040" w:themeColor="text1" w:themeTint="BF"/>
              </w:rPr>
              <w:t>&lt;</w:t>
            </w:r>
            <w:hyperlink r:id="rId119" w:history="1">
              <w:r w:rsidR="002A5CF0">
                <w:rPr>
                  <w:rStyle w:val="Hyperlink"/>
                  <w:color w:val="404040" w:themeColor="text1" w:themeTint="BF"/>
                </w:rPr>
                <w:t>gssu.agencies@undp.org</w:t>
              </w:r>
            </w:hyperlink>
            <w:r w:rsidR="00A80260" w:rsidRPr="00913F0A">
              <w:rPr>
                <w:color w:val="404040" w:themeColor="text1" w:themeTint="BF"/>
              </w:rPr>
              <w:t>&gt;</w:t>
            </w:r>
            <w:r w:rsidR="00A80260">
              <w:rPr>
                <w:color w:val="404040" w:themeColor="text1" w:themeTint="BF"/>
              </w:rPr>
              <w:t xml:space="preserve"> requesting for their support to clear balance.</w:t>
            </w:r>
            <w:r w:rsidRPr="00D936B4">
              <w:rPr>
                <w:rFonts w:ascii="Calibri" w:eastAsia="Arial Unicode MS" w:hAnsi="Calibri" w:cs="Arial Unicode MS"/>
                <w:color w:val="262626"/>
                <w:lang w:bidi="th-TH"/>
              </w:rPr>
              <w:br/>
              <w:t>- Any balances should be cleared at the fund level</w:t>
            </w:r>
          </w:p>
        </w:tc>
      </w:tr>
      <w:tr w:rsidR="00D936B4" w:rsidRPr="00D936B4" w14:paraId="628EF6F9" w14:textId="77777777" w:rsidTr="00AE2690">
        <w:trPr>
          <w:trHeight w:val="390"/>
        </w:trPr>
        <w:tc>
          <w:tcPr>
            <w:tcW w:w="1260" w:type="dxa"/>
            <w:tcBorders>
              <w:top w:val="nil"/>
              <w:left w:val="single" w:sz="4" w:space="0" w:color="808080"/>
              <w:bottom w:val="single" w:sz="4" w:space="0" w:color="808080"/>
              <w:right w:val="single" w:sz="4" w:space="0" w:color="808080"/>
            </w:tcBorders>
            <w:shd w:val="clear" w:color="auto" w:fill="auto"/>
            <w:noWrap/>
            <w:vAlign w:val="center"/>
            <w:hideMark/>
          </w:tcPr>
          <w:p w14:paraId="49286BCF" w14:textId="77777777" w:rsidR="00D936B4" w:rsidRPr="00D936B4" w:rsidRDefault="00D936B4" w:rsidP="00D936B4">
            <w:pPr>
              <w:spacing w:after="0" w:line="240" w:lineRule="auto"/>
              <w:jc w:val="center"/>
              <w:rPr>
                <w:rFonts w:ascii="Calibri" w:eastAsia="Arial Unicode MS" w:hAnsi="Calibri" w:cs="Arial Unicode MS"/>
                <w:b/>
                <w:bCs/>
                <w:color w:val="262626"/>
                <w:lang w:bidi="th-TH"/>
              </w:rPr>
            </w:pPr>
            <w:r w:rsidRPr="00D936B4">
              <w:rPr>
                <w:rFonts w:ascii="Calibri" w:eastAsia="Arial Unicode MS" w:hAnsi="Calibri" w:cs="Arial Unicode MS"/>
                <w:b/>
                <w:bCs/>
                <w:color w:val="262626"/>
                <w:lang w:bidi="th-TH"/>
              </w:rPr>
              <w:t>1610x</w:t>
            </w:r>
          </w:p>
        </w:tc>
        <w:tc>
          <w:tcPr>
            <w:tcW w:w="1260" w:type="dxa"/>
            <w:tcBorders>
              <w:top w:val="nil"/>
              <w:left w:val="nil"/>
              <w:bottom w:val="single" w:sz="4" w:space="0" w:color="808080"/>
              <w:right w:val="single" w:sz="4" w:space="0" w:color="808080"/>
            </w:tcBorders>
            <w:shd w:val="clear" w:color="auto" w:fill="auto"/>
            <w:noWrap/>
            <w:vAlign w:val="center"/>
            <w:hideMark/>
          </w:tcPr>
          <w:p w14:paraId="2EBCAF0E" w14:textId="77777777" w:rsidR="00D936B4" w:rsidRPr="00D936B4" w:rsidRDefault="00D936B4" w:rsidP="00D936B4">
            <w:pPr>
              <w:spacing w:after="0" w:line="240" w:lineRule="auto"/>
              <w:jc w:val="center"/>
              <w:rPr>
                <w:rFonts w:ascii="Wingdings" w:eastAsia="Arial Unicode MS" w:hAnsi="Wingdings" w:cs="Arial Unicode MS" w:hint="eastAsia"/>
                <w:b/>
                <w:bCs/>
                <w:color w:val="00B050"/>
                <w:sz w:val="32"/>
                <w:szCs w:val="32"/>
                <w:lang w:bidi="th-TH"/>
              </w:rPr>
            </w:pPr>
            <w:r w:rsidRPr="00D936B4">
              <w:rPr>
                <w:rFonts w:ascii="Wingdings" w:eastAsia="Arial Unicode MS" w:hAnsi="Wingdings" w:cs="Arial Unicode MS"/>
                <w:b/>
                <w:bCs/>
                <w:color w:val="00B050"/>
                <w:sz w:val="32"/>
                <w:szCs w:val="32"/>
                <w:lang w:bidi="th-TH"/>
              </w:rPr>
              <w:t></w:t>
            </w:r>
          </w:p>
        </w:tc>
        <w:tc>
          <w:tcPr>
            <w:tcW w:w="1530" w:type="dxa"/>
            <w:tcBorders>
              <w:top w:val="nil"/>
              <w:left w:val="nil"/>
              <w:bottom w:val="single" w:sz="4" w:space="0" w:color="808080"/>
              <w:right w:val="single" w:sz="4" w:space="0" w:color="808080"/>
            </w:tcBorders>
            <w:shd w:val="clear" w:color="auto" w:fill="auto"/>
            <w:noWrap/>
            <w:vAlign w:val="center"/>
            <w:hideMark/>
          </w:tcPr>
          <w:p w14:paraId="1794712C" w14:textId="77777777" w:rsidR="00D936B4" w:rsidRPr="00D936B4" w:rsidRDefault="00D936B4" w:rsidP="00D936B4">
            <w:pPr>
              <w:spacing w:after="0" w:line="240" w:lineRule="auto"/>
              <w:jc w:val="center"/>
              <w:rPr>
                <w:rFonts w:ascii="Wingdings" w:eastAsia="Arial Unicode MS" w:hAnsi="Wingdings" w:cs="Arial Unicode MS" w:hint="eastAsia"/>
                <w:b/>
                <w:bCs/>
                <w:color w:val="00B050"/>
                <w:sz w:val="32"/>
                <w:szCs w:val="32"/>
                <w:lang w:bidi="th-TH"/>
              </w:rPr>
            </w:pPr>
            <w:r w:rsidRPr="00D936B4">
              <w:rPr>
                <w:rFonts w:ascii="Wingdings" w:eastAsia="Arial Unicode MS" w:hAnsi="Wingdings" w:cs="Arial Unicode MS"/>
                <w:b/>
                <w:bCs/>
                <w:color w:val="00B050"/>
                <w:sz w:val="32"/>
                <w:szCs w:val="32"/>
                <w:lang w:bidi="th-TH"/>
              </w:rPr>
              <w:t></w:t>
            </w:r>
          </w:p>
        </w:tc>
        <w:tc>
          <w:tcPr>
            <w:tcW w:w="1260" w:type="dxa"/>
            <w:tcBorders>
              <w:top w:val="nil"/>
              <w:left w:val="nil"/>
              <w:bottom w:val="single" w:sz="4" w:space="0" w:color="808080"/>
              <w:right w:val="single" w:sz="4" w:space="0" w:color="808080"/>
            </w:tcBorders>
            <w:shd w:val="clear" w:color="auto" w:fill="auto"/>
            <w:noWrap/>
            <w:vAlign w:val="center"/>
            <w:hideMark/>
          </w:tcPr>
          <w:p w14:paraId="34C66A98" w14:textId="77777777" w:rsidR="00D936B4" w:rsidRPr="00D936B4" w:rsidRDefault="00D936B4" w:rsidP="00D936B4">
            <w:pPr>
              <w:spacing w:after="0" w:line="240" w:lineRule="auto"/>
              <w:jc w:val="center"/>
              <w:rPr>
                <w:rFonts w:ascii="Wingdings" w:eastAsia="Arial Unicode MS" w:hAnsi="Wingdings" w:cs="Arial Unicode MS" w:hint="eastAsia"/>
                <w:b/>
                <w:bCs/>
                <w:color w:val="00B050"/>
                <w:sz w:val="32"/>
                <w:szCs w:val="32"/>
                <w:lang w:bidi="th-TH"/>
              </w:rPr>
            </w:pPr>
            <w:r w:rsidRPr="00D936B4">
              <w:rPr>
                <w:rFonts w:ascii="Wingdings" w:eastAsia="Arial Unicode MS" w:hAnsi="Wingdings" w:cs="Arial Unicode MS"/>
                <w:b/>
                <w:bCs/>
                <w:color w:val="00B050"/>
                <w:sz w:val="32"/>
                <w:szCs w:val="32"/>
                <w:lang w:bidi="th-TH"/>
              </w:rPr>
              <w:t></w:t>
            </w:r>
          </w:p>
        </w:tc>
        <w:tc>
          <w:tcPr>
            <w:tcW w:w="1350" w:type="dxa"/>
            <w:tcBorders>
              <w:top w:val="nil"/>
              <w:left w:val="nil"/>
              <w:bottom w:val="single" w:sz="4" w:space="0" w:color="808080"/>
              <w:right w:val="single" w:sz="4" w:space="0" w:color="808080"/>
            </w:tcBorders>
            <w:shd w:val="clear" w:color="auto" w:fill="auto"/>
            <w:noWrap/>
            <w:vAlign w:val="center"/>
            <w:hideMark/>
          </w:tcPr>
          <w:p w14:paraId="3AF4193E" w14:textId="77777777" w:rsidR="00D936B4" w:rsidRPr="00D936B4" w:rsidRDefault="00D936B4" w:rsidP="00D936B4">
            <w:pPr>
              <w:spacing w:after="0" w:line="240" w:lineRule="auto"/>
              <w:jc w:val="center"/>
              <w:rPr>
                <w:rFonts w:ascii="Wingdings" w:eastAsia="Arial Unicode MS" w:hAnsi="Wingdings" w:cs="Arial Unicode MS" w:hint="eastAsia"/>
                <w:b/>
                <w:bCs/>
                <w:color w:val="00B050"/>
                <w:sz w:val="32"/>
                <w:szCs w:val="32"/>
                <w:lang w:bidi="th-TH"/>
              </w:rPr>
            </w:pPr>
            <w:r w:rsidRPr="00D936B4">
              <w:rPr>
                <w:rFonts w:ascii="Wingdings" w:eastAsia="Arial Unicode MS" w:hAnsi="Wingdings" w:cs="Arial Unicode MS"/>
                <w:b/>
                <w:bCs/>
                <w:color w:val="00B050"/>
                <w:sz w:val="32"/>
                <w:szCs w:val="32"/>
                <w:lang w:bidi="th-TH"/>
              </w:rPr>
              <w:t></w:t>
            </w:r>
          </w:p>
        </w:tc>
        <w:tc>
          <w:tcPr>
            <w:tcW w:w="4230" w:type="dxa"/>
            <w:tcBorders>
              <w:top w:val="nil"/>
              <w:left w:val="nil"/>
              <w:bottom w:val="single" w:sz="4" w:space="0" w:color="808080"/>
              <w:right w:val="single" w:sz="4" w:space="0" w:color="808080"/>
            </w:tcBorders>
            <w:shd w:val="clear" w:color="auto" w:fill="auto"/>
            <w:vAlign w:val="center"/>
            <w:hideMark/>
          </w:tcPr>
          <w:p w14:paraId="41793910" w14:textId="77777777" w:rsidR="00D936B4" w:rsidRPr="00D936B4" w:rsidRDefault="00D936B4" w:rsidP="00D936B4">
            <w:pPr>
              <w:spacing w:after="0" w:line="240" w:lineRule="auto"/>
              <w:jc w:val="center"/>
              <w:rPr>
                <w:rFonts w:ascii="Calibri" w:eastAsia="Arial Unicode MS" w:hAnsi="Calibri" w:cs="Arial Unicode MS"/>
                <w:color w:val="262626"/>
                <w:lang w:bidi="th-TH"/>
              </w:rPr>
            </w:pPr>
            <w:r w:rsidRPr="00D936B4">
              <w:rPr>
                <w:rFonts w:ascii="Calibri" w:eastAsia="Arial Unicode MS" w:hAnsi="Calibri" w:cs="Arial Unicode MS"/>
                <w:color w:val="262626"/>
                <w:lang w:bidi="th-TH"/>
              </w:rPr>
              <w:t>New cash arrangement accounts - including Petty Cash</w:t>
            </w:r>
          </w:p>
        </w:tc>
      </w:tr>
      <w:tr w:rsidR="00D936B4" w:rsidRPr="00D936B4" w14:paraId="36929898" w14:textId="77777777" w:rsidTr="00AE2690">
        <w:trPr>
          <w:trHeight w:val="390"/>
        </w:trPr>
        <w:tc>
          <w:tcPr>
            <w:tcW w:w="1260" w:type="dxa"/>
            <w:tcBorders>
              <w:top w:val="nil"/>
              <w:left w:val="single" w:sz="4" w:space="0" w:color="808080"/>
              <w:bottom w:val="single" w:sz="4" w:space="0" w:color="808080"/>
              <w:right w:val="single" w:sz="4" w:space="0" w:color="808080"/>
            </w:tcBorders>
            <w:shd w:val="clear" w:color="auto" w:fill="auto"/>
            <w:noWrap/>
            <w:vAlign w:val="center"/>
            <w:hideMark/>
          </w:tcPr>
          <w:p w14:paraId="21A59855" w14:textId="77777777" w:rsidR="00D936B4" w:rsidRPr="00D936B4" w:rsidRDefault="00D936B4" w:rsidP="00D936B4">
            <w:pPr>
              <w:spacing w:after="0" w:line="240" w:lineRule="auto"/>
              <w:jc w:val="center"/>
              <w:rPr>
                <w:rFonts w:ascii="Calibri" w:eastAsia="Arial Unicode MS" w:hAnsi="Calibri" w:cs="Arial Unicode MS"/>
                <w:b/>
                <w:bCs/>
                <w:color w:val="262626"/>
                <w:lang w:bidi="th-TH"/>
              </w:rPr>
            </w:pPr>
            <w:r w:rsidRPr="00D936B4">
              <w:rPr>
                <w:rFonts w:ascii="Calibri" w:eastAsia="Arial Unicode MS" w:hAnsi="Calibri" w:cs="Arial Unicode MS"/>
                <w:b/>
                <w:bCs/>
                <w:color w:val="262626"/>
                <w:lang w:bidi="th-TH"/>
              </w:rPr>
              <w:t>18xxx</w:t>
            </w:r>
          </w:p>
        </w:tc>
        <w:tc>
          <w:tcPr>
            <w:tcW w:w="1260" w:type="dxa"/>
            <w:tcBorders>
              <w:top w:val="nil"/>
              <w:left w:val="nil"/>
              <w:bottom w:val="single" w:sz="4" w:space="0" w:color="808080"/>
              <w:right w:val="single" w:sz="4" w:space="0" w:color="808080"/>
            </w:tcBorders>
            <w:shd w:val="clear" w:color="auto" w:fill="auto"/>
            <w:noWrap/>
            <w:vAlign w:val="center"/>
            <w:hideMark/>
          </w:tcPr>
          <w:p w14:paraId="68D1C19A" w14:textId="77777777" w:rsidR="00D936B4" w:rsidRPr="00D936B4" w:rsidRDefault="00D936B4" w:rsidP="00D936B4">
            <w:pPr>
              <w:spacing w:after="0" w:line="240" w:lineRule="auto"/>
              <w:jc w:val="center"/>
              <w:rPr>
                <w:rFonts w:ascii="Wingdings" w:eastAsia="Arial Unicode MS" w:hAnsi="Wingdings" w:cs="Arial Unicode MS" w:hint="eastAsia"/>
                <w:b/>
                <w:bCs/>
                <w:color w:val="00B050"/>
                <w:sz w:val="32"/>
                <w:szCs w:val="32"/>
                <w:lang w:bidi="th-TH"/>
              </w:rPr>
            </w:pPr>
            <w:r w:rsidRPr="00D936B4">
              <w:rPr>
                <w:rFonts w:ascii="Wingdings" w:eastAsia="Arial Unicode MS" w:hAnsi="Wingdings" w:cs="Arial Unicode MS"/>
                <w:b/>
                <w:bCs/>
                <w:color w:val="00B050"/>
                <w:sz w:val="32"/>
                <w:szCs w:val="32"/>
                <w:lang w:bidi="th-TH"/>
              </w:rPr>
              <w:t></w:t>
            </w:r>
          </w:p>
        </w:tc>
        <w:tc>
          <w:tcPr>
            <w:tcW w:w="1530" w:type="dxa"/>
            <w:tcBorders>
              <w:top w:val="nil"/>
              <w:left w:val="nil"/>
              <w:bottom w:val="single" w:sz="4" w:space="0" w:color="808080"/>
              <w:right w:val="single" w:sz="4" w:space="0" w:color="808080"/>
            </w:tcBorders>
            <w:shd w:val="clear" w:color="auto" w:fill="auto"/>
            <w:noWrap/>
            <w:vAlign w:val="center"/>
            <w:hideMark/>
          </w:tcPr>
          <w:p w14:paraId="51FD3126" w14:textId="77777777" w:rsidR="00D936B4" w:rsidRPr="00D936B4" w:rsidRDefault="00D936B4" w:rsidP="00D936B4">
            <w:pPr>
              <w:spacing w:after="0" w:line="240" w:lineRule="auto"/>
              <w:jc w:val="center"/>
              <w:rPr>
                <w:rFonts w:ascii="Wingdings" w:eastAsia="Arial Unicode MS" w:hAnsi="Wingdings" w:cs="Arial Unicode MS" w:hint="eastAsia"/>
                <w:b/>
                <w:bCs/>
                <w:color w:val="00B050"/>
                <w:sz w:val="32"/>
                <w:szCs w:val="32"/>
                <w:lang w:bidi="th-TH"/>
              </w:rPr>
            </w:pPr>
            <w:r w:rsidRPr="00D936B4">
              <w:rPr>
                <w:rFonts w:ascii="Wingdings" w:eastAsia="Arial Unicode MS" w:hAnsi="Wingdings" w:cs="Arial Unicode MS"/>
                <w:b/>
                <w:bCs/>
                <w:color w:val="00B050"/>
                <w:sz w:val="32"/>
                <w:szCs w:val="32"/>
                <w:lang w:bidi="th-TH"/>
              </w:rPr>
              <w:t></w:t>
            </w:r>
          </w:p>
        </w:tc>
        <w:tc>
          <w:tcPr>
            <w:tcW w:w="1260" w:type="dxa"/>
            <w:tcBorders>
              <w:top w:val="nil"/>
              <w:left w:val="nil"/>
              <w:bottom w:val="single" w:sz="4" w:space="0" w:color="808080"/>
              <w:right w:val="single" w:sz="4" w:space="0" w:color="808080"/>
            </w:tcBorders>
            <w:shd w:val="clear" w:color="auto" w:fill="auto"/>
            <w:noWrap/>
            <w:vAlign w:val="center"/>
            <w:hideMark/>
          </w:tcPr>
          <w:p w14:paraId="79535079" w14:textId="77777777" w:rsidR="00D936B4" w:rsidRPr="00D936B4" w:rsidRDefault="00D936B4" w:rsidP="00D936B4">
            <w:pPr>
              <w:spacing w:after="0" w:line="240" w:lineRule="auto"/>
              <w:jc w:val="center"/>
              <w:rPr>
                <w:rFonts w:ascii="Wingdings" w:eastAsia="Arial Unicode MS" w:hAnsi="Wingdings" w:cs="Arial Unicode MS" w:hint="eastAsia"/>
                <w:b/>
                <w:bCs/>
                <w:color w:val="00B050"/>
                <w:sz w:val="32"/>
                <w:szCs w:val="32"/>
                <w:lang w:bidi="th-TH"/>
              </w:rPr>
            </w:pPr>
            <w:r w:rsidRPr="00D936B4">
              <w:rPr>
                <w:rFonts w:ascii="Wingdings" w:eastAsia="Arial Unicode MS" w:hAnsi="Wingdings" w:cs="Arial Unicode MS"/>
                <w:b/>
                <w:bCs/>
                <w:color w:val="00B050"/>
                <w:sz w:val="32"/>
                <w:szCs w:val="32"/>
                <w:lang w:bidi="th-TH"/>
              </w:rPr>
              <w:t></w:t>
            </w:r>
          </w:p>
        </w:tc>
        <w:tc>
          <w:tcPr>
            <w:tcW w:w="1350" w:type="dxa"/>
            <w:tcBorders>
              <w:top w:val="nil"/>
              <w:left w:val="nil"/>
              <w:bottom w:val="single" w:sz="4" w:space="0" w:color="808080"/>
              <w:right w:val="single" w:sz="4" w:space="0" w:color="808080"/>
            </w:tcBorders>
            <w:shd w:val="clear" w:color="auto" w:fill="auto"/>
            <w:noWrap/>
            <w:vAlign w:val="center"/>
            <w:hideMark/>
          </w:tcPr>
          <w:p w14:paraId="0C4331B7" w14:textId="77777777" w:rsidR="00D936B4" w:rsidRPr="00D936B4" w:rsidRDefault="00D936B4" w:rsidP="00D936B4">
            <w:pPr>
              <w:spacing w:after="0" w:line="240" w:lineRule="auto"/>
              <w:jc w:val="center"/>
              <w:rPr>
                <w:rFonts w:ascii="Wingdings" w:eastAsia="Arial Unicode MS" w:hAnsi="Wingdings" w:cs="Arial Unicode MS" w:hint="eastAsia"/>
                <w:b/>
                <w:bCs/>
                <w:color w:val="00B050"/>
                <w:sz w:val="32"/>
                <w:szCs w:val="32"/>
                <w:lang w:bidi="th-TH"/>
              </w:rPr>
            </w:pPr>
            <w:r w:rsidRPr="00D936B4">
              <w:rPr>
                <w:rFonts w:ascii="Wingdings" w:eastAsia="Arial Unicode MS" w:hAnsi="Wingdings" w:cs="Arial Unicode MS"/>
                <w:b/>
                <w:bCs/>
                <w:color w:val="00B050"/>
                <w:sz w:val="32"/>
                <w:szCs w:val="32"/>
                <w:lang w:bidi="th-TH"/>
              </w:rPr>
              <w:t></w:t>
            </w:r>
          </w:p>
        </w:tc>
        <w:tc>
          <w:tcPr>
            <w:tcW w:w="4230" w:type="dxa"/>
            <w:tcBorders>
              <w:top w:val="nil"/>
              <w:left w:val="nil"/>
              <w:bottom w:val="single" w:sz="4" w:space="0" w:color="808080"/>
              <w:right w:val="single" w:sz="4" w:space="0" w:color="808080"/>
            </w:tcBorders>
            <w:shd w:val="clear" w:color="auto" w:fill="auto"/>
            <w:vAlign w:val="center"/>
            <w:hideMark/>
          </w:tcPr>
          <w:p w14:paraId="08D6E16C" w14:textId="77777777" w:rsidR="00D936B4" w:rsidRPr="00D936B4" w:rsidRDefault="00D936B4" w:rsidP="00D936B4">
            <w:pPr>
              <w:spacing w:after="0" w:line="240" w:lineRule="auto"/>
              <w:jc w:val="center"/>
              <w:rPr>
                <w:rFonts w:ascii="Calibri" w:eastAsia="Arial Unicode MS" w:hAnsi="Calibri" w:cs="Arial Unicode MS"/>
                <w:color w:val="262626"/>
                <w:lang w:bidi="th-TH"/>
              </w:rPr>
            </w:pPr>
            <w:r w:rsidRPr="00D936B4">
              <w:rPr>
                <w:rFonts w:ascii="Calibri" w:eastAsia="Arial Unicode MS" w:hAnsi="Calibri" w:cs="Arial Unicode MS"/>
                <w:color w:val="262626"/>
                <w:lang w:bidi="th-TH"/>
              </w:rPr>
              <w:t> </w:t>
            </w:r>
          </w:p>
        </w:tc>
      </w:tr>
      <w:tr w:rsidR="00D936B4" w:rsidRPr="00D936B4" w14:paraId="396F45CB" w14:textId="77777777" w:rsidTr="00AE2690">
        <w:trPr>
          <w:trHeight w:val="390"/>
        </w:trPr>
        <w:tc>
          <w:tcPr>
            <w:tcW w:w="1260" w:type="dxa"/>
            <w:tcBorders>
              <w:top w:val="nil"/>
              <w:left w:val="single" w:sz="4" w:space="0" w:color="808080"/>
              <w:bottom w:val="single" w:sz="4" w:space="0" w:color="808080"/>
              <w:right w:val="single" w:sz="4" w:space="0" w:color="808080"/>
            </w:tcBorders>
            <w:shd w:val="clear" w:color="auto" w:fill="auto"/>
            <w:noWrap/>
            <w:vAlign w:val="center"/>
            <w:hideMark/>
          </w:tcPr>
          <w:p w14:paraId="30F4C714" w14:textId="77777777" w:rsidR="00D936B4" w:rsidRPr="00D936B4" w:rsidRDefault="00D936B4" w:rsidP="00D936B4">
            <w:pPr>
              <w:spacing w:after="0" w:line="240" w:lineRule="auto"/>
              <w:jc w:val="center"/>
              <w:rPr>
                <w:rFonts w:ascii="Calibri" w:eastAsia="Arial Unicode MS" w:hAnsi="Calibri" w:cs="Arial Unicode MS"/>
                <w:b/>
                <w:bCs/>
                <w:color w:val="262626"/>
                <w:lang w:bidi="th-TH"/>
              </w:rPr>
            </w:pPr>
            <w:r w:rsidRPr="00D936B4">
              <w:rPr>
                <w:rFonts w:ascii="Calibri" w:eastAsia="Arial Unicode MS" w:hAnsi="Calibri" w:cs="Arial Unicode MS"/>
                <w:b/>
                <w:bCs/>
                <w:color w:val="262626"/>
                <w:lang w:bidi="th-TH"/>
              </w:rPr>
              <w:t xml:space="preserve">2xxxx </w:t>
            </w:r>
            <w:r w:rsidRPr="00D936B4">
              <w:rPr>
                <w:rFonts w:ascii="Calibri" w:eastAsia="Arial Unicode MS" w:hAnsi="Calibri" w:cs="Arial Unicode MS"/>
                <w:b/>
                <w:bCs/>
                <w:color w:val="333333"/>
                <w:vertAlign w:val="superscript"/>
                <w:lang w:bidi="th-TH"/>
              </w:rPr>
              <w:t>(1)</w:t>
            </w:r>
          </w:p>
        </w:tc>
        <w:tc>
          <w:tcPr>
            <w:tcW w:w="1260" w:type="dxa"/>
            <w:tcBorders>
              <w:top w:val="nil"/>
              <w:left w:val="nil"/>
              <w:bottom w:val="single" w:sz="4" w:space="0" w:color="808080"/>
              <w:right w:val="single" w:sz="4" w:space="0" w:color="808080"/>
            </w:tcBorders>
            <w:shd w:val="clear" w:color="auto" w:fill="auto"/>
            <w:noWrap/>
            <w:vAlign w:val="center"/>
            <w:hideMark/>
          </w:tcPr>
          <w:p w14:paraId="39860529" w14:textId="77777777" w:rsidR="00D936B4" w:rsidRPr="00D936B4" w:rsidRDefault="00D936B4" w:rsidP="00D936B4">
            <w:pPr>
              <w:spacing w:after="0" w:line="240" w:lineRule="auto"/>
              <w:jc w:val="center"/>
              <w:rPr>
                <w:rFonts w:ascii="Wingdings" w:eastAsia="Arial Unicode MS" w:hAnsi="Wingdings" w:cs="Arial Unicode MS" w:hint="eastAsia"/>
                <w:b/>
                <w:bCs/>
                <w:color w:val="00B050"/>
                <w:sz w:val="32"/>
                <w:szCs w:val="32"/>
                <w:lang w:bidi="th-TH"/>
              </w:rPr>
            </w:pPr>
            <w:r w:rsidRPr="00D936B4">
              <w:rPr>
                <w:rFonts w:ascii="Wingdings" w:eastAsia="Arial Unicode MS" w:hAnsi="Wingdings" w:cs="Arial Unicode MS"/>
                <w:b/>
                <w:bCs/>
                <w:color w:val="00B050"/>
                <w:sz w:val="32"/>
                <w:szCs w:val="32"/>
                <w:lang w:bidi="th-TH"/>
              </w:rPr>
              <w:t></w:t>
            </w:r>
          </w:p>
        </w:tc>
        <w:tc>
          <w:tcPr>
            <w:tcW w:w="1530" w:type="dxa"/>
            <w:tcBorders>
              <w:top w:val="nil"/>
              <w:left w:val="nil"/>
              <w:bottom w:val="single" w:sz="4" w:space="0" w:color="808080"/>
              <w:right w:val="single" w:sz="4" w:space="0" w:color="808080"/>
            </w:tcBorders>
            <w:shd w:val="clear" w:color="auto" w:fill="auto"/>
            <w:noWrap/>
            <w:vAlign w:val="center"/>
            <w:hideMark/>
          </w:tcPr>
          <w:p w14:paraId="6580C6E4" w14:textId="77777777" w:rsidR="00D936B4" w:rsidRPr="00D936B4" w:rsidRDefault="00D936B4" w:rsidP="00D936B4">
            <w:pPr>
              <w:spacing w:after="0" w:line="240" w:lineRule="auto"/>
              <w:jc w:val="center"/>
              <w:rPr>
                <w:rFonts w:ascii="Wingdings" w:eastAsia="Arial Unicode MS" w:hAnsi="Wingdings" w:cs="Arial Unicode MS" w:hint="eastAsia"/>
                <w:b/>
                <w:bCs/>
                <w:color w:val="FF0000"/>
                <w:sz w:val="32"/>
                <w:szCs w:val="32"/>
                <w:lang w:bidi="th-TH"/>
              </w:rPr>
            </w:pPr>
            <w:r w:rsidRPr="00D936B4">
              <w:rPr>
                <w:rFonts w:ascii="Wingdings" w:eastAsia="Arial Unicode MS" w:hAnsi="Wingdings" w:cs="Arial Unicode MS"/>
                <w:b/>
                <w:bCs/>
                <w:color w:val="FF0000"/>
                <w:sz w:val="32"/>
                <w:szCs w:val="32"/>
                <w:lang w:bidi="th-TH"/>
              </w:rPr>
              <w:t></w:t>
            </w:r>
          </w:p>
        </w:tc>
        <w:tc>
          <w:tcPr>
            <w:tcW w:w="1260" w:type="dxa"/>
            <w:tcBorders>
              <w:top w:val="nil"/>
              <w:left w:val="nil"/>
              <w:bottom w:val="single" w:sz="4" w:space="0" w:color="808080"/>
              <w:right w:val="single" w:sz="4" w:space="0" w:color="808080"/>
            </w:tcBorders>
            <w:shd w:val="clear" w:color="auto" w:fill="auto"/>
            <w:noWrap/>
            <w:vAlign w:val="center"/>
            <w:hideMark/>
          </w:tcPr>
          <w:p w14:paraId="185B003B" w14:textId="77777777" w:rsidR="00D936B4" w:rsidRPr="00D936B4" w:rsidRDefault="00D936B4" w:rsidP="00D936B4">
            <w:pPr>
              <w:spacing w:after="0" w:line="240" w:lineRule="auto"/>
              <w:jc w:val="center"/>
              <w:rPr>
                <w:rFonts w:ascii="Wingdings" w:eastAsia="Arial Unicode MS" w:hAnsi="Wingdings" w:cs="Arial Unicode MS" w:hint="eastAsia"/>
                <w:b/>
                <w:bCs/>
                <w:color w:val="00B050"/>
                <w:sz w:val="32"/>
                <w:szCs w:val="32"/>
                <w:lang w:bidi="th-TH"/>
              </w:rPr>
            </w:pPr>
            <w:r w:rsidRPr="00D936B4">
              <w:rPr>
                <w:rFonts w:ascii="Wingdings" w:eastAsia="Arial Unicode MS" w:hAnsi="Wingdings" w:cs="Arial Unicode MS"/>
                <w:b/>
                <w:bCs/>
                <w:color w:val="00B050"/>
                <w:sz w:val="32"/>
                <w:szCs w:val="32"/>
                <w:lang w:bidi="th-TH"/>
              </w:rPr>
              <w:t></w:t>
            </w:r>
          </w:p>
        </w:tc>
        <w:tc>
          <w:tcPr>
            <w:tcW w:w="1350" w:type="dxa"/>
            <w:tcBorders>
              <w:top w:val="nil"/>
              <w:left w:val="nil"/>
              <w:bottom w:val="single" w:sz="4" w:space="0" w:color="808080"/>
              <w:right w:val="single" w:sz="4" w:space="0" w:color="808080"/>
            </w:tcBorders>
            <w:shd w:val="clear" w:color="auto" w:fill="auto"/>
            <w:noWrap/>
            <w:vAlign w:val="center"/>
            <w:hideMark/>
          </w:tcPr>
          <w:p w14:paraId="7624A462" w14:textId="77777777" w:rsidR="00D936B4" w:rsidRPr="00D936B4" w:rsidRDefault="00D936B4" w:rsidP="00D936B4">
            <w:pPr>
              <w:spacing w:after="0" w:line="240" w:lineRule="auto"/>
              <w:jc w:val="center"/>
              <w:rPr>
                <w:rFonts w:ascii="Wingdings" w:eastAsia="Arial Unicode MS" w:hAnsi="Wingdings" w:cs="Arial Unicode MS" w:hint="eastAsia"/>
                <w:b/>
                <w:bCs/>
                <w:color w:val="FF0000"/>
                <w:sz w:val="32"/>
                <w:szCs w:val="32"/>
                <w:lang w:bidi="th-TH"/>
              </w:rPr>
            </w:pPr>
            <w:r w:rsidRPr="00D936B4">
              <w:rPr>
                <w:rFonts w:ascii="Wingdings" w:eastAsia="Arial Unicode MS" w:hAnsi="Wingdings" w:cs="Arial Unicode MS"/>
                <w:b/>
                <w:bCs/>
                <w:color w:val="FF0000"/>
                <w:sz w:val="32"/>
                <w:szCs w:val="32"/>
                <w:lang w:bidi="th-TH"/>
              </w:rPr>
              <w:t></w:t>
            </w:r>
          </w:p>
        </w:tc>
        <w:tc>
          <w:tcPr>
            <w:tcW w:w="4230" w:type="dxa"/>
            <w:tcBorders>
              <w:top w:val="nil"/>
              <w:left w:val="nil"/>
              <w:bottom w:val="single" w:sz="4" w:space="0" w:color="808080"/>
              <w:right w:val="single" w:sz="4" w:space="0" w:color="808080"/>
            </w:tcBorders>
            <w:shd w:val="clear" w:color="auto" w:fill="auto"/>
            <w:vAlign w:val="center"/>
            <w:hideMark/>
          </w:tcPr>
          <w:p w14:paraId="76C33258" w14:textId="77777777" w:rsidR="00D936B4" w:rsidRPr="00D936B4" w:rsidRDefault="00D936B4" w:rsidP="00D936B4">
            <w:pPr>
              <w:spacing w:after="0" w:line="240" w:lineRule="auto"/>
              <w:jc w:val="center"/>
              <w:rPr>
                <w:rFonts w:ascii="Calibri" w:eastAsia="Arial Unicode MS" w:hAnsi="Calibri" w:cs="Arial Unicode MS"/>
                <w:color w:val="262626"/>
                <w:lang w:bidi="th-TH"/>
              </w:rPr>
            </w:pPr>
            <w:r w:rsidRPr="00D936B4">
              <w:rPr>
                <w:rFonts w:ascii="Calibri" w:eastAsia="Arial Unicode MS" w:hAnsi="Calibri" w:cs="Arial Unicode MS"/>
                <w:color w:val="262626"/>
                <w:lang w:bidi="th-TH"/>
              </w:rPr>
              <w:t> </w:t>
            </w:r>
          </w:p>
        </w:tc>
      </w:tr>
      <w:tr w:rsidR="00D936B4" w:rsidRPr="00D936B4" w14:paraId="5694DAD3" w14:textId="77777777" w:rsidTr="00AE2690">
        <w:trPr>
          <w:trHeight w:val="2100"/>
        </w:trPr>
        <w:tc>
          <w:tcPr>
            <w:tcW w:w="1260" w:type="dxa"/>
            <w:tcBorders>
              <w:top w:val="nil"/>
              <w:left w:val="single" w:sz="4" w:space="0" w:color="808080"/>
              <w:bottom w:val="single" w:sz="4" w:space="0" w:color="808080"/>
              <w:right w:val="single" w:sz="4" w:space="0" w:color="808080"/>
            </w:tcBorders>
            <w:shd w:val="clear" w:color="auto" w:fill="auto"/>
            <w:noWrap/>
            <w:vAlign w:val="center"/>
            <w:hideMark/>
          </w:tcPr>
          <w:p w14:paraId="7CD53EE8" w14:textId="77777777" w:rsidR="00D936B4" w:rsidRPr="00D936B4" w:rsidRDefault="00D936B4" w:rsidP="00D936B4">
            <w:pPr>
              <w:spacing w:after="0" w:line="240" w:lineRule="auto"/>
              <w:jc w:val="center"/>
              <w:rPr>
                <w:rFonts w:ascii="Calibri" w:eastAsia="Arial Unicode MS" w:hAnsi="Calibri" w:cs="Arial Unicode MS"/>
                <w:b/>
                <w:bCs/>
                <w:color w:val="262626"/>
                <w:lang w:bidi="th-TH"/>
              </w:rPr>
            </w:pPr>
            <w:r w:rsidRPr="00D936B4">
              <w:rPr>
                <w:rFonts w:ascii="Calibri" w:eastAsia="Arial Unicode MS" w:hAnsi="Calibri" w:cs="Arial Unicode MS"/>
                <w:b/>
                <w:bCs/>
                <w:color w:val="262626"/>
                <w:lang w:bidi="th-TH"/>
              </w:rPr>
              <w:lastRenderedPageBreak/>
              <w:t>21005</w:t>
            </w:r>
          </w:p>
        </w:tc>
        <w:tc>
          <w:tcPr>
            <w:tcW w:w="1260" w:type="dxa"/>
            <w:tcBorders>
              <w:top w:val="nil"/>
              <w:left w:val="nil"/>
              <w:bottom w:val="single" w:sz="4" w:space="0" w:color="808080"/>
              <w:right w:val="single" w:sz="4" w:space="0" w:color="808080"/>
            </w:tcBorders>
            <w:shd w:val="clear" w:color="auto" w:fill="auto"/>
            <w:noWrap/>
            <w:vAlign w:val="center"/>
            <w:hideMark/>
          </w:tcPr>
          <w:p w14:paraId="1BDB3309" w14:textId="77777777" w:rsidR="00D936B4" w:rsidRPr="00D936B4" w:rsidRDefault="00D936B4" w:rsidP="00D936B4">
            <w:pPr>
              <w:spacing w:after="0" w:line="240" w:lineRule="auto"/>
              <w:jc w:val="center"/>
              <w:rPr>
                <w:rFonts w:ascii="Wingdings" w:eastAsia="Arial Unicode MS" w:hAnsi="Wingdings" w:cs="Arial Unicode MS" w:hint="eastAsia"/>
                <w:b/>
                <w:bCs/>
                <w:color w:val="00B050"/>
                <w:sz w:val="32"/>
                <w:szCs w:val="32"/>
                <w:lang w:bidi="th-TH"/>
              </w:rPr>
            </w:pPr>
            <w:r w:rsidRPr="00D936B4">
              <w:rPr>
                <w:rFonts w:ascii="Wingdings" w:eastAsia="Arial Unicode MS" w:hAnsi="Wingdings" w:cs="Arial Unicode MS"/>
                <w:b/>
                <w:bCs/>
                <w:color w:val="00B050"/>
                <w:sz w:val="32"/>
                <w:szCs w:val="32"/>
                <w:lang w:bidi="th-TH"/>
              </w:rPr>
              <w:t></w:t>
            </w:r>
          </w:p>
        </w:tc>
        <w:tc>
          <w:tcPr>
            <w:tcW w:w="1530" w:type="dxa"/>
            <w:tcBorders>
              <w:top w:val="nil"/>
              <w:left w:val="nil"/>
              <w:bottom w:val="single" w:sz="4" w:space="0" w:color="808080"/>
              <w:right w:val="single" w:sz="4" w:space="0" w:color="808080"/>
            </w:tcBorders>
            <w:shd w:val="clear" w:color="auto" w:fill="auto"/>
            <w:noWrap/>
            <w:vAlign w:val="center"/>
            <w:hideMark/>
          </w:tcPr>
          <w:p w14:paraId="43419159" w14:textId="77777777" w:rsidR="00D936B4" w:rsidRPr="00D936B4" w:rsidRDefault="00D936B4" w:rsidP="00D936B4">
            <w:pPr>
              <w:spacing w:after="0" w:line="240" w:lineRule="auto"/>
              <w:jc w:val="center"/>
              <w:rPr>
                <w:rFonts w:ascii="Wingdings" w:eastAsia="Arial Unicode MS" w:hAnsi="Wingdings" w:cs="Arial Unicode MS" w:hint="eastAsia"/>
                <w:b/>
                <w:bCs/>
                <w:color w:val="FF0000"/>
                <w:sz w:val="32"/>
                <w:szCs w:val="32"/>
                <w:lang w:bidi="th-TH"/>
              </w:rPr>
            </w:pPr>
            <w:r w:rsidRPr="00D936B4">
              <w:rPr>
                <w:rFonts w:ascii="Wingdings" w:eastAsia="Arial Unicode MS" w:hAnsi="Wingdings" w:cs="Arial Unicode MS"/>
                <w:b/>
                <w:bCs/>
                <w:color w:val="FF0000"/>
                <w:sz w:val="32"/>
                <w:szCs w:val="32"/>
                <w:lang w:bidi="th-TH"/>
              </w:rPr>
              <w:t></w:t>
            </w:r>
          </w:p>
        </w:tc>
        <w:tc>
          <w:tcPr>
            <w:tcW w:w="1260" w:type="dxa"/>
            <w:tcBorders>
              <w:top w:val="nil"/>
              <w:left w:val="nil"/>
              <w:bottom w:val="single" w:sz="4" w:space="0" w:color="808080"/>
              <w:right w:val="single" w:sz="4" w:space="0" w:color="808080"/>
            </w:tcBorders>
            <w:shd w:val="clear" w:color="auto" w:fill="auto"/>
            <w:noWrap/>
            <w:vAlign w:val="center"/>
            <w:hideMark/>
          </w:tcPr>
          <w:p w14:paraId="4571DC32" w14:textId="77777777" w:rsidR="00D936B4" w:rsidRPr="00D936B4" w:rsidRDefault="00D936B4" w:rsidP="00D936B4">
            <w:pPr>
              <w:spacing w:after="0" w:line="240" w:lineRule="auto"/>
              <w:jc w:val="center"/>
              <w:rPr>
                <w:rFonts w:ascii="Wingdings" w:eastAsia="Arial Unicode MS" w:hAnsi="Wingdings" w:cs="Arial Unicode MS" w:hint="eastAsia"/>
                <w:b/>
                <w:bCs/>
                <w:color w:val="00B050"/>
                <w:sz w:val="32"/>
                <w:szCs w:val="32"/>
                <w:lang w:bidi="th-TH"/>
              </w:rPr>
            </w:pPr>
            <w:r w:rsidRPr="00D936B4">
              <w:rPr>
                <w:rFonts w:ascii="Wingdings" w:eastAsia="Arial Unicode MS" w:hAnsi="Wingdings" w:cs="Arial Unicode MS"/>
                <w:b/>
                <w:bCs/>
                <w:color w:val="00B050"/>
                <w:sz w:val="32"/>
                <w:szCs w:val="32"/>
                <w:lang w:bidi="th-TH"/>
              </w:rPr>
              <w:t></w:t>
            </w:r>
          </w:p>
        </w:tc>
        <w:tc>
          <w:tcPr>
            <w:tcW w:w="1350" w:type="dxa"/>
            <w:tcBorders>
              <w:top w:val="nil"/>
              <w:left w:val="nil"/>
              <w:bottom w:val="single" w:sz="4" w:space="0" w:color="808080"/>
              <w:right w:val="single" w:sz="4" w:space="0" w:color="808080"/>
            </w:tcBorders>
            <w:shd w:val="clear" w:color="auto" w:fill="auto"/>
            <w:noWrap/>
            <w:vAlign w:val="center"/>
            <w:hideMark/>
          </w:tcPr>
          <w:p w14:paraId="3C195457" w14:textId="77777777" w:rsidR="00D936B4" w:rsidRPr="00D936B4" w:rsidRDefault="00D936B4" w:rsidP="00D936B4">
            <w:pPr>
              <w:spacing w:after="0" w:line="240" w:lineRule="auto"/>
              <w:jc w:val="center"/>
              <w:rPr>
                <w:rFonts w:ascii="Wingdings" w:eastAsia="Arial Unicode MS" w:hAnsi="Wingdings" w:cs="Arial Unicode MS" w:hint="eastAsia"/>
                <w:b/>
                <w:bCs/>
                <w:color w:val="FF0000"/>
                <w:sz w:val="32"/>
                <w:szCs w:val="32"/>
                <w:lang w:bidi="th-TH"/>
              </w:rPr>
            </w:pPr>
            <w:r w:rsidRPr="00D936B4">
              <w:rPr>
                <w:rFonts w:ascii="Wingdings" w:eastAsia="Arial Unicode MS" w:hAnsi="Wingdings" w:cs="Arial Unicode MS"/>
                <w:b/>
                <w:bCs/>
                <w:color w:val="FF0000"/>
                <w:sz w:val="32"/>
                <w:szCs w:val="32"/>
                <w:lang w:bidi="th-TH"/>
              </w:rPr>
              <w:t></w:t>
            </w:r>
          </w:p>
        </w:tc>
        <w:tc>
          <w:tcPr>
            <w:tcW w:w="4230" w:type="dxa"/>
            <w:tcBorders>
              <w:top w:val="nil"/>
              <w:left w:val="nil"/>
              <w:bottom w:val="single" w:sz="4" w:space="0" w:color="808080"/>
              <w:right w:val="single" w:sz="4" w:space="0" w:color="808080"/>
            </w:tcBorders>
            <w:shd w:val="clear" w:color="auto" w:fill="auto"/>
            <w:vAlign w:val="center"/>
            <w:hideMark/>
          </w:tcPr>
          <w:p w14:paraId="32C54FD8" w14:textId="3A8594B2" w:rsidR="00D936B4" w:rsidRPr="00D936B4" w:rsidRDefault="00D936B4" w:rsidP="00D936B4">
            <w:pPr>
              <w:spacing w:after="0" w:line="240" w:lineRule="auto"/>
              <w:jc w:val="center"/>
              <w:rPr>
                <w:rFonts w:ascii="Calibri" w:eastAsia="Arial Unicode MS" w:hAnsi="Calibri" w:cs="Arial Unicode MS"/>
                <w:color w:val="262626"/>
                <w:lang w:bidi="th-TH"/>
              </w:rPr>
            </w:pPr>
            <w:r w:rsidRPr="00D936B4">
              <w:rPr>
                <w:rFonts w:ascii="Calibri" w:eastAsia="Arial Unicode MS" w:hAnsi="Calibri" w:cs="Arial Unicode MS"/>
                <w:color w:val="262626"/>
                <w:lang w:bidi="th-TH"/>
              </w:rPr>
              <w:t>- The query for AP pending payments (</w:t>
            </w:r>
            <w:r w:rsidRPr="00D936B4">
              <w:rPr>
                <w:rFonts w:ascii="Calibri" w:eastAsia="Arial Unicode MS" w:hAnsi="Calibri" w:cs="Arial Unicode MS"/>
                <w:b/>
                <w:bCs/>
                <w:color w:val="0066CC"/>
                <w:lang w:bidi="th-TH"/>
              </w:rPr>
              <w:t>UN_PS_CLOSE_PENDING_VCHR_BY_PR</w:t>
            </w:r>
            <w:r w:rsidRPr="00D936B4">
              <w:rPr>
                <w:rFonts w:ascii="Calibri" w:eastAsia="Arial Unicode MS" w:hAnsi="Calibri" w:cs="Arial Unicode MS"/>
                <w:color w:val="333333"/>
                <w:lang w:bidi="th-TH"/>
              </w:rPr>
              <w:t xml:space="preserve">) should be first run. If the query provides no </w:t>
            </w:r>
            <w:r w:rsidR="006D76B6" w:rsidRPr="00D936B4">
              <w:rPr>
                <w:rFonts w:ascii="Calibri" w:eastAsia="Arial Unicode MS" w:hAnsi="Calibri" w:cs="Arial Unicode MS"/>
                <w:color w:val="333333"/>
                <w:lang w:bidi="th-TH"/>
              </w:rPr>
              <w:t>results,</w:t>
            </w:r>
            <w:r w:rsidRPr="00D936B4">
              <w:rPr>
                <w:rFonts w:ascii="Calibri" w:eastAsia="Arial Unicode MS" w:hAnsi="Calibri" w:cs="Arial Unicode MS"/>
                <w:color w:val="333333"/>
                <w:lang w:bidi="th-TH"/>
              </w:rPr>
              <w:t xml:space="preserve"> then the unit should contact HQ for advice regarding any existing balances sitting at the fund level. If the query provides some Voucher ID, please include in the Pay Cycle run to pay the vendor through Check, EFT, etc.; however, if voucher is created by mistake and no obligation exists to pay the vendor, please close Voucher.</w:t>
            </w:r>
            <w:r w:rsidRPr="00D936B4">
              <w:rPr>
                <w:rFonts w:ascii="Calibri" w:eastAsia="Arial Unicode MS" w:hAnsi="Calibri" w:cs="Arial Unicode MS"/>
                <w:color w:val="333333"/>
                <w:lang w:bidi="th-TH"/>
              </w:rPr>
              <w:br/>
              <w:t>- No actions are required at the project level.</w:t>
            </w:r>
          </w:p>
        </w:tc>
      </w:tr>
      <w:tr w:rsidR="00D936B4" w:rsidRPr="00D936B4" w14:paraId="35CC57CF" w14:textId="77777777" w:rsidTr="00AE2690">
        <w:trPr>
          <w:trHeight w:val="390"/>
        </w:trPr>
        <w:tc>
          <w:tcPr>
            <w:tcW w:w="1260" w:type="dxa"/>
            <w:tcBorders>
              <w:top w:val="nil"/>
              <w:left w:val="single" w:sz="4" w:space="0" w:color="808080"/>
              <w:bottom w:val="single" w:sz="4" w:space="0" w:color="808080"/>
              <w:right w:val="single" w:sz="4" w:space="0" w:color="808080"/>
            </w:tcBorders>
            <w:shd w:val="clear" w:color="auto" w:fill="auto"/>
            <w:noWrap/>
            <w:vAlign w:val="center"/>
            <w:hideMark/>
          </w:tcPr>
          <w:p w14:paraId="279BA3D3" w14:textId="77777777" w:rsidR="00D936B4" w:rsidRPr="00D936B4" w:rsidRDefault="00D936B4" w:rsidP="00D936B4">
            <w:pPr>
              <w:spacing w:after="0" w:line="240" w:lineRule="auto"/>
              <w:jc w:val="center"/>
              <w:rPr>
                <w:rFonts w:ascii="Calibri" w:eastAsia="Arial Unicode MS" w:hAnsi="Calibri" w:cs="Arial Unicode MS"/>
                <w:b/>
                <w:bCs/>
                <w:color w:val="262626"/>
                <w:lang w:bidi="th-TH"/>
              </w:rPr>
            </w:pPr>
            <w:r w:rsidRPr="00D936B4">
              <w:rPr>
                <w:rFonts w:ascii="Calibri" w:eastAsia="Arial Unicode MS" w:hAnsi="Calibri" w:cs="Arial Unicode MS"/>
                <w:b/>
                <w:bCs/>
                <w:color w:val="262626"/>
                <w:lang w:bidi="th-TH"/>
              </w:rPr>
              <w:t xml:space="preserve">3xxxx </w:t>
            </w:r>
          </w:p>
        </w:tc>
        <w:tc>
          <w:tcPr>
            <w:tcW w:w="1260" w:type="dxa"/>
            <w:tcBorders>
              <w:top w:val="nil"/>
              <w:left w:val="nil"/>
              <w:bottom w:val="single" w:sz="4" w:space="0" w:color="808080"/>
              <w:right w:val="single" w:sz="4" w:space="0" w:color="808080"/>
            </w:tcBorders>
            <w:shd w:val="clear" w:color="auto" w:fill="auto"/>
            <w:noWrap/>
            <w:vAlign w:val="center"/>
            <w:hideMark/>
          </w:tcPr>
          <w:p w14:paraId="18E8A0F5" w14:textId="77777777" w:rsidR="00D936B4" w:rsidRPr="00D936B4" w:rsidRDefault="00D936B4" w:rsidP="00D936B4">
            <w:pPr>
              <w:spacing w:after="0" w:line="240" w:lineRule="auto"/>
              <w:jc w:val="center"/>
              <w:rPr>
                <w:rFonts w:ascii="Wingdings" w:eastAsia="Arial Unicode MS" w:hAnsi="Wingdings" w:cs="Arial Unicode MS" w:hint="eastAsia"/>
                <w:b/>
                <w:bCs/>
                <w:color w:val="00B050"/>
                <w:sz w:val="32"/>
                <w:szCs w:val="32"/>
                <w:lang w:bidi="th-TH"/>
              </w:rPr>
            </w:pPr>
            <w:r w:rsidRPr="00D936B4">
              <w:rPr>
                <w:rFonts w:ascii="Wingdings" w:eastAsia="Arial Unicode MS" w:hAnsi="Wingdings" w:cs="Arial Unicode MS"/>
                <w:b/>
                <w:bCs/>
                <w:color w:val="00B050"/>
                <w:sz w:val="32"/>
                <w:szCs w:val="32"/>
                <w:lang w:bidi="th-TH"/>
              </w:rPr>
              <w:t></w:t>
            </w:r>
          </w:p>
        </w:tc>
        <w:tc>
          <w:tcPr>
            <w:tcW w:w="1530" w:type="dxa"/>
            <w:tcBorders>
              <w:top w:val="nil"/>
              <w:left w:val="nil"/>
              <w:bottom w:val="single" w:sz="4" w:space="0" w:color="808080"/>
              <w:right w:val="single" w:sz="4" w:space="0" w:color="808080"/>
            </w:tcBorders>
            <w:shd w:val="clear" w:color="auto" w:fill="auto"/>
            <w:noWrap/>
            <w:vAlign w:val="center"/>
            <w:hideMark/>
          </w:tcPr>
          <w:p w14:paraId="2F739F89" w14:textId="77777777" w:rsidR="00D936B4" w:rsidRPr="00D936B4" w:rsidRDefault="00D936B4" w:rsidP="00D936B4">
            <w:pPr>
              <w:spacing w:after="0" w:line="240" w:lineRule="auto"/>
              <w:jc w:val="center"/>
              <w:rPr>
                <w:rFonts w:ascii="Wingdings" w:eastAsia="Arial Unicode MS" w:hAnsi="Wingdings" w:cs="Arial Unicode MS" w:hint="eastAsia"/>
                <w:b/>
                <w:bCs/>
                <w:color w:val="FF0000"/>
                <w:sz w:val="32"/>
                <w:szCs w:val="32"/>
                <w:lang w:bidi="th-TH"/>
              </w:rPr>
            </w:pPr>
            <w:r w:rsidRPr="00D936B4">
              <w:rPr>
                <w:rFonts w:ascii="Wingdings" w:eastAsia="Arial Unicode MS" w:hAnsi="Wingdings" w:cs="Arial Unicode MS"/>
                <w:b/>
                <w:bCs/>
                <w:color w:val="FF0000"/>
                <w:sz w:val="32"/>
                <w:szCs w:val="32"/>
                <w:lang w:bidi="th-TH"/>
              </w:rPr>
              <w:t></w:t>
            </w:r>
          </w:p>
        </w:tc>
        <w:tc>
          <w:tcPr>
            <w:tcW w:w="1260" w:type="dxa"/>
            <w:tcBorders>
              <w:top w:val="nil"/>
              <w:left w:val="nil"/>
              <w:bottom w:val="single" w:sz="4" w:space="0" w:color="808080"/>
              <w:right w:val="single" w:sz="4" w:space="0" w:color="808080"/>
            </w:tcBorders>
            <w:shd w:val="clear" w:color="auto" w:fill="auto"/>
            <w:noWrap/>
            <w:vAlign w:val="center"/>
            <w:hideMark/>
          </w:tcPr>
          <w:p w14:paraId="01BC1E05" w14:textId="77777777" w:rsidR="00D936B4" w:rsidRPr="00D936B4" w:rsidRDefault="00D936B4" w:rsidP="00D936B4">
            <w:pPr>
              <w:spacing w:after="0" w:line="240" w:lineRule="auto"/>
              <w:jc w:val="center"/>
              <w:rPr>
                <w:rFonts w:ascii="Wingdings" w:eastAsia="Arial Unicode MS" w:hAnsi="Wingdings" w:cs="Arial Unicode MS" w:hint="eastAsia"/>
                <w:b/>
                <w:bCs/>
                <w:color w:val="00B050"/>
                <w:sz w:val="32"/>
                <w:szCs w:val="32"/>
                <w:lang w:bidi="th-TH"/>
              </w:rPr>
            </w:pPr>
            <w:r w:rsidRPr="00D936B4">
              <w:rPr>
                <w:rFonts w:ascii="Wingdings" w:eastAsia="Arial Unicode MS" w:hAnsi="Wingdings" w:cs="Arial Unicode MS"/>
                <w:b/>
                <w:bCs/>
                <w:color w:val="00B050"/>
                <w:sz w:val="32"/>
                <w:szCs w:val="32"/>
                <w:lang w:bidi="th-TH"/>
              </w:rPr>
              <w:t></w:t>
            </w:r>
          </w:p>
        </w:tc>
        <w:tc>
          <w:tcPr>
            <w:tcW w:w="1350" w:type="dxa"/>
            <w:tcBorders>
              <w:top w:val="nil"/>
              <w:left w:val="nil"/>
              <w:bottom w:val="single" w:sz="4" w:space="0" w:color="808080"/>
              <w:right w:val="single" w:sz="4" w:space="0" w:color="808080"/>
            </w:tcBorders>
            <w:shd w:val="clear" w:color="auto" w:fill="auto"/>
            <w:noWrap/>
            <w:vAlign w:val="center"/>
            <w:hideMark/>
          </w:tcPr>
          <w:p w14:paraId="28D851BA" w14:textId="77777777" w:rsidR="00D936B4" w:rsidRPr="00D936B4" w:rsidRDefault="00D936B4" w:rsidP="00D936B4">
            <w:pPr>
              <w:spacing w:after="0" w:line="240" w:lineRule="auto"/>
              <w:jc w:val="center"/>
              <w:rPr>
                <w:rFonts w:ascii="Wingdings" w:eastAsia="Arial Unicode MS" w:hAnsi="Wingdings" w:cs="Arial Unicode MS" w:hint="eastAsia"/>
                <w:b/>
                <w:bCs/>
                <w:color w:val="FF0000"/>
                <w:sz w:val="32"/>
                <w:szCs w:val="32"/>
                <w:lang w:bidi="th-TH"/>
              </w:rPr>
            </w:pPr>
            <w:r w:rsidRPr="00D936B4">
              <w:rPr>
                <w:rFonts w:ascii="Wingdings" w:eastAsia="Arial Unicode MS" w:hAnsi="Wingdings" w:cs="Arial Unicode MS"/>
                <w:b/>
                <w:bCs/>
                <w:color w:val="FF0000"/>
                <w:sz w:val="32"/>
                <w:szCs w:val="32"/>
                <w:lang w:bidi="th-TH"/>
              </w:rPr>
              <w:t></w:t>
            </w:r>
          </w:p>
        </w:tc>
        <w:tc>
          <w:tcPr>
            <w:tcW w:w="4230" w:type="dxa"/>
            <w:tcBorders>
              <w:top w:val="nil"/>
              <w:left w:val="nil"/>
              <w:bottom w:val="single" w:sz="4" w:space="0" w:color="808080"/>
              <w:right w:val="single" w:sz="4" w:space="0" w:color="808080"/>
            </w:tcBorders>
            <w:shd w:val="clear" w:color="auto" w:fill="auto"/>
            <w:vAlign w:val="center"/>
            <w:hideMark/>
          </w:tcPr>
          <w:p w14:paraId="0DC410FC" w14:textId="77777777" w:rsidR="00D936B4" w:rsidRPr="00D936B4" w:rsidRDefault="00D936B4" w:rsidP="00D936B4">
            <w:pPr>
              <w:spacing w:after="0" w:line="240" w:lineRule="auto"/>
              <w:jc w:val="center"/>
              <w:rPr>
                <w:rFonts w:ascii="Calibri" w:eastAsia="Arial Unicode MS" w:hAnsi="Calibri" w:cs="Arial Unicode MS"/>
                <w:color w:val="262626"/>
                <w:lang w:bidi="th-TH"/>
              </w:rPr>
            </w:pPr>
            <w:r w:rsidRPr="00D936B4">
              <w:rPr>
                <w:rFonts w:ascii="Calibri" w:eastAsia="Arial Unicode MS" w:hAnsi="Calibri" w:cs="Arial Unicode MS"/>
                <w:color w:val="262626"/>
                <w:lang w:bidi="th-TH"/>
              </w:rPr>
              <w:t> </w:t>
            </w:r>
          </w:p>
        </w:tc>
      </w:tr>
      <w:tr w:rsidR="00D936B4" w:rsidRPr="00D936B4" w14:paraId="7E41513E" w14:textId="77777777" w:rsidTr="00AE2690">
        <w:trPr>
          <w:trHeight w:val="1800"/>
        </w:trPr>
        <w:tc>
          <w:tcPr>
            <w:tcW w:w="1260" w:type="dxa"/>
            <w:tcBorders>
              <w:top w:val="nil"/>
              <w:left w:val="single" w:sz="4" w:space="0" w:color="808080"/>
              <w:bottom w:val="single" w:sz="4" w:space="0" w:color="808080"/>
              <w:right w:val="single" w:sz="4" w:space="0" w:color="808080"/>
            </w:tcBorders>
            <w:shd w:val="clear" w:color="auto" w:fill="auto"/>
            <w:noWrap/>
            <w:vAlign w:val="center"/>
            <w:hideMark/>
          </w:tcPr>
          <w:p w14:paraId="7B5165E1" w14:textId="77777777" w:rsidR="00D936B4" w:rsidRPr="00D936B4" w:rsidRDefault="00D936B4" w:rsidP="00D936B4">
            <w:pPr>
              <w:spacing w:after="0" w:line="240" w:lineRule="auto"/>
              <w:jc w:val="center"/>
              <w:rPr>
                <w:rFonts w:ascii="Calibri" w:eastAsia="Arial Unicode MS" w:hAnsi="Calibri" w:cs="Arial Unicode MS"/>
                <w:b/>
                <w:bCs/>
                <w:color w:val="262626"/>
                <w:lang w:bidi="th-TH"/>
              </w:rPr>
            </w:pPr>
            <w:r w:rsidRPr="00D936B4">
              <w:rPr>
                <w:rFonts w:ascii="Calibri" w:eastAsia="Arial Unicode MS" w:hAnsi="Calibri" w:cs="Arial Unicode MS"/>
                <w:b/>
                <w:bCs/>
                <w:color w:val="262626"/>
                <w:lang w:bidi="th-TH"/>
              </w:rPr>
              <w:t xml:space="preserve">5xxxx </w:t>
            </w:r>
          </w:p>
        </w:tc>
        <w:tc>
          <w:tcPr>
            <w:tcW w:w="1260" w:type="dxa"/>
            <w:tcBorders>
              <w:top w:val="nil"/>
              <w:left w:val="nil"/>
              <w:bottom w:val="single" w:sz="4" w:space="0" w:color="808080"/>
              <w:right w:val="single" w:sz="4" w:space="0" w:color="808080"/>
            </w:tcBorders>
            <w:shd w:val="clear" w:color="auto" w:fill="auto"/>
            <w:noWrap/>
            <w:vAlign w:val="center"/>
            <w:hideMark/>
          </w:tcPr>
          <w:p w14:paraId="7CBE6617" w14:textId="77777777" w:rsidR="00D936B4" w:rsidRPr="00D936B4" w:rsidRDefault="00D936B4" w:rsidP="00D936B4">
            <w:pPr>
              <w:spacing w:after="0" w:line="240" w:lineRule="auto"/>
              <w:jc w:val="center"/>
              <w:rPr>
                <w:rFonts w:ascii="Wingdings" w:eastAsia="Arial Unicode MS" w:hAnsi="Wingdings" w:cs="Arial Unicode MS" w:hint="eastAsia"/>
                <w:b/>
                <w:bCs/>
                <w:color w:val="FF0000"/>
                <w:sz w:val="32"/>
                <w:szCs w:val="32"/>
                <w:lang w:bidi="th-TH"/>
              </w:rPr>
            </w:pPr>
            <w:r w:rsidRPr="00D936B4">
              <w:rPr>
                <w:rFonts w:ascii="Wingdings" w:eastAsia="Arial Unicode MS" w:hAnsi="Wingdings" w:cs="Arial Unicode MS"/>
                <w:b/>
                <w:bCs/>
                <w:color w:val="FF0000"/>
                <w:sz w:val="32"/>
                <w:szCs w:val="32"/>
                <w:lang w:bidi="th-TH"/>
              </w:rPr>
              <w:t></w:t>
            </w:r>
          </w:p>
        </w:tc>
        <w:tc>
          <w:tcPr>
            <w:tcW w:w="1530" w:type="dxa"/>
            <w:tcBorders>
              <w:top w:val="nil"/>
              <w:left w:val="nil"/>
              <w:bottom w:val="single" w:sz="4" w:space="0" w:color="808080"/>
              <w:right w:val="single" w:sz="4" w:space="0" w:color="808080"/>
            </w:tcBorders>
            <w:shd w:val="clear" w:color="auto" w:fill="auto"/>
            <w:noWrap/>
            <w:vAlign w:val="center"/>
            <w:hideMark/>
          </w:tcPr>
          <w:p w14:paraId="2F5F7C37" w14:textId="77777777" w:rsidR="00D936B4" w:rsidRPr="00D936B4" w:rsidRDefault="00D936B4" w:rsidP="00D936B4">
            <w:pPr>
              <w:spacing w:after="0" w:line="240" w:lineRule="auto"/>
              <w:jc w:val="center"/>
              <w:rPr>
                <w:rFonts w:ascii="Wingdings" w:eastAsia="Arial Unicode MS" w:hAnsi="Wingdings" w:cs="Arial Unicode MS" w:hint="eastAsia"/>
                <w:b/>
                <w:bCs/>
                <w:color w:val="00B050"/>
                <w:sz w:val="32"/>
                <w:szCs w:val="32"/>
                <w:lang w:bidi="th-TH"/>
              </w:rPr>
            </w:pPr>
            <w:r w:rsidRPr="00D936B4">
              <w:rPr>
                <w:rFonts w:ascii="Wingdings" w:eastAsia="Arial Unicode MS" w:hAnsi="Wingdings" w:cs="Arial Unicode MS"/>
                <w:b/>
                <w:bCs/>
                <w:color w:val="00B050"/>
                <w:sz w:val="32"/>
                <w:szCs w:val="32"/>
                <w:lang w:bidi="th-TH"/>
              </w:rPr>
              <w:t></w:t>
            </w:r>
          </w:p>
        </w:tc>
        <w:tc>
          <w:tcPr>
            <w:tcW w:w="1260" w:type="dxa"/>
            <w:tcBorders>
              <w:top w:val="nil"/>
              <w:left w:val="nil"/>
              <w:bottom w:val="single" w:sz="4" w:space="0" w:color="808080"/>
              <w:right w:val="single" w:sz="4" w:space="0" w:color="808080"/>
            </w:tcBorders>
            <w:shd w:val="clear" w:color="auto" w:fill="auto"/>
            <w:noWrap/>
            <w:vAlign w:val="center"/>
            <w:hideMark/>
          </w:tcPr>
          <w:p w14:paraId="7D2D0732" w14:textId="77777777" w:rsidR="00D936B4" w:rsidRPr="00D936B4" w:rsidRDefault="00D936B4" w:rsidP="00D936B4">
            <w:pPr>
              <w:spacing w:after="0" w:line="240" w:lineRule="auto"/>
              <w:jc w:val="center"/>
              <w:rPr>
                <w:rFonts w:ascii="Wingdings" w:eastAsia="Arial Unicode MS" w:hAnsi="Wingdings" w:cs="Arial Unicode MS" w:hint="eastAsia"/>
                <w:b/>
                <w:bCs/>
                <w:color w:val="FF0000"/>
                <w:sz w:val="32"/>
                <w:szCs w:val="32"/>
                <w:lang w:bidi="th-TH"/>
              </w:rPr>
            </w:pPr>
            <w:r w:rsidRPr="00D936B4">
              <w:rPr>
                <w:rFonts w:ascii="Wingdings" w:eastAsia="Arial Unicode MS" w:hAnsi="Wingdings" w:cs="Arial Unicode MS"/>
                <w:b/>
                <w:bCs/>
                <w:color w:val="FF0000"/>
                <w:sz w:val="32"/>
                <w:szCs w:val="32"/>
                <w:lang w:bidi="th-TH"/>
              </w:rPr>
              <w:t></w:t>
            </w:r>
          </w:p>
        </w:tc>
        <w:tc>
          <w:tcPr>
            <w:tcW w:w="1350" w:type="dxa"/>
            <w:tcBorders>
              <w:top w:val="nil"/>
              <w:left w:val="nil"/>
              <w:bottom w:val="single" w:sz="4" w:space="0" w:color="808080"/>
              <w:right w:val="single" w:sz="4" w:space="0" w:color="808080"/>
            </w:tcBorders>
            <w:shd w:val="clear" w:color="auto" w:fill="auto"/>
            <w:noWrap/>
            <w:vAlign w:val="center"/>
            <w:hideMark/>
          </w:tcPr>
          <w:p w14:paraId="4379F25D" w14:textId="77777777" w:rsidR="00D936B4" w:rsidRPr="00D936B4" w:rsidRDefault="00D936B4" w:rsidP="00D936B4">
            <w:pPr>
              <w:spacing w:after="0" w:line="240" w:lineRule="auto"/>
              <w:jc w:val="center"/>
              <w:rPr>
                <w:rFonts w:ascii="Wingdings" w:eastAsia="Arial Unicode MS" w:hAnsi="Wingdings" w:cs="Arial Unicode MS" w:hint="eastAsia"/>
                <w:b/>
                <w:bCs/>
                <w:color w:val="00B050"/>
                <w:sz w:val="32"/>
                <w:szCs w:val="32"/>
                <w:lang w:bidi="th-TH"/>
              </w:rPr>
            </w:pPr>
            <w:r w:rsidRPr="00D936B4">
              <w:rPr>
                <w:rFonts w:ascii="Wingdings" w:eastAsia="Arial Unicode MS" w:hAnsi="Wingdings" w:cs="Arial Unicode MS"/>
                <w:b/>
                <w:bCs/>
                <w:color w:val="00B050"/>
                <w:sz w:val="32"/>
                <w:szCs w:val="32"/>
                <w:lang w:bidi="th-TH"/>
              </w:rPr>
              <w:t></w:t>
            </w:r>
          </w:p>
        </w:tc>
        <w:tc>
          <w:tcPr>
            <w:tcW w:w="4230" w:type="dxa"/>
            <w:tcBorders>
              <w:top w:val="nil"/>
              <w:left w:val="nil"/>
              <w:bottom w:val="single" w:sz="4" w:space="0" w:color="808080"/>
              <w:right w:val="single" w:sz="4" w:space="0" w:color="808080"/>
            </w:tcBorders>
            <w:shd w:val="clear" w:color="auto" w:fill="auto"/>
            <w:vAlign w:val="center"/>
            <w:hideMark/>
          </w:tcPr>
          <w:p w14:paraId="3853B486" w14:textId="5765B108" w:rsidR="00D936B4" w:rsidRPr="00D936B4" w:rsidRDefault="00D936B4" w:rsidP="00D936B4">
            <w:pPr>
              <w:spacing w:after="0" w:line="240" w:lineRule="auto"/>
              <w:jc w:val="center"/>
              <w:rPr>
                <w:rFonts w:ascii="Calibri" w:eastAsia="Arial Unicode MS" w:hAnsi="Calibri" w:cs="Arial Unicode MS"/>
                <w:color w:val="262626"/>
                <w:lang w:bidi="th-TH"/>
              </w:rPr>
            </w:pPr>
            <w:r w:rsidRPr="00D936B4">
              <w:rPr>
                <w:rFonts w:ascii="Calibri" w:eastAsia="Arial Unicode MS" w:hAnsi="Calibri" w:cs="Arial Unicode MS"/>
                <w:color w:val="262626"/>
                <w:lang w:bidi="th-TH"/>
              </w:rPr>
              <w:t xml:space="preserve">- For MTFP funded projects, please ensure that clean-up is made for </w:t>
            </w:r>
            <w:r w:rsidR="00CF2999">
              <w:rPr>
                <w:rFonts w:ascii="Calibri" w:eastAsia="Arial Unicode MS" w:hAnsi="Calibri" w:cs="Arial Unicode MS"/>
                <w:color w:val="262626"/>
                <w:lang w:bidi="th-TH"/>
              </w:rPr>
              <w:t>account other than 51005 because MPTF Office accepts only contribution revenue under account 51005. Income in other revenue account codes are not accept</w:t>
            </w:r>
            <w:r w:rsidR="00D81A35">
              <w:rPr>
                <w:rFonts w:ascii="Calibri" w:eastAsia="Arial Unicode MS" w:hAnsi="Calibri" w:cs="Arial Unicode MS"/>
                <w:color w:val="262626"/>
                <w:lang w:bidi="th-TH"/>
              </w:rPr>
              <w:t>ed</w:t>
            </w:r>
            <w:r w:rsidR="00CF2999">
              <w:rPr>
                <w:rFonts w:ascii="Calibri" w:eastAsia="Arial Unicode MS" w:hAnsi="Calibri" w:cs="Arial Unicode MS"/>
                <w:color w:val="262626"/>
                <w:lang w:bidi="th-TH"/>
              </w:rPr>
              <w:t xml:space="preserve">. Please refer to </w:t>
            </w:r>
            <w:hyperlink r:id="rId120" w:history="1">
              <w:r w:rsidR="00CF2999" w:rsidRPr="00CF2999">
                <w:rPr>
                  <w:rStyle w:val="Hyperlink"/>
                  <w:rFonts w:ascii="Calibri" w:eastAsia="Arial Unicode MS" w:hAnsi="Calibri" w:cs="Arial Unicode MS"/>
                  <w:lang w:bidi="th-TH"/>
                </w:rPr>
                <w:t>Operating Guidelines for MPTF Projects implemented by UNDP Country Offices</w:t>
              </w:r>
            </w:hyperlink>
            <w:r w:rsidR="00CF2999">
              <w:rPr>
                <w:rFonts w:ascii="Calibri" w:eastAsia="Arial Unicode MS" w:hAnsi="Calibri" w:cs="Arial Unicode MS"/>
                <w:color w:val="262626"/>
                <w:lang w:bidi="th-TH"/>
              </w:rPr>
              <w:t xml:space="preserve">. </w:t>
            </w:r>
            <w:r w:rsidRPr="00D936B4">
              <w:rPr>
                <w:rFonts w:ascii="Calibri" w:eastAsia="Arial Unicode MS" w:hAnsi="Calibri" w:cs="Arial Unicode MS"/>
                <w:color w:val="262626"/>
                <w:lang w:bidi="th-TH"/>
              </w:rPr>
              <w:t>5xxxx accounts as there should only be a resource balance under account 51005.</w:t>
            </w:r>
            <w:r w:rsidRPr="00D936B4">
              <w:rPr>
                <w:rFonts w:ascii="Calibri" w:eastAsia="Arial Unicode MS" w:hAnsi="Calibri" w:cs="Arial Unicode MS"/>
                <w:color w:val="262626"/>
                <w:lang w:bidi="th-TH"/>
              </w:rPr>
              <w:br/>
              <w:t xml:space="preserve">- For MTPF funded projects, while an existing balance under 51005 is accepted, please ensure that this balance is made up of MTFP payments </w:t>
            </w:r>
            <w:r w:rsidRPr="00D936B4">
              <w:rPr>
                <w:rFonts w:ascii="Calibri" w:eastAsia="Arial Unicode MS" w:hAnsi="Calibri" w:cs="Arial Unicode MS"/>
                <w:b/>
                <w:bCs/>
                <w:color w:val="333333"/>
                <w:u w:val="single"/>
                <w:lang w:bidi="th-TH"/>
              </w:rPr>
              <w:t>ONLY</w:t>
            </w:r>
            <w:r w:rsidRPr="00D936B4">
              <w:rPr>
                <w:rFonts w:ascii="Calibri" w:eastAsia="Arial Unicode MS" w:hAnsi="Calibri" w:cs="Arial Unicode MS"/>
                <w:color w:val="333333"/>
                <w:lang w:bidi="th-TH"/>
              </w:rPr>
              <w:t>.</w:t>
            </w:r>
          </w:p>
        </w:tc>
      </w:tr>
      <w:tr w:rsidR="00D936B4" w:rsidRPr="00D936B4" w14:paraId="399EC488" w14:textId="77777777" w:rsidTr="00AE2690">
        <w:trPr>
          <w:trHeight w:val="315"/>
        </w:trPr>
        <w:tc>
          <w:tcPr>
            <w:tcW w:w="1260" w:type="dxa"/>
            <w:tcBorders>
              <w:top w:val="nil"/>
              <w:left w:val="nil"/>
              <w:bottom w:val="nil"/>
              <w:right w:val="nil"/>
            </w:tcBorders>
            <w:shd w:val="clear" w:color="auto" w:fill="auto"/>
            <w:noWrap/>
            <w:vAlign w:val="bottom"/>
            <w:hideMark/>
          </w:tcPr>
          <w:p w14:paraId="2AD6AC30" w14:textId="77777777" w:rsidR="00D936B4" w:rsidRPr="00D936B4" w:rsidRDefault="00D936B4" w:rsidP="00D936B4">
            <w:pPr>
              <w:spacing w:after="0" w:line="240" w:lineRule="auto"/>
              <w:jc w:val="center"/>
              <w:rPr>
                <w:rFonts w:ascii="Calibri" w:eastAsia="Arial Unicode MS" w:hAnsi="Calibri" w:cs="Arial Unicode MS"/>
                <w:color w:val="262626"/>
                <w:lang w:bidi="th-TH"/>
              </w:rPr>
            </w:pPr>
          </w:p>
        </w:tc>
        <w:tc>
          <w:tcPr>
            <w:tcW w:w="1260" w:type="dxa"/>
            <w:tcBorders>
              <w:top w:val="nil"/>
              <w:left w:val="nil"/>
              <w:bottom w:val="nil"/>
              <w:right w:val="nil"/>
            </w:tcBorders>
            <w:shd w:val="clear" w:color="auto" w:fill="auto"/>
            <w:noWrap/>
            <w:vAlign w:val="bottom"/>
            <w:hideMark/>
          </w:tcPr>
          <w:p w14:paraId="0898803D" w14:textId="77777777" w:rsidR="00D936B4" w:rsidRPr="00D936B4" w:rsidRDefault="00D936B4" w:rsidP="00D936B4">
            <w:pPr>
              <w:spacing w:after="0" w:line="240" w:lineRule="auto"/>
              <w:rPr>
                <w:rFonts w:ascii="Times New Roman" w:eastAsia="Times New Roman" w:hAnsi="Times New Roman" w:cs="Times New Roman"/>
                <w:sz w:val="20"/>
                <w:szCs w:val="20"/>
                <w:lang w:bidi="th-TH"/>
              </w:rPr>
            </w:pPr>
          </w:p>
        </w:tc>
        <w:tc>
          <w:tcPr>
            <w:tcW w:w="1530" w:type="dxa"/>
            <w:tcBorders>
              <w:top w:val="nil"/>
              <w:left w:val="nil"/>
              <w:bottom w:val="nil"/>
              <w:right w:val="nil"/>
            </w:tcBorders>
            <w:shd w:val="clear" w:color="auto" w:fill="auto"/>
            <w:noWrap/>
            <w:vAlign w:val="bottom"/>
            <w:hideMark/>
          </w:tcPr>
          <w:p w14:paraId="5D7C4C9F" w14:textId="77777777" w:rsidR="00D936B4" w:rsidRPr="00D936B4" w:rsidRDefault="00D936B4" w:rsidP="00D936B4">
            <w:pPr>
              <w:spacing w:after="0" w:line="240" w:lineRule="auto"/>
              <w:rPr>
                <w:rFonts w:ascii="Times New Roman" w:eastAsia="Times New Roman" w:hAnsi="Times New Roman" w:cs="Times New Roman"/>
                <w:sz w:val="20"/>
                <w:szCs w:val="20"/>
                <w:lang w:bidi="th-TH"/>
              </w:rPr>
            </w:pPr>
          </w:p>
        </w:tc>
        <w:tc>
          <w:tcPr>
            <w:tcW w:w="1260" w:type="dxa"/>
            <w:tcBorders>
              <w:top w:val="nil"/>
              <w:left w:val="nil"/>
              <w:bottom w:val="nil"/>
              <w:right w:val="nil"/>
            </w:tcBorders>
            <w:shd w:val="clear" w:color="auto" w:fill="auto"/>
            <w:noWrap/>
            <w:vAlign w:val="bottom"/>
            <w:hideMark/>
          </w:tcPr>
          <w:p w14:paraId="04944CE7" w14:textId="77777777" w:rsidR="00D936B4" w:rsidRPr="00D936B4" w:rsidRDefault="00D936B4" w:rsidP="00D936B4">
            <w:pPr>
              <w:spacing w:after="0" w:line="240" w:lineRule="auto"/>
              <w:rPr>
                <w:rFonts w:ascii="Times New Roman" w:eastAsia="Times New Roman" w:hAnsi="Times New Roman" w:cs="Times New Roman"/>
                <w:sz w:val="20"/>
                <w:szCs w:val="20"/>
                <w:lang w:bidi="th-TH"/>
              </w:rPr>
            </w:pPr>
          </w:p>
        </w:tc>
        <w:tc>
          <w:tcPr>
            <w:tcW w:w="1350" w:type="dxa"/>
            <w:tcBorders>
              <w:top w:val="nil"/>
              <w:left w:val="nil"/>
              <w:bottom w:val="nil"/>
              <w:right w:val="nil"/>
            </w:tcBorders>
            <w:shd w:val="clear" w:color="auto" w:fill="auto"/>
            <w:noWrap/>
            <w:vAlign w:val="bottom"/>
            <w:hideMark/>
          </w:tcPr>
          <w:p w14:paraId="4856E4ED" w14:textId="77777777" w:rsidR="00D936B4" w:rsidRPr="00D936B4" w:rsidRDefault="00D936B4" w:rsidP="00D936B4">
            <w:pPr>
              <w:spacing w:after="0" w:line="240" w:lineRule="auto"/>
              <w:rPr>
                <w:rFonts w:ascii="Times New Roman" w:eastAsia="Times New Roman" w:hAnsi="Times New Roman" w:cs="Times New Roman"/>
                <w:sz w:val="20"/>
                <w:szCs w:val="20"/>
                <w:lang w:bidi="th-TH"/>
              </w:rPr>
            </w:pPr>
          </w:p>
        </w:tc>
        <w:tc>
          <w:tcPr>
            <w:tcW w:w="4230" w:type="dxa"/>
            <w:tcBorders>
              <w:top w:val="nil"/>
              <w:left w:val="nil"/>
              <w:bottom w:val="nil"/>
              <w:right w:val="nil"/>
            </w:tcBorders>
            <w:shd w:val="clear" w:color="auto" w:fill="auto"/>
            <w:noWrap/>
            <w:vAlign w:val="bottom"/>
            <w:hideMark/>
          </w:tcPr>
          <w:p w14:paraId="48993BFA" w14:textId="77777777" w:rsidR="00D936B4" w:rsidRPr="00D936B4" w:rsidRDefault="00D936B4" w:rsidP="00D936B4">
            <w:pPr>
              <w:spacing w:after="0" w:line="240" w:lineRule="auto"/>
              <w:rPr>
                <w:rFonts w:ascii="Times New Roman" w:eastAsia="Times New Roman" w:hAnsi="Times New Roman" w:cs="Times New Roman"/>
                <w:sz w:val="20"/>
                <w:szCs w:val="20"/>
                <w:lang w:bidi="th-TH"/>
              </w:rPr>
            </w:pPr>
          </w:p>
        </w:tc>
      </w:tr>
      <w:tr w:rsidR="00D936B4" w:rsidRPr="00D936B4" w14:paraId="0595F546" w14:textId="77777777" w:rsidTr="00AE2690">
        <w:trPr>
          <w:trHeight w:val="315"/>
        </w:trPr>
        <w:tc>
          <w:tcPr>
            <w:tcW w:w="1260" w:type="dxa"/>
            <w:tcBorders>
              <w:top w:val="nil"/>
              <w:left w:val="nil"/>
              <w:bottom w:val="nil"/>
              <w:right w:val="nil"/>
            </w:tcBorders>
            <w:shd w:val="clear" w:color="auto" w:fill="auto"/>
            <w:noWrap/>
            <w:vAlign w:val="bottom"/>
            <w:hideMark/>
          </w:tcPr>
          <w:p w14:paraId="1AE65FAA" w14:textId="77777777" w:rsidR="00D936B4" w:rsidRPr="00D936B4" w:rsidRDefault="00D936B4" w:rsidP="00D936B4">
            <w:pPr>
              <w:spacing w:after="0" w:line="240" w:lineRule="auto"/>
              <w:rPr>
                <w:rFonts w:ascii="Calibri" w:eastAsia="Arial Unicode MS" w:hAnsi="Calibri" w:cs="Arial Unicode MS"/>
                <w:color w:val="262626"/>
                <w:u w:val="single"/>
                <w:lang w:bidi="th-TH"/>
              </w:rPr>
            </w:pPr>
            <w:r w:rsidRPr="00D936B4">
              <w:rPr>
                <w:rFonts w:ascii="Calibri" w:eastAsia="Arial Unicode MS" w:hAnsi="Calibri" w:cs="Arial Unicode MS"/>
                <w:color w:val="262626"/>
                <w:u w:val="single"/>
                <w:lang w:bidi="th-TH"/>
              </w:rPr>
              <w:t>Notes:</w:t>
            </w:r>
          </w:p>
        </w:tc>
        <w:tc>
          <w:tcPr>
            <w:tcW w:w="1260" w:type="dxa"/>
            <w:tcBorders>
              <w:top w:val="nil"/>
              <w:left w:val="nil"/>
              <w:bottom w:val="nil"/>
              <w:right w:val="nil"/>
            </w:tcBorders>
            <w:shd w:val="clear" w:color="auto" w:fill="auto"/>
            <w:noWrap/>
            <w:vAlign w:val="bottom"/>
            <w:hideMark/>
          </w:tcPr>
          <w:p w14:paraId="12F0B076" w14:textId="77777777" w:rsidR="00D936B4" w:rsidRPr="00D936B4" w:rsidRDefault="00D936B4" w:rsidP="00D936B4">
            <w:pPr>
              <w:spacing w:after="0" w:line="240" w:lineRule="auto"/>
              <w:rPr>
                <w:rFonts w:ascii="Calibri" w:eastAsia="Arial Unicode MS" w:hAnsi="Calibri" w:cs="Arial Unicode MS"/>
                <w:color w:val="262626"/>
                <w:u w:val="single"/>
                <w:lang w:bidi="th-TH"/>
              </w:rPr>
            </w:pPr>
          </w:p>
        </w:tc>
        <w:tc>
          <w:tcPr>
            <w:tcW w:w="1530" w:type="dxa"/>
            <w:tcBorders>
              <w:top w:val="nil"/>
              <w:left w:val="nil"/>
              <w:bottom w:val="nil"/>
              <w:right w:val="nil"/>
            </w:tcBorders>
            <w:shd w:val="clear" w:color="auto" w:fill="auto"/>
            <w:noWrap/>
            <w:vAlign w:val="bottom"/>
            <w:hideMark/>
          </w:tcPr>
          <w:p w14:paraId="36AE5F15" w14:textId="77777777" w:rsidR="00D936B4" w:rsidRPr="00D936B4" w:rsidRDefault="00D936B4" w:rsidP="00D936B4">
            <w:pPr>
              <w:spacing w:after="0" w:line="240" w:lineRule="auto"/>
              <w:rPr>
                <w:rFonts w:ascii="Times New Roman" w:eastAsia="Times New Roman" w:hAnsi="Times New Roman" w:cs="Times New Roman"/>
                <w:sz w:val="20"/>
                <w:szCs w:val="20"/>
                <w:lang w:bidi="th-TH"/>
              </w:rPr>
            </w:pPr>
          </w:p>
        </w:tc>
        <w:tc>
          <w:tcPr>
            <w:tcW w:w="1260" w:type="dxa"/>
            <w:tcBorders>
              <w:top w:val="nil"/>
              <w:left w:val="nil"/>
              <w:bottom w:val="nil"/>
              <w:right w:val="nil"/>
            </w:tcBorders>
            <w:shd w:val="clear" w:color="auto" w:fill="auto"/>
            <w:noWrap/>
            <w:vAlign w:val="bottom"/>
            <w:hideMark/>
          </w:tcPr>
          <w:p w14:paraId="5A8275A7" w14:textId="77777777" w:rsidR="00D936B4" w:rsidRPr="00D936B4" w:rsidRDefault="00D936B4" w:rsidP="00D936B4">
            <w:pPr>
              <w:spacing w:after="0" w:line="240" w:lineRule="auto"/>
              <w:rPr>
                <w:rFonts w:ascii="Times New Roman" w:eastAsia="Times New Roman" w:hAnsi="Times New Roman" w:cs="Times New Roman"/>
                <w:sz w:val="20"/>
                <w:szCs w:val="20"/>
                <w:lang w:bidi="th-TH"/>
              </w:rPr>
            </w:pPr>
          </w:p>
        </w:tc>
        <w:tc>
          <w:tcPr>
            <w:tcW w:w="1350" w:type="dxa"/>
            <w:tcBorders>
              <w:top w:val="nil"/>
              <w:left w:val="nil"/>
              <w:bottom w:val="nil"/>
              <w:right w:val="nil"/>
            </w:tcBorders>
            <w:shd w:val="clear" w:color="auto" w:fill="auto"/>
            <w:noWrap/>
            <w:vAlign w:val="bottom"/>
            <w:hideMark/>
          </w:tcPr>
          <w:p w14:paraId="59E87D61" w14:textId="77777777" w:rsidR="00D936B4" w:rsidRPr="00D936B4" w:rsidRDefault="00D936B4" w:rsidP="00D936B4">
            <w:pPr>
              <w:spacing w:after="0" w:line="240" w:lineRule="auto"/>
              <w:rPr>
                <w:rFonts w:ascii="Times New Roman" w:eastAsia="Times New Roman" w:hAnsi="Times New Roman" w:cs="Times New Roman"/>
                <w:sz w:val="20"/>
                <w:szCs w:val="20"/>
                <w:lang w:bidi="th-TH"/>
              </w:rPr>
            </w:pPr>
          </w:p>
        </w:tc>
        <w:tc>
          <w:tcPr>
            <w:tcW w:w="4230" w:type="dxa"/>
            <w:tcBorders>
              <w:top w:val="nil"/>
              <w:left w:val="nil"/>
              <w:bottom w:val="nil"/>
              <w:right w:val="nil"/>
            </w:tcBorders>
            <w:shd w:val="clear" w:color="auto" w:fill="auto"/>
            <w:noWrap/>
            <w:vAlign w:val="bottom"/>
            <w:hideMark/>
          </w:tcPr>
          <w:p w14:paraId="471ED9CA" w14:textId="77777777" w:rsidR="00D936B4" w:rsidRPr="00D936B4" w:rsidRDefault="00D936B4" w:rsidP="00D936B4">
            <w:pPr>
              <w:spacing w:after="0" w:line="240" w:lineRule="auto"/>
              <w:rPr>
                <w:rFonts w:ascii="Times New Roman" w:eastAsia="Times New Roman" w:hAnsi="Times New Roman" w:cs="Times New Roman"/>
                <w:sz w:val="20"/>
                <w:szCs w:val="20"/>
                <w:lang w:bidi="th-TH"/>
              </w:rPr>
            </w:pPr>
          </w:p>
        </w:tc>
      </w:tr>
      <w:tr w:rsidR="00D936B4" w:rsidRPr="00D936B4" w14:paraId="15DE9278" w14:textId="77777777" w:rsidTr="00AE2690">
        <w:trPr>
          <w:trHeight w:val="315"/>
        </w:trPr>
        <w:tc>
          <w:tcPr>
            <w:tcW w:w="4050" w:type="dxa"/>
            <w:gridSpan w:val="3"/>
            <w:tcBorders>
              <w:top w:val="nil"/>
              <w:left w:val="nil"/>
              <w:bottom w:val="nil"/>
              <w:right w:val="nil"/>
            </w:tcBorders>
            <w:shd w:val="clear" w:color="auto" w:fill="auto"/>
            <w:noWrap/>
            <w:vAlign w:val="bottom"/>
            <w:hideMark/>
          </w:tcPr>
          <w:p w14:paraId="64EF3E91" w14:textId="77777777" w:rsidR="00D936B4" w:rsidRPr="00D936B4" w:rsidRDefault="00D936B4" w:rsidP="00D936B4">
            <w:pPr>
              <w:spacing w:after="0" w:line="240" w:lineRule="auto"/>
              <w:rPr>
                <w:rFonts w:ascii="Calibri" w:eastAsia="Arial Unicode MS" w:hAnsi="Calibri" w:cs="Arial Unicode MS"/>
                <w:color w:val="262626"/>
                <w:lang w:bidi="th-TH"/>
              </w:rPr>
            </w:pPr>
            <w:r w:rsidRPr="00D936B4">
              <w:rPr>
                <w:rFonts w:ascii="Calibri" w:eastAsia="Arial Unicode MS" w:hAnsi="Calibri" w:cs="Arial Unicode MS"/>
                <w:color w:val="262626"/>
                <w:lang w:bidi="th-TH"/>
              </w:rPr>
              <w:t>(1): Please see below for the specific accounts</w:t>
            </w:r>
          </w:p>
        </w:tc>
        <w:tc>
          <w:tcPr>
            <w:tcW w:w="1260" w:type="dxa"/>
            <w:tcBorders>
              <w:top w:val="nil"/>
              <w:left w:val="nil"/>
              <w:bottom w:val="nil"/>
              <w:right w:val="nil"/>
            </w:tcBorders>
            <w:shd w:val="clear" w:color="auto" w:fill="auto"/>
            <w:noWrap/>
            <w:vAlign w:val="bottom"/>
            <w:hideMark/>
          </w:tcPr>
          <w:p w14:paraId="49402D19" w14:textId="77777777" w:rsidR="00D936B4" w:rsidRPr="00D936B4" w:rsidRDefault="00D936B4" w:rsidP="00D936B4">
            <w:pPr>
              <w:spacing w:after="0" w:line="240" w:lineRule="auto"/>
              <w:rPr>
                <w:rFonts w:ascii="Calibri" w:eastAsia="Arial Unicode MS" w:hAnsi="Calibri" w:cs="Arial Unicode MS"/>
                <w:color w:val="262626"/>
                <w:lang w:bidi="th-TH"/>
              </w:rPr>
            </w:pPr>
          </w:p>
        </w:tc>
        <w:tc>
          <w:tcPr>
            <w:tcW w:w="1350" w:type="dxa"/>
            <w:tcBorders>
              <w:top w:val="nil"/>
              <w:left w:val="nil"/>
              <w:bottom w:val="nil"/>
              <w:right w:val="nil"/>
            </w:tcBorders>
            <w:shd w:val="clear" w:color="auto" w:fill="auto"/>
            <w:noWrap/>
            <w:vAlign w:val="bottom"/>
            <w:hideMark/>
          </w:tcPr>
          <w:p w14:paraId="3E0EEB8D" w14:textId="77777777" w:rsidR="00D936B4" w:rsidRPr="00D936B4" w:rsidRDefault="00D936B4" w:rsidP="00D936B4">
            <w:pPr>
              <w:spacing w:after="0" w:line="240" w:lineRule="auto"/>
              <w:rPr>
                <w:rFonts w:ascii="Times New Roman" w:eastAsia="Times New Roman" w:hAnsi="Times New Roman" w:cs="Times New Roman"/>
                <w:sz w:val="20"/>
                <w:szCs w:val="20"/>
                <w:lang w:bidi="th-TH"/>
              </w:rPr>
            </w:pPr>
          </w:p>
        </w:tc>
        <w:tc>
          <w:tcPr>
            <w:tcW w:w="4230" w:type="dxa"/>
            <w:tcBorders>
              <w:top w:val="nil"/>
              <w:left w:val="nil"/>
              <w:bottom w:val="nil"/>
              <w:right w:val="nil"/>
            </w:tcBorders>
            <w:shd w:val="clear" w:color="auto" w:fill="auto"/>
            <w:noWrap/>
            <w:vAlign w:val="bottom"/>
            <w:hideMark/>
          </w:tcPr>
          <w:p w14:paraId="5D6F6766" w14:textId="77777777" w:rsidR="00D936B4" w:rsidRPr="00D936B4" w:rsidRDefault="00D936B4" w:rsidP="00D936B4">
            <w:pPr>
              <w:spacing w:after="0" w:line="240" w:lineRule="auto"/>
              <w:rPr>
                <w:rFonts w:ascii="Times New Roman" w:eastAsia="Times New Roman" w:hAnsi="Times New Roman" w:cs="Times New Roman"/>
                <w:sz w:val="20"/>
                <w:szCs w:val="20"/>
                <w:lang w:bidi="th-TH"/>
              </w:rPr>
            </w:pPr>
          </w:p>
        </w:tc>
      </w:tr>
      <w:tr w:rsidR="00D936B4" w:rsidRPr="00D936B4" w14:paraId="6DF64201" w14:textId="77777777" w:rsidTr="00AE2690">
        <w:trPr>
          <w:trHeight w:val="315"/>
        </w:trPr>
        <w:tc>
          <w:tcPr>
            <w:tcW w:w="10890" w:type="dxa"/>
            <w:gridSpan w:val="6"/>
            <w:tcBorders>
              <w:top w:val="nil"/>
              <w:left w:val="nil"/>
              <w:bottom w:val="nil"/>
              <w:right w:val="nil"/>
            </w:tcBorders>
            <w:shd w:val="clear" w:color="auto" w:fill="auto"/>
            <w:noWrap/>
            <w:vAlign w:val="bottom"/>
            <w:hideMark/>
          </w:tcPr>
          <w:p w14:paraId="16A5B3FA" w14:textId="77777777" w:rsidR="00D936B4" w:rsidRPr="00D936B4" w:rsidRDefault="00D936B4" w:rsidP="00D936B4">
            <w:pPr>
              <w:spacing w:after="0" w:line="240" w:lineRule="auto"/>
              <w:rPr>
                <w:rFonts w:ascii="Calibri" w:eastAsia="Arial Unicode MS" w:hAnsi="Calibri" w:cs="Arial Unicode MS"/>
                <w:color w:val="262626"/>
                <w:lang w:bidi="th-TH"/>
              </w:rPr>
            </w:pPr>
            <w:r w:rsidRPr="00D936B4">
              <w:rPr>
                <w:rFonts w:ascii="Calibri" w:eastAsia="Arial Unicode MS" w:hAnsi="Calibri" w:cs="Arial Unicode MS"/>
                <w:color w:val="262626"/>
                <w:lang w:bidi="th-TH"/>
              </w:rPr>
              <w:t>(2): These accounts are included in the Project Workbench resource balances and should be excluded from these balances when the account balance is not zero</w:t>
            </w:r>
          </w:p>
        </w:tc>
      </w:tr>
      <w:tr w:rsidR="00D936B4" w:rsidRPr="00D936B4" w14:paraId="63A04F2C" w14:textId="77777777" w:rsidTr="00AE2690">
        <w:trPr>
          <w:trHeight w:val="315"/>
        </w:trPr>
        <w:tc>
          <w:tcPr>
            <w:tcW w:w="6660" w:type="dxa"/>
            <w:gridSpan w:val="5"/>
            <w:tcBorders>
              <w:top w:val="nil"/>
              <w:left w:val="nil"/>
              <w:bottom w:val="nil"/>
              <w:right w:val="nil"/>
            </w:tcBorders>
            <w:shd w:val="clear" w:color="auto" w:fill="auto"/>
            <w:noWrap/>
            <w:vAlign w:val="bottom"/>
            <w:hideMark/>
          </w:tcPr>
          <w:p w14:paraId="1B4F0572" w14:textId="77777777" w:rsidR="00D936B4" w:rsidRPr="00D936B4" w:rsidRDefault="00D936B4" w:rsidP="00D936B4">
            <w:pPr>
              <w:spacing w:after="0" w:line="240" w:lineRule="auto"/>
              <w:rPr>
                <w:rFonts w:ascii="Calibri" w:eastAsia="Arial Unicode MS" w:hAnsi="Calibri" w:cs="Arial Unicode MS"/>
                <w:color w:val="262626"/>
                <w:lang w:bidi="th-TH"/>
              </w:rPr>
            </w:pPr>
            <w:r w:rsidRPr="00D936B4">
              <w:rPr>
                <w:rFonts w:ascii="Calibri" w:eastAsia="Arial Unicode MS" w:hAnsi="Calibri" w:cs="Arial Unicode MS"/>
                <w:color w:val="262626"/>
                <w:lang w:bidi="th-TH"/>
              </w:rPr>
              <w:t xml:space="preserve">(3): Revaluated accounts: Please see the list of revaluated accounts. </w:t>
            </w:r>
          </w:p>
        </w:tc>
        <w:tc>
          <w:tcPr>
            <w:tcW w:w="4230" w:type="dxa"/>
            <w:tcBorders>
              <w:top w:val="nil"/>
              <w:left w:val="nil"/>
              <w:bottom w:val="nil"/>
              <w:right w:val="nil"/>
            </w:tcBorders>
            <w:shd w:val="clear" w:color="auto" w:fill="auto"/>
            <w:noWrap/>
            <w:vAlign w:val="bottom"/>
            <w:hideMark/>
          </w:tcPr>
          <w:p w14:paraId="41909B3D" w14:textId="77777777" w:rsidR="00D936B4" w:rsidRPr="00D936B4" w:rsidRDefault="00D936B4" w:rsidP="00D936B4">
            <w:pPr>
              <w:spacing w:after="0" w:line="240" w:lineRule="auto"/>
              <w:rPr>
                <w:rFonts w:ascii="Calibri" w:eastAsia="Arial Unicode MS" w:hAnsi="Calibri" w:cs="Arial Unicode MS"/>
                <w:color w:val="262626"/>
                <w:lang w:bidi="th-TH"/>
              </w:rPr>
            </w:pPr>
          </w:p>
        </w:tc>
      </w:tr>
      <w:tr w:rsidR="00D936B4" w:rsidRPr="00D936B4" w14:paraId="588400B4" w14:textId="77777777" w:rsidTr="00AE2690">
        <w:trPr>
          <w:trHeight w:val="315"/>
        </w:trPr>
        <w:tc>
          <w:tcPr>
            <w:tcW w:w="10890" w:type="dxa"/>
            <w:gridSpan w:val="6"/>
            <w:tcBorders>
              <w:top w:val="nil"/>
              <w:left w:val="nil"/>
              <w:bottom w:val="nil"/>
              <w:right w:val="nil"/>
            </w:tcBorders>
            <w:shd w:val="clear" w:color="auto" w:fill="auto"/>
            <w:noWrap/>
            <w:vAlign w:val="bottom"/>
            <w:hideMark/>
          </w:tcPr>
          <w:p w14:paraId="180A26ED" w14:textId="77777777" w:rsidR="00D936B4" w:rsidRPr="00D936B4" w:rsidRDefault="00D936B4" w:rsidP="00D936B4">
            <w:pPr>
              <w:spacing w:after="0" w:line="240" w:lineRule="auto"/>
              <w:rPr>
                <w:rFonts w:ascii="Calibri" w:eastAsia="Arial Unicode MS" w:hAnsi="Calibri" w:cs="Arial Unicode MS"/>
                <w:color w:val="262626"/>
                <w:lang w:bidi="th-TH"/>
              </w:rPr>
            </w:pPr>
            <w:r w:rsidRPr="00D936B4">
              <w:rPr>
                <w:rFonts w:ascii="Calibri" w:eastAsia="Arial Unicode MS" w:hAnsi="Calibri" w:cs="Arial Unicode MS"/>
                <w:color w:val="262626"/>
                <w:lang w:bidi="th-TH"/>
              </w:rPr>
              <w:t xml:space="preserve">Units are advised </w:t>
            </w:r>
            <w:r w:rsidRPr="00D936B4">
              <w:rPr>
                <w:rFonts w:ascii="Calibri" w:eastAsia="Arial Unicode MS" w:hAnsi="Calibri" w:cs="Arial Unicode MS"/>
                <w:color w:val="333333"/>
                <w:u w:val="single"/>
                <w:lang w:bidi="th-TH"/>
              </w:rPr>
              <w:t>not</w:t>
            </w:r>
            <w:r w:rsidRPr="00D936B4">
              <w:rPr>
                <w:rFonts w:ascii="Calibri" w:eastAsia="Arial Unicode MS" w:hAnsi="Calibri" w:cs="Arial Unicode MS"/>
                <w:color w:val="333333"/>
                <w:lang w:bidi="th-TH"/>
              </w:rPr>
              <w:t xml:space="preserve"> to liquidate revaluated balance sheet item accounts in US dollar but rather in the transaction currency used to grant the initial advance and/or liability</w:t>
            </w:r>
          </w:p>
        </w:tc>
      </w:tr>
      <w:tr w:rsidR="00D936B4" w:rsidRPr="00D936B4" w14:paraId="55669166" w14:textId="77777777" w:rsidTr="00AE2690">
        <w:trPr>
          <w:trHeight w:val="315"/>
        </w:trPr>
        <w:tc>
          <w:tcPr>
            <w:tcW w:w="10890" w:type="dxa"/>
            <w:gridSpan w:val="6"/>
            <w:tcBorders>
              <w:top w:val="nil"/>
              <w:left w:val="nil"/>
              <w:bottom w:val="nil"/>
              <w:right w:val="nil"/>
            </w:tcBorders>
            <w:shd w:val="clear" w:color="auto" w:fill="auto"/>
            <w:noWrap/>
            <w:vAlign w:val="bottom"/>
            <w:hideMark/>
          </w:tcPr>
          <w:p w14:paraId="5B1BD27B" w14:textId="77777777" w:rsidR="00D936B4" w:rsidRPr="00D936B4" w:rsidRDefault="00D936B4" w:rsidP="00D936B4">
            <w:pPr>
              <w:spacing w:after="0" w:line="240" w:lineRule="auto"/>
              <w:rPr>
                <w:rFonts w:ascii="Calibri" w:eastAsia="Arial Unicode MS" w:hAnsi="Calibri" w:cs="Arial Unicode MS"/>
                <w:b/>
                <w:bCs/>
                <w:color w:val="FF3300"/>
                <w:lang w:bidi="th-TH"/>
              </w:rPr>
            </w:pPr>
            <w:r w:rsidRPr="00D936B4">
              <w:rPr>
                <w:rFonts w:ascii="Calibri" w:eastAsia="Arial Unicode MS" w:hAnsi="Calibri" w:cs="Arial Unicode MS"/>
                <w:b/>
                <w:bCs/>
                <w:color w:val="FF3300"/>
                <w:lang w:bidi="th-TH"/>
              </w:rPr>
              <w:t>(4): Clean-up for TF and project closures should be made at the full COA to avoid reporting issues in the corporate platforms such as the Executive Snapshot</w:t>
            </w:r>
          </w:p>
        </w:tc>
      </w:tr>
      <w:tr w:rsidR="00D936B4" w:rsidRPr="00D936B4" w14:paraId="176451BA" w14:textId="77777777" w:rsidTr="00AE2690">
        <w:trPr>
          <w:trHeight w:val="315"/>
        </w:trPr>
        <w:tc>
          <w:tcPr>
            <w:tcW w:w="10890" w:type="dxa"/>
            <w:gridSpan w:val="6"/>
            <w:tcBorders>
              <w:top w:val="nil"/>
              <w:left w:val="nil"/>
              <w:bottom w:val="nil"/>
              <w:right w:val="nil"/>
            </w:tcBorders>
            <w:shd w:val="clear" w:color="auto" w:fill="auto"/>
            <w:noWrap/>
            <w:vAlign w:val="bottom"/>
            <w:hideMark/>
          </w:tcPr>
          <w:p w14:paraId="5AE4D24A" w14:textId="77777777" w:rsidR="00D936B4" w:rsidRPr="00D936B4" w:rsidRDefault="00D936B4" w:rsidP="00D936B4">
            <w:pPr>
              <w:spacing w:after="0" w:line="240" w:lineRule="auto"/>
              <w:rPr>
                <w:rFonts w:ascii="Calibri" w:eastAsia="Arial Unicode MS" w:hAnsi="Calibri" w:cs="Arial Unicode MS"/>
                <w:b/>
                <w:bCs/>
                <w:color w:val="FF3300"/>
                <w:lang w:bidi="th-TH"/>
              </w:rPr>
            </w:pPr>
            <w:r w:rsidRPr="00D936B4">
              <w:rPr>
                <w:rFonts w:ascii="Calibri" w:eastAsia="Arial Unicode MS" w:hAnsi="Calibri" w:cs="Arial Unicode MS"/>
                <w:b/>
                <w:bCs/>
                <w:color w:val="FF3300"/>
                <w:lang w:bidi="th-TH"/>
              </w:rPr>
              <w:t xml:space="preserve">The clean-up should be done at the fund - OU - department - implementing agent - project - donor </w:t>
            </w:r>
          </w:p>
        </w:tc>
      </w:tr>
    </w:tbl>
    <w:p w14:paraId="7EA0152C" w14:textId="77777777" w:rsidR="00D936B4" w:rsidRDefault="00D936B4" w:rsidP="00AE2690">
      <w:pPr>
        <w:rPr>
          <w:rFonts w:ascii="Cambria" w:hAnsi="Cambria"/>
          <w:b/>
          <w:sz w:val="24"/>
          <w:szCs w:val="24"/>
        </w:rPr>
      </w:pPr>
    </w:p>
    <w:p w14:paraId="5E59398F" w14:textId="77777777" w:rsidR="00D936B4" w:rsidRPr="00AE2690" w:rsidRDefault="00D936B4" w:rsidP="00AE2690">
      <w:pPr>
        <w:rPr>
          <w:rFonts w:ascii="Cambria" w:hAnsi="Cambria"/>
          <w:b/>
          <w:sz w:val="24"/>
          <w:szCs w:val="24"/>
        </w:rPr>
      </w:pPr>
    </w:p>
    <w:p w14:paraId="20021777" w14:textId="77777777" w:rsidR="00D936B4" w:rsidRDefault="00D936B4">
      <w:pPr>
        <w:rPr>
          <w:rFonts w:ascii="Cambria" w:hAnsi="Cambria"/>
          <w:b/>
          <w:sz w:val="24"/>
          <w:szCs w:val="24"/>
        </w:rPr>
      </w:pPr>
      <w:r>
        <w:rPr>
          <w:rFonts w:ascii="Cambria" w:hAnsi="Cambria"/>
          <w:b/>
          <w:sz w:val="24"/>
          <w:szCs w:val="24"/>
        </w:rPr>
        <w:br w:type="page"/>
      </w:r>
    </w:p>
    <w:p w14:paraId="0B4AF505" w14:textId="77777777" w:rsidR="00D936B4" w:rsidRDefault="00D936B4" w:rsidP="009A77F5">
      <w:pPr>
        <w:pStyle w:val="Heading2"/>
        <w:numPr>
          <w:ilvl w:val="0"/>
          <w:numId w:val="20"/>
        </w:numPr>
      </w:pPr>
      <w:bookmarkStart w:id="26" w:name="_Toc51944982"/>
      <w:r>
        <w:lastRenderedPageBreak/>
        <w:t>Revalued Account List</w:t>
      </w:r>
      <w:bookmarkEnd w:id="26"/>
    </w:p>
    <w:tbl>
      <w:tblPr>
        <w:tblW w:w="6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3"/>
        <w:gridCol w:w="1312"/>
        <w:gridCol w:w="3780"/>
      </w:tblGrid>
      <w:tr w:rsidR="00D936B4" w:rsidRPr="00D936B4" w14:paraId="6C5283BA" w14:textId="77777777" w:rsidTr="00D81A35">
        <w:trPr>
          <w:trHeight w:val="375"/>
        </w:trPr>
        <w:tc>
          <w:tcPr>
            <w:tcW w:w="6205" w:type="dxa"/>
            <w:gridSpan w:val="3"/>
            <w:shd w:val="clear" w:color="auto" w:fill="auto"/>
            <w:noWrap/>
            <w:vAlign w:val="center"/>
            <w:hideMark/>
          </w:tcPr>
          <w:p w14:paraId="55A66A8D" w14:textId="73C98849" w:rsidR="00D936B4" w:rsidRPr="00D936B4" w:rsidRDefault="00D936B4" w:rsidP="00D936B4">
            <w:pPr>
              <w:spacing w:after="0" w:line="240" w:lineRule="auto"/>
              <w:jc w:val="center"/>
              <w:rPr>
                <w:rFonts w:ascii="Calibri" w:eastAsia="Arial Unicode MS" w:hAnsi="Calibri" w:cs="Arial Unicode MS"/>
                <w:b/>
                <w:bCs/>
                <w:color w:val="FF0000"/>
                <w:sz w:val="28"/>
                <w:szCs w:val="28"/>
                <w:lang w:bidi="th-TH"/>
              </w:rPr>
            </w:pPr>
            <w:r w:rsidRPr="00D936B4">
              <w:rPr>
                <w:rFonts w:ascii="Calibri" w:eastAsia="Arial Unicode MS" w:hAnsi="Calibri" w:cs="Arial Unicode MS"/>
                <w:b/>
                <w:bCs/>
                <w:color w:val="FF0000"/>
                <w:sz w:val="28"/>
                <w:szCs w:val="28"/>
                <w:lang w:bidi="th-TH"/>
              </w:rPr>
              <w:t>List of Accounts</w:t>
            </w:r>
            <w:r w:rsidR="00EA44C7">
              <w:rPr>
                <w:rFonts w:ascii="Calibri" w:eastAsia="Arial Unicode MS" w:hAnsi="Calibri" w:cs="Arial Unicode MS"/>
                <w:b/>
                <w:bCs/>
                <w:color w:val="FF0000"/>
                <w:sz w:val="28"/>
                <w:szCs w:val="28"/>
                <w:lang w:bidi="th-TH"/>
              </w:rPr>
              <w:t xml:space="preserve"> used at project level</w:t>
            </w:r>
            <w:r w:rsidR="00EA44C7" w:rsidRPr="00D936B4">
              <w:rPr>
                <w:rFonts w:ascii="Calibri" w:eastAsia="Arial Unicode MS" w:hAnsi="Calibri" w:cs="Arial Unicode MS"/>
                <w:b/>
                <w:bCs/>
                <w:color w:val="FF0000"/>
                <w:sz w:val="28"/>
                <w:szCs w:val="28"/>
                <w:lang w:bidi="th-TH"/>
              </w:rPr>
              <w:t xml:space="preserve"> </w:t>
            </w:r>
            <w:r w:rsidRPr="00D936B4">
              <w:rPr>
                <w:rFonts w:ascii="Calibri" w:eastAsia="Arial Unicode MS" w:hAnsi="Calibri" w:cs="Arial Unicode MS"/>
                <w:b/>
                <w:bCs/>
                <w:color w:val="FF0000"/>
                <w:sz w:val="28"/>
                <w:szCs w:val="28"/>
                <w:lang w:bidi="th-TH"/>
              </w:rPr>
              <w:t xml:space="preserve">which are </w:t>
            </w:r>
            <w:r w:rsidR="00EA44C7">
              <w:rPr>
                <w:rFonts w:ascii="Calibri" w:eastAsia="Arial Unicode MS" w:hAnsi="Calibri" w:cs="Arial Unicode MS"/>
                <w:b/>
                <w:bCs/>
                <w:color w:val="FF0000"/>
                <w:sz w:val="28"/>
                <w:szCs w:val="28"/>
                <w:lang w:bidi="th-TH"/>
              </w:rPr>
              <w:t>r</w:t>
            </w:r>
            <w:r w:rsidRPr="00D936B4">
              <w:rPr>
                <w:rFonts w:ascii="Calibri" w:eastAsia="Arial Unicode MS" w:hAnsi="Calibri" w:cs="Arial Unicode MS"/>
                <w:b/>
                <w:bCs/>
                <w:color w:val="FF0000"/>
                <w:sz w:val="28"/>
                <w:szCs w:val="28"/>
                <w:lang w:bidi="th-TH"/>
              </w:rPr>
              <w:t>evalued periodically</w:t>
            </w:r>
          </w:p>
        </w:tc>
      </w:tr>
      <w:tr w:rsidR="003543DE" w:rsidRPr="00D936B4" w14:paraId="262F227E" w14:textId="77777777" w:rsidTr="00D81A35">
        <w:trPr>
          <w:trHeight w:val="315"/>
        </w:trPr>
        <w:tc>
          <w:tcPr>
            <w:tcW w:w="1113" w:type="dxa"/>
            <w:shd w:val="clear" w:color="000000" w:fill="ACB9CA"/>
            <w:noWrap/>
            <w:vAlign w:val="bottom"/>
            <w:hideMark/>
          </w:tcPr>
          <w:p w14:paraId="349474FA" w14:textId="77777777" w:rsidR="00D936B4" w:rsidRPr="00D936B4" w:rsidRDefault="00D936B4" w:rsidP="00D936B4">
            <w:pPr>
              <w:spacing w:after="0" w:line="240" w:lineRule="auto"/>
              <w:jc w:val="center"/>
              <w:rPr>
                <w:rFonts w:ascii="Calibri" w:eastAsia="Arial Unicode MS" w:hAnsi="Calibri" w:cs="Arial Unicode MS"/>
                <w:b/>
                <w:bCs/>
                <w:color w:val="000000"/>
                <w:lang w:bidi="th-TH"/>
              </w:rPr>
            </w:pPr>
            <w:r w:rsidRPr="00D936B4">
              <w:rPr>
                <w:rFonts w:ascii="Calibri" w:eastAsia="Arial Unicode MS" w:hAnsi="Calibri" w:cs="Arial Unicode MS"/>
                <w:b/>
                <w:bCs/>
                <w:color w:val="000000"/>
                <w:lang w:bidi="th-TH"/>
              </w:rPr>
              <w:t>Account</w:t>
            </w:r>
          </w:p>
        </w:tc>
        <w:tc>
          <w:tcPr>
            <w:tcW w:w="1312" w:type="dxa"/>
            <w:shd w:val="clear" w:color="000000" w:fill="ACB9CA"/>
            <w:noWrap/>
            <w:vAlign w:val="bottom"/>
            <w:hideMark/>
          </w:tcPr>
          <w:p w14:paraId="3E585EC8" w14:textId="77777777" w:rsidR="00D936B4" w:rsidRPr="00D936B4" w:rsidRDefault="00D936B4" w:rsidP="00D936B4">
            <w:pPr>
              <w:spacing w:after="0" w:line="240" w:lineRule="auto"/>
              <w:jc w:val="center"/>
              <w:rPr>
                <w:rFonts w:ascii="Calibri" w:eastAsia="Arial Unicode MS" w:hAnsi="Calibri" w:cs="Arial Unicode MS"/>
                <w:b/>
                <w:bCs/>
                <w:color w:val="000000"/>
                <w:lang w:bidi="th-TH"/>
              </w:rPr>
            </w:pPr>
            <w:r w:rsidRPr="00D936B4">
              <w:rPr>
                <w:rFonts w:ascii="Calibri" w:eastAsia="Arial Unicode MS" w:hAnsi="Calibri" w:cs="Arial Unicode MS"/>
                <w:b/>
                <w:bCs/>
                <w:color w:val="000000"/>
                <w:lang w:bidi="th-TH"/>
              </w:rPr>
              <w:t>To Account</w:t>
            </w:r>
          </w:p>
        </w:tc>
        <w:tc>
          <w:tcPr>
            <w:tcW w:w="3780" w:type="dxa"/>
            <w:shd w:val="clear" w:color="000000" w:fill="ACB9CA"/>
            <w:noWrap/>
            <w:vAlign w:val="bottom"/>
            <w:hideMark/>
          </w:tcPr>
          <w:p w14:paraId="5F38EED4" w14:textId="77777777" w:rsidR="00D936B4" w:rsidRPr="00D936B4" w:rsidRDefault="00D936B4" w:rsidP="00D936B4">
            <w:pPr>
              <w:spacing w:after="0" w:line="240" w:lineRule="auto"/>
              <w:jc w:val="center"/>
              <w:rPr>
                <w:rFonts w:ascii="Calibri" w:eastAsia="Arial Unicode MS" w:hAnsi="Calibri" w:cs="Arial Unicode MS"/>
                <w:b/>
                <w:bCs/>
                <w:color w:val="000000"/>
                <w:lang w:bidi="th-TH"/>
              </w:rPr>
            </w:pPr>
            <w:r w:rsidRPr="00D936B4">
              <w:rPr>
                <w:rFonts w:ascii="Calibri" w:eastAsia="Arial Unicode MS" w:hAnsi="Calibri" w:cs="Arial Unicode MS"/>
                <w:b/>
                <w:bCs/>
                <w:color w:val="000000"/>
                <w:lang w:bidi="th-TH"/>
              </w:rPr>
              <w:t>Description</w:t>
            </w:r>
          </w:p>
        </w:tc>
      </w:tr>
      <w:tr w:rsidR="00D936B4" w:rsidRPr="00D936B4" w14:paraId="05646F86" w14:textId="77777777" w:rsidTr="00D81A35">
        <w:trPr>
          <w:trHeight w:val="300"/>
        </w:trPr>
        <w:tc>
          <w:tcPr>
            <w:tcW w:w="1113" w:type="dxa"/>
            <w:shd w:val="clear" w:color="auto" w:fill="auto"/>
            <w:noWrap/>
            <w:vAlign w:val="bottom"/>
            <w:hideMark/>
          </w:tcPr>
          <w:p w14:paraId="794B0FB1" w14:textId="77777777" w:rsidR="00D936B4" w:rsidRPr="00D936B4" w:rsidRDefault="00D936B4" w:rsidP="00D936B4">
            <w:pPr>
              <w:spacing w:after="0" w:line="240" w:lineRule="auto"/>
              <w:jc w:val="right"/>
              <w:rPr>
                <w:rFonts w:ascii="Arial Unicode MS" w:eastAsia="Arial Unicode MS" w:hAnsi="Arial Unicode MS" w:cs="Arial Unicode MS"/>
                <w:sz w:val="20"/>
                <w:szCs w:val="20"/>
                <w:lang w:bidi="th-TH"/>
              </w:rPr>
            </w:pPr>
            <w:r w:rsidRPr="00D936B4">
              <w:rPr>
                <w:rFonts w:ascii="Arial Unicode MS" w:eastAsia="Arial Unicode MS" w:hAnsi="Arial Unicode MS" w:cs="Arial Unicode MS" w:hint="eastAsia"/>
                <w:sz w:val="20"/>
                <w:szCs w:val="20"/>
                <w:lang w:bidi="th-TH"/>
              </w:rPr>
              <w:t>13500</w:t>
            </w:r>
          </w:p>
        </w:tc>
        <w:tc>
          <w:tcPr>
            <w:tcW w:w="1312" w:type="dxa"/>
            <w:shd w:val="clear" w:color="auto" w:fill="auto"/>
            <w:noWrap/>
            <w:vAlign w:val="bottom"/>
            <w:hideMark/>
          </w:tcPr>
          <w:p w14:paraId="4FA5E3EC" w14:textId="77777777" w:rsidR="00D936B4" w:rsidRPr="00D936B4" w:rsidRDefault="00D936B4" w:rsidP="00D936B4">
            <w:pPr>
              <w:spacing w:after="0" w:line="240" w:lineRule="auto"/>
              <w:jc w:val="right"/>
              <w:rPr>
                <w:rFonts w:ascii="Arial Unicode MS" w:eastAsia="Arial Unicode MS" w:hAnsi="Arial Unicode MS" w:cs="Arial Unicode MS"/>
                <w:sz w:val="20"/>
                <w:szCs w:val="20"/>
                <w:lang w:bidi="th-TH"/>
              </w:rPr>
            </w:pPr>
          </w:p>
        </w:tc>
        <w:tc>
          <w:tcPr>
            <w:tcW w:w="3780" w:type="dxa"/>
            <w:shd w:val="clear" w:color="auto" w:fill="auto"/>
            <w:noWrap/>
            <w:vAlign w:val="bottom"/>
            <w:hideMark/>
          </w:tcPr>
          <w:p w14:paraId="2A25C0DC" w14:textId="77777777" w:rsidR="00D936B4" w:rsidRPr="00D936B4" w:rsidRDefault="00D936B4" w:rsidP="00D936B4">
            <w:pPr>
              <w:spacing w:after="0" w:line="240" w:lineRule="auto"/>
              <w:rPr>
                <w:rFonts w:ascii="Arial Unicode MS" w:eastAsia="Arial Unicode MS" w:hAnsi="Arial Unicode MS" w:cs="Arial Unicode MS"/>
                <w:sz w:val="20"/>
                <w:szCs w:val="20"/>
                <w:lang w:bidi="th-TH"/>
              </w:rPr>
            </w:pPr>
            <w:r w:rsidRPr="00D936B4">
              <w:rPr>
                <w:rFonts w:ascii="Arial Unicode MS" w:eastAsia="Arial Unicode MS" w:hAnsi="Arial Unicode MS" w:cs="Arial Unicode MS" w:hint="eastAsia"/>
                <w:sz w:val="20"/>
                <w:szCs w:val="20"/>
                <w:lang w:bidi="th-TH"/>
              </w:rPr>
              <w:t>Security Deposit - long- term</w:t>
            </w:r>
          </w:p>
        </w:tc>
      </w:tr>
      <w:tr w:rsidR="00D936B4" w:rsidRPr="00D936B4" w14:paraId="0AD44C45" w14:textId="77777777" w:rsidTr="00D81A35">
        <w:trPr>
          <w:trHeight w:val="300"/>
        </w:trPr>
        <w:tc>
          <w:tcPr>
            <w:tcW w:w="1113" w:type="dxa"/>
            <w:shd w:val="clear" w:color="auto" w:fill="auto"/>
            <w:noWrap/>
            <w:vAlign w:val="bottom"/>
            <w:hideMark/>
          </w:tcPr>
          <w:p w14:paraId="7917129C" w14:textId="77777777" w:rsidR="00D936B4" w:rsidRPr="00D936B4" w:rsidRDefault="00D936B4" w:rsidP="00D936B4">
            <w:pPr>
              <w:spacing w:after="0" w:line="240" w:lineRule="auto"/>
              <w:jc w:val="right"/>
              <w:rPr>
                <w:rFonts w:ascii="Arial Unicode MS" w:eastAsia="Arial Unicode MS" w:hAnsi="Arial Unicode MS" w:cs="Arial Unicode MS"/>
                <w:sz w:val="20"/>
                <w:szCs w:val="20"/>
                <w:lang w:bidi="th-TH"/>
              </w:rPr>
            </w:pPr>
            <w:r w:rsidRPr="00D936B4">
              <w:rPr>
                <w:rFonts w:ascii="Arial Unicode MS" w:eastAsia="Arial Unicode MS" w:hAnsi="Arial Unicode MS" w:cs="Arial Unicode MS" w:hint="eastAsia"/>
                <w:sz w:val="20"/>
                <w:szCs w:val="20"/>
                <w:lang w:bidi="th-TH"/>
              </w:rPr>
              <w:t>14095</w:t>
            </w:r>
          </w:p>
        </w:tc>
        <w:tc>
          <w:tcPr>
            <w:tcW w:w="1312" w:type="dxa"/>
            <w:shd w:val="clear" w:color="auto" w:fill="auto"/>
            <w:noWrap/>
            <w:vAlign w:val="bottom"/>
            <w:hideMark/>
          </w:tcPr>
          <w:p w14:paraId="0531EDF3" w14:textId="77777777" w:rsidR="00D936B4" w:rsidRPr="00D936B4" w:rsidRDefault="00D936B4" w:rsidP="00D936B4">
            <w:pPr>
              <w:spacing w:after="0" w:line="240" w:lineRule="auto"/>
              <w:jc w:val="right"/>
              <w:rPr>
                <w:rFonts w:ascii="Arial Unicode MS" w:eastAsia="Arial Unicode MS" w:hAnsi="Arial Unicode MS" w:cs="Arial Unicode MS"/>
                <w:sz w:val="20"/>
                <w:szCs w:val="20"/>
                <w:lang w:bidi="th-TH"/>
              </w:rPr>
            </w:pPr>
          </w:p>
        </w:tc>
        <w:tc>
          <w:tcPr>
            <w:tcW w:w="3780" w:type="dxa"/>
            <w:shd w:val="clear" w:color="auto" w:fill="auto"/>
            <w:noWrap/>
            <w:vAlign w:val="bottom"/>
            <w:hideMark/>
          </w:tcPr>
          <w:p w14:paraId="67823FBE" w14:textId="77777777" w:rsidR="00D936B4" w:rsidRPr="00D936B4" w:rsidRDefault="00D936B4" w:rsidP="00D936B4">
            <w:pPr>
              <w:spacing w:after="0" w:line="240" w:lineRule="auto"/>
              <w:rPr>
                <w:rFonts w:ascii="Arial Unicode MS" w:eastAsia="Arial Unicode MS" w:hAnsi="Arial Unicode MS" w:cs="Arial Unicode MS"/>
                <w:sz w:val="20"/>
                <w:szCs w:val="20"/>
                <w:lang w:bidi="th-TH"/>
              </w:rPr>
            </w:pPr>
            <w:proofErr w:type="spellStart"/>
            <w:r w:rsidRPr="00D936B4">
              <w:rPr>
                <w:rFonts w:ascii="Arial Unicode MS" w:eastAsia="Arial Unicode MS" w:hAnsi="Arial Unicode MS" w:cs="Arial Unicode MS" w:hint="eastAsia"/>
                <w:sz w:val="20"/>
                <w:szCs w:val="20"/>
                <w:lang w:bidi="th-TH"/>
              </w:rPr>
              <w:t>Misc</w:t>
            </w:r>
            <w:proofErr w:type="spellEnd"/>
            <w:r w:rsidRPr="00D936B4">
              <w:rPr>
                <w:rFonts w:ascii="Arial Unicode MS" w:eastAsia="Arial Unicode MS" w:hAnsi="Arial Unicode MS" w:cs="Arial Unicode MS" w:hint="eastAsia"/>
                <w:sz w:val="20"/>
                <w:szCs w:val="20"/>
                <w:lang w:bidi="th-TH"/>
              </w:rPr>
              <w:t xml:space="preserve"> Receivables - Non Staff</w:t>
            </w:r>
          </w:p>
        </w:tc>
      </w:tr>
      <w:tr w:rsidR="00D936B4" w:rsidRPr="00D936B4" w14:paraId="793BBE73" w14:textId="77777777" w:rsidTr="00D81A35">
        <w:trPr>
          <w:trHeight w:val="300"/>
        </w:trPr>
        <w:tc>
          <w:tcPr>
            <w:tcW w:w="1113" w:type="dxa"/>
            <w:shd w:val="clear" w:color="auto" w:fill="auto"/>
            <w:noWrap/>
            <w:vAlign w:val="bottom"/>
            <w:hideMark/>
          </w:tcPr>
          <w:p w14:paraId="0D7EAA4B" w14:textId="77777777" w:rsidR="00D936B4" w:rsidRPr="00D936B4" w:rsidRDefault="00D936B4" w:rsidP="00D936B4">
            <w:pPr>
              <w:spacing w:after="0" w:line="240" w:lineRule="auto"/>
              <w:jc w:val="right"/>
              <w:rPr>
                <w:rFonts w:ascii="Arial Unicode MS" w:eastAsia="Arial Unicode MS" w:hAnsi="Arial Unicode MS" w:cs="Arial Unicode MS"/>
                <w:sz w:val="20"/>
                <w:szCs w:val="20"/>
                <w:lang w:bidi="th-TH"/>
              </w:rPr>
            </w:pPr>
            <w:r w:rsidRPr="00D936B4">
              <w:rPr>
                <w:rFonts w:ascii="Arial Unicode MS" w:eastAsia="Arial Unicode MS" w:hAnsi="Arial Unicode MS" w:cs="Arial Unicode MS" w:hint="eastAsia"/>
                <w:sz w:val="20"/>
                <w:szCs w:val="20"/>
                <w:lang w:bidi="th-TH"/>
              </w:rPr>
              <w:t>14155</w:t>
            </w:r>
          </w:p>
        </w:tc>
        <w:tc>
          <w:tcPr>
            <w:tcW w:w="1312" w:type="dxa"/>
            <w:shd w:val="clear" w:color="auto" w:fill="auto"/>
            <w:noWrap/>
            <w:vAlign w:val="bottom"/>
            <w:hideMark/>
          </w:tcPr>
          <w:p w14:paraId="4F57ADB3" w14:textId="77777777" w:rsidR="00D936B4" w:rsidRPr="00D936B4" w:rsidRDefault="00D936B4" w:rsidP="00D936B4">
            <w:pPr>
              <w:spacing w:after="0" w:line="240" w:lineRule="auto"/>
              <w:jc w:val="right"/>
              <w:rPr>
                <w:rFonts w:ascii="Arial Unicode MS" w:eastAsia="Arial Unicode MS" w:hAnsi="Arial Unicode MS" w:cs="Arial Unicode MS"/>
                <w:sz w:val="20"/>
                <w:szCs w:val="20"/>
                <w:lang w:bidi="th-TH"/>
              </w:rPr>
            </w:pPr>
          </w:p>
        </w:tc>
        <w:tc>
          <w:tcPr>
            <w:tcW w:w="3780" w:type="dxa"/>
            <w:shd w:val="clear" w:color="auto" w:fill="auto"/>
            <w:noWrap/>
            <w:vAlign w:val="bottom"/>
            <w:hideMark/>
          </w:tcPr>
          <w:p w14:paraId="71AF9D8A" w14:textId="77777777" w:rsidR="00D936B4" w:rsidRPr="00D936B4" w:rsidRDefault="00D936B4" w:rsidP="00D936B4">
            <w:pPr>
              <w:spacing w:after="0" w:line="240" w:lineRule="auto"/>
              <w:rPr>
                <w:rFonts w:ascii="Arial Unicode MS" w:eastAsia="Arial Unicode MS" w:hAnsi="Arial Unicode MS" w:cs="Arial Unicode MS"/>
                <w:sz w:val="20"/>
                <w:szCs w:val="20"/>
                <w:lang w:bidi="th-TH"/>
              </w:rPr>
            </w:pPr>
            <w:r w:rsidRPr="00D936B4">
              <w:rPr>
                <w:rFonts w:ascii="Arial Unicode MS" w:eastAsia="Arial Unicode MS" w:hAnsi="Arial Unicode MS" w:cs="Arial Unicode MS" w:hint="eastAsia"/>
                <w:sz w:val="20"/>
                <w:szCs w:val="20"/>
                <w:lang w:bidi="th-TH"/>
              </w:rPr>
              <w:t>Accounts Receivable - Third Pa</w:t>
            </w:r>
          </w:p>
        </w:tc>
      </w:tr>
      <w:tr w:rsidR="00D936B4" w:rsidRPr="00D936B4" w14:paraId="31278C69" w14:textId="77777777" w:rsidTr="00D81A35">
        <w:trPr>
          <w:trHeight w:val="300"/>
        </w:trPr>
        <w:tc>
          <w:tcPr>
            <w:tcW w:w="1113" w:type="dxa"/>
            <w:shd w:val="clear" w:color="auto" w:fill="auto"/>
            <w:noWrap/>
            <w:vAlign w:val="bottom"/>
            <w:hideMark/>
          </w:tcPr>
          <w:p w14:paraId="040643C8" w14:textId="77777777" w:rsidR="00D936B4" w:rsidRPr="00D936B4" w:rsidRDefault="00D936B4" w:rsidP="00D936B4">
            <w:pPr>
              <w:spacing w:after="0" w:line="240" w:lineRule="auto"/>
              <w:jc w:val="right"/>
              <w:rPr>
                <w:rFonts w:ascii="Arial Unicode MS" w:eastAsia="Arial Unicode MS" w:hAnsi="Arial Unicode MS" w:cs="Arial Unicode MS"/>
                <w:sz w:val="20"/>
                <w:szCs w:val="20"/>
                <w:lang w:bidi="th-TH"/>
              </w:rPr>
            </w:pPr>
            <w:r w:rsidRPr="00D936B4">
              <w:rPr>
                <w:rFonts w:ascii="Arial Unicode MS" w:eastAsia="Arial Unicode MS" w:hAnsi="Arial Unicode MS" w:cs="Arial Unicode MS" w:hint="eastAsia"/>
                <w:sz w:val="20"/>
                <w:szCs w:val="20"/>
                <w:lang w:bidi="th-TH"/>
              </w:rPr>
              <w:t>14170</w:t>
            </w:r>
          </w:p>
        </w:tc>
        <w:tc>
          <w:tcPr>
            <w:tcW w:w="1312" w:type="dxa"/>
            <w:shd w:val="clear" w:color="auto" w:fill="auto"/>
            <w:noWrap/>
            <w:vAlign w:val="bottom"/>
            <w:hideMark/>
          </w:tcPr>
          <w:p w14:paraId="7F6308D3" w14:textId="77777777" w:rsidR="00D936B4" w:rsidRPr="00D936B4" w:rsidRDefault="00D936B4" w:rsidP="00D936B4">
            <w:pPr>
              <w:spacing w:after="0" w:line="240" w:lineRule="auto"/>
              <w:jc w:val="right"/>
              <w:rPr>
                <w:rFonts w:ascii="Arial Unicode MS" w:eastAsia="Arial Unicode MS" w:hAnsi="Arial Unicode MS" w:cs="Arial Unicode MS"/>
                <w:sz w:val="20"/>
                <w:szCs w:val="20"/>
                <w:lang w:bidi="th-TH"/>
              </w:rPr>
            </w:pPr>
          </w:p>
        </w:tc>
        <w:tc>
          <w:tcPr>
            <w:tcW w:w="3780" w:type="dxa"/>
            <w:shd w:val="clear" w:color="auto" w:fill="auto"/>
            <w:noWrap/>
            <w:vAlign w:val="bottom"/>
            <w:hideMark/>
          </w:tcPr>
          <w:p w14:paraId="15567733" w14:textId="77777777" w:rsidR="00D936B4" w:rsidRPr="00D936B4" w:rsidRDefault="00D936B4" w:rsidP="00D936B4">
            <w:pPr>
              <w:spacing w:after="0" w:line="240" w:lineRule="auto"/>
              <w:rPr>
                <w:rFonts w:ascii="Arial Unicode MS" w:eastAsia="Arial Unicode MS" w:hAnsi="Arial Unicode MS" w:cs="Arial Unicode MS"/>
                <w:sz w:val="20"/>
                <w:szCs w:val="20"/>
                <w:lang w:bidi="th-TH"/>
              </w:rPr>
            </w:pPr>
            <w:r w:rsidRPr="00D936B4">
              <w:rPr>
                <w:rFonts w:ascii="Arial Unicode MS" w:eastAsia="Arial Unicode MS" w:hAnsi="Arial Unicode MS" w:cs="Arial Unicode MS" w:hint="eastAsia"/>
                <w:sz w:val="20"/>
                <w:szCs w:val="20"/>
                <w:lang w:bidi="th-TH"/>
              </w:rPr>
              <w:t>Accounts Receivable - Exchange</w:t>
            </w:r>
          </w:p>
        </w:tc>
      </w:tr>
      <w:tr w:rsidR="00D936B4" w:rsidRPr="00D936B4" w14:paraId="5F1EB10B" w14:textId="77777777" w:rsidTr="00D81A35">
        <w:trPr>
          <w:trHeight w:val="300"/>
        </w:trPr>
        <w:tc>
          <w:tcPr>
            <w:tcW w:w="1113" w:type="dxa"/>
            <w:shd w:val="clear" w:color="auto" w:fill="auto"/>
            <w:noWrap/>
            <w:vAlign w:val="bottom"/>
            <w:hideMark/>
          </w:tcPr>
          <w:p w14:paraId="55426A6A" w14:textId="77777777" w:rsidR="00D936B4" w:rsidRPr="00D936B4" w:rsidRDefault="00D936B4" w:rsidP="00D936B4">
            <w:pPr>
              <w:spacing w:after="0" w:line="240" w:lineRule="auto"/>
              <w:jc w:val="right"/>
              <w:rPr>
                <w:rFonts w:ascii="Arial Unicode MS" w:eastAsia="Arial Unicode MS" w:hAnsi="Arial Unicode MS" w:cs="Arial Unicode MS"/>
                <w:sz w:val="20"/>
                <w:szCs w:val="20"/>
                <w:lang w:bidi="th-TH"/>
              </w:rPr>
            </w:pPr>
            <w:r w:rsidRPr="00D936B4">
              <w:rPr>
                <w:rFonts w:ascii="Arial Unicode MS" w:eastAsia="Arial Unicode MS" w:hAnsi="Arial Unicode MS" w:cs="Arial Unicode MS" w:hint="eastAsia"/>
                <w:sz w:val="20"/>
                <w:szCs w:val="20"/>
                <w:lang w:bidi="th-TH"/>
              </w:rPr>
              <w:t>21032</w:t>
            </w:r>
          </w:p>
        </w:tc>
        <w:tc>
          <w:tcPr>
            <w:tcW w:w="1312" w:type="dxa"/>
            <w:shd w:val="clear" w:color="auto" w:fill="auto"/>
            <w:noWrap/>
            <w:vAlign w:val="bottom"/>
            <w:hideMark/>
          </w:tcPr>
          <w:p w14:paraId="6FF94F47" w14:textId="77777777" w:rsidR="00D936B4" w:rsidRPr="00D936B4" w:rsidRDefault="00D936B4" w:rsidP="00D936B4">
            <w:pPr>
              <w:spacing w:after="0" w:line="240" w:lineRule="auto"/>
              <w:jc w:val="right"/>
              <w:rPr>
                <w:rFonts w:ascii="Arial Unicode MS" w:eastAsia="Arial Unicode MS" w:hAnsi="Arial Unicode MS" w:cs="Arial Unicode MS"/>
                <w:sz w:val="20"/>
                <w:szCs w:val="20"/>
                <w:lang w:bidi="th-TH"/>
              </w:rPr>
            </w:pPr>
          </w:p>
        </w:tc>
        <w:tc>
          <w:tcPr>
            <w:tcW w:w="3780" w:type="dxa"/>
            <w:shd w:val="clear" w:color="auto" w:fill="auto"/>
            <w:noWrap/>
            <w:vAlign w:val="bottom"/>
            <w:hideMark/>
          </w:tcPr>
          <w:p w14:paraId="4A6350C7" w14:textId="4EBF2EDD" w:rsidR="00D936B4" w:rsidRPr="00D936B4" w:rsidRDefault="00D936B4" w:rsidP="00D936B4">
            <w:pPr>
              <w:spacing w:after="0" w:line="240" w:lineRule="auto"/>
              <w:rPr>
                <w:rFonts w:ascii="Arial Unicode MS" w:eastAsia="Arial Unicode MS" w:hAnsi="Arial Unicode MS" w:cs="Arial Unicode MS"/>
                <w:sz w:val="20"/>
                <w:szCs w:val="20"/>
                <w:lang w:bidi="th-TH"/>
              </w:rPr>
            </w:pPr>
            <w:r w:rsidRPr="00D936B4">
              <w:rPr>
                <w:rFonts w:ascii="Arial Unicode MS" w:eastAsia="Arial Unicode MS" w:hAnsi="Arial Unicode MS" w:cs="Arial Unicode MS" w:hint="eastAsia"/>
                <w:sz w:val="20"/>
                <w:szCs w:val="20"/>
                <w:lang w:bidi="th-TH"/>
              </w:rPr>
              <w:t xml:space="preserve">Guarantees </w:t>
            </w:r>
            <w:r w:rsidR="007D5C67" w:rsidRPr="00D936B4">
              <w:rPr>
                <w:rFonts w:ascii="Arial Unicode MS" w:eastAsia="Arial Unicode MS" w:hAnsi="Arial Unicode MS" w:cs="Arial Unicode MS"/>
                <w:sz w:val="20"/>
                <w:szCs w:val="20"/>
                <w:lang w:bidi="th-TH"/>
              </w:rPr>
              <w:t>Received</w:t>
            </w:r>
          </w:p>
        </w:tc>
      </w:tr>
      <w:tr w:rsidR="00D936B4" w:rsidRPr="00D936B4" w14:paraId="166111D9" w14:textId="77777777" w:rsidTr="00D81A35">
        <w:trPr>
          <w:trHeight w:val="300"/>
        </w:trPr>
        <w:tc>
          <w:tcPr>
            <w:tcW w:w="1113" w:type="dxa"/>
            <w:shd w:val="clear" w:color="auto" w:fill="auto"/>
            <w:noWrap/>
            <w:vAlign w:val="bottom"/>
            <w:hideMark/>
          </w:tcPr>
          <w:p w14:paraId="377AC92A" w14:textId="77777777" w:rsidR="00D936B4" w:rsidRPr="00D936B4" w:rsidRDefault="00D936B4" w:rsidP="00D936B4">
            <w:pPr>
              <w:spacing w:after="0" w:line="240" w:lineRule="auto"/>
              <w:jc w:val="right"/>
              <w:rPr>
                <w:rFonts w:ascii="Arial Unicode MS" w:eastAsia="Arial Unicode MS" w:hAnsi="Arial Unicode MS" w:cs="Arial Unicode MS"/>
                <w:sz w:val="20"/>
                <w:szCs w:val="20"/>
                <w:lang w:bidi="th-TH"/>
              </w:rPr>
            </w:pPr>
            <w:r w:rsidRPr="00D936B4">
              <w:rPr>
                <w:rFonts w:ascii="Arial Unicode MS" w:eastAsia="Arial Unicode MS" w:hAnsi="Arial Unicode MS" w:cs="Arial Unicode MS" w:hint="eastAsia"/>
                <w:sz w:val="20"/>
                <w:szCs w:val="20"/>
                <w:lang w:bidi="th-TH"/>
              </w:rPr>
              <w:t>21070</w:t>
            </w:r>
          </w:p>
        </w:tc>
        <w:tc>
          <w:tcPr>
            <w:tcW w:w="1312" w:type="dxa"/>
            <w:shd w:val="clear" w:color="auto" w:fill="auto"/>
            <w:noWrap/>
            <w:vAlign w:val="bottom"/>
            <w:hideMark/>
          </w:tcPr>
          <w:p w14:paraId="7C8425BF" w14:textId="77777777" w:rsidR="00D936B4" w:rsidRPr="00D936B4" w:rsidRDefault="00D936B4" w:rsidP="00D936B4">
            <w:pPr>
              <w:spacing w:after="0" w:line="240" w:lineRule="auto"/>
              <w:jc w:val="right"/>
              <w:rPr>
                <w:rFonts w:ascii="Arial Unicode MS" w:eastAsia="Arial Unicode MS" w:hAnsi="Arial Unicode MS" w:cs="Arial Unicode MS"/>
                <w:sz w:val="20"/>
                <w:szCs w:val="20"/>
                <w:lang w:bidi="th-TH"/>
              </w:rPr>
            </w:pPr>
          </w:p>
        </w:tc>
        <w:tc>
          <w:tcPr>
            <w:tcW w:w="3780" w:type="dxa"/>
            <w:shd w:val="clear" w:color="auto" w:fill="auto"/>
            <w:noWrap/>
            <w:vAlign w:val="bottom"/>
            <w:hideMark/>
          </w:tcPr>
          <w:p w14:paraId="74A91A40" w14:textId="77777777" w:rsidR="00D936B4" w:rsidRPr="00D936B4" w:rsidRDefault="00D936B4" w:rsidP="00D936B4">
            <w:pPr>
              <w:spacing w:after="0" w:line="240" w:lineRule="auto"/>
              <w:rPr>
                <w:rFonts w:ascii="Arial Unicode MS" w:eastAsia="Arial Unicode MS" w:hAnsi="Arial Unicode MS" w:cs="Arial Unicode MS"/>
                <w:sz w:val="20"/>
                <w:szCs w:val="20"/>
                <w:lang w:bidi="th-TH"/>
              </w:rPr>
            </w:pPr>
            <w:r w:rsidRPr="00D936B4">
              <w:rPr>
                <w:rFonts w:ascii="Arial Unicode MS" w:eastAsia="Arial Unicode MS" w:hAnsi="Arial Unicode MS" w:cs="Arial Unicode MS" w:hint="eastAsia"/>
                <w:sz w:val="20"/>
                <w:szCs w:val="20"/>
                <w:lang w:bidi="th-TH"/>
              </w:rPr>
              <w:t>AP - Exchange Revenue</w:t>
            </w:r>
          </w:p>
        </w:tc>
      </w:tr>
      <w:tr w:rsidR="00D936B4" w:rsidRPr="00D936B4" w14:paraId="22853BEF" w14:textId="77777777" w:rsidTr="00D81A35">
        <w:trPr>
          <w:trHeight w:val="300"/>
        </w:trPr>
        <w:tc>
          <w:tcPr>
            <w:tcW w:w="1113" w:type="dxa"/>
            <w:shd w:val="clear" w:color="auto" w:fill="auto"/>
            <w:noWrap/>
            <w:vAlign w:val="bottom"/>
            <w:hideMark/>
          </w:tcPr>
          <w:p w14:paraId="24F66A68" w14:textId="77777777" w:rsidR="00D936B4" w:rsidRPr="00D936B4" w:rsidRDefault="00D936B4" w:rsidP="00D936B4">
            <w:pPr>
              <w:spacing w:after="0" w:line="240" w:lineRule="auto"/>
              <w:jc w:val="right"/>
              <w:rPr>
                <w:rFonts w:ascii="Arial Unicode MS" w:eastAsia="Arial Unicode MS" w:hAnsi="Arial Unicode MS" w:cs="Arial Unicode MS"/>
                <w:sz w:val="20"/>
                <w:szCs w:val="20"/>
                <w:lang w:bidi="th-TH"/>
              </w:rPr>
            </w:pPr>
            <w:r w:rsidRPr="00D936B4">
              <w:rPr>
                <w:rFonts w:ascii="Arial Unicode MS" w:eastAsia="Arial Unicode MS" w:hAnsi="Arial Unicode MS" w:cs="Arial Unicode MS" w:hint="eastAsia"/>
                <w:sz w:val="20"/>
                <w:szCs w:val="20"/>
                <w:lang w:bidi="th-TH"/>
              </w:rPr>
              <w:t>23200</w:t>
            </w:r>
          </w:p>
        </w:tc>
        <w:tc>
          <w:tcPr>
            <w:tcW w:w="1312" w:type="dxa"/>
            <w:shd w:val="clear" w:color="auto" w:fill="auto"/>
            <w:noWrap/>
            <w:vAlign w:val="bottom"/>
            <w:hideMark/>
          </w:tcPr>
          <w:p w14:paraId="1C5CD094" w14:textId="77777777" w:rsidR="00D936B4" w:rsidRPr="00D936B4" w:rsidRDefault="00D936B4" w:rsidP="00D936B4">
            <w:pPr>
              <w:spacing w:after="0" w:line="240" w:lineRule="auto"/>
              <w:jc w:val="right"/>
              <w:rPr>
                <w:rFonts w:ascii="Arial Unicode MS" w:eastAsia="Arial Unicode MS" w:hAnsi="Arial Unicode MS" w:cs="Arial Unicode MS"/>
                <w:sz w:val="20"/>
                <w:szCs w:val="20"/>
                <w:lang w:bidi="th-TH"/>
              </w:rPr>
            </w:pPr>
          </w:p>
        </w:tc>
        <w:tc>
          <w:tcPr>
            <w:tcW w:w="3780" w:type="dxa"/>
            <w:shd w:val="clear" w:color="auto" w:fill="auto"/>
            <w:noWrap/>
            <w:vAlign w:val="bottom"/>
            <w:hideMark/>
          </w:tcPr>
          <w:p w14:paraId="2FBA8B78" w14:textId="77777777" w:rsidR="00D936B4" w:rsidRPr="00D936B4" w:rsidRDefault="00D936B4" w:rsidP="00D936B4">
            <w:pPr>
              <w:spacing w:after="0" w:line="240" w:lineRule="auto"/>
              <w:rPr>
                <w:rFonts w:ascii="Arial Unicode MS" w:eastAsia="Arial Unicode MS" w:hAnsi="Arial Unicode MS" w:cs="Arial Unicode MS"/>
                <w:sz w:val="20"/>
                <w:szCs w:val="20"/>
                <w:lang w:bidi="th-TH"/>
              </w:rPr>
            </w:pPr>
            <w:r w:rsidRPr="00D936B4">
              <w:rPr>
                <w:rFonts w:ascii="Arial Unicode MS" w:eastAsia="Arial Unicode MS" w:hAnsi="Arial Unicode MS" w:cs="Arial Unicode MS" w:hint="eastAsia"/>
                <w:sz w:val="20"/>
                <w:szCs w:val="20"/>
                <w:lang w:bidi="th-TH"/>
              </w:rPr>
              <w:t xml:space="preserve">Supplier/donor </w:t>
            </w:r>
            <w:proofErr w:type="spellStart"/>
            <w:r w:rsidRPr="00D936B4">
              <w:rPr>
                <w:rFonts w:ascii="Arial Unicode MS" w:eastAsia="Arial Unicode MS" w:hAnsi="Arial Unicode MS" w:cs="Arial Unicode MS" w:hint="eastAsia"/>
                <w:sz w:val="20"/>
                <w:szCs w:val="20"/>
                <w:lang w:bidi="th-TH"/>
              </w:rPr>
              <w:t>CashHoldback_ST</w:t>
            </w:r>
            <w:proofErr w:type="spellEnd"/>
          </w:p>
        </w:tc>
      </w:tr>
      <w:tr w:rsidR="00D936B4" w:rsidRPr="00D936B4" w14:paraId="2A198C66" w14:textId="77777777" w:rsidTr="00D81A35">
        <w:trPr>
          <w:trHeight w:val="300"/>
        </w:trPr>
        <w:tc>
          <w:tcPr>
            <w:tcW w:w="1113" w:type="dxa"/>
            <w:shd w:val="clear" w:color="auto" w:fill="auto"/>
            <w:noWrap/>
            <w:vAlign w:val="bottom"/>
            <w:hideMark/>
          </w:tcPr>
          <w:p w14:paraId="6C590249" w14:textId="77777777" w:rsidR="00D936B4" w:rsidRPr="00D936B4" w:rsidRDefault="00D936B4" w:rsidP="00D936B4">
            <w:pPr>
              <w:spacing w:after="0" w:line="240" w:lineRule="auto"/>
              <w:jc w:val="right"/>
              <w:rPr>
                <w:rFonts w:ascii="Arial Unicode MS" w:eastAsia="Arial Unicode MS" w:hAnsi="Arial Unicode MS" w:cs="Arial Unicode MS"/>
                <w:sz w:val="20"/>
                <w:szCs w:val="20"/>
                <w:lang w:bidi="th-TH"/>
              </w:rPr>
            </w:pPr>
            <w:r w:rsidRPr="00D936B4">
              <w:rPr>
                <w:rFonts w:ascii="Arial Unicode MS" w:eastAsia="Arial Unicode MS" w:hAnsi="Arial Unicode MS" w:cs="Arial Unicode MS" w:hint="eastAsia"/>
                <w:sz w:val="20"/>
                <w:szCs w:val="20"/>
                <w:lang w:bidi="th-TH"/>
              </w:rPr>
              <w:t>23300</w:t>
            </w:r>
          </w:p>
        </w:tc>
        <w:tc>
          <w:tcPr>
            <w:tcW w:w="1312" w:type="dxa"/>
            <w:shd w:val="clear" w:color="auto" w:fill="auto"/>
            <w:noWrap/>
            <w:vAlign w:val="bottom"/>
            <w:hideMark/>
          </w:tcPr>
          <w:p w14:paraId="2DB988C8" w14:textId="77777777" w:rsidR="00D936B4" w:rsidRPr="00D936B4" w:rsidRDefault="00D936B4" w:rsidP="00D936B4">
            <w:pPr>
              <w:spacing w:after="0" w:line="240" w:lineRule="auto"/>
              <w:jc w:val="right"/>
              <w:rPr>
                <w:rFonts w:ascii="Arial Unicode MS" w:eastAsia="Arial Unicode MS" w:hAnsi="Arial Unicode MS" w:cs="Arial Unicode MS"/>
                <w:sz w:val="20"/>
                <w:szCs w:val="20"/>
                <w:lang w:bidi="th-TH"/>
              </w:rPr>
            </w:pPr>
          </w:p>
        </w:tc>
        <w:tc>
          <w:tcPr>
            <w:tcW w:w="3780" w:type="dxa"/>
            <w:shd w:val="clear" w:color="auto" w:fill="auto"/>
            <w:noWrap/>
            <w:vAlign w:val="bottom"/>
            <w:hideMark/>
          </w:tcPr>
          <w:p w14:paraId="41C1279D" w14:textId="77777777" w:rsidR="00D936B4" w:rsidRPr="00D936B4" w:rsidRDefault="00D936B4" w:rsidP="00D936B4">
            <w:pPr>
              <w:spacing w:after="0" w:line="240" w:lineRule="auto"/>
              <w:rPr>
                <w:rFonts w:ascii="Arial Unicode MS" w:eastAsia="Arial Unicode MS" w:hAnsi="Arial Unicode MS" w:cs="Arial Unicode MS"/>
                <w:sz w:val="20"/>
                <w:szCs w:val="20"/>
                <w:lang w:bidi="th-TH"/>
              </w:rPr>
            </w:pPr>
            <w:r w:rsidRPr="00D936B4">
              <w:rPr>
                <w:rFonts w:ascii="Arial Unicode MS" w:eastAsia="Arial Unicode MS" w:hAnsi="Arial Unicode MS" w:cs="Arial Unicode MS" w:hint="eastAsia"/>
                <w:sz w:val="20"/>
                <w:szCs w:val="20"/>
                <w:lang w:bidi="th-TH"/>
              </w:rPr>
              <w:t xml:space="preserve">Supplier/donor </w:t>
            </w:r>
            <w:proofErr w:type="spellStart"/>
            <w:r w:rsidRPr="00D936B4">
              <w:rPr>
                <w:rFonts w:ascii="Arial Unicode MS" w:eastAsia="Arial Unicode MS" w:hAnsi="Arial Unicode MS" w:cs="Arial Unicode MS" w:hint="eastAsia"/>
                <w:sz w:val="20"/>
                <w:szCs w:val="20"/>
                <w:lang w:bidi="th-TH"/>
              </w:rPr>
              <w:t>CashHoldback_LT</w:t>
            </w:r>
            <w:proofErr w:type="spellEnd"/>
          </w:p>
        </w:tc>
      </w:tr>
      <w:tr w:rsidR="00D936B4" w:rsidRPr="00D936B4" w14:paraId="60DC8428" w14:textId="77777777" w:rsidTr="00D81A35">
        <w:trPr>
          <w:trHeight w:val="300"/>
        </w:trPr>
        <w:tc>
          <w:tcPr>
            <w:tcW w:w="1113" w:type="dxa"/>
            <w:shd w:val="clear" w:color="auto" w:fill="auto"/>
            <w:noWrap/>
            <w:vAlign w:val="bottom"/>
            <w:hideMark/>
          </w:tcPr>
          <w:p w14:paraId="312C0125" w14:textId="77777777" w:rsidR="00D936B4" w:rsidRPr="00D936B4" w:rsidRDefault="00D936B4" w:rsidP="00D936B4">
            <w:pPr>
              <w:spacing w:after="0" w:line="240" w:lineRule="auto"/>
              <w:jc w:val="right"/>
              <w:rPr>
                <w:rFonts w:ascii="Arial Unicode MS" w:eastAsia="Arial Unicode MS" w:hAnsi="Arial Unicode MS" w:cs="Arial Unicode MS"/>
                <w:sz w:val="20"/>
                <w:szCs w:val="20"/>
                <w:lang w:bidi="th-TH"/>
              </w:rPr>
            </w:pPr>
            <w:r w:rsidRPr="00D936B4">
              <w:rPr>
                <w:rFonts w:ascii="Arial Unicode MS" w:eastAsia="Arial Unicode MS" w:hAnsi="Arial Unicode MS" w:cs="Arial Unicode MS" w:hint="eastAsia"/>
                <w:sz w:val="20"/>
                <w:szCs w:val="20"/>
                <w:lang w:bidi="th-TH"/>
              </w:rPr>
              <w:t>14056</w:t>
            </w:r>
          </w:p>
        </w:tc>
        <w:tc>
          <w:tcPr>
            <w:tcW w:w="1312" w:type="dxa"/>
            <w:shd w:val="clear" w:color="auto" w:fill="auto"/>
            <w:noWrap/>
            <w:vAlign w:val="bottom"/>
            <w:hideMark/>
          </w:tcPr>
          <w:p w14:paraId="0034A4FD" w14:textId="77777777" w:rsidR="00D936B4" w:rsidRPr="00D936B4" w:rsidRDefault="00D936B4" w:rsidP="00D936B4">
            <w:pPr>
              <w:spacing w:after="0" w:line="240" w:lineRule="auto"/>
              <w:jc w:val="right"/>
              <w:rPr>
                <w:rFonts w:ascii="Arial Unicode MS" w:eastAsia="Arial Unicode MS" w:hAnsi="Arial Unicode MS" w:cs="Arial Unicode MS"/>
                <w:sz w:val="20"/>
                <w:szCs w:val="20"/>
                <w:lang w:bidi="th-TH"/>
              </w:rPr>
            </w:pPr>
          </w:p>
        </w:tc>
        <w:tc>
          <w:tcPr>
            <w:tcW w:w="3780" w:type="dxa"/>
            <w:shd w:val="clear" w:color="auto" w:fill="auto"/>
            <w:noWrap/>
            <w:vAlign w:val="bottom"/>
            <w:hideMark/>
          </w:tcPr>
          <w:p w14:paraId="7EAA2864" w14:textId="77777777" w:rsidR="00D936B4" w:rsidRPr="00D936B4" w:rsidRDefault="00D936B4" w:rsidP="00D936B4">
            <w:pPr>
              <w:spacing w:after="0" w:line="240" w:lineRule="auto"/>
              <w:rPr>
                <w:rFonts w:ascii="Arial Unicode MS" w:eastAsia="Arial Unicode MS" w:hAnsi="Arial Unicode MS" w:cs="Arial Unicode MS"/>
                <w:sz w:val="20"/>
                <w:szCs w:val="20"/>
                <w:lang w:bidi="th-TH"/>
              </w:rPr>
            </w:pPr>
            <w:r w:rsidRPr="00D936B4">
              <w:rPr>
                <w:rFonts w:ascii="Arial Unicode MS" w:eastAsia="Arial Unicode MS" w:hAnsi="Arial Unicode MS" w:cs="Arial Unicode MS" w:hint="eastAsia"/>
                <w:sz w:val="20"/>
                <w:szCs w:val="20"/>
                <w:lang w:bidi="th-TH"/>
              </w:rPr>
              <w:t>VAT/Sales Tax</w:t>
            </w:r>
          </w:p>
        </w:tc>
      </w:tr>
      <w:tr w:rsidR="00D936B4" w:rsidRPr="00D936B4" w14:paraId="5AC72BD0" w14:textId="77777777" w:rsidTr="00D81A35">
        <w:trPr>
          <w:trHeight w:val="300"/>
        </w:trPr>
        <w:tc>
          <w:tcPr>
            <w:tcW w:w="1113" w:type="dxa"/>
            <w:shd w:val="clear" w:color="auto" w:fill="auto"/>
            <w:noWrap/>
            <w:vAlign w:val="bottom"/>
            <w:hideMark/>
          </w:tcPr>
          <w:p w14:paraId="06C6D61D" w14:textId="77777777" w:rsidR="00D936B4" w:rsidRPr="00D936B4" w:rsidRDefault="00D936B4" w:rsidP="00D936B4">
            <w:pPr>
              <w:spacing w:after="0" w:line="240" w:lineRule="auto"/>
              <w:jc w:val="right"/>
              <w:rPr>
                <w:rFonts w:ascii="Arial Unicode MS" w:eastAsia="Arial Unicode MS" w:hAnsi="Arial Unicode MS" w:cs="Arial Unicode MS"/>
                <w:sz w:val="20"/>
                <w:szCs w:val="20"/>
                <w:lang w:bidi="th-TH"/>
              </w:rPr>
            </w:pPr>
            <w:r w:rsidRPr="00D936B4">
              <w:rPr>
                <w:rFonts w:ascii="Arial Unicode MS" w:eastAsia="Arial Unicode MS" w:hAnsi="Arial Unicode MS" w:cs="Arial Unicode MS" w:hint="eastAsia"/>
                <w:sz w:val="20"/>
                <w:szCs w:val="20"/>
                <w:lang w:bidi="th-TH"/>
              </w:rPr>
              <w:t>21012</w:t>
            </w:r>
          </w:p>
        </w:tc>
        <w:tc>
          <w:tcPr>
            <w:tcW w:w="1312" w:type="dxa"/>
            <w:shd w:val="clear" w:color="auto" w:fill="auto"/>
            <w:noWrap/>
            <w:vAlign w:val="bottom"/>
            <w:hideMark/>
          </w:tcPr>
          <w:p w14:paraId="1510D960" w14:textId="77777777" w:rsidR="00D936B4" w:rsidRPr="00D936B4" w:rsidRDefault="00D936B4" w:rsidP="00D936B4">
            <w:pPr>
              <w:spacing w:after="0" w:line="240" w:lineRule="auto"/>
              <w:jc w:val="right"/>
              <w:rPr>
                <w:rFonts w:ascii="Arial Unicode MS" w:eastAsia="Arial Unicode MS" w:hAnsi="Arial Unicode MS" w:cs="Arial Unicode MS"/>
                <w:sz w:val="20"/>
                <w:szCs w:val="20"/>
                <w:lang w:bidi="th-TH"/>
              </w:rPr>
            </w:pPr>
          </w:p>
        </w:tc>
        <w:tc>
          <w:tcPr>
            <w:tcW w:w="3780" w:type="dxa"/>
            <w:shd w:val="clear" w:color="auto" w:fill="auto"/>
            <w:noWrap/>
            <w:vAlign w:val="bottom"/>
            <w:hideMark/>
          </w:tcPr>
          <w:p w14:paraId="426FEC40" w14:textId="77777777" w:rsidR="00D936B4" w:rsidRPr="00D936B4" w:rsidRDefault="00D936B4" w:rsidP="00D936B4">
            <w:pPr>
              <w:spacing w:after="0" w:line="240" w:lineRule="auto"/>
              <w:rPr>
                <w:rFonts w:ascii="Arial Unicode MS" w:eastAsia="Arial Unicode MS" w:hAnsi="Arial Unicode MS" w:cs="Arial Unicode MS"/>
                <w:sz w:val="20"/>
                <w:szCs w:val="20"/>
                <w:lang w:bidi="th-TH"/>
              </w:rPr>
            </w:pPr>
            <w:r w:rsidRPr="00D936B4">
              <w:rPr>
                <w:rFonts w:ascii="Arial Unicode MS" w:eastAsia="Arial Unicode MS" w:hAnsi="Arial Unicode MS" w:cs="Arial Unicode MS" w:hint="eastAsia"/>
                <w:sz w:val="20"/>
                <w:szCs w:val="20"/>
                <w:lang w:bidi="th-TH"/>
              </w:rPr>
              <w:t>Staff Payable (Salary related)</w:t>
            </w:r>
          </w:p>
        </w:tc>
      </w:tr>
      <w:tr w:rsidR="00D936B4" w:rsidRPr="00D936B4" w14:paraId="45C61247" w14:textId="77777777" w:rsidTr="00D81A35">
        <w:trPr>
          <w:trHeight w:val="300"/>
        </w:trPr>
        <w:tc>
          <w:tcPr>
            <w:tcW w:w="1113" w:type="dxa"/>
            <w:shd w:val="clear" w:color="auto" w:fill="auto"/>
            <w:noWrap/>
            <w:vAlign w:val="bottom"/>
            <w:hideMark/>
          </w:tcPr>
          <w:p w14:paraId="25E8BF3A" w14:textId="77777777" w:rsidR="00D936B4" w:rsidRPr="00D936B4" w:rsidRDefault="00D936B4" w:rsidP="00D936B4">
            <w:pPr>
              <w:spacing w:after="0" w:line="240" w:lineRule="auto"/>
              <w:jc w:val="right"/>
              <w:rPr>
                <w:rFonts w:ascii="Arial Unicode MS" w:eastAsia="Arial Unicode MS" w:hAnsi="Arial Unicode MS" w:cs="Arial Unicode MS"/>
                <w:sz w:val="20"/>
                <w:szCs w:val="20"/>
                <w:lang w:bidi="th-TH"/>
              </w:rPr>
            </w:pPr>
            <w:r w:rsidRPr="00D936B4">
              <w:rPr>
                <w:rFonts w:ascii="Arial Unicode MS" w:eastAsia="Arial Unicode MS" w:hAnsi="Arial Unicode MS" w:cs="Arial Unicode MS" w:hint="eastAsia"/>
                <w:sz w:val="20"/>
                <w:szCs w:val="20"/>
                <w:lang w:bidi="th-TH"/>
              </w:rPr>
              <w:t>23066</w:t>
            </w:r>
          </w:p>
        </w:tc>
        <w:tc>
          <w:tcPr>
            <w:tcW w:w="1312" w:type="dxa"/>
            <w:shd w:val="clear" w:color="auto" w:fill="auto"/>
            <w:noWrap/>
            <w:vAlign w:val="bottom"/>
            <w:hideMark/>
          </w:tcPr>
          <w:p w14:paraId="6CFCE6CA" w14:textId="77777777" w:rsidR="00D936B4" w:rsidRPr="00D936B4" w:rsidRDefault="00D936B4" w:rsidP="00D936B4">
            <w:pPr>
              <w:spacing w:after="0" w:line="240" w:lineRule="auto"/>
              <w:jc w:val="right"/>
              <w:rPr>
                <w:rFonts w:ascii="Arial Unicode MS" w:eastAsia="Arial Unicode MS" w:hAnsi="Arial Unicode MS" w:cs="Arial Unicode MS"/>
                <w:sz w:val="20"/>
                <w:szCs w:val="20"/>
                <w:lang w:bidi="th-TH"/>
              </w:rPr>
            </w:pPr>
          </w:p>
        </w:tc>
        <w:tc>
          <w:tcPr>
            <w:tcW w:w="3780" w:type="dxa"/>
            <w:shd w:val="clear" w:color="auto" w:fill="auto"/>
            <w:noWrap/>
            <w:vAlign w:val="bottom"/>
            <w:hideMark/>
          </w:tcPr>
          <w:p w14:paraId="3D2EC19A" w14:textId="77777777" w:rsidR="00D936B4" w:rsidRPr="00D936B4" w:rsidRDefault="00D936B4" w:rsidP="00D936B4">
            <w:pPr>
              <w:spacing w:after="0" w:line="240" w:lineRule="auto"/>
              <w:rPr>
                <w:rFonts w:ascii="Arial Unicode MS" w:eastAsia="Arial Unicode MS" w:hAnsi="Arial Unicode MS" w:cs="Arial Unicode MS"/>
                <w:sz w:val="20"/>
                <w:szCs w:val="20"/>
                <w:lang w:bidi="th-TH"/>
              </w:rPr>
            </w:pPr>
            <w:r w:rsidRPr="00D936B4">
              <w:rPr>
                <w:rFonts w:ascii="Arial Unicode MS" w:eastAsia="Arial Unicode MS" w:hAnsi="Arial Unicode MS" w:cs="Arial Unicode MS" w:hint="eastAsia"/>
                <w:sz w:val="20"/>
                <w:szCs w:val="20"/>
                <w:lang w:bidi="th-TH"/>
              </w:rPr>
              <w:t>Private Pension SCH</w:t>
            </w:r>
          </w:p>
        </w:tc>
      </w:tr>
      <w:tr w:rsidR="00D936B4" w:rsidRPr="00D936B4" w14:paraId="71CE1CB1" w14:textId="77777777" w:rsidTr="00D81A35">
        <w:trPr>
          <w:trHeight w:val="300"/>
        </w:trPr>
        <w:tc>
          <w:tcPr>
            <w:tcW w:w="1113" w:type="dxa"/>
            <w:shd w:val="clear" w:color="auto" w:fill="auto"/>
            <w:noWrap/>
            <w:vAlign w:val="bottom"/>
            <w:hideMark/>
          </w:tcPr>
          <w:p w14:paraId="5AB805C2" w14:textId="77777777" w:rsidR="00D936B4" w:rsidRPr="00D936B4" w:rsidRDefault="00D936B4" w:rsidP="00D936B4">
            <w:pPr>
              <w:spacing w:after="0" w:line="240" w:lineRule="auto"/>
              <w:jc w:val="right"/>
              <w:rPr>
                <w:rFonts w:ascii="Arial Unicode MS" w:eastAsia="Arial Unicode MS" w:hAnsi="Arial Unicode MS" w:cs="Arial Unicode MS"/>
                <w:sz w:val="20"/>
                <w:szCs w:val="20"/>
                <w:lang w:bidi="th-TH"/>
              </w:rPr>
            </w:pPr>
            <w:r w:rsidRPr="00D936B4">
              <w:rPr>
                <w:rFonts w:ascii="Arial Unicode MS" w:eastAsia="Arial Unicode MS" w:hAnsi="Arial Unicode MS" w:cs="Arial Unicode MS" w:hint="eastAsia"/>
                <w:sz w:val="20"/>
                <w:szCs w:val="20"/>
                <w:lang w:bidi="th-TH"/>
              </w:rPr>
              <w:t>23080</w:t>
            </w:r>
          </w:p>
        </w:tc>
        <w:tc>
          <w:tcPr>
            <w:tcW w:w="1312" w:type="dxa"/>
            <w:shd w:val="clear" w:color="auto" w:fill="auto"/>
            <w:noWrap/>
            <w:vAlign w:val="bottom"/>
            <w:hideMark/>
          </w:tcPr>
          <w:p w14:paraId="60C1C6C1" w14:textId="77777777" w:rsidR="00D936B4" w:rsidRPr="00D936B4" w:rsidRDefault="00D936B4" w:rsidP="00D936B4">
            <w:pPr>
              <w:spacing w:after="0" w:line="240" w:lineRule="auto"/>
              <w:jc w:val="right"/>
              <w:rPr>
                <w:rFonts w:ascii="Arial Unicode MS" w:eastAsia="Arial Unicode MS" w:hAnsi="Arial Unicode MS" w:cs="Arial Unicode MS"/>
                <w:sz w:val="20"/>
                <w:szCs w:val="20"/>
                <w:lang w:bidi="th-TH"/>
              </w:rPr>
            </w:pPr>
          </w:p>
        </w:tc>
        <w:tc>
          <w:tcPr>
            <w:tcW w:w="3780" w:type="dxa"/>
            <w:shd w:val="clear" w:color="auto" w:fill="auto"/>
            <w:noWrap/>
            <w:vAlign w:val="bottom"/>
            <w:hideMark/>
          </w:tcPr>
          <w:p w14:paraId="04F2CDCE" w14:textId="77777777" w:rsidR="00D936B4" w:rsidRPr="00D936B4" w:rsidRDefault="00D936B4" w:rsidP="00D936B4">
            <w:pPr>
              <w:spacing w:after="0" w:line="240" w:lineRule="auto"/>
              <w:rPr>
                <w:rFonts w:ascii="Arial Unicode MS" w:eastAsia="Arial Unicode MS" w:hAnsi="Arial Unicode MS" w:cs="Arial Unicode MS"/>
                <w:sz w:val="20"/>
                <w:szCs w:val="20"/>
                <w:lang w:bidi="th-TH"/>
              </w:rPr>
            </w:pPr>
            <w:r w:rsidRPr="00D936B4">
              <w:rPr>
                <w:rFonts w:ascii="Arial Unicode MS" w:eastAsia="Arial Unicode MS" w:hAnsi="Arial Unicode MS" w:cs="Arial Unicode MS" w:hint="eastAsia"/>
                <w:sz w:val="20"/>
                <w:szCs w:val="20"/>
                <w:lang w:bidi="th-TH"/>
              </w:rPr>
              <w:t>Garage Fees</w:t>
            </w:r>
          </w:p>
        </w:tc>
      </w:tr>
      <w:tr w:rsidR="00D936B4" w:rsidRPr="00D936B4" w14:paraId="6068BC66" w14:textId="77777777" w:rsidTr="00D81A35">
        <w:trPr>
          <w:trHeight w:val="300"/>
        </w:trPr>
        <w:tc>
          <w:tcPr>
            <w:tcW w:w="1113" w:type="dxa"/>
            <w:shd w:val="clear" w:color="auto" w:fill="auto"/>
            <w:noWrap/>
            <w:vAlign w:val="bottom"/>
            <w:hideMark/>
          </w:tcPr>
          <w:p w14:paraId="0B2FAFBC" w14:textId="77777777" w:rsidR="00D936B4" w:rsidRPr="00D936B4" w:rsidRDefault="00D936B4" w:rsidP="00D936B4">
            <w:pPr>
              <w:spacing w:after="0" w:line="240" w:lineRule="auto"/>
              <w:jc w:val="right"/>
              <w:rPr>
                <w:rFonts w:ascii="Arial Unicode MS" w:eastAsia="Arial Unicode MS" w:hAnsi="Arial Unicode MS" w:cs="Arial Unicode MS"/>
                <w:sz w:val="20"/>
                <w:szCs w:val="20"/>
                <w:lang w:bidi="th-TH"/>
              </w:rPr>
            </w:pPr>
            <w:r w:rsidRPr="00D936B4">
              <w:rPr>
                <w:rFonts w:ascii="Arial Unicode MS" w:eastAsia="Arial Unicode MS" w:hAnsi="Arial Unicode MS" w:cs="Arial Unicode MS" w:hint="eastAsia"/>
                <w:sz w:val="20"/>
                <w:szCs w:val="20"/>
                <w:lang w:bidi="th-TH"/>
              </w:rPr>
              <w:t>23081</w:t>
            </w:r>
          </w:p>
        </w:tc>
        <w:tc>
          <w:tcPr>
            <w:tcW w:w="1312" w:type="dxa"/>
            <w:shd w:val="clear" w:color="auto" w:fill="auto"/>
            <w:noWrap/>
            <w:vAlign w:val="bottom"/>
            <w:hideMark/>
          </w:tcPr>
          <w:p w14:paraId="3F757578" w14:textId="77777777" w:rsidR="00D936B4" w:rsidRPr="00D936B4" w:rsidRDefault="00D936B4" w:rsidP="00D936B4">
            <w:pPr>
              <w:spacing w:after="0" w:line="240" w:lineRule="auto"/>
              <w:jc w:val="right"/>
              <w:rPr>
                <w:rFonts w:ascii="Arial Unicode MS" w:eastAsia="Arial Unicode MS" w:hAnsi="Arial Unicode MS" w:cs="Arial Unicode MS"/>
                <w:sz w:val="20"/>
                <w:szCs w:val="20"/>
                <w:lang w:bidi="th-TH"/>
              </w:rPr>
            </w:pPr>
          </w:p>
        </w:tc>
        <w:tc>
          <w:tcPr>
            <w:tcW w:w="3780" w:type="dxa"/>
            <w:shd w:val="clear" w:color="auto" w:fill="auto"/>
            <w:noWrap/>
            <w:vAlign w:val="bottom"/>
            <w:hideMark/>
          </w:tcPr>
          <w:p w14:paraId="182862F3" w14:textId="77777777" w:rsidR="00D936B4" w:rsidRPr="00D936B4" w:rsidRDefault="00D936B4" w:rsidP="00D936B4">
            <w:pPr>
              <w:spacing w:after="0" w:line="240" w:lineRule="auto"/>
              <w:rPr>
                <w:rFonts w:ascii="Arial Unicode MS" w:eastAsia="Arial Unicode MS" w:hAnsi="Arial Unicode MS" w:cs="Arial Unicode MS"/>
                <w:sz w:val="20"/>
                <w:szCs w:val="20"/>
                <w:lang w:bidi="th-TH"/>
              </w:rPr>
            </w:pPr>
            <w:r w:rsidRPr="00D936B4">
              <w:rPr>
                <w:rFonts w:ascii="Arial Unicode MS" w:eastAsia="Arial Unicode MS" w:hAnsi="Arial Unicode MS" w:cs="Arial Unicode MS" w:hint="eastAsia"/>
                <w:sz w:val="20"/>
                <w:szCs w:val="20"/>
                <w:lang w:bidi="th-TH"/>
              </w:rPr>
              <w:t>AP-Garnishment</w:t>
            </w:r>
          </w:p>
        </w:tc>
      </w:tr>
      <w:tr w:rsidR="00D936B4" w:rsidRPr="00D936B4" w14:paraId="03552325" w14:textId="77777777" w:rsidTr="00D81A35">
        <w:trPr>
          <w:trHeight w:val="300"/>
        </w:trPr>
        <w:tc>
          <w:tcPr>
            <w:tcW w:w="1113" w:type="dxa"/>
            <w:shd w:val="clear" w:color="auto" w:fill="auto"/>
            <w:noWrap/>
            <w:vAlign w:val="bottom"/>
            <w:hideMark/>
          </w:tcPr>
          <w:p w14:paraId="2D1070C5" w14:textId="77777777" w:rsidR="00D936B4" w:rsidRPr="00D936B4" w:rsidRDefault="00D936B4" w:rsidP="00D936B4">
            <w:pPr>
              <w:spacing w:after="0" w:line="240" w:lineRule="auto"/>
              <w:jc w:val="right"/>
              <w:rPr>
                <w:rFonts w:ascii="Arial Unicode MS" w:eastAsia="Arial Unicode MS" w:hAnsi="Arial Unicode MS" w:cs="Arial Unicode MS"/>
                <w:sz w:val="20"/>
                <w:szCs w:val="20"/>
                <w:lang w:bidi="th-TH"/>
              </w:rPr>
            </w:pPr>
            <w:r w:rsidRPr="00D936B4">
              <w:rPr>
                <w:rFonts w:ascii="Arial Unicode MS" w:eastAsia="Arial Unicode MS" w:hAnsi="Arial Unicode MS" w:cs="Arial Unicode MS" w:hint="eastAsia"/>
                <w:sz w:val="20"/>
                <w:szCs w:val="20"/>
                <w:lang w:bidi="th-TH"/>
              </w:rPr>
              <w:t>23084</w:t>
            </w:r>
          </w:p>
        </w:tc>
        <w:tc>
          <w:tcPr>
            <w:tcW w:w="1312" w:type="dxa"/>
            <w:shd w:val="clear" w:color="auto" w:fill="auto"/>
            <w:noWrap/>
            <w:vAlign w:val="bottom"/>
            <w:hideMark/>
          </w:tcPr>
          <w:p w14:paraId="6AC2F5A1" w14:textId="77777777" w:rsidR="00D936B4" w:rsidRPr="00D936B4" w:rsidRDefault="00D936B4" w:rsidP="00D936B4">
            <w:pPr>
              <w:spacing w:after="0" w:line="240" w:lineRule="auto"/>
              <w:jc w:val="right"/>
              <w:rPr>
                <w:rFonts w:ascii="Arial Unicode MS" w:eastAsia="Arial Unicode MS" w:hAnsi="Arial Unicode MS" w:cs="Arial Unicode MS"/>
                <w:sz w:val="20"/>
                <w:szCs w:val="20"/>
                <w:lang w:bidi="th-TH"/>
              </w:rPr>
            </w:pPr>
          </w:p>
        </w:tc>
        <w:tc>
          <w:tcPr>
            <w:tcW w:w="3780" w:type="dxa"/>
            <w:shd w:val="clear" w:color="auto" w:fill="auto"/>
            <w:noWrap/>
            <w:vAlign w:val="bottom"/>
            <w:hideMark/>
          </w:tcPr>
          <w:p w14:paraId="545606F1" w14:textId="77777777" w:rsidR="00D936B4" w:rsidRPr="00D936B4" w:rsidRDefault="00D936B4" w:rsidP="00D936B4">
            <w:pPr>
              <w:spacing w:after="0" w:line="240" w:lineRule="auto"/>
              <w:rPr>
                <w:rFonts w:ascii="Arial Unicode MS" w:eastAsia="Arial Unicode MS" w:hAnsi="Arial Unicode MS" w:cs="Arial Unicode MS"/>
                <w:sz w:val="20"/>
                <w:szCs w:val="20"/>
                <w:lang w:bidi="th-TH"/>
              </w:rPr>
            </w:pPr>
            <w:r w:rsidRPr="00D936B4">
              <w:rPr>
                <w:rFonts w:ascii="Arial Unicode MS" w:eastAsia="Arial Unicode MS" w:hAnsi="Arial Unicode MS" w:cs="Arial Unicode MS" w:hint="eastAsia"/>
                <w:sz w:val="20"/>
                <w:szCs w:val="20"/>
                <w:lang w:bidi="th-TH"/>
              </w:rPr>
              <w:t>Accrued Indemnity</w:t>
            </w:r>
          </w:p>
        </w:tc>
      </w:tr>
      <w:tr w:rsidR="00D936B4" w:rsidRPr="00D936B4" w14:paraId="15FC4C92" w14:textId="77777777" w:rsidTr="00D81A35">
        <w:trPr>
          <w:trHeight w:val="300"/>
        </w:trPr>
        <w:tc>
          <w:tcPr>
            <w:tcW w:w="1113" w:type="dxa"/>
            <w:shd w:val="clear" w:color="auto" w:fill="auto"/>
            <w:noWrap/>
            <w:vAlign w:val="bottom"/>
            <w:hideMark/>
          </w:tcPr>
          <w:p w14:paraId="743202E0" w14:textId="77777777" w:rsidR="00D936B4" w:rsidRPr="00D936B4" w:rsidRDefault="00D936B4" w:rsidP="00D936B4">
            <w:pPr>
              <w:spacing w:after="0" w:line="240" w:lineRule="auto"/>
              <w:jc w:val="right"/>
              <w:rPr>
                <w:rFonts w:ascii="Arial Unicode MS" w:eastAsia="Arial Unicode MS" w:hAnsi="Arial Unicode MS" w:cs="Arial Unicode MS"/>
                <w:sz w:val="20"/>
                <w:szCs w:val="20"/>
                <w:lang w:bidi="th-TH"/>
              </w:rPr>
            </w:pPr>
            <w:r w:rsidRPr="00D936B4">
              <w:rPr>
                <w:rFonts w:ascii="Arial Unicode MS" w:eastAsia="Arial Unicode MS" w:hAnsi="Arial Unicode MS" w:cs="Arial Unicode MS" w:hint="eastAsia"/>
                <w:sz w:val="20"/>
                <w:szCs w:val="20"/>
                <w:lang w:bidi="th-TH"/>
              </w:rPr>
              <w:t>23086</w:t>
            </w:r>
          </w:p>
        </w:tc>
        <w:tc>
          <w:tcPr>
            <w:tcW w:w="1312" w:type="dxa"/>
            <w:shd w:val="clear" w:color="auto" w:fill="auto"/>
            <w:noWrap/>
            <w:vAlign w:val="bottom"/>
            <w:hideMark/>
          </w:tcPr>
          <w:p w14:paraId="3DA553AC" w14:textId="77777777" w:rsidR="00D936B4" w:rsidRPr="00D936B4" w:rsidRDefault="00D936B4" w:rsidP="00D936B4">
            <w:pPr>
              <w:spacing w:after="0" w:line="240" w:lineRule="auto"/>
              <w:jc w:val="right"/>
              <w:rPr>
                <w:rFonts w:ascii="Arial Unicode MS" w:eastAsia="Arial Unicode MS" w:hAnsi="Arial Unicode MS" w:cs="Arial Unicode MS"/>
                <w:sz w:val="20"/>
                <w:szCs w:val="20"/>
                <w:lang w:bidi="th-TH"/>
              </w:rPr>
            </w:pPr>
          </w:p>
        </w:tc>
        <w:tc>
          <w:tcPr>
            <w:tcW w:w="3780" w:type="dxa"/>
            <w:shd w:val="clear" w:color="auto" w:fill="auto"/>
            <w:noWrap/>
            <w:vAlign w:val="bottom"/>
            <w:hideMark/>
          </w:tcPr>
          <w:p w14:paraId="0A87C77A" w14:textId="77777777" w:rsidR="00D936B4" w:rsidRPr="00D936B4" w:rsidRDefault="00D936B4" w:rsidP="00D936B4">
            <w:pPr>
              <w:spacing w:after="0" w:line="240" w:lineRule="auto"/>
              <w:rPr>
                <w:rFonts w:ascii="Arial Unicode MS" w:eastAsia="Arial Unicode MS" w:hAnsi="Arial Unicode MS" w:cs="Arial Unicode MS"/>
                <w:sz w:val="20"/>
                <w:szCs w:val="20"/>
                <w:lang w:bidi="th-TH"/>
              </w:rPr>
            </w:pPr>
            <w:r w:rsidRPr="00D936B4">
              <w:rPr>
                <w:rFonts w:ascii="Arial Unicode MS" w:eastAsia="Arial Unicode MS" w:hAnsi="Arial Unicode MS" w:cs="Arial Unicode MS" w:hint="eastAsia"/>
                <w:sz w:val="20"/>
                <w:szCs w:val="20"/>
                <w:lang w:bidi="th-TH"/>
              </w:rPr>
              <w:t xml:space="preserve">Accrued </w:t>
            </w:r>
            <w:proofErr w:type="spellStart"/>
            <w:r w:rsidRPr="00D936B4">
              <w:rPr>
                <w:rFonts w:ascii="Arial Unicode MS" w:eastAsia="Arial Unicode MS" w:hAnsi="Arial Unicode MS" w:cs="Arial Unicode MS" w:hint="eastAsia"/>
                <w:sz w:val="20"/>
                <w:szCs w:val="20"/>
                <w:lang w:bidi="th-TH"/>
              </w:rPr>
              <w:t>Annu</w:t>
            </w:r>
            <w:proofErr w:type="spellEnd"/>
            <w:r w:rsidRPr="00D936B4">
              <w:rPr>
                <w:rFonts w:ascii="Arial Unicode MS" w:eastAsia="Arial Unicode MS" w:hAnsi="Arial Unicode MS" w:cs="Arial Unicode MS" w:hint="eastAsia"/>
                <w:sz w:val="20"/>
                <w:szCs w:val="20"/>
                <w:lang w:bidi="th-TH"/>
              </w:rPr>
              <w:t xml:space="preserve"> Leave Payable-ST</w:t>
            </w:r>
          </w:p>
        </w:tc>
      </w:tr>
      <w:tr w:rsidR="00D936B4" w:rsidRPr="00D936B4" w14:paraId="71A6F6A8" w14:textId="77777777" w:rsidTr="00D81A35">
        <w:trPr>
          <w:trHeight w:val="300"/>
        </w:trPr>
        <w:tc>
          <w:tcPr>
            <w:tcW w:w="1113" w:type="dxa"/>
            <w:shd w:val="clear" w:color="auto" w:fill="auto"/>
            <w:noWrap/>
            <w:vAlign w:val="bottom"/>
            <w:hideMark/>
          </w:tcPr>
          <w:p w14:paraId="0B1227D4" w14:textId="77777777" w:rsidR="00D936B4" w:rsidRPr="00D936B4" w:rsidRDefault="00D936B4" w:rsidP="00D936B4">
            <w:pPr>
              <w:spacing w:after="0" w:line="240" w:lineRule="auto"/>
              <w:jc w:val="right"/>
              <w:rPr>
                <w:rFonts w:ascii="Arial Unicode MS" w:eastAsia="Arial Unicode MS" w:hAnsi="Arial Unicode MS" w:cs="Arial Unicode MS"/>
                <w:sz w:val="20"/>
                <w:szCs w:val="20"/>
                <w:lang w:bidi="th-TH"/>
              </w:rPr>
            </w:pPr>
            <w:r w:rsidRPr="00D936B4">
              <w:rPr>
                <w:rFonts w:ascii="Arial Unicode MS" w:eastAsia="Arial Unicode MS" w:hAnsi="Arial Unicode MS" w:cs="Arial Unicode MS" w:hint="eastAsia"/>
                <w:sz w:val="20"/>
                <w:szCs w:val="20"/>
                <w:lang w:bidi="th-TH"/>
              </w:rPr>
              <w:t>14020</w:t>
            </w:r>
          </w:p>
        </w:tc>
        <w:tc>
          <w:tcPr>
            <w:tcW w:w="1312" w:type="dxa"/>
            <w:shd w:val="clear" w:color="auto" w:fill="auto"/>
            <w:noWrap/>
            <w:vAlign w:val="bottom"/>
            <w:hideMark/>
          </w:tcPr>
          <w:p w14:paraId="528E98A0" w14:textId="77777777" w:rsidR="00D936B4" w:rsidRPr="00D936B4" w:rsidRDefault="00D936B4" w:rsidP="00D936B4">
            <w:pPr>
              <w:spacing w:after="0" w:line="240" w:lineRule="auto"/>
              <w:jc w:val="right"/>
              <w:rPr>
                <w:rFonts w:ascii="Arial Unicode MS" w:eastAsia="Arial Unicode MS" w:hAnsi="Arial Unicode MS" w:cs="Arial Unicode MS"/>
                <w:sz w:val="20"/>
                <w:szCs w:val="20"/>
                <w:lang w:bidi="th-TH"/>
              </w:rPr>
            </w:pPr>
          </w:p>
        </w:tc>
        <w:tc>
          <w:tcPr>
            <w:tcW w:w="3780" w:type="dxa"/>
            <w:shd w:val="clear" w:color="auto" w:fill="auto"/>
            <w:noWrap/>
            <w:vAlign w:val="bottom"/>
            <w:hideMark/>
          </w:tcPr>
          <w:p w14:paraId="43821D33" w14:textId="77777777" w:rsidR="00D936B4" w:rsidRPr="00D936B4" w:rsidRDefault="00D936B4" w:rsidP="00D936B4">
            <w:pPr>
              <w:spacing w:after="0" w:line="240" w:lineRule="auto"/>
              <w:rPr>
                <w:rFonts w:ascii="Arial Unicode MS" w:eastAsia="Arial Unicode MS" w:hAnsi="Arial Unicode MS" w:cs="Arial Unicode MS"/>
                <w:sz w:val="20"/>
                <w:szCs w:val="20"/>
                <w:lang w:bidi="th-TH"/>
              </w:rPr>
            </w:pPr>
            <w:r w:rsidRPr="00D936B4">
              <w:rPr>
                <w:rFonts w:ascii="Arial Unicode MS" w:eastAsia="Arial Unicode MS" w:hAnsi="Arial Unicode MS" w:cs="Arial Unicode MS" w:hint="eastAsia"/>
                <w:sz w:val="20"/>
                <w:szCs w:val="20"/>
                <w:lang w:bidi="th-TH"/>
              </w:rPr>
              <w:t>Staff Receivable - Salary Adv</w:t>
            </w:r>
          </w:p>
        </w:tc>
      </w:tr>
      <w:tr w:rsidR="00D936B4" w:rsidRPr="00D936B4" w14:paraId="3092F30C" w14:textId="77777777" w:rsidTr="00D81A35">
        <w:trPr>
          <w:trHeight w:val="300"/>
        </w:trPr>
        <w:tc>
          <w:tcPr>
            <w:tcW w:w="1113" w:type="dxa"/>
            <w:shd w:val="clear" w:color="auto" w:fill="auto"/>
            <w:noWrap/>
            <w:vAlign w:val="bottom"/>
            <w:hideMark/>
          </w:tcPr>
          <w:p w14:paraId="2D516FA9" w14:textId="77777777" w:rsidR="00D936B4" w:rsidRPr="00D936B4" w:rsidRDefault="00D936B4" w:rsidP="00D936B4">
            <w:pPr>
              <w:spacing w:after="0" w:line="240" w:lineRule="auto"/>
              <w:jc w:val="right"/>
              <w:rPr>
                <w:rFonts w:ascii="Arial Unicode MS" w:eastAsia="Arial Unicode MS" w:hAnsi="Arial Unicode MS" w:cs="Arial Unicode MS"/>
                <w:sz w:val="20"/>
                <w:szCs w:val="20"/>
                <w:lang w:bidi="th-TH"/>
              </w:rPr>
            </w:pPr>
            <w:r w:rsidRPr="00D936B4">
              <w:rPr>
                <w:rFonts w:ascii="Arial Unicode MS" w:eastAsia="Arial Unicode MS" w:hAnsi="Arial Unicode MS" w:cs="Arial Unicode MS" w:hint="eastAsia"/>
                <w:sz w:val="20"/>
                <w:szCs w:val="20"/>
                <w:lang w:bidi="th-TH"/>
              </w:rPr>
              <w:t>14035</w:t>
            </w:r>
          </w:p>
        </w:tc>
        <w:tc>
          <w:tcPr>
            <w:tcW w:w="1312" w:type="dxa"/>
            <w:shd w:val="clear" w:color="auto" w:fill="auto"/>
            <w:noWrap/>
            <w:vAlign w:val="bottom"/>
            <w:hideMark/>
          </w:tcPr>
          <w:p w14:paraId="28357E23" w14:textId="77777777" w:rsidR="00D936B4" w:rsidRPr="00D936B4" w:rsidRDefault="00D936B4" w:rsidP="00D936B4">
            <w:pPr>
              <w:spacing w:after="0" w:line="240" w:lineRule="auto"/>
              <w:jc w:val="right"/>
              <w:rPr>
                <w:rFonts w:ascii="Arial Unicode MS" w:eastAsia="Arial Unicode MS" w:hAnsi="Arial Unicode MS" w:cs="Arial Unicode MS"/>
                <w:sz w:val="20"/>
                <w:szCs w:val="20"/>
                <w:lang w:bidi="th-TH"/>
              </w:rPr>
            </w:pPr>
          </w:p>
        </w:tc>
        <w:tc>
          <w:tcPr>
            <w:tcW w:w="3780" w:type="dxa"/>
            <w:shd w:val="clear" w:color="auto" w:fill="auto"/>
            <w:noWrap/>
            <w:vAlign w:val="bottom"/>
            <w:hideMark/>
          </w:tcPr>
          <w:p w14:paraId="2734D317" w14:textId="77777777" w:rsidR="00D936B4" w:rsidRPr="00D936B4" w:rsidRDefault="00D936B4" w:rsidP="00D936B4">
            <w:pPr>
              <w:spacing w:after="0" w:line="240" w:lineRule="auto"/>
              <w:rPr>
                <w:rFonts w:ascii="Arial Unicode MS" w:eastAsia="Arial Unicode MS" w:hAnsi="Arial Unicode MS" w:cs="Arial Unicode MS"/>
                <w:sz w:val="20"/>
                <w:szCs w:val="20"/>
                <w:lang w:bidi="th-TH"/>
              </w:rPr>
            </w:pPr>
            <w:r w:rsidRPr="00D936B4">
              <w:rPr>
                <w:rFonts w:ascii="Arial Unicode MS" w:eastAsia="Arial Unicode MS" w:hAnsi="Arial Unicode MS" w:cs="Arial Unicode MS" w:hint="eastAsia"/>
                <w:sz w:val="20"/>
                <w:szCs w:val="20"/>
                <w:lang w:bidi="th-TH"/>
              </w:rPr>
              <w:t xml:space="preserve">Staff Receivable - </w:t>
            </w:r>
            <w:proofErr w:type="spellStart"/>
            <w:r w:rsidRPr="00D936B4">
              <w:rPr>
                <w:rFonts w:ascii="Arial Unicode MS" w:eastAsia="Arial Unicode MS" w:hAnsi="Arial Unicode MS" w:cs="Arial Unicode MS" w:hint="eastAsia"/>
                <w:sz w:val="20"/>
                <w:szCs w:val="20"/>
                <w:lang w:bidi="th-TH"/>
              </w:rPr>
              <w:t>Emergcy</w:t>
            </w:r>
            <w:proofErr w:type="spellEnd"/>
            <w:r w:rsidRPr="00D936B4">
              <w:rPr>
                <w:rFonts w:ascii="Arial Unicode MS" w:eastAsia="Arial Unicode MS" w:hAnsi="Arial Unicode MS" w:cs="Arial Unicode MS" w:hint="eastAsia"/>
                <w:sz w:val="20"/>
                <w:szCs w:val="20"/>
                <w:lang w:bidi="th-TH"/>
              </w:rPr>
              <w:t xml:space="preserve"> Adv</w:t>
            </w:r>
          </w:p>
        </w:tc>
      </w:tr>
      <w:tr w:rsidR="00D936B4" w:rsidRPr="00D936B4" w14:paraId="0A2449C9" w14:textId="77777777" w:rsidTr="00D81A35">
        <w:trPr>
          <w:trHeight w:val="300"/>
        </w:trPr>
        <w:tc>
          <w:tcPr>
            <w:tcW w:w="1113" w:type="dxa"/>
            <w:shd w:val="clear" w:color="auto" w:fill="auto"/>
            <w:noWrap/>
            <w:vAlign w:val="bottom"/>
            <w:hideMark/>
          </w:tcPr>
          <w:p w14:paraId="1082D719" w14:textId="77777777" w:rsidR="00D936B4" w:rsidRPr="00D936B4" w:rsidRDefault="00D936B4" w:rsidP="00D936B4">
            <w:pPr>
              <w:spacing w:after="0" w:line="240" w:lineRule="auto"/>
              <w:jc w:val="right"/>
              <w:rPr>
                <w:rFonts w:ascii="Arial Unicode MS" w:eastAsia="Arial Unicode MS" w:hAnsi="Arial Unicode MS" w:cs="Arial Unicode MS"/>
                <w:sz w:val="20"/>
                <w:szCs w:val="20"/>
                <w:lang w:bidi="th-TH"/>
              </w:rPr>
            </w:pPr>
            <w:r w:rsidRPr="00D936B4">
              <w:rPr>
                <w:rFonts w:ascii="Arial Unicode MS" w:eastAsia="Arial Unicode MS" w:hAnsi="Arial Unicode MS" w:cs="Arial Unicode MS" w:hint="eastAsia"/>
                <w:sz w:val="20"/>
                <w:szCs w:val="20"/>
                <w:lang w:bidi="th-TH"/>
              </w:rPr>
              <w:t>14050</w:t>
            </w:r>
          </w:p>
        </w:tc>
        <w:tc>
          <w:tcPr>
            <w:tcW w:w="1312" w:type="dxa"/>
            <w:shd w:val="clear" w:color="auto" w:fill="auto"/>
            <w:noWrap/>
            <w:vAlign w:val="bottom"/>
            <w:hideMark/>
          </w:tcPr>
          <w:p w14:paraId="0682955B" w14:textId="77777777" w:rsidR="00D936B4" w:rsidRPr="00D936B4" w:rsidRDefault="00D936B4" w:rsidP="00D936B4">
            <w:pPr>
              <w:spacing w:after="0" w:line="240" w:lineRule="auto"/>
              <w:jc w:val="right"/>
              <w:rPr>
                <w:rFonts w:ascii="Arial Unicode MS" w:eastAsia="Arial Unicode MS" w:hAnsi="Arial Unicode MS" w:cs="Arial Unicode MS"/>
                <w:sz w:val="20"/>
                <w:szCs w:val="20"/>
                <w:lang w:bidi="th-TH"/>
              </w:rPr>
            </w:pPr>
          </w:p>
        </w:tc>
        <w:tc>
          <w:tcPr>
            <w:tcW w:w="3780" w:type="dxa"/>
            <w:shd w:val="clear" w:color="auto" w:fill="auto"/>
            <w:noWrap/>
            <w:vAlign w:val="bottom"/>
            <w:hideMark/>
          </w:tcPr>
          <w:p w14:paraId="5AA86B2B" w14:textId="77777777" w:rsidR="00D936B4" w:rsidRPr="00D936B4" w:rsidRDefault="00D936B4" w:rsidP="00D936B4">
            <w:pPr>
              <w:spacing w:after="0" w:line="240" w:lineRule="auto"/>
              <w:rPr>
                <w:rFonts w:ascii="Arial Unicode MS" w:eastAsia="Arial Unicode MS" w:hAnsi="Arial Unicode MS" w:cs="Arial Unicode MS"/>
                <w:sz w:val="20"/>
                <w:szCs w:val="20"/>
                <w:lang w:bidi="th-TH"/>
              </w:rPr>
            </w:pPr>
            <w:r w:rsidRPr="00D936B4">
              <w:rPr>
                <w:rFonts w:ascii="Arial Unicode MS" w:eastAsia="Arial Unicode MS" w:hAnsi="Arial Unicode MS" w:cs="Arial Unicode MS" w:hint="eastAsia"/>
                <w:sz w:val="20"/>
                <w:szCs w:val="20"/>
                <w:lang w:bidi="th-TH"/>
              </w:rPr>
              <w:t>Staff Receivable - Other</w:t>
            </w:r>
          </w:p>
        </w:tc>
      </w:tr>
      <w:tr w:rsidR="00D936B4" w:rsidRPr="00D936B4" w14:paraId="61501B46" w14:textId="77777777" w:rsidTr="00D81A35">
        <w:trPr>
          <w:trHeight w:val="300"/>
        </w:trPr>
        <w:tc>
          <w:tcPr>
            <w:tcW w:w="1113" w:type="dxa"/>
            <w:shd w:val="clear" w:color="auto" w:fill="auto"/>
            <w:noWrap/>
            <w:vAlign w:val="bottom"/>
            <w:hideMark/>
          </w:tcPr>
          <w:p w14:paraId="2D2F4C7B" w14:textId="77777777" w:rsidR="00D936B4" w:rsidRPr="00D936B4" w:rsidRDefault="00D936B4" w:rsidP="00D936B4">
            <w:pPr>
              <w:spacing w:after="0" w:line="240" w:lineRule="auto"/>
              <w:jc w:val="right"/>
              <w:rPr>
                <w:rFonts w:ascii="Arial Unicode MS" w:eastAsia="Arial Unicode MS" w:hAnsi="Arial Unicode MS" w:cs="Arial Unicode MS"/>
                <w:sz w:val="20"/>
                <w:szCs w:val="20"/>
                <w:lang w:bidi="th-TH"/>
              </w:rPr>
            </w:pPr>
            <w:r w:rsidRPr="00D936B4">
              <w:rPr>
                <w:rFonts w:ascii="Arial Unicode MS" w:eastAsia="Arial Unicode MS" w:hAnsi="Arial Unicode MS" w:cs="Arial Unicode MS" w:hint="eastAsia"/>
                <w:sz w:val="20"/>
                <w:szCs w:val="20"/>
                <w:lang w:bidi="th-TH"/>
              </w:rPr>
              <w:t>14081</w:t>
            </w:r>
          </w:p>
        </w:tc>
        <w:tc>
          <w:tcPr>
            <w:tcW w:w="1312" w:type="dxa"/>
            <w:shd w:val="clear" w:color="auto" w:fill="auto"/>
            <w:noWrap/>
            <w:vAlign w:val="bottom"/>
            <w:hideMark/>
          </w:tcPr>
          <w:p w14:paraId="0A95E7D3" w14:textId="77777777" w:rsidR="00D936B4" w:rsidRPr="00D936B4" w:rsidRDefault="00D936B4" w:rsidP="00D936B4">
            <w:pPr>
              <w:spacing w:after="0" w:line="240" w:lineRule="auto"/>
              <w:jc w:val="right"/>
              <w:rPr>
                <w:rFonts w:ascii="Arial Unicode MS" w:eastAsia="Arial Unicode MS" w:hAnsi="Arial Unicode MS" w:cs="Arial Unicode MS"/>
                <w:sz w:val="20"/>
                <w:szCs w:val="20"/>
                <w:lang w:bidi="th-TH"/>
              </w:rPr>
            </w:pPr>
          </w:p>
        </w:tc>
        <w:tc>
          <w:tcPr>
            <w:tcW w:w="3780" w:type="dxa"/>
            <w:shd w:val="clear" w:color="auto" w:fill="auto"/>
            <w:noWrap/>
            <w:vAlign w:val="bottom"/>
            <w:hideMark/>
          </w:tcPr>
          <w:p w14:paraId="33EB34AA" w14:textId="77777777" w:rsidR="00D936B4" w:rsidRPr="00D936B4" w:rsidRDefault="00D936B4" w:rsidP="00D936B4">
            <w:pPr>
              <w:spacing w:after="0" w:line="240" w:lineRule="auto"/>
              <w:rPr>
                <w:rFonts w:ascii="Arial Unicode MS" w:eastAsia="Arial Unicode MS" w:hAnsi="Arial Unicode MS" w:cs="Arial Unicode MS"/>
                <w:sz w:val="20"/>
                <w:szCs w:val="20"/>
                <w:lang w:bidi="th-TH"/>
              </w:rPr>
            </w:pPr>
            <w:r w:rsidRPr="00D936B4">
              <w:rPr>
                <w:rFonts w:ascii="Arial Unicode MS" w:eastAsia="Arial Unicode MS" w:hAnsi="Arial Unicode MS" w:cs="Arial Unicode MS" w:hint="eastAsia"/>
                <w:sz w:val="20"/>
                <w:szCs w:val="20"/>
                <w:lang w:bidi="th-TH"/>
              </w:rPr>
              <w:t>Unbilled AR Contracts</w:t>
            </w:r>
          </w:p>
        </w:tc>
      </w:tr>
      <w:tr w:rsidR="00D936B4" w:rsidRPr="00D936B4" w14:paraId="27524021" w14:textId="77777777" w:rsidTr="00D81A35">
        <w:trPr>
          <w:trHeight w:val="300"/>
        </w:trPr>
        <w:tc>
          <w:tcPr>
            <w:tcW w:w="1113" w:type="dxa"/>
            <w:shd w:val="clear" w:color="auto" w:fill="auto"/>
            <w:noWrap/>
            <w:vAlign w:val="bottom"/>
            <w:hideMark/>
          </w:tcPr>
          <w:p w14:paraId="59332B23" w14:textId="77777777" w:rsidR="00D936B4" w:rsidRPr="00D936B4" w:rsidRDefault="00D936B4" w:rsidP="00D936B4">
            <w:pPr>
              <w:spacing w:after="0" w:line="240" w:lineRule="auto"/>
              <w:jc w:val="right"/>
              <w:rPr>
                <w:rFonts w:ascii="Arial Unicode MS" w:eastAsia="Arial Unicode MS" w:hAnsi="Arial Unicode MS" w:cs="Arial Unicode MS"/>
                <w:sz w:val="20"/>
                <w:szCs w:val="20"/>
                <w:lang w:bidi="th-TH"/>
              </w:rPr>
            </w:pPr>
            <w:r w:rsidRPr="00D936B4">
              <w:rPr>
                <w:rFonts w:ascii="Arial Unicode MS" w:eastAsia="Arial Unicode MS" w:hAnsi="Arial Unicode MS" w:cs="Arial Unicode MS" w:hint="eastAsia"/>
                <w:sz w:val="20"/>
                <w:szCs w:val="20"/>
                <w:lang w:bidi="th-TH"/>
              </w:rPr>
              <w:t>14015</w:t>
            </w:r>
          </w:p>
        </w:tc>
        <w:tc>
          <w:tcPr>
            <w:tcW w:w="1312" w:type="dxa"/>
            <w:shd w:val="clear" w:color="auto" w:fill="auto"/>
            <w:noWrap/>
            <w:vAlign w:val="bottom"/>
            <w:hideMark/>
          </w:tcPr>
          <w:p w14:paraId="1B0ACE56" w14:textId="77777777" w:rsidR="00D936B4" w:rsidRPr="00D936B4" w:rsidRDefault="00D936B4" w:rsidP="00D936B4">
            <w:pPr>
              <w:spacing w:after="0" w:line="240" w:lineRule="auto"/>
              <w:jc w:val="right"/>
              <w:rPr>
                <w:rFonts w:ascii="Arial Unicode MS" w:eastAsia="Arial Unicode MS" w:hAnsi="Arial Unicode MS" w:cs="Arial Unicode MS"/>
                <w:sz w:val="20"/>
                <w:szCs w:val="20"/>
                <w:lang w:bidi="th-TH"/>
              </w:rPr>
            </w:pPr>
          </w:p>
        </w:tc>
        <w:tc>
          <w:tcPr>
            <w:tcW w:w="3780" w:type="dxa"/>
            <w:shd w:val="clear" w:color="auto" w:fill="auto"/>
            <w:noWrap/>
            <w:vAlign w:val="bottom"/>
            <w:hideMark/>
          </w:tcPr>
          <w:p w14:paraId="089A6CF2" w14:textId="77777777" w:rsidR="00D936B4" w:rsidRPr="00D936B4" w:rsidRDefault="00D936B4" w:rsidP="00D936B4">
            <w:pPr>
              <w:spacing w:after="0" w:line="240" w:lineRule="auto"/>
              <w:rPr>
                <w:rFonts w:ascii="Arial Unicode MS" w:eastAsia="Arial Unicode MS" w:hAnsi="Arial Unicode MS" w:cs="Arial Unicode MS"/>
                <w:sz w:val="20"/>
                <w:szCs w:val="20"/>
                <w:lang w:bidi="th-TH"/>
              </w:rPr>
            </w:pPr>
            <w:r w:rsidRPr="00D936B4">
              <w:rPr>
                <w:rFonts w:ascii="Arial Unicode MS" w:eastAsia="Arial Unicode MS" w:hAnsi="Arial Unicode MS" w:cs="Arial Unicode MS" w:hint="eastAsia"/>
                <w:sz w:val="20"/>
                <w:szCs w:val="20"/>
                <w:lang w:bidi="th-TH"/>
              </w:rPr>
              <w:t>Contributions Receivable</w:t>
            </w:r>
          </w:p>
        </w:tc>
      </w:tr>
      <w:tr w:rsidR="00D936B4" w:rsidRPr="00D936B4" w14:paraId="326C8438" w14:textId="77777777" w:rsidTr="00D81A35">
        <w:trPr>
          <w:trHeight w:val="300"/>
        </w:trPr>
        <w:tc>
          <w:tcPr>
            <w:tcW w:w="1113" w:type="dxa"/>
            <w:shd w:val="clear" w:color="auto" w:fill="auto"/>
            <w:noWrap/>
            <w:vAlign w:val="bottom"/>
            <w:hideMark/>
          </w:tcPr>
          <w:p w14:paraId="1972FF04" w14:textId="77777777" w:rsidR="00D936B4" w:rsidRPr="00D936B4" w:rsidRDefault="00D936B4" w:rsidP="00D936B4">
            <w:pPr>
              <w:spacing w:after="0" w:line="240" w:lineRule="auto"/>
              <w:jc w:val="right"/>
              <w:rPr>
                <w:rFonts w:ascii="Arial Unicode MS" w:eastAsia="Arial Unicode MS" w:hAnsi="Arial Unicode MS" w:cs="Arial Unicode MS"/>
                <w:sz w:val="20"/>
                <w:szCs w:val="20"/>
                <w:lang w:bidi="th-TH"/>
              </w:rPr>
            </w:pPr>
            <w:r w:rsidRPr="00D936B4">
              <w:rPr>
                <w:rFonts w:ascii="Arial Unicode MS" w:eastAsia="Arial Unicode MS" w:hAnsi="Arial Unicode MS" w:cs="Arial Unicode MS" w:hint="eastAsia"/>
                <w:sz w:val="20"/>
                <w:szCs w:val="20"/>
                <w:lang w:bidi="th-TH"/>
              </w:rPr>
              <w:t>16005</w:t>
            </w:r>
          </w:p>
        </w:tc>
        <w:tc>
          <w:tcPr>
            <w:tcW w:w="1312" w:type="dxa"/>
            <w:shd w:val="clear" w:color="auto" w:fill="auto"/>
            <w:noWrap/>
            <w:vAlign w:val="bottom"/>
            <w:hideMark/>
          </w:tcPr>
          <w:p w14:paraId="6BAE0BCD" w14:textId="77777777" w:rsidR="00D936B4" w:rsidRPr="00D936B4" w:rsidRDefault="00D936B4" w:rsidP="00D936B4">
            <w:pPr>
              <w:spacing w:after="0" w:line="240" w:lineRule="auto"/>
              <w:jc w:val="right"/>
              <w:rPr>
                <w:rFonts w:ascii="Arial Unicode MS" w:eastAsia="Arial Unicode MS" w:hAnsi="Arial Unicode MS" w:cs="Arial Unicode MS"/>
                <w:sz w:val="20"/>
                <w:szCs w:val="20"/>
                <w:lang w:bidi="th-TH"/>
              </w:rPr>
            </w:pPr>
          </w:p>
        </w:tc>
        <w:tc>
          <w:tcPr>
            <w:tcW w:w="3780" w:type="dxa"/>
            <w:shd w:val="clear" w:color="auto" w:fill="auto"/>
            <w:noWrap/>
            <w:vAlign w:val="bottom"/>
            <w:hideMark/>
          </w:tcPr>
          <w:p w14:paraId="0F079F07" w14:textId="77777777" w:rsidR="00D936B4" w:rsidRPr="00D936B4" w:rsidRDefault="00D936B4" w:rsidP="00D936B4">
            <w:pPr>
              <w:spacing w:after="0" w:line="240" w:lineRule="auto"/>
              <w:rPr>
                <w:rFonts w:ascii="Arial Unicode MS" w:eastAsia="Arial Unicode MS" w:hAnsi="Arial Unicode MS" w:cs="Arial Unicode MS"/>
                <w:sz w:val="20"/>
                <w:szCs w:val="20"/>
                <w:lang w:bidi="th-TH"/>
              </w:rPr>
            </w:pPr>
            <w:r w:rsidRPr="00D936B4">
              <w:rPr>
                <w:rFonts w:ascii="Arial Unicode MS" w:eastAsia="Arial Unicode MS" w:hAnsi="Arial Unicode MS" w:cs="Arial Unicode MS" w:hint="eastAsia"/>
                <w:sz w:val="20"/>
                <w:szCs w:val="20"/>
                <w:lang w:bidi="th-TH"/>
              </w:rPr>
              <w:t>OFA- Governments (NEX)</w:t>
            </w:r>
          </w:p>
        </w:tc>
      </w:tr>
      <w:tr w:rsidR="00D936B4" w:rsidRPr="00D936B4" w14:paraId="38CFBEAF" w14:textId="77777777" w:rsidTr="00D81A35">
        <w:trPr>
          <w:trHeight w:val="300"/>
        </w:trPr>
        <w:tc>
          <w:tcPr>
            <w:tcW w:w="1113" w:type="dxa"/>
            <w:shd w:val="clear" w:color="auto" w:fill="auto"/>
            <w:noWrap/>
            <w:vAlign w:val="bottom"/>
            <w:hideMark/>
          </w:tcPr>
          <w:p w14:paraId="0819266C" w14:textId="77777777" w:rsidR="00D936B4" w:rsidRPr="00D936B4" w:rsidRDefault="00D936B4" w:rsidP="00D936B4">
            <w:pPr>
              <w:spacing w:after="0" w:line="240" w:lineRule="auto"/>
              <w:jc w:val="right"/>
              <w:rPr>
                <w:rFonts w:ascii="Arial Unicode MS" w:eastAsia="Arial Unicode MS" w:hAnsi="Arial Unicode MS" w:cs="Arial Unicode MS"/>
                <w:sz w:val="20"/>
                <w:szCs w:val="20"/>
                <w:lang w:bidi="th-TH"/>
              </w:rPr>
            </w:pPr>
            <w:r w:rsidRPr="00D936B4">
              <w:rPr>
                <w:rFonts w:ascii="Arial Unicode MS" w:eastAsia="Arial Unicode MS" w:hAnsi="Arial Unicode MS" w:cs="Arial Unicode MS" w:hint="eastAsia"/>
                <w:sz w:val="20"/>
                <w:szCs w:val="20"/>
                <w:lang w:bidi="th-TH"/>
              </w:rPr>
              <w:t>16006</w:t>
            </w:r>
          </w:p>
        </w:tc>
        <w:tc>
          <w:tcPr>
            <w:tcW w:w="1312" w:type="dxa"/>
            <w:shd w:val="clear" w:color="auto" w:fill="auto"/>
            <w:noWrap/>
            <w:vAlign w:val="bottom"/>
            <w:hideMark/>
          </w:tcPr>
          <w:p w14:paraId="47E3BB0D" w14:textId="77777777" w:rsidR="00D936B4" w:rsidRPr="00D936B4" w:rsidRDefault="00D936B4" w:rsidP="00D936B4">
            <w:pPr>
              <w:spacing w:after="0" w:line="240" w:lineRule="auto"/>
              <w:jc w:val="right"/>
              <w:rPr>
                <w:rFonts w:ascii="Arial Unicode MS" w:eastAsia="Arial Unicode MS" w:hAnsi="Arial Unicode MS" w:cs="Arial Unicode MS"/>
                <w:sz w:val="20"/>
                <w:szCs w:val="20"/>
                <w:lang w:bidi="th-TH"/>
              </w:rPr>
            </w:pPr>
          </w:p>
        </w:tc>
        <w:tc>
          <w:tcPr>
            <w:tcW w:w="3780" w:type="dxa"/>
            <w:shd w:val="clear" w:color="auto" w:fill="auto"/>
            <w:noWrap/>
            <w:vAlign w:val="bottom"/>
            <w:hideMark/>
          </w:tcPr>
          <w:p w14:paraId="068BB5F2" w14:textId="77777777" w:rsidR="00D936B4" w:rsidRPr="00D936B4" w:rsidRDefault="00D936B4" w:rsidP="00D936B4">
            <w:pPr>
              <w:spacing w:after="0" w:line="240" w:lineRule="auto"/>
              <w:rPr>
                <w:rFonts w:ascii="Arial Unicode MS" w:eastAsia="Arial Unicode MS" w:hAnsi="Arial Unicode MS" w:cs="Arial Unicode MS"/>
                <w:sz w:val="20"/>
                <w:szCs w:val="20"/>
                <w:lang w:bidi="th-TH"/>
              </w:rPr>
            </w:pPr>
            <w:r w:rsidRPr="00D936B4">
              <w:rPr>
                <w:rFonts w:ascii="Arial Unicode MS" w:eastAsia="Arial Unicode MS" w:hAnsi="Arial Unicode MS" w:cs="Arial Unicode MS" w:hint="eastAsia"/>
                <w:sz w:val="20"/>
                <w:szCs w:val="20"/>
                <w:lang w:bidi="th-TH"/>
              </w:rPr>
              <w:t>DBS Advances</w:t>
            </w:r>
          </w:p>
        </w:tc>
      </w:tr>
      <w:tr w:rsidR="00D936B4" w:rsidRPr="00D936B4" w14:paraId="6060BF56" w14:textId="77777777" w:rsidTr="00D81A35">
        <w:trPr>
          <w:trHeight w:val="300"/>
        </w:trPr>
        <w:tc>
          <w:tcPr>
            <w:tcW w:w="1113" w:type="dxa"/>
            <w:shd w:val="clear" w:color="auto" w:fill="auto"/>
            <w:noWrap/>
            <w:vAlign w:val="bottom"/>
            <w:hideMark/>
          </w:tcPr>
          <w:p w14:paraId="14D31B24" w14:textId="77777777" w:rsidR="00D936B4" w:rsidRPr="00D936B4" w:rsidRDefault="00D936B4" w:rsidP="00D936B4">
            <w:pPr>
              <w:spacing w:after="0" w:line="240" w:lineRule="auto"/>
              <w:jc w:val="right"/>
              <w:rPr>
                <w:rFonts w:ascii="Arial Unicode MS" w:eastAsia="Arial Unicode MS" w:hAnsi="Arial Unicode MS" w:cs="Arial Unicode MS"/>
                <w:sz w:val="20"/>
                <w:szCs w:val="20"/>
                <w:lang w:bidi="th-TH"/>
              </w:rPr>
            </w:pPr>
            <w:r w:rsidRPr="00D936B4">
              <w:rPr>
                <w:rFonts w:ascii="Arial Unicode MS" w:eastAsia="Arial Unicode MS" w:hAnsi="Arial Unicode MS" w:cs="Arial Unicode MS" w:hint="eastAsia"/>
                <w:sz w:val="20"/>
                <w:szCs w:val="20"/>
                <w:lang w:bidi="th-TH"/>
              </w:rPr>
              <w:t>21018</w:t>
            </w:r>
          </w:p>
        </w:tc>
        <w:tc>
          <w:tcPr>
            <w:tcW w:w="1312" w:type="dxa"/>
            <w:shd w:val="clear" w:color="auto" w:fill="auto"/>
            <w:noWrap/>
            <w:vAlign w:val="bottom"/>
            <w:hideMark/>
          </w:tcPr>
          <w:p w14:paraId="01C4E636" w14:textId="77777777" w:rsidR="00D936B4" w:rsidRPr="00D936B4" w:rsidRDefault="00D936B4" w:rsidP="00D936B4">
            <w:pPr>
              <w:spacing w:after="0" w:line="240" w:lineRule="auto"/>
              <w:jc w:val="right"/>
              <w:rPr>
                <w:rFonts w:ascii="Arial Unicode MS" w:eastAsia="Arial Unicode MS" w:hAnsi="Arial Unicode MS" w:cs="Arial Unicode MS"/>
                <w:sz w:val="20"/>
                <w:szCs w:val="20"/>
                <w:lang w:bidi="th-TH"/>
              </w:rPr>
            </w:pPr>
          </w:p>
        </w:tc>
        <w:tc>
          <w:tcPr>
            <w:tcW w:w="3780" w:type="dxa"/>
            <w:shd w:val="clear" w:color="auto" w:fill="auto"/>
            <w:noWrap/>
            <w:vAlign w:val="bottom"/>
            <w:hideMark/>
          </w:tcPr>
          <w:p w14:paraId="79C04695" w14:textId="77777777" w:rsidR="00D936B4" w:rsidRPr="00D936B4" w:rsidRDefault="00D936B4" w:rsidP="00D936B4">
            <w:pPr>
              <w:spacing w:after="0" w:line="240" w:lineRule="auto"/>
              <w:rPr>
                <w:rFonts w:ascii="Arial Unicode MS" w:eastAsia="Arial Unicode MS" w:hAnsi="Arial Unicode MS" w:cs="Arial Unicode MS"/>
                <w:sz w:val="20"/>
                <w:szCs w:val="20"/>
                <w:lang w:bidi="th-TH"/>
              </w:rPr>
            </w:pPr>
            <w:r w:rsidRPr="00D936B4">
              <w:rPr>
                <w:rFonts w:ascii="Arial Unicode MS" w:eastAsia="Arial Unicode MS" w:hAnsi="Arial Unicode MS" w:cs="Arial Unicode MS" w:hint="eastAsia"/>
                <w:sz w:val="20"/>
                <w:szCs w:val="20"/>
                <w:lang w:bidi="th-TH"/>
              </w:rPr>
              <w:t>NIM advances payable</w:t>
            </w:r>
          </w:p>
        </w:tc>
      </w:tr>
    </w:tbl>
    <w:p w14:paraId="3C4CFF21" w14:textId="77777777" w:rsidR="00D936B4" w:rsidRPr="00AE2690" w:rsidRDefault="00D936B4" w:rsidP="00AE2690">
      <w:pPr>
        <w:rPr>
          <w:rFonts w:ascii="Cambria" w:hAnsi="Cambria"/>
          <w:b/>
          <w:sz w:val="24"/>
          <w:szCs w:val="24"/>
        </w:rPr>
      </w:pPr>
    </w:p>
    <w:p w14:paraId="72F9DE18" w14:textId="0529BD06" w:rsidR="004D3983" w:rsidRDefault="00D936B4">
      <w:pPr>
        <w:rPr>
          <w:rFonts w:cs="Arial"/>
          <w:b/>
        </w:rPr>
      </w:pPr>
      <w:r>
        <w:rPr>
          <w:rFonts w:ascii="Cambria" w:hAnsi="Cambria"/>
          <w:b/>
          <w:sz w:val="24"/>
          <w:szCs w:val="24"/>
        </w:rPr>
        <w:br w:type="page"/>
      </w:r>
    </w:p>
    <w:p w14:paraId="76CA28AA" w14:textId="47D05FD7" w:rsidR="004D3983" w:rsidRDefault="004D3983" w:rsidP="004D3983">
      <w:pPr>
        <w:pStyle w:val="Heading1"/>
        <w:jc w:val="center"/>
      </w:pPr>
      <w:bookmarkStart w:id="27" w:name="_Toc51944983"/>
      <w:r w:rsidRPr="00090140">
        <w:lastRenderedPageBreak/>
        <w:t xml:space="preserve">Annex </w:t>
      </w:r>
      <w:r w:rsidR="00A1685E">
        <w:t>3</w:t>
      </w:r>
      <w:r w:rsidR="008133C3">
        <w:t xml:space="preserve"> – Operating guidelines for MPTF Projects</w:t>
      </w:r>
      <w:bookmarkEnd w:id="27"/>
    </w:p>
    <w:p w14:paraId="4486FBF7" w14:textId="77777777" w:rsidR="004D3983" w:rsidRPr="004D3983" w:rsidRDefault="004D3983" w:rsidP="004D3983">
      <w:pPr>
        <w:rPr>
          <w:lang w:val="en-GB"/>
        </w:rPr>
      </w:pPr>
    </w:p>
    <w:p w14:paraId="293FE486" w14:textId="77777777" w:rsidR="00970C72" w:rsidRDefault="00970C72" w:rsidP="00970C72">
      <w:pPr>
        <w:pStyle w:val="ListParagraph"/>
        <w:numPr>
          <w:ilvl w:val="1"/>
          <w:numId w:val="24"/>
        </w:numPr>
        <w:spacing w:before="240" w:after="160" w:line="256" w:lineRule="auto"/>
        <w:rPr>
          <w:rFonts w:ascii="Arial" w:hAnsi="Arial" w:cs="Arial"/>
        </w:rPr>
      </w:pPr>
      <w:r>
        <w:rPr>
          <w:rFonts w:ascii="Arial" w:hAnsi="Arial" w:cs="Arial"/>
        </w:rPr>
        <w:t>MPTF reporting - Operating guidelines for MPTF projects [</w:t>
      </w:r>
      <w:hyperlink r:id="rId121" w:history="1">
        <w:r>
          <w:rPr>
            <w:rStyle w:val="Hyperlink"/>
            <w:rFonts w:cs="Arial"/>
          </w:rPr>
          <w:t>click here</w:t>
        </w:r>
      </w:hyperlink>
      <w:r>
        <w:rPr>
          <w:rFonts w:ascii="Arial" w:hAnsi="Arial" w:cs="Arial"/>
        </w:rPr>
        <w:t xml:space="preserve">] </w:t>
      </w:r>
    </w:p>
    <w:p w14:paraId="132EBFE6" w14:textId="77777777" w:rsidR="00970C72" w:rsidRDefault="00970C72" w:rsidP="00970C72">
      <w:pPr>
        <w:pStyle w:val="ListParagraph"/>
        <w:numPr>
          <w:ilvl w:val="1"/>
          <w:numId w:val="24"/>
        </w:numPr>
        <w:spacing w:before="240" w:after="160" w:line="256" w:lineRule="auto"/>
        <w:rPr>
          <w:rFonts w:ascii="Arial" w:hAnsi="Arial" w:cs="Arial"/>
        </w:rPr>
      </w:pPr>
      <w:r>
        <w:rPr>
          <w:rFonts w:ascii="Arial" w:hAnsi="Arial" w:cs="Arial"/>
        </w:rPr>
        <w:t>MPTF reporting – MPTF GW and UNDP GL Comparison Report for reconciliation (Monthly / Quarterly) [</w:t>
      </w:r>
      <w:hyperlink r:id="rId122" w:history="1">
        <w:r>
          <w:rPr>
            <w:rStyle w:val="Hyperlink"/>
            <w:rFonts w:cs="Arial"/>
          </w:rPr>
          <w:t>click here</w:t>
        </w:r>
      </w:hyperlink>
      <w:r>
        <w:rPr>
          <w:rFonts w:ascii="Arial" w:hAnsi="Arial" w:cs="Arial"/>
        </w:rPr>
        <w:t>]</w:t>
      </w:r>
    </w:p>
    <w:p w14:paraId="03849E85" w14:textId="77777777" w:rsidR="00970C72" w:rsidRDefault="00970C72" w:rsidP="00970C72">
      <w:pPr>
        <w:pStyle w:val="ListParagraph"/>
        <w:numPr>
          <w:ilvl w:val="1"/>
          <w:numId w:val="24"/>
        </w:numPr>
        <w:spacing w:before="240" w:after="160" w:line="256" w:lineRule="auto"/>
        <w:rPr>
          <w:rFonts w:ascii="Arial" w:hAnsi="Arial" w:cs="Arial"/>
        </w:rPr>
      </w:pPr>
      <w:r>
        <w:rPr>
          <w:rFonts w:ascii="Arial" w:hAnsi="Arial" w:cs="Arial"/>
        </w:rPr>
        <w:t>MPTF reporting – MPTF GW and UNDP GL Comparison Report User Guide [</w:t>
      </w:r>
      <w:hyperlink r:id="rId123" w:history="1">
        <w:r>
          <w:rPr>
            <w:rStyle w:val="Hyperlink"/>
            <w:rFonts w:cs="Arial"/>
          </w:rPr>
          <w:t>click here</w:t>
        </w:r>
      </w:hyperlink>
      <w:r>
        <w:rPr>
          <w:rFonts w:ascii="Arial" w:hAnsi="Arial" w:cs="Arial"/>
        </w:rPr>
        <w:t>]</w:t>
      </w:r>
    </w:p>
    <w:p w14:paraId="75DBC2B0" w14:textId="77777777" w:rsidR="00970C72" w:rsidRPr="00C1466B" w:rsidRDefault="00970C72" w:rsidP="00970C72">
      <w:pPr>
        <w:pStyle w:val="ListParagraph"/>
        <w:ind w:left="1440"/>
        <w:jc w:val="both"/>
        <w:rPr>
          <w:rFonts w:ascii="Cambria" w:hAnsi="Cambria"/>
          <w:bCs/>
          <w:sz w:val="24"/>
          <w:szCs w:val="24"/>
        </w:rPr>
      </w:pPr>
    </w:p>
    <w:p w14:paraId="3287CF13" w14:textId="0127BBF3" w:rsidR="00D936B4" w:rsidRDefault="00D936B4" w:rsidP="009102CE">
      <w:pPr>
        <w:rPr>
          <w:rFonts w:cs="Arial"/>
          <w:b/>
        </w:rPr>
      </w:pPr>
    </w:p>
    <w:p w14:paraId="6C6213F2" w14:textId="5B59E1EB" w:rsidR="00A24890" w:rsidRDefault="00A24890">
      <w:pPr>
        <w:rPr>
          <w:rFonts w:cs="Arial"/>
          <w:b/>
        </w:rPr>
      </w:pPr>
      <w:r>
        <w:rPr>
          <w:rFonts w:cs="Arial"/>
          <w:b/>
        </w:rPr>
        <w:br w:type="page"/>
      </w:r>
    </w:p>
    <w:p w14:paraId="01AB18CC" w14:textId="4F46544E" w:rsidR="00A24890" w:rsidRDefault="00970C72" w:rsidP="00A24890">
      <w:pPr>
        <w:pStyle w:val="Heading1"/>
        <w:jc w:val="center"/>
      </w:pPr>
      <w:bookmarkStart w:id="28" w:name="_Toc51944984"/>
      <w:r>
        <w:lastRenderedPageBreak/>
        <w:t>Annex 4</w:t>
      </w:r>
      <w:r w:rsidR="00A24890">
        <w:t xml:space="preserve"> – KK vs GL Balance Reconciliation Steps</w:t>
      </w:r>
      <w:bookmarkEnd w:id="28"/>
    </w:p>
    <w:p w14:paraId="1BE2FFFC" w14:textId="77777777" w:rsidR="00A24890" w:rsidRPr="004D3983" w:rsidRDefault="00A24890" w:rsidP="00A24890">
      <w:pPr>
        <w:rPr>
          <w:lang w:val="en-GB"/>
        </w:rPr>
      </w:pPr>
    </w:p>
    <w:p w14:paraId="6A7C573A" w14:textId="77777777" w:rsidR="00A24890" w:rsidRDefault="00A24890" w:rsidP="009A77F5">
      <w:pPr>
        <w:pStyle w:val="ListParagraph"/>
        <w:numPr>
          <w:ilvl w:val="0"/>
          <w:numId w:val="34"/>
        </w:numPr>
        <w:spacing w:after="160" w:line="259" w:lineRule="auto"/>
      </w:pPr>
      <w:r w:rsidRPr="006E57C3">
        <w:t xml:space="preserve">Run Interim Donor report to get the current GL balance.  </w:t>
      </w:r>
      <w:r>
        <w:t>UN_IPSAS_INTERIM_GLOBAL.  For example, Project 00045550 under fund 44202/donor 00204</w:t>
      </w:r>
    </w:p>
    <w:p w14:paraId="3F2B31D3" w14:textId="77777777" w:rsidR="00A24890" w:rsidRDefault="00A24890" w:rsidP="00A24890">
      <w:pPr>
        <w:ind w:left="360"/>
      </w:pPr>
      <w:r>
        <w:rPr>
          <w:noProof/>
        </w:rPr>
        <w:drawing>
          <wp:inline distT="0" distB="0" distL="0" distR="0" wp14:anchorId="6C9B1794" wp14:editId="60465F87">
            <wp:extent cx="5581650" cy="2871684"/>
            <wp:effectExtent l="19050" t="19050" r="19050" b="241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589523" cy="2875734"/>
                    </a:xfrm>
                    <a:prstGeom prst="rect">
                      <a:avLst/>
                    </a:prstGeom>
                    <a:noFill/>
                    <a:ln w="9525">
                      <a:solidFill>
                        <a:schemeClr val="tx1"/>
                      </a:solidFill>
                    </a:ln>
                  </pic:spPr>
                </pic:pic>
              </a:graphicData>
            </a:graphic>
          </wp:inline>
        </w:drawing>
      </w:r>
    </w:p>
    <w:p w14:paraId="772338C0" w14:textId="77777777" w:rsidR="00A24890" w:rsidRDefault="00A24890" w:rsidP="009A77F5">
      <w:pPr>
        <w:pStyle w:val="ListParagraph"/>
        <w:numPr>
          <w:ilvl w:val="0"/>
          <w:numId w:val="34"/>
        </w:numPr>
        <w:spacing w:after="160" w:line="259" w:lineRule="auto"/>
      </w:pPr>
      <w:r>
        <w:t xml:space="preserve">Run Budget Details to get the balance for AX1 ledger.  Navigation: Main Menu &gt; Commitment Control &gt; Review Budget Activities &gt; Budget Details. </w:t>
      </w:r>
    </w:p>
    <w:p w14:paraId="1D451A6F" w14:textId="77777777" w:rsidR="00A24890" w:rsidRDefault="00A24890" w:rsidP="00A24890">
      <w:pPr>
        <w:ind w:left="360"/>
      </w:pPr>
      <w:r>
        <w:rPr>
          <w:noProof/>
        </w:rPr>
        <w:drawing>
          <wp:inline distT="0" distB="0" distL="0" distR="0" wp14:anchorId="1DC94AE2" wp14:editId="5CC41F0D">
            <wp:extent cx="5591175" cy="3812165"/>
            <wp:effectExtent l="19050" t="19050" r="9525"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623366" cy="3834113"/>
                    </a:xfrm>
                    <a:prstGeom prst="rect">
                      <a:avLst/>
                    </a:prstGeom>
                    <a:noFill/>
                    <a:ln w="9525">
                      <a:solidFill>
                        <a:schemeClr val="tx1"/>
                      </a:solidFill>
                    </a:ln>
                  </pic:spPr>
                </pic:pic>
              </a:graphicData>
            </a:graphic>
          </wp:inline>
        </w:drawing>
      </w:r>
    </w:p>
    <w:p w14:paraId="7F13D163" w14:textId="77777777" w:rsidR="00A24890" w:rsidRDefault="00A24890" w:rsidP="00A24890">
      <w:pPr>
        <w:ind w:left="360"/>
      </w:pPr>
      <w:r>
        <w:t xml:space="preserve">Choose the blank year line and double click on the blank year line to get the report. </w:t>
      </w:r>
    </w:p>
    <w:p w14:paraId="3654C497" w14:textId="77777777" w:rsidR="00A24890" w:rsidRDefault="00A24890" w:rsidP="00A24890">
      <w:pPr>
        <w:ind w:left="360"/>
      </w:pPr>
      <w:r>
        <w:rPr>
          <w:noProof/>
        </w:rPr>
        <w:lastRenderedPageBreak/>
        <w:drawing>
          <wp:inline distT="0" distB="0" distL="0" distR="0" wp14:anchorId="18A86D4B" wp14:editId="23F4CE82">
            <wp:extent cx="5581650" cy="2890975"/>
            <wp:effectExtent l="19050" t="19050" r="19050" b="24130"/>
            <wp:docPr id="4" name="Picture 1">
              <a:extLst xmlns:a="http://schemas.openxmlformats.org/drawingml/2006/main">
                <a:ext uri="{FF2B5EF4-FFF2-40B4-BE49-F238E27FC236}">
                  <a16:creationId xmlns:a16="http://schemas.microsoft.com/office/drawing/2014/main" id="{103A38C0-9ACF-484F-A1C8-901B9B8639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103A38C0-9ACF-484F-A1C8-901B9B863914}"/>
                        </a:ext>
                      </a:extLst>
                    </pic:cNvPr>
                    <pic:cNvPicPr>
                      <a:picLocks noChangeAspect="1"/>
                    </pic:cNvPicPr>
                  </pic:nvPicPr>
                  <pic:blipFill rotWithShape="1">
                    <a:blip r:embed="rId126"/>
                    <a:srcRect l="-1" t="14724" r="78227" b="45179"/>
                    <a:stretch/>
                  </pic:blipFill>
                  <pic:spPr>
                    <a:xfrm>
                      <a:off x="0" y="0"/>
                      <a:ext cx="5591180" cy="2895911"/>
                    </a:xfrm>
                    <a:prstGeom prst="rect">
                      <a:avLst/>
                    </a:prstGeom>
                    <a:ln w="9525">
                      <a:solidFill>
                        <a:schemeClr val="tx1"/>
                      </a:solidFill>
                    </a:ln>
                  </pic:spPr>
                </pic:pic>
              </a:graphicData>
            </a:graphic>
          </wp:inline>
        </w:drawing>
      </w:r>
    </w:p>
    <w:p w14:paraId="6D06B7FC" w14:textId="77777777" w:rsidR="00A24890" w:rsidRDefault="00A24890" w:rsidP="00A24890">
      <w:pPr>
        <w:ind w:left="360"/>
      </w:pPr>
      <w:r>
        <w:t>Click on yellow icon next to expense line to get the detail expenditure lines and download the result to excel.  Prepare a pivot table by document ID, year, and amount. See the below table.</w:t>
      </w:r>
    </w:p>
    <w:p w14:paraId="35CD244D" w14:textId="77777777" w:rsidR="00A24890" w:rsidRDefault="00A24890" w:rsidP="00A24890">
      <w:pPr>
        <w:ind w:left="360"/>
      </w:pPr>
      <w:r>
        <w:rPr>
          <w:noProof/>
        </w:rPr>
        <w:drawing>
          <wp:inline distT="0" distB="0" distL="0" distR="0" wp14:anchorId="0C1C82BF" wp14:editId="7B20CF84">
            <wp:extent cx="6267450" cy="1666875"/>
            <wp:effectExtent l="19050" t="19050" r="19050"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284107" cy="1671305"/>
                    </a:xfrm>
                    <a:prstGeom prst="rect">
                      <a:avLst/>
                    </a:prstGeom>
                    <a:noFill/>
                    <a:ln w="12700">
                      <a:solidFill>
                        <a:schemeClr val="tx1"/>
                      </a:solidFill>
                    </a:ln>
                  </pic:spPr>
                </pic:pic>
              </a:graphicData>
            </a:graphic>
          </wp:inline>
        </w:drawing>
      </w:r>
    </w:p>
    <w:p w14:paraId="19F66B3A" w14:textId="77777777" w:rsidR="00A24890" w:rsidRDefault="00A24890" w:rsidP="009A77F5">
      <w:pPr>
        <w:pStyle w:val="ListParagraph"/>
        <w:numPr>
          <w:ilvl w:val="0"/>
          <w:numId w:val="34"/>
        </w:numPr>
        <w:spacing w:after="160" w:line="259" w:lineRule="auto"/>
      </w:pPr>
      <w:r>
        <w:t>Run AAA report for detail analysis.  Prepare a pivot table for 2012 opening balance as below.</w:t>
      </w:r>
    </w:p>
    <w:p w14:paraId="1D7C4DF7" w14:textId="77777777" w:rsidR="00A24890" w:rsidRDefault="00A24890" w:rsidP="00A24890">
      <w:pPr>
        <w:pStyle w:val="ListParagraph"/>
      </w:pPr>
      <w:r w:rsidRPr="00BE1C95">
        <w:rPr>
          <w:noProof/>
        </w:rPr>
        <w:drawing>
          <wp:inline distT="0" distB="0" distL="0" distR="0" wp14:anchorId="2A95CAFB" wp14:editId="4F98C983">
            <wp:extent cx="6057456" cy="2152650"/>
            <wp:effectExtent l="19050" t="19050" r="1968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063855" cy="2154924"/>
                    </a:xfrm>
                    <a:prstGeom prst="rect">
                      <a:avLst/>
                    </a:prstGeom>
                    <a:noFill/>
                    <a:ln w="12700">
                      <a:solidFill>
                        <a:schemeClr val="tx1"/>
                      </a:solidFill>
                    </a:ln>
                  </pic:spPr>
                </pic:pic>
              </a:graphicData>
            </a:graphic>
          </wp:inline>
        </w:drawing>
      </w:r>
    </w:p>
    <w:p w14:paraId="44C7B18E" w14:textId="77777777" w:rsidR="00A24890" w:rsidRDefault="00A24890" w:rsidP="00A24890">
      <w:pPr>
        <w:pStyle w:val="ListParagraph"/>
      </w:pPr>
    </w:p>
    <w:p w14:paraId="3BF37099" w14:textId="77777777" w:rsidR="00A24890" w:rsidRDefault="00A24890" w:rsidP="00A24890">
      <w:pPr>
        <w:pStyle w:val="ListParagraph"/>
      </w:pPr>
      <w:r>
        <w:t>Green shaded items are 2012 opening balance, which is tally with Budget Detail Amount of AX1.</w:t>
      </w:r>
    </w:p>
    <w:p w14:paraId="05337986" w14:textId="77777777" w:rsidR="00A24890" w:rsidRDefault="00A24890" w:rsidP="00A24890">
      <w:pPr>
        <w:pStyle w:val="ListParagraph"/>
      </w:pPr>
    </w:p>
    <w:p w14:paraId="22C9B84A" w14:textId="77777777" w:rsidR="00A24890" w:rsidRDefault="00A24890" w:rsidP="009A77F5">
      <w:pPr>
        <w:pStyle w:val="ListParagraph"/>
        <w:numPr>
          <w:ilvl w:val="0"/>
          <w:numId w:val="34"/>
        </w:numPr>
        <w:spacing w:after="160" w:line="259" w:lineRule="auto"/>
        <w:jc w:val="both"/>
      </w:pPr>
      <w:r>
        <w:t xml:space="preserve">Then, prepare another pivot table (expenses plus assets only) to compare AX1 expenses by Transaction ID, year, and amount. Orange shaded amounts (in above table) are missing in AX1 </w:t>
      </w:r>
      <w:r>
        <w:lastRenderedPageBreak/>
        <w:t xml:space="preserve">report. They are from GLJE </w:t>
      </w:r>
      <w:r w:rsidRPr="00024076">
        <w:t>4337763 and 4380243</w:t>
      </w:r>
      <w:r>
        <w:t>, which are posted in GL but not hit in KK ledger.  In this situation, please send to PS Support to refresh the AX1 ledger to reflect the missing amounts.  PS support will provide further instruction.</w:t>
      </w:r>
    </w:p>
    <w:p w14:paraId="2FAFA19C" w14:textId="77777777" w:rsidR="00A24890" w:rsidRDefault="00A24890" w:rsidP="00A24890">
      <w:pPr>
        <w:pStyle w:val="ListParagraph"/>
      </w:pPr>
    </w:p>
    <w:p w14:paraId="7FD7B662" w14:textId="1C776FC8" w:rsidR="00A24890" w:rsidRPr="00660475" w:rsidRDefault="00A24890" w:rsidP="009A77F5">
      <w:pPr>
        <w:pStyle w:val="ListParagraph"/>
        <w:numPr>
          <w:ilvl w:val="0"/>
          <w:numId w:val="34"/>
        </w:numPr>
        <w:spacing w:after="160" w:line="259" w:lineRule="auto"/>
      </w:pPr>
      <w:r>
        <w:t xml:space="preserve">If a project has contribution received or transfer resources after 2012, please run </w:t>
      </w:r>
      <w:r w:rsidR="00D470D1">
        <w:t>Atlas Q</w:t>
      </w:r>
      <w:r>
        <w:t xml:space="preserve">uery </w:t>
      </w:r>
      <w:r w:rsidRPr="00660475">
        <w:rPr>
          <w:bCs/>
        </w:rPr>
        <w:t>UN_KK_TRANS_DETAIL</w:t>
      </w:r>
      <w:r w:rsidR="00D470D1">
        <w:rPr>
          <w:bCs/>
        </w:rPr>
        <w:t xml:space="preserve"> or </w:t>
      </w:r>
      <w:r w:rsidR="00D470D1" w:rsidRPr="00D470D1">
        <w:rPr>
          <w:bCs/>
        </w:rPr>
        <w:t>UN_KK_TRANSACTION_ACTIVITY</w:t>
      </w:r>
    </w:p>
    <w:p w14:paraId="117CD034" w14:textId="77777777" w:rsidR="00A24890" w:rsidRDefault="00A24890" w:rsidP="00A24890">
      <w:pPr>
        <w:pStyle w:val="ListParagraph"/>
        <w:ind w:left="360"/>
      </w:pPr>
      <w:r>
        <w:rPr>
          <w:noProof/>
        </w:rPr>
        <w:drawing>
          <wp:inline distT="0" distB="0" distL="0" distR="0" wp14:anchorId="337787A0" wp14:editId="0B9AC139">
            <wp:extent cx="6400165" cy="1743075"/>
            <wp:effectExtent l="19050" t="19050" r="19685"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400165" cy="1743075"/>
                    </a:xfrm>
                    <a:prstGeom prst="rect">
                      <a:avLst/>
                    </a:prstGeom>
                    <a:noFill/>
                    <a:ln w="12700">
                      <a:solidFill>
                        <a:schemeClr val="tx1"/>
                      </a:solidFill>
                    </a:ln>
                  </pic:spPr>
                </pic:pic>
              </a:graphicData>
            </a:graphic>
          </wp:inline>
        </w:drawing>
      </w:r>
    </w:p>
    <w:p w14:paraId="7C4C2571" w14:textId="77777777" w:rsidR="00A24890" w:rsidRDefault="00A24890" w:rsidP="00A24890">
      <w:pPr>
        <w:pStyle w:val="ListParagraph"/>
      </w:pPr>
    </w:p>
    <w:p w14:paraId="104555FE" w14:textId="77777777" w:rsidR="00A24890" w:rsidRDefault="00A24890" w:rsidP="00A24890">
      <w:pPr>
        <w:pStyle w:val="ListParagraph"/>
        <w:jc w:val="both"/>
      </w:pPr>
      <w:r>
        <w:t xml:space="preserve">Download the result to excel.  Prepare a pivot table Item ID/Deposit ID/Journal ID, Fiscal Year, and amount.  Also prepare a pivot table from AAA similar as from KK detail. Then, compare two table results. </w:t>
      </w:r>
    </w:p>
    <w:p w14:paraId="4F00A127" w14:textId="77777777" w:rsidR="00A24890" w:rsidRDefault="00A24890" w:rsidP="00A24890">
      <w:pPr>
        <w:pStyle w:val="ListParagraph"/>
        <w:jc w:val="both"/>
      </w:pPr>
    </w:p>
    <w:p w14:paraId="663331A1" w14:textId="77777777" w:rsidR="00A24890" w:rsidRDefault="00A24890" w:rsidP="009A77F5">
      <w:pPr>
        <w:pStyle w:val="ListParagraph"/>
        <w:numPr>
          <w:ilvl w:val="0"/>
          <w:numId w:val="34"/>
        </w:numPr>
        <w:spacing w:after="160" w:line="259" w:lineRule="auto"/>
        <w:jc w:val="both"/>
      </w:pPr>
      <w:r>
        <w:t xml:space="preserve"> If a project has encumbrance, please click the yellow next to “Encumbrance line” in AX1 Budget detail. Download the data and prepare a pivot table by Document ID, year, and amount.  For GL data, please go to project closure workbench “Main Menu &gt; Grants &gt; Project Management &gt; UNDP Project Closure Workbench”. Click on “Open Purchase Orders”.  The query “</w:t>
      </w:r>
      <w:r w:rsidRPr="00AA2297">
        <w:rPr>
          <w:bCs/>
          <w:sz w:val="20"/>
          <w:szCs w:val="20"/>
        </w:rPr>
        <w:t>UN_PS_CLOSE_OPEN_PO</w:t>
      </w:r>
      <w:r>
        <w:t xml:space="preserve">” will pop up and run the query.  </w:t>
      </w:r>
    </w:p>
    <w:p w14:paraId="5503CCDF" w14:textId="77777777" w:rsidR="00A24890" w:rsidRDefault="00A24890" w:rsidP="00A24890">
      <w:pPr>
        <w:pStyle w:val="ListParagraph"/>
        <w:ind w:left="360"/>
      </w:pPr>
      <w:r>
        <w:rPr>
          <w:noProof/>
        </w:rPr>
        <w:drawing>
          <wp:inline distT="0" distB="0" distL="0" distR="0" wp14:anchorId="4AF34EBF" wp14:editId="217D8DCD">
            <wp:extent cx="6372225" cy="3061278"/>
            <wp:effectExtent l="19050" t="19050" r="9525" b="254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420903" cy="3084663"/>
                    </a:xfrm>
                    <a:prstGeom prst="rect">
                      <a:avLst/>
                    </a:prstGeom>
                    <a:noFill/>
                    <a:ln>
                      <a:solidFill>
                        <a:schemeClr val="tx1"/>
                      </a:solidFill>
                    </a:ln>
                  </pic:spPr>
                </pic:pic>
              </a:graphicData>
            </a:graphic>
          </wp:inline>
        </w:drawing>
      </w:r>
    </w:p>
    <w:p w14:paraId="0DD7699F" w14:textId="77777777" w:rsidR="00A24890" w:rsidRDefault="00A24890" w:rsidP="00A24890">
      <w:pPr>
        <w:ind w:left="360"/>
      </w:pPr>
    </w:p>
    <w:p w14:paraId="1BFBADBD" w14:textId="77777777" w:rsidR="00A24890" w:rsidRDefault="00A24890" w:rsidP="00A24890">
      <w:r>
        <w:t>The final result for this example is as follow:</w:t>
      </w:r>
    </w:p>
    <w:p w14:paraId="2144EF3F" w14:textId="77777777" w:rsidR="00A24890" w:rsidRPr="006E57C3" w:rsidRDefault="00A24890" w:rsidP="00A24890">
      <w:r w:rsidRPr="00AA2297">
        <w:rPr>
          <w:noProof/>
        </w:rPr>
        <w:lastRenderedPageBreak/>
        <w:drawing>
          <wp:inline distT="0" distB="0" distL="0" distR="0" wp14:anchorId="4AA12DED" wp14:editId="246BB9F0">
            <wp:extent cx="6492240" cy="2038205"/>
            <wp:effectExtent l="19050" t="19050" r="22860" b="196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492240" cy="2038205"/>
                    </a:xfrm>
                    <a:prstGeom prst="rect">
                      <a:avLst/>
                    </a:prstGeom>
                    <a:noFill/>
                    <a:ln w="12700">
                      <a:solidFill>
                        <a:schemeClr val="tx1"/>
                      </a:solidFill>
                    </a:ln>
                  </pic:spPr>
                </pic:pic>
              </a:graphicData>
            </a:graphic>
          </wp:inline>
        </w:drawing>
      </w:r>
    </w:p>
    <w:p w14:paraId="223CE9DC" w14:textId="16E1222D" w:rsidR="00A24890" w:rsidRPr="008E4A80" w:rsidRDefault="00A24890" w:rsidP="015EB512">
      <w:pPr>
        <w:rPr>
          <w:rFonts w:cs="Arial"/>
          <w:b/>
          <w:bCs/>
        </w:rPr>
      </w:pPr>
    </w:p>
    <w:p w14:paraId="45E0BAD8" w14:textId="4349596E" w:rsidR="015EB512" w:rsidRDefault="015EB512" w:rsidP="015EB512">
      <w:pPr>
        <w:jc w:val="center"/>
        <w:rPr>
          <w:rFonts w:cs="Arial"/>
          <w:b/>
          <w:bCs/>
        </w:rPr>
      </w:pPr>
      <w:r w:rsidRPr="015EB512">
        <w:rPr>
          <w:rFonts w:cs="Arial"/>
          <w:b/>
          <w:bCs/>
        </w:rPr>
        <w:t>---END OF DOCUMENT---</w:t>
      </w:r>
    </w:p>
    <w:sectPr w:rsidR="015EB512" w:rsidSect="00AE2690">
      <w:pgSz w:w="12240" w:h="15840"/>
      <w:pgMar w:top="720" w:right="1440" w:bottom="1152" w:left="1440" w:header="720" w:footer="1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C0C3B3" w14:textId="77777777" w:rsidR="00DB12C9" w:rsidRDefault="00DB12C9" w:rsidP="004D38D8">
      <w:pPr>
        <w:spacing w:after="0" w:line="240" w:lineRule="auto"/>
      </w:pPr>
      <w:r>
        <w:separator/>
      </w:r>
    </w:p>
  </w:endnote>
  <w:endnote w:type="continuationSeparator" w:id="0">
    <w:p w14:paraId="6CF364D7" w14:textId="77777777" w:rsidR="00DB12C9" w:rsidRDefault="00DB12C9" w:rsidP="004D38D8">
      <w:pPr>
        <w:spacing w:after="0" w:line="240" w:lineRule="auto"/>
      </w:pPr>
      <w:r>
        <w:continuationSeparator/>
      </w:r>
    </w:p>
  </w:endnote>
  <w:endnote w:type="continuationNotice" w:id="1">
    <w:p w14:paraId="051D4E8E" w14:textId="77777777" w:rsidR="00DB12C9" w:rsidRDefault="00DB12C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rPr>
      <w:id w:val="1618255490"/>
      <w:docPartObj>
        <w:docPartGallery w:val="Page Numbers (Bottom of Page)"/>
        <w:docPartUnique/>
      </w:docPartObj>
    </w:sdtPr>
    <w:sdtEndPr/>
    <w:sdtContent>
      <w:p w14:paraId="6692D37F" w14:textId="514A35ED" w:rsidR="00555A5B" w:rsidRDefault="00555A5B">
        <w:pPr>
          <w:pStyle w:val="Footer"/>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sidRPr="004149B9">
          <w:rPr>
            <w:rFonts w:eastAsiaTheme="minorEastAsia"/>
            <w:sz w:val="18"/>
          </w:rPr>
          <w:fldChar w:fldCharType="begin"/>
        </w:r>
        <w:r w:rsidRPr="004149B9">
          <w:rPr>
            <w:sz w:val="18"/>
          </w:rPr>
          <w:instrText xml:space="preserve"> PAGE    \* MERGEFORMAT </w:instrText>
        </w:r>
        <w:r w:rsidRPr="004149B9">
          <w:rPr>
            <w:rFonts w:eastAsiaTheme="minorEastAsia"/>
            <w:sz w:val="18"/>
          </w:rPr>
          <w:fldChar w:fldCharType="separate"/>
        </w:r>
        <w:r w:rsidRPr="00C24ED5">
          <w:rPr>
            <w:rFonts w:asciiTheme="majorHAnsi" w:eastAsiaTheme="majorEastAsia" w:hAnsiTheme="majorHAnsi" w:cstheme="majorBidi"/>
            <w:noProof/>
            <w:sz w:val="18"/>
            <w:szCs w:val="28"/>
          </w:rPr>
          <w:t>22</w:t>
        </w:r>
        <w:r w:rsidRPr="004149B9">
          <w:rPr>
            <w:rFonts w:asciiTheme="majorHAnsi" w:eastAsiaTheme="majorEastAsia" w:hAnsiTheme="majorHAnsi" w:cstheme="majorBidi"/>
            <w:noProof/>
            <w:sz w:val="18"/>
            <w:szCs w:val="28"/>
          </w:rPr>
          <w:fldChar w:fldCharType="end"/>
        </w:r>
        <w:r>
          <w:rPr>
            <w:rFonts w:asciiTheme="majorHAnsi" w:eastAsiaTheme="majorEastAsia" w:hAnsiTheme="majorHAnsi" w:cstheme="majorBidi"/>
            <w:sz w:val="28"/>
            <w:szCs w:val="28"/>
          </w:rPr>
          <w:t xml:space="preserve"> ~</w:t>
        </w:r>
      </w:p>
    </w:sdtContent>
  </w:sdt>
  <w:p w14:paraId="29C88EAC" w14:textId="77777777" w:rsidR="00555A5B" w:rsidRDefault="00555A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673289" w14:textId="77777777" w:rsidR="00DB12C9" w:rsidRDefault="00DB12C9" w:rsidP="004D38D8">
      <w:pPr>
        <w:spacing w:after="0" w:line="240" w:lineRule="auto"/>
      </w:pPr>
      <w:r>
        <w:separator/>
      </w:r>
    </w:p>
  </w:footnote>
  <w:footnote w:type="continuationSeparator" w:id="0">
    <w:p w14:paraId="3171F0A0" w14:textId="77777777" w:rsidR="00DB12C9" w:rsidRDefault="00DB12C9" w:rsidP="004D38D8">
      <w:pPr>
        <w:spacing w:after="0" w:line="240" w:lineRule="auto"/>
      </w:pPr>
      <w:r>
        <w:continuationSeparator/>
      </w:r>
    </w:p>
  </w:footnote>
  <w:footnote w:type="continuationNotice" w:id="1">
    <w:p w14:paraId="6E7318F2" w14:textId="77777777" w:rsidR="00DB12C9" w:rsidRDefault="00DB12C9">
      <w:pPr>
        <w:spacing w:after="0" w:line="240" w:lineRule="auto"/>
      </w:pPr>
    </w:p>
  </w:footnote>
  <w:footnote w:id="2">
    <w:p w14:paraId="4CC95848" w14:textId="04E0B2C8" w:rsidR="00555A5B" w:rsidRDefault="00555A5B" w:rsidP="009A77F5">
      <w:pPr>
        <w:numPr>
          <w:ilvl w:val="0"/>
          <w:numId w:val="31"/>
        </w:numPr>
        <w:spacing w:after="0" w:line="240" w:lineRule="auto"/>
        <w:rPr>
          <w:rFonts w:ascii="Segoe UI" w:hAnsi="Segoe UI" w:cs="Segoe UI"/>
          <w:color w:val="1F497D"/>
          <w:sz w:val="20"/>
          <w:szCs w:val="20"/>
        </w:rPr>
      </w:pPr>
      <w:r>
        <w:rPr>
          <w:rStyle w:val="FootnoteReference"/>
        </w:rPr>
        <w:footnoteRef/>
      </w:r>
      <w:r>
        <w:t xml:space="preserve"> </w:t>
      </w:r>
      <w:r w:rsidRPr="004431F7">
        <w:rPr>
          <w:rFonts w:ascii="Segoe UI" w:hAnsi="Segoe UI" w:cs="Segoe UI"/>
          <w:color w:val="262626" w:themeColor="text1" w:themeTint="D9"/>
          <w:sz w:val="18"/>
          <w:szCs w:val="20"/>
        </w:rPr>
        <w:t xml:space="preserve">Please note that at this time, not all CO finance staff will have access to UNEX 2. Until this matter is resolved corporately, colleagues can request ‘access from UNEX 2 from OIMT who can provide ‘read only’ access in order to run reports from UNEX 2. </w:t>
      </w:r>
    </w:p>
    <w:p w14:paraId="32CB1EA9" w14:textId="59236EE9" w:rsidR="00555A5B" w:rsidRDefault="00555A5B">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C75C1"/>
    <w:multiLevelType w:val="hybridMultilevel"/>
    <w:tmpl w:val="6568D0C0"/>
    <w:lvl w:ilvl="0" w:tplc="624C945A">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F64EC"/>
    <w:multiLevelType w:val="hybridMultilevel"/>
    <w:tmpl w:val="D8EEBA04"/>
    <w:lvl w:ilvl="0" w:tplc="04090011">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7D61C5"/>
    <w:multiLevelType w:val="hybridMultilevel"/>
    <w:tmpl w:val="BD9EE6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CD205B4"/>
    <w:multiLevelType w:val="hybridMultilevel"/>
    <w:tmpl w:val="85B84F2A"/>
    <w:lvl w:ilvl="0" w:tplc="BFB059C6">
      <w:start w:val="1"/>
      <w:numFmt w:val="decimal"/>
      <w:lvlText w:val="%1."/>
      <w:lvlJc w:val="left"/>
      <w:pPr>
        <w:ind w:left="900" w:hanging="54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1E39FBA"/>
    <w:multiLevelType w:val="hybridMultilevel"/>
    <w:tmpl w:val="184E2D24"/>
    <w:lvl w:ilvl="0" w:tplc="FFFFFFFF">
      <w:start w:val="1"/>
      <w:numFmt w:val="lowerLetter"/>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5" w15:restartNumberingAfterBreak="0">
    <w:nsid w:val="14484606"/>
    <w:multiLevelType w:val="hybridMultilevel"/>
    <w:tmpl w:val="828814FE"/>
    <w:lvl w:ilvl="0" w:tplc="17C8CBCA">
      <w:start w:val="1"/>
      <w:numFmt w:val="lowerLetter"/>
      <w:lvlText w:val="%1)"/>
      <w:lvlJc w:val="left"/>
      <w:pPr>
        <w:ind w:left="405"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B556D5"/>
    <w:multiLevelType w:val="hybridMultilevel"/>
    <w:tmpl w:val="20F6C2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AC351A2"/>
    <w:multiLevelType w:val="hybridMultilevel"/>
    <w:tmpl w:val="8E9EC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B344E9"/>
    <w:multiLevelType w:val="hybridMultilevel"/>
    <w:tmpl w:val="D8EEBA04"/>
    <w:lvl w:ilvl="0" w:tplc="04090011">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D24E6A"/>
    <w:multiLevelType w:val="hybridMultilevel"/>
    <w:tmpl w:val="FFE49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E446BC"/>
    <w:multiLevelType w:val="hybridMultilevel"/>
    <w:tmpl w:val="DDFC867A"/>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187C7B"/>
    <w:multiLevelType w:val="hybridMultilevel"/>
    <w:tmpl w:val="ACB4F2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265E4F"/>
    <w:multiLevelType w:val="hybridMultilevel"/>
    <w:tmpl w:val="F21E02EE"/>
    <w:lvl w:ilvl="0" w:tplc="04090017">
      <w:start w:val="1"/>
      <w:numFmt w:val="lowerLetter"/>
      <w:lvlText w:val="%1)"/>
      <w:lvlJc w:val="left"/>
      <w:pPr>
        <w:ind w:left="720" w:hanging="360"/>
      </w:pPr>
    </w:lvl>
    <w:lvl w:ilvl="1" w:tplc="0409001B">
      <w:start w:val="1"/>
      <w:numFmt w:val="lowerRoman"/>
      <w:lvlText w:val="%2."/>
      <w:lvlJc w:val="right"/>
      <w:pPr>
        <w:ind w:left="1440" w:hanging="360"/>
      </w:pPr>
    </w:lvl>
    <w:lvl w:ilvl="2" w:tplc="B7389308">
      <w:start w:val="1"/>
      <w:numFmt w:val="decimal"/>
      <w:lvlText w:val="%3)"/>
      <w:lvlJc w:val="left"/>
      <w:pPr>
        <w:ind w:left="234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C92353"/>
    <w:multiLevelType w:val="hybridMultilevel"/>
    <w:tmpl w:val="59080A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0F7585"/>
    <w:multiLevelType w:val="hybridMultilevel"/>
    <w:tmpl w:val="617EA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D75774"/>
    <w:multiLevelType w:val="hybridMultilevel"/>
    <w:tmpl w:val="02FA70DE"/>
    <w:lvl w:ilvl="0" w:tplc="04090017">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4B7F4B"/>
    <w:multiLevelType w:val="hybridMultilevel"/>
    <w:tmpl w:val="32E00966"/>
    <w:lvl w:ilvl="0" w:tplc="6D76DACA">
      <w:start w:val="1"/>
      <w:numFmt w:val="bullet"/>
      <w:lvlText w:val="-"/>
      <w:lvlJc w:val="left"/>
      <w:pPr>
        <w:ind w:left="1080" w:hanging="360"/>
      </w:pPr>
      <w:rPr>
        <w:rFonts w:ascii="Segoe UI" w:eastAsia="Calibri" w:hAnsi="Segoe UI" w:cs="Segoe UI" w:hint="default"/>
        <w:color w:val="0000FF"/>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7" w15:restartNumberingAfterBreak="0">
    <w:nsid w:val="3FC47172"/>
    <w:multiLevelType w:val="hybridMultilevel"/>
    <w:tmpl w:val="D8EEBA04"/>
    <w:lvl w:ilvl="0" w:tplc="04090011">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0E221C"/>
    <w:multiLevelType w:val="hybridMultilevel"/>
    <w:tmpl w:val="A07E8FC2"/>
    <w:lvl w:ilvl="0" w:tplc="0409000F">
      <w:start w:val="1"/>
      <w:numFmt w:val="decimal"/>
      <w:lvlText w:val="%1."/>
      <w:lvlJc w:val="left"/>
      <w:pPr>
        <w:ind w:left="720" w:hanging="360"/>
      </w:pPr>
    </w:lvl>
    <w:lvl w:ilvl="1" w:tplc="44090019">
      <w:start w:val="1"/>
      <w:numFmt w:val="lowerLetter"/>
      <w:lvlText w:val="%2."/>
      <w:lvlJc w:val="left"/>
      <w:pPr>
        <w:ind w:left="1440" w:hanging="360"/>
      </w:pPr>
    </w:lvl>
    <w:lvl w:ilvl="2" w:tplc="4409001B">
      <w:start w:val="1"/>
      <w:numFmt w:val="lowerRoman"/>
      <w:lvlText w:val="%3."/>
      <w:lvlJc w:val="right"/>
      <w:pPr>
        <w:ind w:left="2160" w:hanging="180"/>
      </w:pPr>
    </w:lvl>
    <w:lvl w:ilvl="3" w:tplc="4409000F">
      <w:start w:val="1"/>
      <w:numFmt w:val="decimal"/>
      <w:lvlText w:val="%4."/>
      <w:lvlJc w:val="left"/>
      <w:pPr>
        <w:ind w:left="2880" w:hanging="360"/>
      </w:pPr>
    </w:lvl>
    <w:lvl w:ilvl="4" w:tplc="44090019">
      <w:start w:val="1"/>
      <w:numFmt w:val="lowerLetter"/>
      <w:lvlText w:val="%5."/>
      <w:lvlJc w:val="left"/>
      <w:pPr>
        <w:ind w:left="3600" w:hanging="360"/>
      </w:pPr>
    </w:lvl>
    <w:lvl w:ilvl="5" w:tplc="4409001B">
      <w:start w:val="1"/>
      <w:numFmt w:val="lowerRoman"/>
      <w:lvlText w:val="%6."/>
      <w:lvlJc w:val="right"/>
      <w:pPr>
        <w:ind w:left="4320" w:hanging="180"/>
      </w:pPr>
    </w:lvl>
    <w:lvl w:ilvl="6" w:tplc="4409000F">
      <w:start w:val="1"/>
      <w:numFmt w:val="decimal"/>
      <w:lvlText w:val="%7."/>
      <w:lvlJc w:val="left"/>
      <w:pPr>
        <w:ind w:left="5040" w:hanging="360"/>
      </w:pPr>
    </w:lvl>
    <w:lvl w:ilvl="7" w:tplc="44090019">
      <w:start w:val="1"/>
      <w:numFmt w:val="lowerLetter"/>
      <w:lvlText w:val="%8."/>
      <w:lvlJc w:val="left"/>
      <w:pPr>
        <w:ind w:left="5760" w:hanging="360"/>
      </w:pPr>
    </w:lvl>
    <w:lvl w:ilvl="8" w:tplc="4409001B">
      <w:start w:val="1"/>
      <w:numFmt w:val="lowerRoman"/>
      <w:lvlText w:val="%9."/>
      <w:lvlJc w:val="right"/>
      <w:pPr>
        <w:ind w:left="6480" w:hanging="180"/>
      </w:pPr>
    </w:lvl>
  </w:abstractNum>
  <w:abstractNum w:abstractNumId="19" w15:restartNumberingAfterBreak="0">
    <w:nsid w:val="44635F1C"/>
    <w:multiLevelType w:val="hybridMultilevel"/>
    <w:tmpl w:val="57D871CC"/>
    <w:lvl w:ilvl="0" w:tplc="04090001">
      <w:start w:val="1"/>
      <w:numFmt w:val="bullet"/>
      <w:lvlText w:val=""/>
      <w:lvlJc w:val="left"/>
      <w:pPr>
        <w:ind w:left="720" w:hanging="360"/>
      </w:pPr>
      <w:rPr>
        <w:rFonts w:ascii="Symbol" w:hAnsi="Symbol" w:hint="default"/>
      </w:rPr>
    </w:lvl>
    <w:lvl w:ilvl="1" w:tplc="04090017">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D91F22"/>
    <w:multiLevelType w:val="hybridMultilevel"/>
    <w:tmpl w:val="11FAFF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A7832D1"/>
    <w:multiLevelType w:val="hybridMultilevel"/>
    <w:tmpl w:val="76EA778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2" w15:restartNumberingAfterBreak="0">
    <w:nsid w:val="4D4B7E1F"/>
    <w:multiLevelType w:val="hybridMultilevel"/>
    <w:tmpl w:val="6B90CA7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DB603A7"/>
    <w:multiLevelType w:val="hybridMultilevel"/>
    <w:tmpl w:val="310AC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055FD4"/>
    <w:multiLevelType w:val="hybridMultilevel"/>
    <w:tmpl w:val="2A8EFD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5BD6DF7"/>
    <w:multiLevelType w:val="hybridMultilevel"/>
    <w:tmpl w:val="E320C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F23B65"/>
    <w:multiLevelType w:val="hybridMultilevel"/>
    <w:tmpl w:val="9A60E3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57F921F7"/>
    <w:multiLevelType w:val="hybridMultilevel"/>
    <w:tmpl w:val="80A6DF1A"/>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CBA0713"/>
    <w:multiLevelType w:val="hybridMultilevel"/>
    <w:tmpl w:val="439C08AE"/>
    <w:lvl w:ilvl="0" w:tplc="04090001">
      <w:start w:val="1"/>
      <w:numFmt w:val="bullet"/>
      <w:lvlText w:val=""/>
      <w:lvlJc w:val="left"/>
      <w:pPr>
        <w:ind w:left="720" w:hanging="360"/>
      </w:pPr>
      <w:rPr>
        <w:rFonts w:ascii="Symbol" w:hAnsi="Symbol" w:hint="default"/>
        <w:i/>
        <w:color w:val="auto"/>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D429C2"/>
    <w:multiLevelType w:val="hybridMultilevel"/>
    <w:tmpl w:val="1062E9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EA4E5A"/>
    <w:multiLevelType w:val="hybridMultilevel"/>
    <w:tmpl w:val="D8EEBA04"/>
    <w:lvl w:ilvl="0" w:tplc="04090011">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E795BD3"/>
    <w:multiLevelType w:val="hybridMultilevel"/>
    <w:tmpl w:val="D294285A"/>
    <w:lvl w:ilvl="0" w:tplc="04090011">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2" w15:restartNumberingAfterBreak="0">
    <w:nsid w:val="70425E71"/>
    <w:multiLevelType w:val="hybridMultilevel"/>
    <w:tmpl w:val="ACF81FBC"/>
    <w:lvl w:ilvl="0" w:tplc="FD02EAE0">
      <w:numFmt w:val="bullet"/>
      <w:lvlText w:val="-"/>
      <w:lvlJc w:val="left"/>
      <w:pPr>
        <w:ind w:left="405" w:hanging="360"/>
      </w:pPr>
      <w:rPr>
        <w:rFonts w:ascii="Calibri" w:eastAsiaTheme="minorEastAsia"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2A213BA"/>
    <w:multiLevelType w:val="hybridMultilevel"/>
    <w:tmpl w:val="0F3A85C8"/>
    <w:lvl w:ilvl="0" w:tplc="9DF43150">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63B13F8"/>
    <w:multiLevelType w:val="hybridMultilevel"/>
    <w:tmpl w:val="8172615A"/>
    <w:lvl w:ilvl="0" w:tplc="81340900">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4E2CAF"/>
    <w:multiLevelType w:val="hybridMultilevel"/>
    <w:tmpl w:val="A9B654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9661514"/>
    <w:multiLevelType w:val="hybridMultilevel"/>
    <w:tmpl w:val="9A683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96522B"/>
    <w:multiLevelType w:val="hybridMultilevel"/>
    <w:tmpl w:val="E264C4D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FB6228"/>
    <w:multiLevelType w:val="hybridMultilevel"/>
    <w:tmpl w:val="C2B428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7D295357"/>
    <w:multiLevelType w:val="hybridMultilevel"/>
    <w:tmpl w:val="BF6C3DA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num w:numId="1" w16cid:durableId="606735666">
    <w:abstractNumId w:val="6"/>
  </w:num>
  <w:num w:numId="2" w16cid:durableId="381559878">
    <w:abstractNumId w:val="2"/>
  </w:num>
  <w:num w:numId="3" w16cid:durableId="1442527080">
    <w:abstractNumId w:val="24"/>
  </w:num>
  <w:num w:numId="4" w16cid:durableId="946620349">
    <w:abstractNumId w:val="27"/>
  </w:num>
  <w:num w:numId="5" w16cid:durableId="2014330889">
    <w:abstractNumId w:val="31"/>
  </w:num>
  <w:num w:numId="6" w16cid:durableId="1410466996">
    <w:abstractNumId w:val="17"/>
  </w:num>
  <w:num w:numId="7" w16cid:durableId="1774547095">
    <w:abstractNumId w:val="30"/>
  </w:num>
  <w:num w:numId="8" w16cid:durableId="1162306740">
    <w:abstractNumId w:val="8"/>
  </w:num>
  <w:num w:numId="9" w16cid:durableId="1715545897">
    <w:abstractNumId w:val="22"/>
  </w:num>
  <w:num w:numId="10" w16cid:durableId="423840826">
    <w:abstractNumId w:val="1"/>
  </w:num>
  <w:num w:numId="11" w16cid:durableId="316112550">
    <w:abstractNumId w:val="25"/>
  </w:num>
  <w:num w:numId="12" w16cid:durableId="2087459719">
    <w:abstractNumId w:val="7"/>
  </w:num>
  <w:num w:numId="13" w16cid:durableId="1785615495">
    <w:abstractNumId w:val="35"/>
  </w:num>
  <w:num w:numId="14" w16cid:durableId="512376188">
    <w:abstractNumId w:val="10"/>
  </w:num>
  <w:num w:numId="15" w16cid:durableId="1312177779">
    <w:abstractNumId w:val="37"/>
  </w:num>
  <w:num w:numId="16" w16cid:durableId="410005096">
    <w:abstractNumId w:val="12"/>
  </w:num>
  <w:num w:numId="17" w16cid:durableId="1108281738">
    <w:abstractNumId w:val="15"/>
  </w:num>
  <w:num w:numId="18" w16cid:durableId="1337070848">
    <w:abstractNumId w:val="19"/>
  </w:num>
  <w:num w:numId="19" w16cid:durableId="368339013">
    <w:abstractNumId w:val="32"/>
  </w:num>
  <w:num w:numId="20" w16cid:durableId="284387906">
    <w:abstractNumId w:val="5"/>
  </w:num>
  <w:num w:numId="21" w16cid:durableId="1268350653">
    <w:abstractNumId w:val="0"/>
  </w:num>
  <w:num w:numId="22" w16cid:durableId="1624002138">
    <w:abstractNumId w:val="39"/>
  </w:num>
  <w:num w:numId="23" w16cid:durableId="1389184550">
    <w:abstractNumId w:val="34"/>
  </w:num>
  <w:num w:numId="24" w16cid:durableId="1367296499">
    <w:abstractNumId w:val="29"/>
  </w:num>
  <w:num w:numId="25" w16cid:durableId="1832988112">
    <w:abstractNumId w:val="23"/>
  </w:num>
  <w:num w:numId="26" w16cid:durableId="212507355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35171389">
    <w:abstractNumId w:val="14"/>
  </w:num>
  <w:num w:numId="28" w16cid:durableId="794519576">
    <w:abstractNumId w:val="26"/>
  </w:num>
  <w:num w:numId="29" w16cid:durableId="1967542419">
    <w:abstractNumId w:val="9"/>
  </w:num>
  <w:num w:numId="30" w16cid:durableId="1476099052">
    <w:abstractNumId w:val="33"/>
  </w:num>
  <w:num w:numId="31" w16cid:durableId="1196504001">
    <w:abstractNumId w:val="16"/>
  </w:num>
  <w:num w:numId="32" w16cid:durableId="49697301">
    <w:abstractNumId w:val="7"/>
  </w:num>
  <w:num w:numId="33" w16cid:durableId="187480309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54428236">
    <w:abstractNumId w:val="11"/>
  </w:num>
  <w:num w:numId="35" w16cid:durableId="858465948">
    <w:abstractNumId w:val="36"/>
  </w:num>
  <w:num w:numId="36" w16cid:durableId="1680081502">
    <w:abstractNumId w:val="28"/>
  </w:num>
  <w:num w:numId="37" w16cid:durableId="1849102174">
    <w:abstractNumId w:val="13"/>
  </w:num>
  <w:num w:numId="38" w16cid:durableId="1037239817">
    <w:abstractNumId w:val="20"/>
  </w:num>
  <w:num w:numId="39" w16cid:durableId="66474370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85916872">
    <w:abstractNumId w:val="39"/>
  </w:num>
  <w:num w:numId="41" w16cid:durableId="66671692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658998181">
    <w:abstractNumId w:val="4"/>
    <w:lvlOverride w:ilvl="0">
      <w:startOverride w:val="1"/>
    </w:lvlOverride>
    <w:lvlOverride w:ilvl="1"/>
    <w:lvlOverride w:ilvl="2"/>
    <w:lvlOverride w:ilvl="3"/>
    <w:lvlOverride w:ilvl="4"/>
    <w:lvlOverride w:ilvl="5"/>
    <w:lvlOverride w:ilvl="6"/>
    <w:lvlOverride w:ilvl="7"/>
    <w:lvlOverride w:ilv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62CE"/>
    <w:rsid w:val="00000BAE"/>
    <w:rsid w:val="00001854"/>
    <w:rsid w:val="00005B7A"/>
    <w:rsid w:val="00014455"/>
    <w:rsid w:val="00021290"/>
    <w:rsid w:val="000238FE"/>
    <w:rsid w:val="00027AB1"/>
    <w:rsid w:val="00030E2C"/>
    <w:rsid w:val="00031707"/>
    <w:rsid w:val="00032758"/>
    <w:rsid w:val="00032D1A"/>
    <w:rsid w:val="000345A4"/>
    <w:rsid w:val="00040F3E"/>
    <w:rsid w:val="00043CC9"/>
    <w:rsid w:val="00043CCA"/>
    <w:rsid w:val="00043D63"/>
    <w:rsid w:val="000477D9"/>
    <w:rsid w:val="00052F7C"/>
    <w:rsid w:val="000539E5"/>
    <w:rsid w:val="00056083"/>
    <w:rsid w:val="0006042B"/>
    <w:rsid w:val="00060E57"/>
    <w:rsid w:val="000655CA"/>
    <w:rsid w:val="00074E72"/>
    <w:rsid w:val="00075A5B"/>
    <w:rsid w:val="00084003"/>
    <w:rsid w:val="00086678"/>
    <w:rsid w:val="00090140"/>
    <w:rsid w:val="0009114A"/>
    <w:rsid w:val="000945DB"/>
    <w:rsid w:val="0009730B"/>
    <w:rsid w:val="000B1F46"/>
    <w:rsid w:val="000B34A0"/>
    <w:rsid w:val="000B3DF9"/>
    <w:rsid w:val="000B78FD"/>
    <w:rsid w:val="000C05AE"/>
    <w:rsid w:val="000C0F71"/>
    <w:rsid w:val="000C18E9"/>
    <w:rsid w:val="000D0087"/>
    <w:rsid w:val="000D0628"/>
    <w:rsid w:val="000D0682"/>
    <w:rsid w:val="000D1574"/>
    <w:rsid w:val="000D3698"/>
    <w:rsid w:val="000D4740"/>
    <w:rsid w:val="000D68EA"/>
    <w:rsid w:val="000D77CA"/>
    <w:rsid w:val="000E099F"/>
    <w:rsid w:val="000E1B23"/>
    <w:rsid w:val="000E1B74"/>
    <w:rsid w:val="000E39F8"/>
    <w:rsid w:val="000F15D0"/>
    <w:rsid w:val="000F2C47"/>
    <w:rsid w:val="00107197"/>
    <w:rsid w:val="0011429B"/>
    <w:rsid w:val="00114DD0"/>
    <w:rsid w:val="00117912"/>
    <w:rsid w:val="00120462"/>
    <w:rsid w:val="00120FA0"/>
    <w:rsid w:val="00121923"/>
    <w:rsid w:val="0012470A"/>
    <w:rsid w:val="00124E00"/>
    <w:rsid w:val="0012553B"/>
    <w:rsid w:val="001300B1"/>
    <w:rsid w:val="0013653F"/>
    <w:rsid w:val="00136CEF"/>
    <w:rsid w:val="00144859"/>
    <w:rsid w:val="00146347"/>
    <w:rsid w:val="00146FCC"/>
    <w:rsid w:val="00150CDA"/>
    <w:rsid w:val="001570D9"/>
    <w:rsid w:val="00161284"/>
    <w:rsid w:val="001652F2"/>
    <w:rsid w:val="001660E1"/>
    <w:rsid w:val="00166262"/>
    <w:rsid w:val="0017743A"/>
    <w:rsid w:val="0018229F"/>
    <w:rsid w:val="001839EE"/>
    <w:rsid w:val="00187B3B"/>
    <w:rsid w:val="00187E47"/>
    <w:rsid w:val="001920B8"/>
    <w:rsid w:val="001962FD"/>
    <w:rsid w:val="001967E2"/>
    <w:rsid w:val="001975E3"/>
    <w:rsid w:val="001A0C57"/>
    <w:rsid w:val="001A12AF"/>
    <w:rsid w:val="001A1A70"/>
    <w:rsid w:val="001A2EC8"/>
    <w:rsid w:val="001A4525"/>
    <w:rsid w:val="001A4AD1"/>
    <w:rsid w:val="001B3A89"/>
    <w:rsid w:val="001B7BB7"/>
    <w:rsid w:val="001C0B9C"/>
    <w:rsid w:val="001C3C47"/>
    <w:rsid w:val="001C7464"/>
    <w:rsid w:val="001C7B32"/>
    <w:rsid w:val="001D1368"/>
    <w:rsid w:val="001D1E6D"/>
    <w:rsid w:val="001D225B"/>
    <w:rsid w:val="001D43A8"/>
    <w:rsid w:val="001D46B8"/>
    <w:rsid w:val="001D697F"/>
    <w:rsid w:val="001E037D"/>
    <w:rsid w:val="001E057D"/>
    <w:rsid w:val="001E1E1A"/>
    <w:rsid w:val="001E358D"/>
    <w:rsid w:val="001E4A2E"/>
    <w:rsid w:val="001E7975"/>
    <w:rsid w:val="001F7C40"/>
    <w:rsid w:val="00200CA5"/>
    <w:rsid w:val="00200F7E"/>
    <w:rsid w:val="00204178"/>
    <w:rsid w:val="0020580D"/>
    <w:rsid w:val="00206619"/>
    <w:rsid w:val="00222B6D"/>
    <w:rsid w:val="002252F5"/>
    <w:rsid w:val="002260C8"/>
    <w:rsid w:val="002378B2"/>
    <w:rsid w:val="002424B1"/>
    <w:rsid w:val="00242728"/>
    <w:rsid w:val="00242BF4"/>
    <w:rsid w:val="0024453E"/>
    <w:rsid w:val="00244632"/>
    <w:rsid w:val="00244A73"/>
    <w:rsid w:val="00250E07"/>
    <w:rsid w:val="00252A8F"/>
    <w:rsid w:val="00254D73"/>
    <w:rsid w:val="00256C1B"/>
    <w:rsid w:val="00257B1A"/>
    <w:rsid w:val="00260AB0"/>
    <w:rsid w:val="00260B9B"/>
    <w:rsid w:val="0026296A"/>
    <w:rsid w:val="002667FA"/>
    <w:rsid w:val="002717BA"/>
    <w:rsid w:val="00271EE0"/>
    <w:rsid w:val="00272A6F"/>
    <w:rsid w:val="00273581"/>
    <w:rsid w:val="00275230"/>
    <w:rsid w:val="00283365"/>
    <w:rsid w:val="00287054"/>
    <w:rsid w:val="0029069C"/>
    <w:rsid w:val="00290F4F"/>
    <w:rsid w:val="00293112"/>
    <w:rsid w:val="002957AF"/>
    <w:rsid w:val="002961FE"/>
    <w:rsid w:val="002973B8"/>
    <w:rsid w:val="002A0132"/>
    <w:rsid w:val="002A13D0"/>
    <w:rsid w:val="002A5CF0"/>
    <w:rsid w:val="002A69F9"/>
    <w:rsid w:val="002B731D"/>
    <w:rsid w:val="002B7738"/>
    <w:rsid w:val="002C09D5"/>
    <w:rsid w:val="002C0E61"/>
    <w:rsid w:val="002C32AF"/>
    <w:rsid w:val="002C717B"/>
    <w:rsid w:val="002D07D6"/>
    <w:rsid w:val="002D0957"/>
    <w:rsid w:val="002D4224"/>
    <w:rsid w:val="002D425E"/>
    <w:rsid w:val="002D514D"/>
    <w:rsid w:val="002D68B6"/>
    <w:rsid w:val="002D7833"/>
    <w:rsid w:val="002E336C"/>
    <w:rsid w:val="002F1285"/>
    <w:rsid w:val="002F1B82"/>
    <w:rsid w:val="002F203B"/>
    <w:rsid w:val="002F2CF3"/>
    <w:rsid w:val="002F4455"/>
    <w:rsid w:val="002F5805"/>
    <w:rsid w:val="002F66EA"/>
    <w:rsid w:val="00301477"/>
    <w:rsid w:val="00301EFC"/>
    <w:rsid w:val="00304C24"/>
    <w:rsid w:val="0030742B"/>
    <w:rsid w:val="00307B59"/>
    <w:rsid w:val="00311E25"/>
    <w:rsid w:val="003121F6"/>
    <w:rsid w:val="00314773"/>
    <w:rsid w:val="00314A44"/>
    <w:rsid w:val="00315780"/>
    <w:rsid w:val="00331583"/>
    <w:rsid w:val="003324F9"/>
    <w:rsid w:val="00333C1A"/>
    <w:rsid w:val="00334792"/>
    <w:rsid w:val="00334A6B"/>
    <w:rsid w:val="00334DF6"/>
    <w:rsid w:val="003415C3"/>
    <w:rsid w:val="003423AA"/>
    <w:rsid w:val="003430EE"/>
    <w:rsid w:val="00343402"/>
    <w:rsid w:val="003439A5"/>
    <w:rsid w:val="00345B9C"/>
    <w:rsid w:val="00350F74"/>
    <w:rsid w:val="00353777"/>
    <w:rsid w:val="003543DE"/>
    <w:rsid w:val="00355E1A"/>
    <w:rsid w:val="00364107"/>
    <w:rsid w:val="003643EB"/>
    <w:rsid w:val="0037094B"/>
    <w:rsid w:val="00370F62"/>
    <w:rsid w:val="003918F3"/>
    <w:rsid w:val="00392123"/>
    <w:rsid w:val="00395ABB"/>
    <w:rsid w:val="00396B24"/>
    <w:rsid w:val="003A2B62"/>
    <w:rsid w:val="003A2E1B"/>
    <w:rsid w:val="003A6F56"/>
    <w:rsid w:val="003B2EE0"/>
    <w:rsid w:val="003B7FB3"/>
    <w:rsid w:val="003C0C74"/>
    <w:rsid w:val="003C23ED"/>
    <w:rsid w:val="003C279B"/>
    <w:rsid w:val="003C528C"/>
    <w:rsid w:val="003C7450"/>
    <w:rsid w:val="003D400A"/>
    <w:rsid w:val="003E4FCF"/>
    <w:rsid w:val="003E54D9"/>
    <w:rsid w:val="00405361"/>
    <w:rsid w:val="00412238"/>
    <w:rsid w:val="00412BBE"/>
    <w:rsid w:val="00413C92"/>
    <w:rsid w:val="004149B9"/>
    <w:rsid w:val="00420D06"/>
    <w:rsid w:val="00424606"/>
    <w:rsid w:val="0043531D"/>
    <w:rsid w:val="0043589C"/>
    <w:rsid w:val="00437B63"/>
    <w:rsid w:val="00440859"/>
    <w:rsid w:val="00440AFF"/>
    <w:rsid w:val="004431F7"/>
    <w:rsid w:val="00445389"/>
    <w:rsid w:val="0044742B"/>
    <w:rsid w:val="00450362"/>
    <w:rsid w:val="00452B82"/>
    <w:rsid w:val="00457B35"/>
    <w:rsid w:val="00460E6B"/>
    <w:rsid w:val="00464D53"/>
    <w:rsid w:val="00466E99"/>
    <w:rsid w:val="004721BD"/>
    <w:rsid w:val="00474709"/>
    <w:rsid w:val="00476381"/>
    <w:rsid w:val="00483192"/>
    <w:rsid w:val="00485EB6"/>
    <w:rsid w:val="00487959"/>
    <w:rsid w:val="004905C0"/>
    <w:rsid w:val="0049080B"/>
    <w:rsid w:val="00490D11"/>
    <w:rsid w:val="00491C7E"/>
    <w:rsid w:val="00493BED"/>
    <w:rsid w:val="0049538C"/>
    <w:rsid w:val="00495CD3"/>
    <w:rsid w:val="00496E61"/>
    <w:rsid w:val="004A11B8"/>
    <w:rsid w:val="004A4210"/>
    <w:rsid w:val="004A7760"/>
    <w:rsid w:val="004B025E"/>
    <w:rsid w:val="004C00FB"/>
    <w:rsid w:val="004C0BED"/>
    <w:rsid w:val="004C19CF"/>
    <w:rsid w:val="004C59E5"/>
    <w:rsid w:val="004C5CE4"/>
    <w:rsid w:val="004D0DAC"/>
    <w:rsid w:val="004D1034"/>
    <w:rsid w:val="004D38D8"/>
    <w:rsid w:val="004D3983"/>
    <w:rsid w:val="004D753C"/>
    <w:rsid w:val="004E0011"/>
    <w:rsid w:val="004E2D78"/>
    <w:rsid w:val="004E5D3E"/>
    <w:rsid w:val="004E6260"/>
    <w:rsid w:val="004E6A24"/>
    <w:rsid w:val="004E776C"/>
    <w:rsid w:val="004F2AF4"/>
    <w:rsid w:val="004F303E"/>
    <w:rsid w:val="004F62FA"/>
    <w:rsid w:val="004F6AEE"/>
    <w:rsid w:val="00500A89"/>
    <w:rsid w:val="00502803"/>
    <w:rsid w:val="00504F1C"/>
    <w:rsid w:val="00507836"/>
    <w:rsid w:val="00512A69"/>
    <w:rsid w:val="0051322A"/>
    <w:rsid w:val="0051454F"/>
    <w:rsid w:val="00516CA6"/>
    <w:rsid w:val="00517DCD"/>
    <w:rsid w:val="00523C71"/>
    <w:rsid w:val="0052490C"/>
    <w:rsid w:val="00525F29"/>
    <w:rsid w:val="00543300"/>
    <w:rsid w:val="00545BE8"/>
    <w:rsid w:val="005467ED"/>
    <w:rsid w:val="005501F7"/>
    <w:rsid w:val="00550D0A"/>
    <w:rsid w:val="005532C4"/>
    <w:rsid w:val="00555A5B"/>
    <w:rsid w:val="00563F68"/>
    <w:rsid w:val="00567D51"/>
    <w:rsid w:val="00573C52"/>
    <w:rsid w:val="0057713D"/>
    <w:rsid w:val="00581B5C"/>
    <w:rsid w:val="00585C29"/>
    <w:rsid w:val="005867E0"/>
    <w:rsid w:val="00587F03"/>
    <w:rsid w:val="00595122"/>
    <w:rsid w:val="00596650"/>
    <w:rsid w:val="005A1145"/>
    <w:rsid w:val="005A14BF"/>
    <w:rsid w:val="005A2AB6"/>
    <w:rsid w:val="005B63F2"/>
    <w:rsid w:val="005B684E"/>
    <w:rsid w:val="005B76C7"/>
    <w:rsid w:val="005C169B"/>
    <w:rsid w:val="005C50D2"/>
    <w:rsid w:val="005D09B5"/>
    <w:rsid w:val="005E1FF2"/>
    <w:rsid w:val="005E2994"/>
    <w:rsid w:val="005E5600"/>
    <w:rsid w:val="005E69C0"/>
    <w:rsid w:val="005E713F"/>
    <w:rsid w:val="005E7D43"/>
    <w:rsid w:val="005F01C7"/>
    <w:rsid w:val="005F1B83"/>
    <w:rsid w:val="005F4389"/>
    <w:rsid w:val="005F64E5"/>
    <w:rsid w:val="00600A10"/>
    <w:rsid w:val="00602413"/>
    <w:rsid w:val="00605AC8"/>
    <w:rsid w:val="00610B89"/>
    <w:rsid w:val="00613E9D"/>
    <w:rsid w:val="006149EB"/>
    <w:rsid w:val="006154DD"/>
    <w:rsid w:val="00616E8B"/>
    <w:rsid w:val="0061778E"/>
    <w:rsid w:val="006260BA"/>
    <w:rsid w:val="006262B5"/>
    <w:rsid w:val="0063478B"/>
    <w:rsid w:val="00634F23"/>
    <w:rsid w:val="006360E6"/>
    <w:rsid w:val="006471BF"/>
    <w:rsid w:val="00653F78"/>
    <w:rsid w:val="006547CF"/>
    <w:rsid w:val="0066467C"/>
    <w:rsid w:val="00665221"/>
    <w:rsid w:val="0066691A"/>
    <w:rsid w:val="00666AAE"/>
    <w:rsid w:val="0066715E"/>
    <w:rsid w:val="0067185A"/>
    <w:rsid w:val="00672223"/>
    <w:rsid w:val="00676D97"/>
    <w:rsid w:val="00680001"/>
    <w:rsid w:val="00681796"/>
    <w:rsid w:val="006942E8"/>
    <w:rsid w:val="00694DF5"/>
    <w:rsid w:val="00695DAF"/>
    <w:rsid w:val="006976EF"/>
    <w:rsid w:val="006A2D01"/>
    <w:rsid w:val="006A542A"/>
    <w:rsid w:val="006A6041"/>
    <w:rsid w:val="006A75C1"/>
    <w:rsid w:val="006A77CA"/>
    <w:rsid w:val="006B07E6"/>
    <w:rsid w:val="006C57B0"/>
    <w:rsid w:val="006D1900"/>
    <w:rsid w:val="006D43FC"/>
    <w:rsid w:val="006D76B6"/>
    <w:rsid w:val="006E2379"/>
    <w:rsid w:val="006E28AE"/>
    <w:rsid w:val="006E67BB"/>
    <w:rsid w:val="006F0C37"/>
    <w:rsid w:val="0070562F"/>
    <w:rsid w:val="00705C5D"/>
    <w:rsid w:val="00715951"/>
    <w:rsid w:val="00721399"/>
    <w:rsid w:val="00732941"/>
    <w:rsid w:val="0073688B"/>
    <w:rsid w:val="00742494"/>
    <w:rsid w:val="00743793"/>
    <w:rsid w:val="0074411A"/>
    <w:rsid w:val="00744F46"/>
    <w:rsid w:val="007458D4"/>
    <w:rsid w:val="007463AD"/>
    <w:rsid w:val="007464B7"/>
    <w:rsid w:val="00747DD4"/>
    <w:rsid w:val="00750D3A"/>
    <w:rsid w:val="0075103F"/>
    <w:rsid w:val="00751C4F"/>
    <w:rsid w:val="00752EF9"/>
    <w:rsid w:val="00757D03"/>
    <w:rsid w:val="00757E83"/>
    <w:rsid w:val="00760D35"/>
    <w:rsid w:val="0076147F"/>
    <w:rsid w:val="00761D8A"/>
    <w:rsid w:val="00761E0A"/>
    <w:rsid w:val="00761F0D"/>
    <w:rsid w:val="00765448"/>
    <w:rsid w:val="00766767"/>
    <w:rsid w:val="00771961"/>
    <w:rsid w:val="00774796"/>
    <w:rsid w:val="0078137D"/>
    <w:rsid w:val="007856E0"/>
    <w:rsid w:val="007875F0"/>
    <w:rsid w:val="00796066"/>
    <w:rsid w:val="007A2E3F"/>
    <w:rsid w:val="007A3090"/>
    <w:rsid w:val="007A7FF8"/>
    <w:rsid w:val="007B30BC"/>
    <w:rsid w:val="007C547B"/>
    <w:rsid w:val="007C78B6"/>
    <w:rsid w:val="007D5C67"/>
    <w:rsid w:val="007D6067"/>
    <w:rsid w:val="007E308A"/>
    <w:rsid w:val="007E3914"/>
    <w:rsid w:val="007E6015"/>
    <w:rsid w:val="007E6538"/>
    <w:rsid w:val="007E6A38"/>
    <w:rsid w:val="007E7518"/>
    <w:rsid w:val="007F27F4"/>
    <w:rsid w:val="007F5027"/>
    <w:rsid w:val="008079E5"/>
    <w:rsid w:val="0081196F"/>
    <w:rsid w:val="00811DBC"/>
    <w:rsid w:val="0081234A"/>
    <w:rsid w:val="008133C3"/>
    <w:rsid w:val="00816186"/>
    <w:rsid w:val="00816919"/>
    <w:rsid w:val="00825FF3"/>
    <w:rsid w:val="0083114D"/>
    <w:rsid w:val="00832E09"/>
    <w:rsid w:val="0084623B"/>
    <w:rsid w:val="00854F52"/>
    <w:rsid w:val="00857751"/>
    <w:rsid w:val="00866343"/>
    <w:rsid w:val="008665FD"/>
    <w:rsid w:val="008772FB"/>
    <w:rsid w:val="0088067E"/>
    <w:rsid w:val="00883638"/>
    <w:rsid w:val="00885106"/>
    <w:rsid w:val="00885E95"/>
    <w:rsid w:val="008955F9"/>
    <w:rsid w:val="008A7E9A"/>
    <w:rsid w:val="008B3E71"/>
    <w:rsid w:val="008B6ECB"/>
    <w:rsid w:val="008D21D1"/>
    <w:rsid w:val="008D41E1"/>
    <w:rsid w:val="008E1A8D"/>
    <w:rsid w:val="008E2AE8"/>
    <w:rsid w:val="008E4A80"/>
    <w:rsid w:val="008E5C89"/>
    <w:rsid w:val="008F088A"/>
    <w:rsid w:val="008F25CB"/>
    <w:rsid w:val="008F4653"/>
    <w:rsid w:val="008F516E"/>
    <w:rsid w:val="008F58E1"/>
    <w:rsid w:val="008F6037"/>
    <w:rsid w:val="009002C4"/>
    <w:rsid w:val="00903648"/>
    <w:rsid w:val="0090381E"/>
    <w:rsid w:val="0090586A"/>
    <w:rsid w:val="00905A8C"/>
    <w:rsid w:val="00906048"/>
    <w:rsid w:val="009102CE"/>
    <w:rsid w:val="00910AD4"/>
    <w:rsid w:val="00913F0A"/>
    <w:rsid w:val="00915CE7"/>
    <w:rsid w:val="00917E05"/>
    <w:rsid w:val="0092201B"/>
    <w:rsid w:val="009221DD"/>
    <w:rsid w:val="00922EF9"/>
    <w:rsid w:val="00924814"/>
    <w:rsid w:val="00926963"/>
    <w:rsid w:val="00936111"/>
    <w:rsid w:val="009411E9"/>
    <w:rsid w:val="009415A2"/>
    <w:rsid w:val="00945B6D"/>
    <w:rsid w:val="00947E1D"/>
    <w:rsid w:val="009553B0"/>
    <w:rsid w:val="00956840"/>
    <w:rsid w:val="00957162"/>
    <w:rsid w:val="009615C0"/>
    <w:rsid w:val="009639BB"/>
    <w:rsid w:val="00964B22"/>
    <w:rsid w:val="009665B6"/>
    <w:rsid w:val="0096794E"/>
    <w:rsid w:val="00967ADF"/>
    <w:rsid w:val="00970C72"/>
    <w:rsid w:val="00971050"/>
    <w:rsid w:val="009727CC"/>
    <w:rsid w:val="009765D4"/>
    <w:rsid w:val="00980518"/>
    <w:rsid w:val="0098101F"/>
    <w:rsid w:val="00982F74"/>
    <w:rsid w:val="0098316B"/>
    <w:rsid w:val="00985F94"/>
    <w:rsid w:val="00987938"/>
    <w:rsid w:val="00990C1F"/>
    <w:rsid w:val="00994F01"/>
    <w:rsid w:val="00997C79"/>
    <w:rsid w:val="009A2337"/>
    <w:rsid w:val="009A26A1"/>
    <w:rsid w:val="009A53D6"/>
    <w:rsid w:val="009A643D"/>
    <w:rsid w:val="009A77F5"/>
    <w:rsid w:val="009B0DC4"/>
    <w:rsid w:val="009B45C8"/>
    <w:rsid w:val="009C12E8"/>
    <w:rsid w:val="009C2883"/>
    <w:rsid w:val="009C46E1"/>
    <w:rsid w:val="009C6651"/>
    <w:rsid w:val="009D06DA"/>
    <w:rsid w:val="009D692C"/>
    <w:rsid w:val="009E0FE5"/>
    <w:rsid w:val="009E13F0"/>
    <w:rsid w:val="009E1ADE"/>
    <w:rsid w:val="009E3AD1"/>
    <w:rsid w:val="009E4303"/>
    <w:rsid w:val="009E48FB"/>
    <w:rsid w:val="009E5882"/>
    <w:rsid w:val="009F01DE"/>
    <w:rsid w:val="009F4BB4"/>
    <w:rsid w:val="009F62E1"/>
    <w:rsid w:val="00A0057D"/>
    <w:rsid w:val="00A00F64"/>
    <w:rsid w:val="00A03FC8"/>
    <w:rsid w:val="00A062C8"/>
    <w:rsid w:val="00A12942"/>
    <w:rsid w:val="00A1412E"/>
    <w:rsid w:val="00A15F4B"/>
    <w:rsid w:val="00A1685E"/>
    <w:rsid w:val="00A2250F"/>
    <w:rsid w:val="00A2282E"/>
    <w:rsid w:val="00A24890"/>
    <w:rsid w:val="00A41A7E"/>
    <w:rsid w:val="00A4451F"/>
    <w:rsid w:val="00A55822"/>
    <w:rsid w:val="00A600E0"/>
    <w:rsid w:val="00A650E4"/>
    <w:rsid w:val="00A701CF"/>
    <w:rsid w:val="00A73BAD"/>
    <w:rsid w:val="00A7439F"/>
    <w:rsid w:val="00A74EA8"/>
    <w:rsid w:val="00A75C31"/>
    <w:rsid w:val="00A76D3C"/>
    <w:rsid w:val="00A80260"/>
    <w:rsid w:val="00A87858"/>
    <w:rsid w:val="00A92CE0"/>
    <w:rsid w:val="00A961EE"/>
    <w:rsid w:val="00A9639A"/>
    <w:rsid w:val="00AB043B"/>
    <w:rsid w:val="00AB38FC"/>
    <w:rsid w:val="00AB4012"/>
    <w:rsid w:val="00AB54E3"/>
    <w:rsid w:val="00AB563A"/>
    <w:rsid w:val="00AC183D"/>
    <w:rsid w:val="00AC65FF"/>
    <w:rsid w:val="00AC73C2"/>
    <w:rsid w:val="00AD00E0"/>
    <w:rsid w:val="00AD3B9E"/>
    <w:rsid w:val="00AD45DB"/>
    <w:rsid w:val="00AD75DA"/>
    <w:rsid w:val="00AE1C3D"/>
    <w:rsid w:val="00AE2690"/>
    <w:rsid w:val="00AE463D"/>
    <w:rsid w:val="00AE62C7"/>
    <w:rsid w:val="00AE6D06"/>
    <w:rsid w:val="00AF2B54"/>
    <w:rsid w:val="00AF4776"/>
    <w:rsid w:val="00AF6D69"/>
    <w:rsid w:val="00AF73B9"/>
    <w:rsid w:val="00B0602E"/>
    <w:rsid w:val="00B144FD"/>
    <w:rsid w:val="00B158A2"/>
    <w:rsid w:val="00B20BEE"/>
    <w:rsid w:val="00B22B96"/>
    <w:rsid w:val="00B23490"/>
    <w:rsid w:val="00B237C3"/>
    <w:rsid w:val="00B279DD"/>
    <w:rsid w:val="00B330BD"/>
    <w:rsid w:val="00B34D07"/>
    <w:rsid w:val="00B40351"/>
    <w:rsid w:val="00B4363A"/>
    <w:rsid w:val="00B47422"/>
    <w:rsid w:val="00B4782D"/>
    <w:rsid w:val="00B50BD0"/>
    <w:rsid w:val="00B53651"/>
    <w:rsid w:val="00B55BE8"/>
    <w:rsid w:val="00B560BD"/>
    <w:rsid w:val="00B57255"/>
    <w:rsid w:val="00B664A7"/>
    <w:rsid w:val="00B66A8F"/>
    <w:rsid w:val="00B761A1"/>
    <w:rsid w:val="00B81A63"/>
    <w:rsid w:val="00B86FB3"/>
    <w:rsid w:val="00B91BA1"/>
    <w:rsid w:val="00B92A4E"/>
    <w:rsid w:val="00B938D1"/>
    <w:rsid w:val="00B94E76"/>
    <w:rsid w:val="00BA1EBC"/>
    <w:rsid w:val="00BB3C31"/>
    <w:rsid w:val="00BC197B"/>
    <w:rsid w:val="00BC2657"/>
    <w:rsid w:val="00BC4AC9"/>
    <w:rsid w:val="00BC5868"/>
    <w:rsid w:val="00BD0334"/>
    <w:rsid w:val="00BD13B2"/>
    <w:rsid w:val="00BD2D6F"/>
    <w:rsid w:val="00BD5792"/>
    <w:rsid w:val="00BD6BB6"/>
    <w:rsid w:val="00BD77DB"/>
    <w:rsid w:val="00BE214D"/>
    <w:rsid w:val="00BE2CE8"/>
    <w:rsid w:val="00BE4721"/>
    <w:rsid w:val="00BF28B0"/>
    <w:rsid w:val="00BF3C85"/>
    <w:rsid w:val="00BF427B"/>
    <w:rsid w:val="00BF59BC"/>
    <w:rsid w:val="00C018BA"/>
    <w:rsid w:val="00C03FA3"/>
    <w:rsid w:val="00C07CEE"/>
    <w:rsid w:val="00C100DB"/>
    <w:rsid w:val="00C1144B"/>
    <w:rsid w:val="00C115BE"/>
    <w:rsid w:val="00C12202"/>
    <w:rsid w:val="00C1451A"/>
    <w:rsid w:val="00C1466B"/>
    <w:rsid w:val="00C14EFC"/>
    <w:rsid w:val="00C154E9"/>
    <w:rsid w:val="00C21DFB"/>
    <w:rsid w:val="00C24A59"/>
    <w:rsid w:val="00C24ED5"/>
    <w:rsid w:val="00C25004"/>
    <w:rsid w:val="00C310E2"/>
    <w:rsid w:val="00C32D9F"/>
    <w:rsid w:val="00C35726"/>
    <w:rsid w:val="00C402D0"/>
    <w:rsid w:val="00C4123D"/>
    <w:rsid w:val="00C42436"/>
    <w:rsid w:val="00C42A67"/>
    <w:rsid w:val="00C433E1"/>
    <w:rsid w:val="00C472B0"/>
    <w:rsid w:val="00C4777E"/>
    <w:rsid w:val="00C521B4"/>
    <w:rsid w:val="00C55850"/>
    <w:rsid w:val="00C5627B"/>
    <w:rsid w:val="00C6142B"/>
    <w:rsid w:val="00C6361A"/>
    <w:rsid w:val="00C63EC8"/>
    <w:rsid w:val="00C6686D"/>
    <w:rsid w:val="00C725A8"/>
    <w:rsid w:val="00C73C64"/>
    <w:rsid w:val="00C775A6"/>
    <w:rsid w:val="00C800DA"/>
    <w:rsid w:val="00C82B15"/>
    <w:rsid w:val="00C84B49"/>
    <w:rsid w:val="00C91791"/>
    <w:rsid w:val="00C94307"/>
    <w:rsid w:val="00C9660C"/>
    <w:rsid w:val="00C96FB3"/>
    <w:rsid w:val="00CA5654"/>
    <w:rsid w:val="00CA6017"/>
    <w:rsid w:val="00CA71B0"/>
    <w:rsid w:val="00CB0FBC"/>
    <w:rsid w:val="00CB23DB"/>
    <w:rsid w:val="00CB463A"/>
    <w:rsid w:val="00CB6AB3"/>
    <w:rsid w:val="00CB79E4"/>
    <w:rsid w:val="00CC071B"/>
    <w:rsid w:val="00CC3A4A"/>
    <w:rsid w:val="00CC4C2B"/>
    <w:rsid w:val="00CC6CBB"/>
    <w:rsid w:val="00CD4345"/>
    <w:rsid w:val="00CD5A74"/>
    <w:rsid w:val="00CD6558"/>
    <w:rsid w:val="00CE006A"/>
    <w:rsid w:val="00CE1CBB"/>
    <w:rsid w:val="00CE321F"/>
    <w:rsid w:val="00CE475D"/>
    <w:rsid w:val="00CE6FE0"/>
    <w:rsid w:val="00CF2999"/>
    <w:rsid w:val="00CF3C48"/>
    <w:rsid w:val="00CF4CA6"/>
    <w:rsid w:val="00D00062"/>
    <w:rsid w:val="00D0274F"/>
    <w:rsid w:val="00D03C46"/>
    <w:rsid w:val="00D05472"/>
    <w:rsid w:val="00D061C9"/>
    <w:rsid w:val="00D06B54"/>
    <w:rsid w:val="00D07D35"/>
    <w:rsid w:val="00D105B9"/>
    <w:rsid w:val="00D14187"/>
    <w:rsid w:val="00D201D9"/>
    <w:rsid w:val="00D23522"/>
    <w:rsid w:val="00D2419A"/>
    <w:rsid w:val="00D25813"/>
    <w:rsid w:val="00D313EB"/>
    <w:rsid w:val="00D32D75"/>
    <w:rsid w:val="00D35D88"/>
    <w:rsid w:val="00D36C40"/>
    <w:rsid w:val="00D470D1"/>
    <w:rsid w:val="00D47953"/>
    <w:rsid w:val="00D51D92"/>
    <w:rsid w:val="00D528F1"/>
    <w:rsid w:val="00D52A49"/>
    <w:rsid w:val="00D5426A"/>
    <w:rsid w:val="00D57535"/>
    <w:rsid w:val="00D60392"/>
    <w:rsid w:val="00D604DE"/>
    <w:rsid w:val="00D61A4E"/>
    <w:rsid w:val="00D61F0F"/>
    <w:rsid w:val="00D63946"/>
    <w:rsid w:val="00D63AD6"/>
    <w:rsid w:val="00D649D6"/>
    <w:rsid w:val="00D67E0D"/>
    <w:rsid w:val="00D7789A"/>
    <w:rsid w:val="00D815BF"/>
    <w:rsid w:val="00D81A35"/>
    <w:rsid w:val="00D82E96"/>
    <w:rsid w:val="00D8358D"/>
    <w:rsid w:val="00D846A8"/>
    <w:rsid w:val="00D85E7E"/>
    <w:rsid w:val="00D912CE"/>
    <w:rsid w:val="00D9256A"/>
    <w:rsid w:val="00D936B4"/>
    <w:rsid w:val="00D9395E"/>
    <w:rsid w:val="00D962CE"/>
    <w:rsid w:val="00D97042"/>
    <w:rsid w:val="00DA229B"/>
    <w:rsid w:val="00DA41E9"/>
    <w:rsid w:val="00DB0CEF"/>
    <w:rsid w:val="00DB12C9"/>
    <w:rsid w:val="00DB212D"/>
    <w:rsid w:val="00DB3D86"/>
    <w:rsid w:val="00DB7045"/>
    <w:rsid w:val="00DB739E"/>
    <w:rsid w:val="00DB7AA8"/>
    <w:rsid w:val="00DC2E0C"/>
    <w:rsid w:val="00DE0F5C"/>
    <w:rsid w:val="00DE1005"/>
    <w:rsid w:val="00DE2449"/>
    <w:rsid w:val="00DE3870"/>
    <w:rsid w:val="00DE4526"/>
    <w:rsid w:val="00DE6114"/>
    <w:rsid w:val="00DF0F62"/>
    <w:rsid w:val="00DF459C"/>
    <w:rsid w:val="00DF4661"/>
    <w:rsid w:val="00DF590E"/>
    <w:rsid w:val="00E0450F"/>
    <w:rsid w:val="00E11A75"/>
    <w:rsid w:val="00E1402F"/>
    <w:rsid w:val="00E14D40"/>
    <w:rsid w:val="00E14F3B"/>
    <w:rsid w:val="00E160BF"/>
    <w:rsid w:val="00E23D7B"/>
    <w:rsid w:val="00E23E97"/>
    <w:rsid w:val="00E26CD5"/>
    <w:rsid w:val="00E31F8E"/>
    <w:rsid w:val="00E3334E"/>
    <w:rsid w:val="00E34C7B"/>
    <w:rsid w:val="00E3537A"/>
    <w:rsid w:val="00E3664B"/>
    <w:rsid w:val="00E41A57"/>
    <w:rsid w:val="00E437C3"/>
    <w:rsid w:val="00E43894"/>
    <w:rsid w:val="00E44B70"/>
    <w:rsid w:val="00E45F4F"/>
    <w:rsid w:val="00E46C7C"/>
    <w:rsid w:val="00E4751F"/>
    <w:rsid w:val="00E5285F"/>
    <w:rsid w:val="00E54718"/>
    <w:rsid w:val="00E55C06"/>
    <w:rsid w:val="00E564AC"/>
    <w:rsid w:val="00E72B8C"/>
    <w:rsid w:val="00E81DA3"/>
    <w:rsid w:val="00E9382A"/>
    <w:rsid w:val="00E949EC"/>
    <w:rsid w:val="00E96363"/>
    <w:rsid w:val="00E97BD5"/>
    <w:rsid w:val="00EA26CA"/>
    <w:rsid w:val="00EA3AF7"/>
    <w:rsid w:val="00EA44C7"/>
    <w:rsid w:val="00EA5FCD"/>
    <w:rsid w:val="00EB213C"/>
    <w:rsid w:val="00EB22F0"/>
    <w:rsid w:val="00EB2EE6"/>
    <w:rsid w:val="00EB3515"/>
    <w:rsid w:val="00EC1120"/>
    <w:rsid w:val="00ED524B"/>
    <w:rsid w:val="00ED5D11"/>
    <w:rsid w:val="00ED64F9"/>
    <w:rsid w:val="00ED6919"/>
    <w:rsid w:val="00EE561B"/>
    <w:rsid w:val="00EF2ACB"/>
    <w:rsid w:val="00F04652"/>
    <w:rsid w:val="00F10C9D"/>
    <w:rsid w:val="00F120EF"/>
    <w:rsid w:val="00F13ED8"/>
    <w:rsid w:val="00F160E5"/>
    <w:rsid w:val="00F23B06"/>
    <w:rsid w:val="00F25ABA"/>
    <w:rsid w:val="00F27762"/>
    <w:rsid w:val="00F32A4E"/>
    <w:rsid w:val="00F40945"/>
    <w:rsid w:val="00F41629"/>
    <w:rsid w:val="00F441D9"/>
    <w:rsid w:val="00F51CA2"/>
    <w:rsid w:val="00F533B9"/>
    <w:rsid w:val="00F60905"/>
    <w:rsid w:val="00F647EE"/>
    <w:rsid w:val="00F70360"/>
    <w:rsid w:val="00F719AF"/>
    <w:rsid w:val="00F73A19"/>
    <w:rsid w:val="00F746C2"/>
    <w:rsid w:val="00F75B0E"/>
    <w:rsid w:val="00F76DED"/>
    <w:rsid w:val="00F76EB0"/>
    <w:rsid w:val="00F80593"/>
    <w:rsid w:val="00F8070A"/>
    <w:rsid w:val="00F81BF4"/>
    <w:rsid w:val="00F82789"/>
    <w:rsid w:val="00F87169"/>
    <w:rsid w:val="00F9234A"/>
    <w:rsid w:val="00F92692"/>
    <w:rsid w:val="00F93C02"/>
    <w:rsid w:val="00F94814"/>
    <w:rsid w:val="00F94FC8"/>
    <w:rsid w:val="00F95926"/>
    <w:rsid w:val="00F97156"/>
    <w:rsid w:val="00FA2E29"/>
    <w:rsid w:val="00FA6FD6"/>
    <w:rsid w:val="00FB07FE"/>
    <w:rsid w:val="00FB0AC3"/>
    <w:rsid w:val="00FB31E7"/>
    <w:rsid w:val="00FC0A61"/>
    <w:rsid w:val="00FC23DB"/>
    <w:rsid w:val="00FC56DC"/>
    <w:rsid w:val="00FC7B65"/>
    <w:rsid w:val="00FD2278"/>
    <w:rsid w:val="00FD2B26"/>
    <w:rsid w:val="00FD3208"/>
    <w:rsid w:val="00FD5C7D"/>
    <w:rsid w:val="00FD6C2B"/>
    <w:rsid w:val="00FD7E46"/>
    <w:rsid w:val="00FE0A87"/>
    <w:rsid w:val="00FE0C64"/>
    <w:rsid w:val="00FE35F2"/>
    <w:rsid w:val="00FF092D"/>
    <w:rsid w:val="00FF48E9"/>
    <w:rsid w:val="015EB512"/>
    <w:rsid w:val="5710F6FC"/>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C04AA6C"/>
  <w15:docId w15:val="{6FE5C250-63FB-4F01-ABDD-813A58823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13E9D"/>
    <w:pPr>
      <w:spacing w:before="240" w:after="60" w:line="240" w:lineRule="auto"/>
      <w:jc w:val="both"/>
      <w:outlineLvl w:val="0"/>
    </w:pPr>
    <w:rPr>
      <w:rFonts w:ascii="Arial" w:eastAsia="Times New Roman" w:hAnsi="Arial" w:cs="Times New Roman"/>
      <w:b/>
      <w:caps/>
      <w:snapToGrid w:val="0"/>
      <w:lang w:val="en-GB"/>
    </w:rPr>
  </w:style>
  <w:style w:type="paragraph" w:styleId="Heading2">
    <w:name w:val="heading 2"/>
    <w:basedOn w:val="Normal"/>
    <w:next w:val="Normal"/>
    <w:link w:val="Heading2Char"/>
    <w:uiPriority w:val="9"/>
    <w:unhideWhenUsed/>
    <w:qFormat/>
    <w:rsid w:val="00B92A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35D8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13E9D"/>
    <w:rPr>
      <w:rFonts w:ascii="Arial" w:eastAsia="Times New Roman" w:hAnsi="Arial" w:cs="Times New Roman"/>
      <w:b/>
      <w:caps/>
      <w:snapToGrid w:val="0"/>
      <w:lang w:val="en-GB"/>
    </w:rPr>
  </w:style>
  <w:style w:type="character" w:customStyle="1" w:styleId="Heading2Char">
    <w:name w:val="Heading 2 Char"/>
    <w:basedOn w:val="DefaultParagraphFont"/>
    <w:link w:val="Heading2"/>
    <w:uiPriority w:val="9"/>
    <w:rsid w:val="00B92A4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35D88"/>
    <w:rPr>
      <w:rFonts w:asciiTheme="majorHAnsi" w:eastAsiaTheme="majorEastAsia" w:hAnsiTheme="majorHAnsi" w:cstheme="majorBidi"/>
      <w:b/>
      <w:bCs/>
      <w:color w:val="4F81BD" w:themeColor="accent1"/>
    </w:rPr>
  </w:style>
  <w:style w:type="paragraph" w:customStyle="1" w:styleId="Default">
    <w:name w:val="Default"/>
    <w:rsid w:val="00120462"/>
    <w:pPr>
      <w:autoSpaceDE w:val="0"/>
      <w:autoSpaceDN w:val="0"/>
      <w:adjustRightInd w:val="0"/>
      <w:spacing w:after="0" w:line="240" w:lineRule="auto"/>
    </w:pPr>
    <w:rPr>
      <w:rFonts w:ascii="Calibri" w:hAnsi="Calibri" w:cs="Calibri"/>
      <w:color w:val="000000"/>
      <w:sz w:val="24"/>
      <w:szCs w:val="24"/>
    </w:rPr>
  </w:style>
  <w:style w:type="paragraph" w:styleId="Title">
    <w:name w:val="Title"/>
    <w:basedOn w:val="Normal"/>
    <w:link w:val="TitleChar"/>
    <w:qFormat/>
    <w:rsid w:val="00613E9D"/>
    <w:pPr>
      <w:spacing w:after="220" w:line="360" w:lineRule="auto"/>
      <w:jc w:val="center"/>
    </w:pPr>
    <w:rPr>
      <w:rFonts w:ascii="Arial" w:eastAsia="Times New Roman" w:hAnsi="Arial" w:cs="Times New Roman"/>
      <w:b/>
      <w:caps/>
      <w:sz w:val="32"/>
      <w:szCs w:val="32"/>
      <w:lang w:val="en-GB"/>
    </w:rPr>
  </w:style>
  <w:style w:type="character" w:customStyle="1" w:styleId="TitleChar">
    <w:name w:val="Title Char"/>
    <w:basedOn w:val="DefaultParagraphFont"/>
    <w:link w:val="Title"/>
    <w:rsid w:val="00613E9D"/>
    <w:rPr>
      <w:rFonts w:ascii="Arial" w:eastAsia="Times New Roman" w:hAnsi="Arial" w:cs="Times New Roman"/>
      <w:b/>
      <w:caps/>
      <w:sz w:val="32"/>
      <w:szCs w:val="32"/>
      <w:lang w:val="en-GB"/>
    </w:rPr>
  </w:style>
  <w:style w:type="paragraph" w:styleId="BalloonText">
    <w:name w:val="Balloon Text"/>
    <w:basedOn w:val="Normal"/>
    <w:link w:val="BalloonTextChar"/>
    <w:uiPriority w:val="99"/>
    <w:semiHidden/>
    <w:unhideWhenUsed/>
    <w:rsid w:val="00613E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3E9D"/>
    <w:rPr>
      <w:rFonts w:ascii="Tahoma" w:hAnsi="Tahoma" w:cs="Tahoma"/>
      <w:sz w:val="16"/>
      <w:szCs w:val="16"/>
    </w:rPr>
  </w:style>
  <w:style w:type="paragraph" w:styleId="ListParagraph">
    <w:name w:val="List Paragraph"/>
    <w:basedOn w:val="Normal"/>
    <w:uiPriority w:val="34"/>
    <w:qFormat/>
    <w:rsid w:val="00F60905"/>
    <w:pPr>
      <w:ind w:left="720"/>
      <w:contextualSpacing/>
    </w:pPr>
  </w:style>
  <w:style w:type="paragraph" w:styleId="TOC1">
    <w:name w:val="toc 1"/>
    <w:basedOn w:val="Normal"/>
    <w:next w:val="Normal"/>
    <w:autoRedefine/>
    <w:uiPriority w:val="39"/>
    <w:rsid w:val="00B91BA1"/>
    <w:pPr>
      <w:tabs>
        <w:tab w:val="left" w:pos="480"/>
        <w:tab w:val="right" w:leader="dot" w:pos="9000"/>
      </w:tabs>
      <w:spacing w:before="240" w:after="120" w:line="240" w:lineRule="auto"/>
      <w:ind w:right="270"/>
    </w:pPr>
    <w:rPr>
      <w:rFonts w:ascii="Arial" w:eastAsia="Times New Roman" w:hAnsi="Arial" w:cs="Times New Roman"/>
      <w:b/>
      <w:caps/>
      <w:lang w:val="en-GB"/>
    </w:rPr>
  </w:style>
  <w:style w:type="paragraph" w:styleId="TOC2">
    <w:name w:val="toc 2"/>
    <w:basedOn w:val="Normal"/>
    <w:next w:val="Normal"/>
    <w:autoRedefine/>
    <w:uiPriority w:val="39"/>
    <w:rsid w:val="001962FD"/>
    <w:pPr>
      <w:tabs>
        <w:tab w:val="right" w:leader="dot" w:pos="9000"/>
      </w:tabs>
      <w:spacing w:after="220" w:line="240" w:lineRule="auto"/>
      <w:ind w:left="1134" w:right="270" w:hanging="567"/>
    </w:pPr>
    <w:rPr>
      <w:rFonts w:ascii="Arial" w:eastAsia="Times New Roman" w:hAnsi="Arial" w:cs="Times New Roman"/>
      <w:szCs w:val="20"/>
      <w:lang w:val="en-GB"/>
    </w:rPr>
  </w:style>
  <w:style w:type="character" w:styleId="Hyperlink">
    <w:name w:val="Hyperlink"/>
    <w:uiPriority w:val="99"/>
    <w:rsid w:val="001962FD"/>
    <w:rPr>
      <w:color w:val="0000FF"/>
      <w:u w:val="single"/>
    </w:rPr>
  </w:style>
  <w:style w:type="character" w:customStyle="1" w:styleId="ms-rtethemefontface-21">
    <w:name w:val="ms-rtethemefontface-21"/>
    <w:basedOn w:val="DefaultParagraphFont"/>
    <w:rsid w:val="00BE2CE8"/>
    <w:rPr>
      <w:rFonts w:ascii="Arial" w:hAnsi="Arial" w:cs="Arial" w:hint="default"/>
    </w:rPr>
  </w:style>
  <w:style w:type="paragraph" w:styleId="NoSpacing">
    <w:name w:val="No Spacing"/>
    <w:uiPriority w:val="1"/>
    <w:qFormat/>
    <w:rsid w:val="00705C5D"/>
    <w:pPr>
      <w:spacing w:after="0" w:line="240" w:lineRule="auto"/>
    </w:pPr>
  </w:style>
  <w:style w:type="table" w:styleId="TableGrid">
    <w:name w:val="Table Grid"/>
    <w:basedOn w:val="TableNormal"/>
    <w:uiPriority w:val="39"/>
    <w:rsid w:val="00043C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92692"/>
    <w:rPr>
      <w:color w:val="800080" w:themeColor="followedHyperlink"/>
      <w:u w:val="single"/>
    </w:rPr>
  </w:style>
  <w:style w:type="character" w:customStyle="1" w:styleId="pseditboxdisponly">
    <w:name w:val="pseditbox_disponly"/>
    <w:basedOn w:val="DefaultParagraphFont"/>
    <w:rsid w:val="002C717B"/>
  </w:style>
  <w:style w:type="paragraph" w:styleId="Quote">
    <w:name w:val="Quote"/>
    <w:basedOn w:val="Normal"/>
    <w:next w:val="Normal"/>
    <w:link w:val="QuoteChar"/>
    <w:uiPriority w:val="29"/>
    <w:qFormat/>
    <w:rsid w:val="00E97BD5"/>
    <w:rPr>
      <w:i/>
      <w:iCs/>
      <w:color w:val="000000" w:themeColor="text1"/>
    </w:rPr>
  </w:style>
  <w:style w:type="character" w:customStyle="1" w:styleId="QuoteChar">
    <w:name w:val="Quote Char"/>
    <w:basedOn w:val="DefaultParagraphFont"/>
    <w:link w:val="Quote"/>
    <w:uiPriority w:val="29"/>
    <w:rsid w:val="00E97BD5"/>
    <w:rPr>
      <w:i/>
      <w:iCs/>
      <w:color w:val="000000" w:themeColor="text1"/>
    </w:rPr>
  </w:style>
  <w:style w:type="paragraph" w:styleId="Subtitle">
    <w:name w:val="Subtitle"/>
    <w:basedOn w:val="Normal"/>
    <w:next w:val="Normal"/>
    <w:link w:val="SubtitleChar"/>
    <w:uiPriority w:val="11"/>
    <w:qFormat/>
    <w:rsid w:val="008E4A8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E4A80"/>
    <w:rPr>
      <w:rFonts w:asciiTheme="majorHAnsi" w:eastAsiaTheme="majorEastAsia" w:hAnsiTheme="majorHAnsi" w:cstheme="majorBidi"/>
      <w:i/>
      <w:iCs/>
      <w:color w:val="4F81BD" w:themeColor="accent1"/>
      <w:spacing w:val="15"/>
      <w:sz w:val="24"/>
      <w:szCs w:val="24"/>
    </w:rPr>
  </w:style>
  <w:style w:type="character" w:styleId="IntenseEmphasis">
    <w:name w:val="Intense Emphasis"/>
    <w:basedOn w:val="DefaultParagraphFont"/>
    <w:uiPriority w:val="21"/>
    <w:qFormat/>
    <w:rsid w:val="00D35D88"/>
    <w:rPr>
      <w:b/>
      <w:bCs/>
      <w:i/>
      <w:iCs/>
      <w:color w:val="4F81BD" w:themeColor="accent1"/>
    </w:rPr>
  </w:style>
  <w:style w:type="paragraph" w:styleId="Header">
    <w:name w:val="header"/>
    <w:basedOn w:val="Normal"/>
    <w:link w:val="HeaderChar"/>
    <w:uiPriority w:val="99"/>
    <w:unhideWhenUsed/>
    <w:rsid w:val="004D38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38D8"/>
  </w:style>
  <w:style w:type="paragraph" w:styleId="Footer">
    <w:name w:val="footer"/>
    <w:basedOn w:val="Normal"/>
    <w:link w:val="FooterChar"/>
    <w:uiPriority w:val="99"/>
    <w:unhideWhenUsed/>
    <w:rsid w:val="004D38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38D8"/>
  </w:style>
  <w:style w:type="paragraph" w:styleId="NormalWeb">
    <w:name w:val="Normal (Web)"/>
    <w:basedOn w:val="Normal"/>
    <w:uiPriority w:val="99"/>
    <w:unhideWhenUsed/>
    <w:rsid w:val="002C0E61"/>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136CEF"/>
    <w:pPr>
      <w:widowControl w:val="0"/>
      <w:spacing w:after="0" w:line="240" w:lineRule="auto"/>
    </w:pPr>
    <w:rPr>
      <w:rFonts w:ascii="Arial" w:eastAsia="Arial" w:hAnsi="Arial" w:cs="Arial"/>
      <w:b/>
      <w:bCs/>
      <w:sz w:val="20"/>
      <w:szCs w:val="20"/>
    </w:rPr>
  </w:style>
  <w:style w:type="character" w:customStyle="1" w:styleId="BodyTextChar">
    <w:name w:val="Body Text Char"/>
    <w:basedOn w:val="DefaultParagraphFont"/>
    <w:link w:val="BodyText"/>
    <w:uiPriority w:val="1"/>
    <w:rsid w:val="00136CEF"/>
    <w:rPr>
      <w:rFonts w:ascii="Arial" w:eastAsia="Arial" w:hAnsi="Arial" w:cs="Arial"/>
      <w:b/>
      <w:bCs/>
      <w:sz w:val="20"/>
      <w:szCs w:val="20"/>
    </w:rPr>
  </w:style>
  <w:style w:type="paragraph" w:customStyle="1" w:styleId="TableParagraph">
    <w:name w:val="Table Paragraph"/>
    <w:basedOn w:val="Normal"/>
    <w:uiPriority w:val="1"/>
    <w:qFormat/>
    <w:rsid w:val="00136CEF"/>
    <w:pPr>
      <w:widowControl w:val="0"/>
      <w:spacing w:after="0" w:line="228" w:lineRule="exact"/>
      <w:ind w:left="103" w:right="308"/>
    </w:pPr>
    <w:rPr>
      <w:rFonts w:ascii="Arial" w:eastAsia="Arial" w:hAnsi="Arial" w:cs="Arial"/>
    </w:rPr>
  </w:style>
  <w:style w:type="paragraph" w:styleId="FootnoteText">
    <w:name w:val="footnote text"/>
    <w:basedOn w:val="Normal"/>
    <w:link w:val="FootnoteTextChar"/>
    <w:uiPriority w:val="99"/>
    <w:semiHidden/>
    <w:unhideWhenUsed/>
    <w:rsid w:val="009248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24814"/>
    <w:rPr>
      <w:sz w:val="20"/>
      <w:szCs w:val="20"/>
    </w:rPr>
  </w:style>
  <w:style w:type="character" w:styleId="FootnoteReference">
    <w:name w:val="footnote reference"/>
    <w:basedOn w:val="DefaultParagraphFont"/>
    <w:uiPriority w:val="99"/>
    <w:semiHidden/>
    <w:unhideWhenUsed/>
    <w:rsid w:val="00924814"/>
    <w:rPr>
      <w:vertAlign w:val="superscript"/>
    </w:rPr>
  </w:style>
  <w:style w:type="character" w:styleId="CommentReference">
    <w:name w:val="annotation reference"/>
    <w:basedOn w:val="DefaultParagraphFont"/>
    <w:uiPriority w:val="99"/>
    <w:semiHidden/>
    <w:unhideWhenUsed/>
    <w:rsid w:val="009D692C"/>
    <w:rPr>
      <w:sz w:val="16"/>
      <w:szCs w:val="16"/>
    </w:rPr>
  </w:style>
  <w:style w:type="paragraph" w:styleId="CommentText">
    <w:name w:val="annotation text"/>
    <w:basedOn w:val="Normal"/>
    <w:link w:val="CommentTextChar"/>
    <w:uiPriority w:val="99"/>
    <w:unhideWhenUsed/>
    <w:rsid w:val="009D692C"/>
    <w:pPr>
      <w:spacing w:line="240" w:lineRule="auto"/>
    </w:pPr>
    <w:rPr>
      <w:sz w:val="20"/>
      <w:szCs w:val="20"/>
    </w:rPr>
  </w:style>
  <w:style w:type="character" w:customStyle="1" w:styleId="CommentTextChar">
    <w:name w:val="Comment Text Char"/>
    <w:basedOn w:val="DefaultParagraphFont"/>
    <w:link w:val="CommentText"/>
    <w:uiPriority w:val="99"/>
    <w:rsid w:val="009D692C"/>
    <w:rPr>
      <w:sz w:val="20"/>
      <w:szCs w:val="20"/>
    </w:rPr>
  </w:style>
  <w:style w:type="paragraph" w:styleId="CommentSubject">
    <w:name w:val="annotation subject"/>
    <w:basedOn w:val="CommentText"/>
    <w:next w:val="CommentText"/>
    <w:link w:val="CommentSubjectChar"/>
    <w:uiPriority w:val="99"/>
    <w:semiHidden/>
    <w:unhideWhenUsed/>
    <w:rsid w:val="009D692C"/>
    <w:rPr>
      <w:b/>
      <w:bCs/>
    </w:rPr>
  </w:style>
  <w:style w:type="character" w:customStyle="1" w:styleId="CommentSubjectChar">
    <w:name w:val="Comment Subject Char"/>
    <w:basedOn w:val="CommentTextChar"/>
    <w:link w:val="CommentSubject"/>
    <w:uiPriority w:val="99"/>
    <w:semiHidden/>
    <w:rsid w:val="009D692C"/>
    <w:rPr>
      <w:b/>
      <w:bCs/>
      <w:sz w:val="20"/>
      <w:szCs w:val="20"/>
    </w:rPr>
  </w:style>
  <w:style w:type="character" w:customStyle="1" w:styleId="Mention1">
    <w:name w:val="Mention1"/>
    <w:basedOn w:val="DefaultParagraphFont"/>
    <w:uiPriority w:val="99"/>
    <w:semiHidden/>
    <w:unhideWhenUsed/>
    <w:rsid w:val="00A2282E"/>
    <w:rPr>
      <w:color w:val="2B579A"/>
      <w:shd w:val="clear" w:color="auto" w:fill="E6E6E6"/>
    </w:rPr>
  </w:style>
  <w:style w:type="paragraph" w:styleId="Revision">
    <w:name w:val="Revision"/>
    <w:hidden/>
    <w:uiPriority w:val="99"/>
    <w:semiHidden/>
    <w:rsid w:val="00990C1F"/>
    <w:pPr>
      <w:spacing w:after="0" w:line="240" w:lineRule="auto"/>
    </w:pPr>
  </w:style>
  <w:style w:type="character" w:customStyle="1" w:styleId="Mention2">
    <w:name w:val="Mention2"/>
    <w:basedOn w:val="DefaultParagraphFont"/>
    <w:uiPriority w:val="99"/>
    <w:semiHidden/>
    <w:unhideWhenUsed/>
    <w:rsid w:val="00271EE0"/>
    <w:rPr>
      <w:color w:val="2B579A"/>
      <w:shd w:val="clear" w:color="auto" w:fill="E6E6E6"/>
    </w:rPr>
  </w:style>
  <w:style w:type="paragraph" w:styleId="TOCHeading">
    <w:name w:val="TOC Heading"/>
    <w:basedOn w:val="Heading1"/>
    <w:next w:val="Normal"/>
    <w:uiPriority w:val="39"/>
    <w:unhideWhenUsed/>
    <w:qFormat/>
    <w:rsid w:val="008133C3"/>
    <w:pPr>
      <w:keepNext/>
      <w:keepLines/>
      <w:spacing w:after="0" w:line="259" w:lineRule="auto"/>
      <w:jc w:val="left"/>
      <w:outlineLvl w:val="9"/>
    </w:pPr>
    <w:rPr>
      <w:rFonts w:asciiTheme="majorHAnsi" w:eastAsiaTheme="majorEastAsia" w:hAnsiTheme="majorHAnsi" w:cstheme="majorBidi"/>
      <w:b w:val="0"/>
      <w:caps w:val="0"/>
      <w:snapToGrid/>
      <w:color w:val="365F91" w:themeColor="accent1" w:themeShade="BF"/>
      <w:sz w:val="32"/>
      <w:szCs w:val="32"/>
      <w:lang w:val="en-US"/>
    </w:rPr>
  </w:style>
  <w:style w:type="character" w:customStyle="1" w:styleId="Mention20">
    <w:name w:val="Mention20"/>
    <w:basedOn w:val="DefaultParagraphFont"/>
    <w:uiPriority w:val="99"/>
    <w:semiHidden/>
    <w:unhideWhenUsed/>
    <w:rsid w:val="00412BBE"/>
    <w:rPr>
      <w:color w:val="2B579A"/>
      <w:shd w:val="clear" w:color="auto" w:fill="E6E6E6"/>
    </w:rPr>
  </w:style>
  <w:style w:type="character" w:customStyle="1" w:styleId="UnresolvedMention1">
    <w:name w:val="Unresolved Mention1"/>
    <w:basedOn w:val="DefaultParagraphFont"/>
    <w:uiPriority w:val="99"/>
    <w:semiHidden/>
    <w:unhideWhenUsed/>
    <w:rsid w:val="00412BBE"/>
    <w:rPr>
      <w:color w:val="808080"/>
      <w:shd w:val="clear" w:color="auto" w:fill="E6E6E6"/>
    </w:rPr>
  </w:style>
  <w:style w:type="character" w:customStyle="1" w:styleId="Mention3">
    <w:name w:val="Mention3"/>
    <w:basedOn w:val="DefaultParagraphFont"/>
    <w:uiPriority w:val="99"/>
    <w:semiHidden/>
    <w:unhideWhenUsed/>
    <w:rsid w:val="0051454F"/>
    <w:rPr>
      <w:color w:val="2B579A"/>
      <w:shd w:val="clear" w:color="auto" w:fill="E6E6E6"/>
    </w:rPr>
  </w:style>
  <w:style w:type="character" w:customStyle="1" w:styleId="UnresolvedMention2">
    <w:name w:val="Unresolved Mention2"/>
    <w:basedOn w:val="DefaultParagraphFont"/>
    <w:uiPriority w:val="99"/>
    <w:semiHidden/>
    <w:unhideWhenUsed/>
    <w:rsid w:val="00D815BF"/>
    <w:rPr>
      <w:color w:val="808080"/>
      <w:shd w:val="clear" w:color="auto" w:fill="E6E6E6"/>
    </w:rPr>
  </w:style>
  <w:style w:type="character" w:styleId="UnresolvedMention">
    <w:name w:val="Unresolved Mention"/>
    <w:basedOn w:val="DefaultParagraphFont"/>
    <w:uiPriority w:val="99"/>
    <w:semiHidden/>
    <w:unhideWhenUsed/>
    <w:rsid w:val="00E41A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423635">
      <w:bodyDiv w:val="1"/>
      <w:marLeft w:val="0"/>
      <w:marRight w:val="0"/>
      <w:marTop w:val="0"/>
      <w:marBottom w:val="0"/>
      <w:divBdr>
        <w:top w:val="none" w:sz="0" w:space="0" w:color="auto"/>
        <w:left w:val="none" w:sz="0" w:space="0" w:color="auto"/>
        <w:bottom w:val="none" w:sz="0" w:space="0" w:color="auto"/>
        <w:right w:val="none" w:sz="0" w:space="0" w:color="auto"/>
      </w:divBdr>
    </w:div>
    <w:div w:id="145822468">
      <w:bodyDiv w:val="1"/>
      <w:marLeft w:val="0"/>
      <w:marRight w:val="0"/>
      <w:marTop w:val="0"/>
      <w:marBottom w:val="0"/>
      <w:divBdr>
        <w:top w:val="none" w:sz="0" w:space="0" w:color="auto"/>
        <w:left w:val="none" w:sz="0" w:space="0" w:color="auto"/>
        <w:bottom w:val="none" w:sz="0" w:space="0" w:color="auto"/>
        <w:right w:val="none" w:sz="0" w:space="0" w:color="auto"/>
      </w:divBdr>
    </w:div>
    <w:div w:id="367291768">
      <w:bodyDiv w:val="1"/>
      <w:marLeft w:val="0"/>
      <w:marRight w:val="0"/>
      <w:marTop w:val="0"/>
      <w:marBottom w:val="0"/>
      <w:divBdr>
        <w:top w:val="none" w:sz="0" w:space="0" w:color="auto"/>
        <w:left w:val="none" w:sz="0" w:space="0" w:color="auto"/>
        <w:bottom w:val="none" w:sz="0" w:space="0" w:color="auto"/>
        <w:right w:val="none" w:sz="0" w:space="0" w:color="auto"/>
      </w:divBdr>
    </w:div>
    <w:div w:id="376049567">
      <w:bodyDiv w:val="1"/>
      <w:marLeft w:val="0"/>
      <w:marRight w:val="0"/>
      <w:marTop w:val="0"/>
      <w:marBottom w:val="0"/>
      <w:divBdr>
        <w:top w:val="none" w:sz="0" w:space="0" w:color="auto"/>
        <w:left w:val="none" w:sz="0" w:space="0" w:color="auto"/>
        <w:bottom w:val="none" w:sz="0" w:space="0" w:color="auto"/>
        <w:right w:val="none" w:sz="0" w:space="0" w:color="auto"/>
      </w:divBdr>
      <w:divsChild>
        <w:div w:id="492841681">
          <w:marLeft w:val="0"/>
          <w:marRight w:val="0"/>
          <w:marTop w:val="0"/>
          <w:marBottom w:val="0"/>
          <w:divBdr>
            <w:top w:val="none" w:sz="0" w:space="0" w:color="auto"/>
            <w:left w:val="none" w:sz="0" w:space="0" w:color="auto"/>
            <w:bottom w:val="none" w:sz="0" w:space="0" w:color="auto"/>
            <w:right w:val="none" w:sz="0" w:space="0" w:color="auto"/>
          </w:divBdr>
          <w:divsChild>
            <w:div w:id="545022560">
              <w:marLeft w:val="0"/>
              <w:marRight w:val="0"/>
              <w:marTop w:val="0"/>
              <w:marBottom w:val="0"/>
              <w:divBdr>
                <w:top w:val="none" w:sz="0" w:space="0" w:color="auto"/>
                <w:left w:val="none" w:sz="0" w:space="0" w:color="auto"/>
                <w:bottom w:val="none" w:sz="0" w:space="0" w:color="auto"/>
                <w:right w:val="none" w:sz="0" w:space="0" w:color="auto"/>
              </w:divBdr>
              <w:divsChild>
                <w:div w:id="1513301235">
                  <w:marLeft w:val="0"/>
                  <w:marRight w:val="0"/>
                  <w:marTop w:val="0"/>
                  <w:marBottom w:val="300"/>
                  <w:divBdr>
                    <w:top w:val="none" w:sz="0" w:space="0" w:color="auto"/>
                    <w:left w:val="none" w:sz="0" w:space="0" w:color="auto"/>
                    <w:bottom w:val="none" w:sz="0" w:space="0" w:color="auto"/>
                    <w:right w:val="none" w:sz="0" w:space="0" w:color="auto"/>
                  </w:divBdr>
                  <w:divsChild>
                    <w:div w:id="1077089654">
                      <w:marLeft w:val="2325"/>
                      <w:marRight w:val="0"/>
                      <w:marTop w:val="0"/>
                      <w:marBottom w:val="0"/>
                      <w:divBdr>
                        <w:top w:val="none" w:sz="0" w:space="0" w:color="auto"/>
                        <w:left w:val="none" w:sz="0" w:space="0" w:color="auto"/>
                        <w:bottom w:val="none" w:sz="0" w:space="0" w:color="auto"/>
                        <w:right w:val="none" w:sz="0" w:space="0" w:color="auto"/>
                      </w:divBdr>
                      <w:divsChild>
                        <w:div w:id="153228391">
                          <w:marLeft w:val="0"/>
                          <w:marRight w:val="0"/>
                          <w:marTop w:val="0"/>
                          <w:marBottom w:val="0"/>
                          <w:divBdr>
                            <w:top w:val="none" w:sz="0" w:space="0" w:color="auto"/>
                            <w:left w:val="none" w:sz="0" w:space="0" w:color="auto"/>
                            <w:bottom w:val="none" w:sz="0" w:space="0" w:color="auto"/>
                            <w:right w:val="none" w:sz="0" w:space="0" w:color="auto"/>
                          </w:divBdr>
                          <w:divsChild>
                            <w:div w:id="1113207591">
                              <w:marLeft w:val="0"/>
                              <w:marRight w:val="0"/>
                              <w:marTop w:val="0"/>
                              <w:marBottom w:val="0"/>
                              <w:divBdr>
                                <w:top w:val="none" w:sz="0" w:space="0" w:color="auto"/>
                                <w:left w:val="none" w:sz="0" w:space="0" w:color="auto"/>
                                <w:bottom w:val="none" w:sz="0" w:space="0" w:color="auto"/>
                                <w:right w:val="none" w:sz="0" w:space="0" w:color="auto"/>
                              </w:divBdr>
                              <w:divsChild>
                                <w:div w:id="1676496973">
                                  <w:marLeft w:val="0"/>
                                  <w:marRight w:val="0"/>
                                  <w:marTop w:val="0"/>
                                  <w:marBottom w:val="0"/>
                                  <w:divBdr>
                                    <w:top w:val="none" w:sz="0" w:space="0" w:color="auto"/>
                                    <w:left w:val="none" w:sz="0" w:space="0" w:color="auto"/>
                                    <w:bottom w:val="none" w:sz="0" w:space="0" w:color="auto"/>
                                    <w:right w:val="none" w:sz="0" w:space="0" w:color="auto"/>
                                  </w:divBdr>
                                  <w:divsChild>
                                    <w:div w:id="989136759">
                                      <w:marLeft w:val="0"/>
                                      <w:marRight w:val="0"/>
                                      <w:marTop w:val="0"/>
                                      <w:marBottom w:val="0"/>
                                      <w:divBdr>
                                        <w:top w:val="none" w:sz="0" w:space="0" w:color="auto"/>
                                        <w:left w:val="none" w:sz="0" w:space="0" w:color="auto"/>
                                        <w:bottom w:val="none" w:sz="0" w:space="0" w:color="auto"/>
                                        <w:right w:val="none" w:sz="0" w:space="0" w:color="auto"/>
                                      </w:divBdr>
                                      <w:divsChild>
                                        <w:div w:id="861356371">
                                          <w:marLeft w:val="0"/>
                                          <w:marRight w:val="-3525"/>
                                          <w:marTop w:val="0"/>
                                          <w:marBottom w:val="0"/>
                                          <w:divBdr>
                                            <w:top w:val="none" w:sz="0" w:space="0" w:color="auto"/>
                                            <w:left w:val="none" w:sz="0" w:space="0" w:color="auto"/>
                                            <w:bottom w:val="none" w:sz="0" w:space="0" w:color="auto"/>
                                            <w:right w:val="none" w:sz="0" w:space="0" w:color="auto"/>
                                          </w:divBdr>
                                          <w:divsChild>
                                            <w:div w:id="1317226272">
                                              <w:marLeft w:val="0"/>
                                              <w:marRight w:val="3225"/>
                                              <w:marTop w:val="0"/>
                                              <w:marBottom w:val="0"/>
                                              <w:divBdr>
                                                <w:top w:val="none" w:sz="0" w:space="0" w:color="auto"/>
                                                <w:left w:val="none" w:sz="0" w:space="0" w:color="auto"/>
                                                <w:bottom w:val="none" w:sz="0" w:space="0" w:color="auto"/>
                                                <w:right w:val="none" w:sz="0" w:space="0" w:color="auto"/>
                                              </w:divBdr>
                                              <w:divsChild>
                                                <w:div w:id="1371028683">
                                                  <w:marLeft w:val="15"/>
                                                  <w:marRight w:val="15"/>
                                                  <w:marTop w:val="15"/>
                                                  <w:marBottom w:val="15"/>
                                                  <w:divBdr>
                                                    <w:top w:val="none" w:sz="0" w:space="0" w:color="auto"/>
                                                    <w:left w:val="none" w:sz="0" w:space="0" w:color="auto"/>
                                                    <w:bottom w:val="none" w:sz="0" w:space="0" w:color="auto"/>
                                                    <w:right w:val="none" w:sz="0" w:space="0" w:color="auto"/>
                                                  </w:divBdr>
                                                  <w:divsChild>
                                                    <w:div w:id="1586264722">
                                                      <w:marLeft w:val="0"/>
                                                      <w:marRight w:val="0"/>
                                                      <w:marTop w:val="0"/>
                                                      <w:marBottom w:val="0"/>
                                                      <w:divBdr>
                                                        <w:top w:val="none" w:sz="0" w:space="0" w:color="auto"/>
                                                        <w:left w:val="none" w:sz="0" w:space="0" w:color="auto"/>
                                                        <w:bottom w:val="none" w:sz="0" w:space="0" w:color="auto"/>
                                                        <w:right w:val="none" w:sz="0" w:space="0" w:color="auto"/>
                                                      </w:divBdr>
                                                      <w:divsChild>
                                                        <w:div w:id="751044154">
                                                          <w:marLeft w:val="0"/>
                                                          <w:marRight w:val="0"/>
                                                          <w:marTop w:val="0"/>
                                                          <w:marBottom w:val="0"/>
                                                          <w:divBdr>
                                                            <w:top w:val="none" w:sz="0" w:space="0" w:color="auto"/>
                                                            <w:left w:val="none" w:sz="0" w:space="0" w:color="auto"/>
                                                            <w:bottom w:val="none" w:sz="0" w:space="0" w:color="auto"/>
                                                            <w:right w:val="none" w:sz="0" w:space="0" w:color="auto"/>
                                                          </w:divBdr>
                                                          <w:divsChild>
                                                            <w:div w:id="513692180">
                                                              <w:marLeft w:val="0"/>
                                                              <w:marRight w:val="0"/>
                                                              <w:marTop w:val="0"/>
                                                              <w:marBottom w:val="0"/>
                                                              <w:divBdr>
                                                                <w:top w:val="none" w:sz="0" w:space="0" w:color="auto"/>
                                                                <w:left w:val="none" w:sz="0" w:space="0" w:color="auto"/>
                                                                <w:bottom w:val="none" w:sz="0" w:space="0" w:color="auto"/>
                                                                <w:right w:val="none" w:sz="0" w:space="0" w:color="auto"/>
                                                              </w:divBdr>
                                                            </w:div>
                                                            <w:div w:id="182669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60998173">
      <w:bodyDiv w:val="1"/>
      <w:marLeft w:val="0"/>
      <w:marRight w:val="0"/>
      <w:marTop w:val="0"/>
      <w:marBottom w:val="0"/>
      <w:divBdr>
        <w:top w:val="none" w:sz="0" w:space="0" w:color="auto"/>
        <w:left w:val="none" w:sz="0" w:space="0" w:color="auto"/>
        <w:bottom w:val="none" w:sz="0" w:space="0" w:color="auto"/>
        <w:right w:val="none" w:sz="0" w:space="0" w:color="auto"/>
      </w:divBdr>
    </w:div>
    <w:div w:id="499202070">
      <w:bodyDiv w:val="1"/>
      <w:marLeft w:val="0"/>
      <w:marRight w:val="0"/>
      <w:marTop w:val="0"/>
      <w:marBottom w:val="0"/>
      <w:divBdr>
        <w:top w:val="none" w:sz="0" w:space="0" w:color="auto"/>
        <w:left w:val="none" w:sz="0" w:space="0" w:color="auto"/>
        <w:bottom w:val="none" w:sz="0" w:space="0" w:color="auto"/>
        <w:right w:val="none" w:sz="0" w:space="0" w:color="auto"/>
      </w:divBdr>
    </w:div>
    <w:div w:id="563611173">
      <w:bodyDiv w:val="1"/>
      <w:marLeft w:val="0"/>
      <w:marRight w:val="0"/>
      <w:marTop w:val="0"/>
      <w:marBottom w:val="0"/>
      <w:divBdr>
        <w:top w:val="none" w:sz="0" w:space="0" w:color="auto"/>
        <w:left w:val="none" w:sz="0" w:space="0" w:color="auto"/>
        <w:bottom w:val="none" w:sz="0" w:space="0" w:color="auto"/>
        <w:right w:val="none" w:sz="0" w:space="0" w:color="auto"/>
      </w:divBdr>
    </w:div>
    <w:div w:id="619840483">
      <w:bodyDiv w:val="1"/>
      <w:marLeft w:val="0"/>
      <w:marRight w:val="0"/>
      <w:marTop w:val="0"/>
      <w:marBottom w:val="0"/>
      <w:divBdr>
        <w:top w:val="none" w:sz="0" w:space="0" w:color="auto"/>
        <w:left w:val="none" w:sz="0" w:space="0" w:color="auto"/>
        <w:bottom w:val="none" w:sz="0" w:space="0" w:color="auto"/>
        <w:right w:val="none" w:sz="0" w:space="0" w:color="auto"/>
      </w:divBdr>
    </w:div>
    <w:div w:id="634721591">
      <w:bodyDiv w:val="1"/>
      <w:marLeft w:val="0"/>
      <w:marRight w:val="0"/>
      <w:marTop w:val="0"/>
      <w:marBottom w:val="0"/>
      <w:divBdr>
        <w:top w:val="none" w:sz="0" w:space="0" w:color="auto"/>
        <w:left w:val="none" w:sz="0" w:space="0" w:color="auto"/>
        <w:bottom w:val="none" w:sz="0" w:space="0" w:color="auto"/>
        <w:right w:val="none" w:sz="0" w:space="0" w:color="auto"/>
      </w:divBdr>
    </w:div>
    <w:div w:id="860163936">
      <w:bodyDiv w:val="1"/>
      <w:marLeft w:val="0"/>
      <w:marRight w:val="0"/>
      <w:marTop w:val="0"/>
      <w:marBottom w:val="0"/>
      <w:divBdr>
        <w:top w:val="none" w:sz="0" w:space="0" w:color="auto"/>
        <w:left w:val="none" w:sz="0" w:space="0" w:color="auto"/>
        <w:bottom w:val="none" w:sz="0" w:space="0" w:color="auto"/>
        <w:right w:val="none" w:sz="0" w:space="0" w:color="auto"/>
      </w:divBdr>
      <w:divsChild>
        <w:div w:id="2067488315">
          <w:marLeft w:val="0"/>
          <w:marRight w:val="0"/>
          <w:marTop w:val="0"/>
          <w:marBottom w:val="0"/>
          <w:divBdr>
            <w:top w:val="none" w:sz="0" w:space="0" w:color="auto"/>
            <w:left w:val="none" w:sz="0" w:space="0" w:color="auto"/>
            <w:bottom w:val="none" w:sz="0" w:space="0" w:color="auto"/>
            <w:right w:val="none" w:sz="0" w:space="0" w:color="auto"/>
          </w:divBdr>
          <w:divsChild>
            <w:div w:id="1487429835">
              <w:marLeft w:val="0"/>
              <w:marRight w:val="0"/>
              <w:marTop w:val="0"/>
              <w:marBottom w:val="0"/>
              <w:divBdr>
                <w:top w:val="none" w:sz="0" w:space="0" w:color="auto"/>
                <w:left w:val="none" w:sz="0" w:space="0" w:color="auto"/>
                <w:bottom w:val="none" w:sz="0" w:space="0" w:color="auto"/>
                <w:right w:val="none" w:sz="0" w:space="0" w:color="auto"/>
              </w:divBdr>
              <w:divsChild>
                <w:div w:id="1551183601">
                  <w:marLeft w:val="0"/>
                  <w:marRight w:val="0"/>
                  <w:marTop w:val="0"/>
                  <w:marBottom w:val="300"/>
                  <w:divBdr>
                    <w:top w:val="none" w:sz="0" w:space="0" w:color="auto"/>
                    <w:left w:val="none" w:sz="0" w:space="0" w:color="auto"/>
                    <w:bottom w:val="none" w:sz="0" w:space="0" w:color="auto"/>
                    <w:right w:val="none" w:sz="0" w:space="0" w:color="auto"/>
                  </w:divBdr>
                  <w:divsChild>
                    <w:div w:id="1344941905">
                      <w:marLeft w:val="2325"/>
                      <w:marRight w:val="0"/>
                      <w:marTop w:val="0"/>
                      <w:marBottom w:val="0"/>
                      <w:divBdr>
                        <w:top w:val="none" w:sz="0" w:space="0" w:color="auto"/>
                        <w:left w:val="none" w:sz="0" w:space="0" w:color="auto"/>
                        <w:bottom w:val="none" w:sz="0" w:space="0" w:color="auto"/>
                        <w:right w:val="none" w:sz="0" w:space="0" w:color="auto"/>
                      </w:divBdr>
                      <w:divsChild>
                        <w:div w:id="1266037422">
                          <w:marLeft w:val="0"/>
                          <w:marRight w:val="0"/>
                          <w:marTop w:val="0"/>
                          <w:marBottom w:val="0"/>
                          <w:divBdr>
                            <w:top w:val="none" w:sz="0" w:space="0" w:color="auto"/>
                            <w:left w:val="none" w:sz="0" w:space="0" w:color="auto"/>
                            <w:bottom w:val="none" w:sz="0" w:space="0" w:color="auto"/>
                            <w:right w:val="none" w:sz="0" w:space="0" w:color="auto"/>
                          </w:divBdr>
                          <w:divsChild>
                            <w:div w:id="1385177029">
                              <w:marLeft w:val="0"/>
                              <w:marRight w:val="0"/>
                              <w:marTop w:val="0"/>
                              <w:marBottom w:val="0"/>
                              <w:divBdr>
                                <w:top w:val="none" w:sz="0" w:space="0" w:color="auto"/>
                                <w:left w:val="none" w:sz="0" w:space="0" w:color="auto"/>
                                <w:bottom w:val="none" w:sz="0" w:space="0" w:color="auto"/>
                                <w:right w:val="none" w:sz="0" w:space="0" w:color="auto"/>
                              </w:divBdr>
                              <w:divsChild>
                                <w:div w:id="358437789">
                                  <w:marLeft w:val="0"/>
                                  <w:marRight w:val="0"/>
                                  <w:marTop w:val="0"/>
                                  <w:marBottom w:val="0"/>
                                  <w:divBdr>
                                    <w:top w:val="none" w:sz="0" w:space="0" w:color="auto"/>
                                    <w:left w:val="none" w:sz="0" w:space="0" w:color="auto"/>
                                    <w:bottom w:val="none" w:sz="0" w:space="0" w:color="auto"/>
                                    <w:right w:val="none" w:sz="0" w:space="0" w:color="auto"/>
                                  </w:divBdr>
                                  <w:divsChild>
                                    <w:div w:id="823551991">
                                      <w:marLeft w:val="0"/>
                                      <w:marRight w:val="0"/>
                                      <w:marTop w:val="0"/>
                                      <w:marBottom w:val="0"/>
                                      <w:divBdr>
                                        <w:top w:val="none" w:sz="0" w:space="0" w:color="auto"/>
                                        <w:left w:val="none" w:sz="0" w:space="0" w:color="auto"/>
                                        <w:bottom w:val="none" w:sz="0" w:space="0" w:color="auto"/>
                                        <w:right w:val="none" w:sz="0" w:space="0" w:color="auto"/>
                                      </w:divBdr>
                                      <w:divsChild>
                                        <w:div w:id="2108499491">
                                          <w:marLeft w:val="0"/>
                                          <w:marRight w:val="-3525"/>
                                          <w:marTop w:val="0"/>
                                          <w:marBottom w:val="0"/>
                                          <w:divBdr>
                                            <w:top w:val="none" w:sz="0" w:space="0" w:color="auto"/>
                                            <w:left w:val="none" w:sz="0" w:space="0" w:color="auto"/>
                                            <w:bottom w:val="none" w:sz="0" w:space="0" w:color="auto"/>
                                            <w:right w:val="none" w:sz="0" w:space="0" w:color="auto"/>
                                          </w:divBdr>
                                          <w:divsChild>
                                            <w:div w:id="419836825">
                                              <w:marLeft w:val="0"/>
                                              <w:marRight w:val="3225"/>
                                              <w:marTop w:val="0"/>
                                              <w:marBottom w:val="0"/>
                                              <w:divBdr>
                                                <w:top w:val="none" w:sz="0" w:space="0" w:color="auto"/>
                                                <w:left w:val="none" w:sz="0" w:space="0" w:color="auto"/>
                                                <w:bottom w:val="none" w:sz="0" w:space="0" w:color="auto"/>
                                                <w:right w:val="none" w:sz="0" w:space="0" w:color="auto"/>
                                              </w:divBdr>
                                              <w:divsChild>
                                                <w:div w:id="1692998985">
                                                  <w:marLeft w:val="15"/>
                                                  <w:marRight w:val="15"/>
                                                  <w:marTop w:val="15"/>
                                                  <w:marBottom w:val="15"/>
                                                  <w:divBdr>
                                                    <w:top w:val="none" w:sz="0" w:space="0" w:color="auto"/>
                                                    <w:left w:val="none" w:sz="0" w:space="0" w:color="auto"/>
                                                    <w:bottom w:val="none" w:sz="0" w:space="0" w:color="auto"/>
                                                    <w:right w:val="none" w:sz="0" w:space="0" w:color="auto"/>
                                                  </w:divBdr>
                                                  <w:divsChild>
                                                    <w:div w:id="8850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74001705">
      <w:bodyDiv w:val="1"/>
      <w:marLeft w:val="0"/>
      <w:marRight w:val="0"/>
      <w:marTop w:val="0"/>
      <w:marBottom w:val="0"/>
      <w:divBdr>
        <w:top w:val="none" w:sz="0" w:space="0" w:color="auto"/>
        <w:left w:val="none" w:sz="0" w:space="0" w:color="auto"/>
        <w:bottom w:val="none" w:sz="0" w:space="0" w:color="auto"/>
        <w:right w:val="none" w:sz="0" w:space="0" w:color="auto"/>
      </w:divBdr>
    </w:div>
    <w:div w:id="894435459">
      <w:bodyDiv w:val="1"/>
      <w:marLeft w:val="0"/>
      <w:marRight w:val="0"/>
      <w:marTop w:val="0"/>
      <w:marBottom w:val="0"/>
      <w:divBdr>
        <w:top w:val="none" w:sz="0" w:space="0" w:color="auto"/>
        <w:left w:val="none" w:sz="0" w:space="0" w:color="auto"/>
        <w:bottom w:val="none" w:sz="0" w:space="0" w:color="auto"/>
        <w:right w:val="none" w:sz="0" w:space="0" w:color="auto"/>
      </w:divBdr>
    </w:div>
    <w:div w:id="981080881">
      <w:bodyDiv w:val="1"/>
      <w:marLeft w:val="0"/>
      <w:marRight w:val="0"/>
      <w:marTop w:val="0"/>
      <w:marBottom w:val="0"/>
      <w:divBdr>
        <w:top w:val="none" w:sz="0" w:space="0" w:color="auto"/>
        <w:left w:val="none" w:sz="0" w:space="0" w:color="auto"/>
        <w:bottom w:val="none" w:sz="0" w:space="0" w:color="auto"/>
        <w:right w:val="none" w:sz="0" w:space="0" w:color="auto"/>
      </w:divBdr>
    </w:div>
    <w:div w:id="1050375705">
      <w:bodyDiv w:val="1"/>
      <w:marLeft w:val="0"/>
      <w:marRight w:val="0"/>
      <w:marTop w:val="0"/>
      <w:marBottom w:val="0"/>
      <w:divBdr>
        <w:top w:val="none" w:sz="0" w:space="0" w:color="auto"/>
        <w:left w:val="none" w:sz="0" w:space="0" w:color="auto"/>
        <w:bottom w:val="none" w:sz="0" w:space="0" w:color="auto"/>
        <w:right w:val="none" w:sz="0" w:space="0" w:color="auto"/>
      </w:divBdr>
    </w:div>
    <w:div w:id="1085615240">
      <w:bodyDiv w:val="1"/>
      <w:marLeft w:val="0"/>
      <w:marRight w:val="0"/>
      <w:marTop w:val="0"/>
      <w:marBottom w:val="0"/>
      <w:divBdr>
        <w:top w:val="none" w:sz="0" w:space="0" w:color="auto"/>
        <w:left w:val="none" w:sz="0" w:space="0" w:color="auto"/>
        <w:bottom w:val="none" w:sz="0" w:space="0" w:color="auto"/>
        <w:right w:val="none" w:sz="0" w:space="0" w:color="auto"/>
      </w:divBdr>
    </w:div>
    <w:div w:id="1121418889">
      <w:bodyDiv w:val="1"/>
      <w:marLeft w:val="0"/>
      <w:marRight w:val="0"/>
      <w:marTop w:val="0"/>
      <w:marBottom w:val="0"/>
      <w:divBdr>
        <w:top w:val="none" w:sz="0" w:space="0" w:color="auto"/>
        <w:left w:val="none" w:sz="0" w:space="0" w:color="auto"/>
        <w:bottom w:val="none" w:sz="0" w:space="0" w:color="auto"/>
        <w:right w:val="none" w:sz="0" w:space="0" w:color="auto"/>
      </w:divBdr>
    </w:div>
    <w:div w:id="1217812524">
      <w:bodyDiv w:val="1"/>
      <w:marLeft w:val="0"/>
      <w:marRight w:val="0"/>
      <w:marTop w:val="0"/>
      <w:marBottom w:val="0"/>
      <w:divBdr>
        <w:top w:val="none" w:sz="0" w:space="0" w:color="auto"/>
        <w:left w:val="none" w:sz="0" w:space="0" w:color="auto"/>
        <w:bottom w:val="none" w:sz="0" w:space="0" w:color="auto"/>
        <w:right w:val="none" w:sz="0" w:space="0" w:color="auto"/>
      </w:divBdr>
    </w:div>
    <w:div w:id="1231772152">
      <w:bodyDiv w:val="1"/>
      <w:marLeft w:val="0"/>
      <w:marRight w:val="0"/>
      <w:marTop w:val="0"/>
      <w:marBottom w:val="0"/>
      <w:divBdr>
        <w:top w:val="none" w:sz="0" w:space="0" w:color="auto"/>
        <w:left w:val="none" w:sz="0" w:space="0" w:color="auto"/>
        <w:bottom w:val="none" w:sz="0" w:space="0" w:color="auto"/>
        <w:right w:val="none" w:sz="0" w:space="0" w:color="auto"/>
      </w:divBdr>
    </w:div>
    <w:div w:id="1254051642">
      <w:bodyDiv w:val="1"/>
      <w:marLeft w:val="0"/>
      <w:marRight w:val="0"/>
      <w:marTop w:val="0"/>
      <w:marBottom w:val="0"/>
      <w:divBdr>
        <w:top w:val="none" w:sz="0" w:space="0" w:color="auto"/>
        <w:left w:val="none" w:sz="0" w:space="0" w:color="auto"/>
        <w:bottom w:val="none" w:sz="0" w:space="0" w:color="auto"/>
        <w:right w:val="none" w:sz="0" w:space="0" w:color="auto"/>
      </w:divBdr>
      <w:divsChild>
        <w:div w:id="1838105900">
          <w:marLeft w:val="0"/>
          <w:marRight w:val="0"/>
          <w:marTop w:val="0"/>
          <w:marBottom w:val="0"/>
          <w:divBdr>
            <w:top w:val="none" w:sz="0" w:space="0" w:color="auto"/>
            <w:left w:val="none" w:sz="0" w:space="0" w:color="auto"/>
            <w:bottom w:val="none" w:sz="0" w:space="0" w:color="auto"/>
            <w:right w:val="none" w:sz="0" w:space="0" w:color="auto"/>
          </w:divBdr>
          <w:divsChild>
            <w:div w:id="1752506780">
              <w:marLeft w:val="0"/>
              <w:marRight w:val="0"/>
              <w:marTop w:val="0"/>
              <w:marBottom w:val="0"/>
              <w:divBdr>
                <w:top w:val="none" w:sz="0" w:space="0" w:color="auto"/>
                <w:left w:val="none" w:sz="0" w:space="0" w:color="auto"/>
                <w:bottom w:val="none" w:sz="0" w:space="0" w:color="auto"/>
                <w:right w:val="none" w:sz="0" w:space="0" w:color="auto"/>
              </w:divBdr>
              <w:divsChild>
                <w:div w:id="150084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796836">
      <w:bodyDiv w:val="1"/>
      <w:marLeft w:val="0"/>
      <w:marRight w:val="0"/>
      <w:marTop w:val="0"/>
      <w:marBottom w:val="0"/>
      <w:divBdr>
        <w:top w:val="none" w:sz="0" w:space="0" w:color="auto"/>
        <w:left w:val="none" w:sz="0" w:space="0" w:color="auto"/>
        <w:bottom w:val="none" w:sz="0" w:space="0" w:color="auto"/>
        <w:right w:val="none" w:sz="0" w:space="0" w:color="auto"/>
      </w:divBdr>
      <w:divsChild>
        <w:div w:id="1117604497">
          <w:marLeft w:val="0"/>
          <w:marRight w:val="0"/>
          <w:marTop w:val="0"/>
          <w:marBottom w:val="0"/>
          <w:divBdr>
            <w:top w:val="none" w:sz="0" w:space="0" w:color="auto"/>
            <w:left w:val="none" w:sz="0" w:space="0" w:color="auto"/>
            <w:bottom w:val="none" w:sz="0" w:space="0" w:color="auto"/>
            <w:right w:val="none" w:sz="0" w:space="0" w:color="auto"/>
          </w:divBdr>
          <w:divsChild>
            <w:div w:id="336932672">
              <w:marLeft w:val="0"/>
              <w:marRight w:val="0"/>
              <w:marTop w:val="0"/>
              <w:marBottom w:val="0"/>
              <w:divBdr>
                <w:top w:val="none" w:sz="0" w:space="0" w:color="auto"/>
                <w:left w:val="none" w:sz="0" w:space="0" w:color="auto"/>
                <w:bottom w:val="none" w:sz="0" w:space="0" w:color="auto"/>
                <w:right w:val="none" w:sz="0" w:space="0" w:color="auto"/>
              </w:divBdr>
              <w:divsChild>
                <w:div w:id="1791896738">
                  <w:marLeft w:val="0"/>
                  <w:marRight w:val="0"/>
                  <w:marTop w:val="0"/>
                  <w:marBottom w:val="0"/>
                  <w:divBdr>
                    <w:top w:val="none" w:sz="0" w:space="0" w:color="auto"/>
                    <w:left w:val="none" w:sz="0" w:space="0" w:color="auto"/>
                    <w:bottom w:val="none" w:sz="0" w:space="0" w:color="auto"/>
                    <w:right w:val="none" w:sz="0" w:space="0" w:color="auto"/>
                  </w:divBdr>
                  <w:divsChild>
                    <w:div w:id="158232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6378244">
      <w:bodyDiv w:val="1"/>
      <w:marLeft w:val="0"/>
      <w:marRight w:val="0"/>
      <w:marTop w:val="0"/>
      <w:marBottom w:val="0"/>
      <w:divBdr>
        <w:top w:val="none" w:sz="0" w:space="0" w:color="auto"/>
        <w:left w:val="none" w:sz="0" w:space="0" w:color="auto"/>
        <w:bottom w:val="none" w:sz="0" w:space="0" w:color="auto"/>
        <w:right w:val="none" w:sz="0" w:space="0" w:color="auto"/>
      </w:divBdr>
    </w:div>
    <w:div w:id="1290546788">
      <w:bodyDiv w:val="1"/>
      <w:marLeft w:val="0"/>
      <w:marRight w:val="0"/>
      <w:marTop w:val="0"/>
      <w:marBottom w:val="0"/>
      <w:divBdr>
        <w:top w:val="none" w:sz="0" w:space="0" w:color="auto"/>
        <w:left w:val="none" w:sz="0" w:space="0" w:color="auto"/>
        <w:bottom w:val="none" w:sz="0" w:space="0" w:color="auto"/>
        <w:right w:val="none" w:sz="0" w:space="0" w:color="auto"/>
      </w:divBdr>
      <w:divsChild>
        <w:div w:id="1419789626">
          <w:marLeft w:val="0"/>
          <w:marRight w:val="0"/>
          <w:marTop w:val="0"/>
          <w:marBottom w:val="0"/>
          <w:divBdr>
            <w:top w:val="none" w:sz="0" w:space="0" w:color="auto"/>
            <w:left w:val="none" w:sz="0" w:space="0" w:color="auto"/>
            <w:bottom w:val="none" w:sz="0" w:space="0" w:color="auto"/>
            <w:right w:val="none" w:sz="0" w:space="0" w:color="auto"/>
          </w:divBdr>
          <w:divsChild>
            <w:div w:id="1824471173">
              <w:marLeft w:val="0"/>
              <w:marRight w:val="0"/>
              <w:marTop w:val="0"/>
              <w:marBottom w:val="0"/>
              <w:divBdr>
                <w:top w:val="none" w:sz="0" w:space="0" w:color="auto"/>
                <w:left w:val="none" w:sz="0" w:space="0" w:color="auto"/>
                <w:bottom w:val="none" w:sz="0" w:space="0" w:color="auto"/>
                <w:right w:val="none" w:sz="0" w:space="0" w:color="auto"/>
              </w:divBdr>
              <w:divsChild>
                <w:div w:id="390160235">
                  <w:marLeft w:val="0"/>
                  <w:marRight w:val="0"/>
                  <w:marTop w:val="0"/>
                  <w:marBottom w:val="0"/>
                  <w:divBdr>
                    <w:top w:val="none" w:sz="0" w:space="0" w:color="auto"/>
                    <w:left w:val="none" w:sz="0" w:space="0" w:color="auto"/>
                    <w:bottom w:val="none" w:sz="0" w:space="0" w:color="auto"/>
                    <w:right w:val="none" w:sz="0" w:space="0" w:color="auto"/>
                  </w:divBdr>
                  <w:divsChild>
                    <w:div w:id="126248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177170">
      <w:bodyDiv w:val="1"/>
      <w:marLeft w:val="0"/>
      <w:marRight w:val="0"/>
      <w:marTop w:val="0"/>
      <w:marBottom w:val="0"/>
      <w:divBdr>
        <w:top w:val="none" w:sz="0" w:space="0" w:color="auto"/>
        <w:left w:val="none" w:sz="0" w:space="0" w:color="auto"/>
        <w:bottom w:val="none" w:sz="0" w:space="0" w:color="auto"/>
        <w:right w:val="none" w:sz="0" w:space="0" w:color="auto"/>
      </w:divBdr>
    </w:div>
    <w:div w:id="1325091062">
      <w:bodyDiv w:val="1"/>
      <w:marLeft w:val="0"/>
      <w:marRight w:val="0"/>
      <w:marTop w:val="0"/>
      <w:marBottom w:val="0"/>
      <w:divBdr>
        <w:top w:val="none" w:sz="0" w:space="0" w:color="auto"/>
        <w:left w:val="none" w:sz="0" w:space="0" w:color="auto"/>
        <w:bottom w:val="none" w:sz="0" w:space="0" w:color="auto"/>
        <w:right w:val="none" w:sz="0" w:space="0" w:color="auto"/>
      </w:divBdr>
    </w:div>
    <w:div w:id="1341009620">
      <w:bodyDiv w:val="1"/>
      <w:marLeft w:val="0"/>
      <w:marRight w:val="0"/>
      <w:marTop w:val="0"/>
      <w:marBottom w:val="0"/>
      <w:divBdr>
        <w:top w:val="none" w:sz="0" w:space="0" w:color="auto"/>
        <w:left w:val="none" w:sz="0" w:space="0" w:color="auto"/>
        <w:bottom w:val="none" w:sz="0" w:space="0" w:color="auto"/>
        <w:right w:val="none" w:sz="0" w:space="0" w:color="auto"/>
      </w:divBdr>
    </w:div>
    <w:div w:id="1356157675">
      <w:bodyDiv w:val="1"/>
      <w:marLeft w:val="0"/>
      <w:marRight w:val="0"/>
      <w:marTop w:val="0"/>
      <w:marBottom w:val="0"/>
      <w:divBdr>
        <w:top w:val="none" w:sz="0" w:space="0" w:color="auto"/>
        <w:left w:val="none" w:sz="0" w:space="0" w:color="auto"/>
        <w:bottom w:val="none" w:sz="0" w:space="0" w:color="auto"/>
        <w:right w:val="none" w:sz="0" w:space="0" w:color="auto"/>
      </w:divBdr>
    </w:div>
    <w:div w:id="1369336407">
      <w:bodyDiv w:val="1"/>
      <w:marLeft w:val="0"/>
      <w:marRight w:val="0"/>
      <w:marTop w:val="0"/>
      <w:marBottom w:val="0"/>
      <w:divBdr>
        <w:top w:val="none" w:sz="0" w:space="0" w:color="auto"/>
        <w:left w:val="none" w:sz="0" w:space="0" w:color="auto"/>
        <w:bottom w:val="none" w:sz="0" w:space="0" w:color="auto"/>
        <w:right w:val="none" w:sz="0" w:space="0" w:color="auto"/>
      </w:divBdr>
    </w:div>
    <w:div w:id="1411196278">
      <w:bodyDiv w:val="1"/>
      <w:marLeft w:val="0"/>
      <w:marRight w:val="0"/>
      <w:marTop w:val="0"/>
      <w:marBottom w:val="0"/>
      <w:divBdr>
        <w:top w:val="none" w:sz="0" w:space="0" w:color="auto"/>
        <w:left w:val="none" w:sz="0" w:space="0" w:color="auto"/>
        <w:bottom w:val="none" w:sz="0" w:space="0" w:color="auto"/>
        <w:right w:val="none" w:sz="0" w:space="0" w:color="auto"/>
      </w:divBdr>
    </w:div>
    <w:div w:id="1415517680">
      <w:bodyDiv w:val="1"/>
      <w:marLeft w:val="0"/>
      <w:marRight w:val="0"/>
      <w:marTop w:val="0"/>
      <w:marBottom w:val="0"/>
      <w:divBdr>
        <w:top w:val="none" w:sz="0" w:space="0" w:color="auto"/>
        <w:left w:val="none" w:sz="0" w:space="0" w:color="auto"/>
        <w:bottom w:val="none" w:sz="0" w:space="0" w:color="auto"/>
        <w:right w:val="none" w:sz="0" w:space="0" w:color="auto"/>
      </w:divBdr>
    </w:div>
    <w:div w:id="1448042921">
      <w:bodyDiv w:val="1"/>
      <w:marLeft w:val="0"/>
      <w:marRight w:val="0"/>
      <w:marTop w:val="0"/>
      <w:marBottom w:val="0"/>
      <w:divBdr>
        <w:top w:val="none" w:sz="0" w:space="0" w:color="auto"/>
        <w:left w:val="none" w:sz="0" w:space="0" w:color="auto"/>
        <w:bottom w:val="none" w:sz="0" w:space="0" w:color="auto"/>
        <w:right w:val="none" w:sz="0" w:space="0" w:color="auto"/>
      </w:divBdr>
    </w:div>
    <w:div w:id="1520777872">
      <w:bodyDiv w:val="1"/>
      <w:marLeft w:val="0"/>
      <w:marRight w:val="0"/>
      <w:marTop w:val="0"/>
      <w:marBottom w:val="0"/>
      <w:divBdr>
        <w:top w:val="none" w:sz="0" w:space="0" w:color="auto"/>
        <w:left w:val="none" w:sz="0" w:space="0" w:color="auto"/>
        <w:bottom w:val="none" w:sz="0" w:space="0" w:color="auto"/>
        <w:right w:val="none" w:sz="0" w:space="0" w:color="auto"/>
      </w:divBdr>
    </w:div>
    <w:div w:id="1558587118">
      <w:bodyDiv w:val="1"/>
      <w:marLeft w:val="0"/>
      <w:marRight w:val="0"/>
      <w:marTop w:val="0"/>
      <w:marBottom w:val="0"/>
      <w:divBdr>
        <w:top w:val="none" w:sz="0" w:space="0" w:color="auto"/>
        <w:left w:val="none" w:sz="0" w:space="0" w:color="auto"/>
        <w:bottom w:val="none" w:sz="0" w:space="0" w:color="auto"/>
        <w:right w:val="none" w:sz="0" w:space="0" w:color="auto"/>
      </w:divBdr>
    </w:div>
    <w:div w:id="1596671440">
      <w:bodyDiv w:val="1"/>
      <w:marLeft w:val="0"/>
      <w:marRight w:val="0"/>
      <w:marTop w:val="0"/>
      <w:marBottom w:val="0"/>
      <w:divBdr>
        <w:top w:val="none" w:sz="0" w:space="0" w:color="auto"/>
        <w:left w:val="none" w:sz="0" w:space="0" w:color="auto"/>
        <w:bottom w:val="none" w:sz="0" w:space="0" w:color="auto"/>
        <w:right w:val="none" w:sz="0" w:space="0" w:color="auto"/>
      </w:divBdr>
    </w:div>
    <w:div w:id="1697343671">
      <w:bodyDiv w:val="1"/>
      <w:marLeft w:val="0"/>
      <w:marRight w:val="0"/>
      <w:marTop w:val="0"/>
      <w:marBottom w:val="0"/>
      <w:divBdr>
        <w:top w:val="none" w:sz="0" w:space="0" w:color="auto"/>
        <w:left w:val="none" w:sz="0" w:space="0" w:color="auto"/>
        <w:bottom w:val="none" w:sz="0" w:space="0" w:color="auto"/>
        <w:right w:val="none" w:sz="0" w:space="0" w:color="auto"/>
      </w:divBdr>
    </w:div>
    <w:div w:id="1701320154">
      <w:bodyDiv w:val="1"/>
      <w:marLeft w:val="0"/>
      <w:marRight w:val="0"/>
      <w:marTop w:val="0"/>
      <w:marBottom w:val="0"/>
      <w:divBdr>
        <w:top w:val="none" w:sz="0" w:space="0" w:color="auto"/>
        <w:left w:val="none" w:sz="0" w:space="0" w:color="auto"/>
        <w:bottom w:val="none" w:sz="0" w:space="0" w:color="auto"/>
        <w:right w:val="none" w:sz="0" w:space="0" w:color="auto"/>
      </w:divBdr>
    </w:div>
    <w:div w:id="1772584897">
      <w:bodyDiv w:val="1"/>
      <w:marLeft w:val="0"/>
      <w:marRight w:val="0"/>
      <w:marTop w:val="0"/>
      <w:marBottom w:val="0"/>
      <w:divBdr>
        <w:top w:val="none" w:sz="0" w:space="0" w:color="auto"/>
        <w:left w:val="none" w:sz="0" w:space="0" w:color="auto"/>
        <w:bottom w:val="none" w:sz="0" w:space="0" w:color="auto"/>
        <w:right w:val="none" w:sz="0" w:space="0" w:color="auto"/>
      </w:divBdr>
    </w:div>
    <w:div w:id="1908372887">
      <w:bodyDiv w:val="1"/>
      <w:marLeft w:val="0"/>
      <w:marRight w:val="0"/>
      <w:marTop w:val="0"/>
      <w:marBottom w:val="0"/>
      <w:divBdr>
        <w:top w:val="none" w:sz="0" w:space="0" w:color="auto"/>
        <w:left w:val="none" w:sz="0" w:space="0" w:color="auto"/>
        <w:bottom w:val="none" w:sz="0" w:space="0" w:color="auto"/>
        <w:right w:val="none" w:sz="0" w:space="0" w:color="auto"/>
      </w:divBdr>
    </w:div>
    <w:div w:id="1925988997">
      <w:bodyDiv w:val="1"/>
      <w:marLeft w:val="0"/>
      <w:marRight w:val="0"/>
      <w:marTop w:val="0"/>
      <w:marBottom w:val="0"/>
      <w:divBdr>
        <w:top w:val="none" w:sz="0" w:space="0" w:color="auto"/>
        <w:left w:val="none" w:sz="0" w:space="0" w:color="auto"/>
        <w:bottom w:val="none" w:sz="0" w:space="0" w:color="auto"/>
        <w:right w:val="none" w:sz="0" w:space="0" w:color="auto"/>
      </w:divBdr>
    </w:div>
    <w:div w:id="2094741418">
      <w:bodyDiv w:val="1"/>
      <w:marLeft w:val="0"/>
      <w:marRight w:val="0"/>
      <w:marTop w:val="0"/>
      <w:marBottom w:val="0"/>
      <w:divBdr>
        <w:top w:val="none" w:sz="0" w:space="0" w:color="auto"/>
        <w:left w:val="none" w:sz="0" w:space="0" w:color="auto"/>
        <w:bottom w:val="none" w:sz="0" w:space="0" w:color="auto"/>
        <w:right w:val="none" w:sz="0" w:space="0" w:color="auto"/>
      </w:divBdr>
    </w:div>
    <w:div w:id="2095584448">
      <w:bodyDiv w:val="1"/>
      <w:marLeft w:val="0"/>
      <w:marRight w:val="0"/>
      <w:marTop w:val="0"/>
      <w:marBottom w:val="0"/>
      <w:divBdr>
        <w:top w:val="none" w:sz="0" w:space="0" w:color="auto"/>
        <w:left w:val="none" w:sz="0" w:space="0" w:color="auto"/>
        <w:bottom w:val="none" w:sz="0" w:space="0" w:color="auto"/>
        <w:right w:val="none" w:sz="0" w:space="0" w:color="auto"/>
      </w:divBdr>
    </w:div>
    <w:div w:id="2143958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undp.custhelp.com/app/main/services" TargetMode="External"/><Relationship Id="rId21" Type="http://schemas.openxmlformats.org/officeDocument/2006/relationships/hyperlink" Target="https://finance.partneragencies.org/psp/UNDPP1FS/EMPLOYEE/ERP/c/UN_CUSTOM.UN_PCL_SRCH.GBL?PORTALPARAM_PTCNAV=UN_PCL_SRCH&amp;EOPP.SCNode=ERP&amp;EOPP.SCPortal=EMPLOYEE&amp;EOPP.SCName=EPCO_GRANTS&amp;EOPP.SCLabel=Grants&amp;EOPP.SCPTfname=EPCO_GRANTS&amp;FolderPath=PORTAL_ROOT_OBJECT.EPCO_GRANTS.PROJECT_MANAGEMENT.UN_PCL_SRCH&amp;IsFolder=false" TargetMode="External"/><Relationship Id="rId42" Type="http://schemas.openxmlformats.org/officeDocument/2006/relationships/hyperlink" Target="https://popp.undp.org/node/10851" TargetMode="External"/><Relationship Id="rId63" Type="http://schemas.openxmlformats.org/officeDocument/2006/relationships/hyperlink" Target="mailto:pfu.enquiry@undp.org" TargetMode="External"/><Relationship Id="rId84" Type="http://schemas.openxmlformats.org/officeDocument/2006/relationships/hyperlink" Target="https://popp.undp.org/node/3311" TargetMode="External"/><Relationship Id="rId16" Type="http://schemas.openxmlformats.org/officeDocument/2006/relationships/hyperlink" Target="https://popp.undp.org/node/3026" TargetMode="External"/><Relationship Id="rId107" Type="http://schemas.openxmlformats.org/officeDocument/2006/relationships/hyperlink" Target="https://popp.undp.org/taxonomy/term/271" TargetMode="External"/><Relationship Id="rId11" Type="http://schemas.openxmlformats.org/officeDocument/2006/relationships/footnotes" Target="footnotes.xml"/><Relationship Id="rId32" Type="http://schemas.openxmlformats.org/officeDocument/2006/relationships/hyperlink" Target="https://app.powerbi.com/groups/me/reports/e2fc8939-d05e-454b-8c6f-e53df71a75f0/ReportSection30" TargetMode="External"/><Relationship Id="rId37" Type="http://schemas.openxmlformats.org/officeDocument/2006/relationships/hyperlink" Target="https://intranet.undp.org/unit/ofrm/fbp/fbat/Shared%20Documents/Prepayment/RBAP%20Prepayments%20Process%20Steps.ppsx?Web=1" TargetMode="External"/><Relationship Id="rId53" Type="http://schemas.openxmlformats.org/officeDocument/2006/relationships/hyperlink" Target="https://undp.custhelp.com/app/main/services" TargetMode="External"/><Relationship Id="rId58" Type="http://schemas.openxmlformats.org/officeDocument/2006/relationships/hyperlink" Target="https://undp.custhelp.com/app/main/services" TargetMode="External"/><Relationship Id="rId74" Type="http://schemas.openxmlformats.org/officeDocument/2006/relationships/hyperlink" Target="mailto:FBA.All@undp.org" TargetMode="External"/><Relationship Id="rId79" Type="http://schemas.openxmlformats.org/officeDocument/2006/relationships/hyperlink" Target="https://intranet.undp.org/unit/ofrm/fbp/fbat/Shared%20Documents/Project%20Closure/Refunds%20to%20Donors.msg" TargetMode="External"/><Relationship Id="rId102" Type="http://schemas.openxmlformats.org/officeDocument/2006/relationships/hyperlink" Target="https://intranet.undp.org/unit/ofrm/SitePages/Donor%20Reporting.aspx" TargetMode="External"/><Relationship Id="rId123" Type="http://schemas.openxmlformats.org/officeDocument/2006/relationships/hyperlink" Target="https://intranet.undp.org/unit/ofrm/_layouts/15/WopiFrame.aspx?sourcedoc=/unit/ofrm/Donor%20Reporting%20Library/MPTF%20GW%20and%20UNDP%20GL%20comparison%20report%20user%20Guide.docx&amp;action=default" TargetMode="External"/><Relationship Id="rId128" Type="http://schemas.openxmlformats.org/officeDocument/2006/relationships/image" Target="media/image6.emf"/><Relationship Id="rId5" Type="http://schemas.openxmlformats.org/officeDocument/2006/relationships/customXml" Target="../customXml/item5.xml"/><Relationship Id="rId90" Type="http://schemas.openxmlformats.org/officeDocument/2006/relationships/hyperlink" Target="https://intranet.undp.org/unit/ofrm/SitePages/Donor%20Reporting.aspx" TargetMode="External"/><Relationship Id="rId95" Type="http://schemas.openxmlformats.org/officeDocument/2006/relationships/hyperlink" Target="https://undphealthimplementation.org/functional-areas/grant-closure/overview/" TargetMode="External"/><Relationship Id="rId22" Type="http://schemas.openxmlformats.org/officeDocument/2006/relationships/hyperlink" Target="https://popp.undp.org/node/4581" TargetMode="External"/><Relationship Id="rId27" Type="http://schemas.openxmlformats.org/officeDocument/2006/relationships/hyperlink" Target="mailto:gssu.sca@undp.org" TargetMode="External"/><Relationship Id="rId43" Type="http://schemas.openxmlformats.org/officeDocument/2006/relationships/hyperlink" Target="http://undp.service-now.com/unall" TargetMode="External"/><Relationship Id="rId48" Type="http://schemas.openxmlformats.org/officeDocument/2006/relationships/hyperlink" Target="mailto:gssu.revenue@undp.org" TargetMode="External"/><Relationship Id="rId64" Type="http://schemas.openxmlformats.org/officeDocument/2006/relationships/hyperlink" Target="mailto:pfu.enquiry@undp.org" TargetMode="External"/><Relationship Id="rId69" Type="http://schemas.openxmlformats.org/officeDocument/2006/relationships/hyperlink" Target="https://popp.undp.org/node/3021" TargetMode="External"/><Relationship Id="rId113" Type="http://schemas.openxmlformats.org/officeDocument/2006/relationships/hyperlink" Target="https://bridge.undp.org/login" TargetMode="External"/><Relationship Id="rId118" Type="http://schemas.openxmlformats.org/officeDocument/2006/relationships/hyperlink" Target="https://intranet.undp.org/unit/ofrm/fbp/fbat/Shared%20Documents/Project%20Closure/Proj%20Closure_Annex%203_Balance%20Sheet%20accounts.xlsx?Web=1" TargetMode="External"/><Relationship Id="rId80" Type="http://schemas.openxmlformats.org/officeDocument/2006/relationships/hyperlink" Target="https://popp.undp.org/node/3311" TargetMode="External"/><Relationship Id="rId85" Type="http://schemas.openxmlformats.org/officeDocument/2006/relationships/hyperlink" Target="https://intranet.undp.org/unit/bom/Lists/MPNFinance/Flat.aspx?RootFolder=%2Funit%2Fbom%2FLists%2FMPNFinance%2FGSSC%20Support%20%2D%20ContributionsRefund%20Accounting&amp;FolderCTID=0x01200200728E339C6EACA741ADD12D20E7C23D56" TargetMode="External"/><Relationship Id="rId12" Type="http://schemas.openxmlformats.org/officeDocument/2006/relationships/endnotes" Target="endnotes.xml"/><Relationship Id="rId17" Type="http://schemas.openxmlformats.org/officeDocument/2006/relationships/hyperlink" Target="https://intranet.undp.org/unit/ofrm/fbp/analytics/BA%20Documents/SOP/Non%20One%20Pager/12.%20Inactive%20Trust%20Funds%20and%20Trust%20Fund%20Deficit.docx?Web=1" TargetMode="External"/><Relationship Id="rId33" Type="http://schemas.openxmlformats.org/officeDocument/2006/relationships/hyperlink" Target="https://intranet.undp.org/unit/ofrm/fbp/fbat/_layouts/15/WopiFrame.aspx?sourcedoc=/unit/ofrm/fbp/fbat/Shared%20Documents/Prepayment/Prepayments%20Issues%20and%20Workarounds.xlsx&amp;action=default" TargetMode="External"/><Relationship Id="rId38" Type="http://schemas.openxmlformats.org/officeDocument/2006/relationships/hyperlink" Target="https://intranet.undp.org/unit/ofrm/fbp/fbat/SitePages/Prepayments.aspx" TargetMode="External"/><Relationship Id="rId59" Type="http://schemas.openxmlformats.org/officeDocument/2006/relationships/hyperlink" Target="mailto:gssu.inventory@undp.org" TargetMode="External"/><Relationship Id="rId103" Type="http://schemas.openxmlformats.org/officeDocument/2006/relationships/hyperlink" Target="https://intranet.undp.org/unit/ofrm/fbp/analytics/BA%20Documents/Forms/All%20SOP.aspx?RootFolder=%2Funit%2Fofrm%2Ffbp%2Fanalytics%2FBA%20Documents%2FMPTF%20Gateway%20and%20GL%20Reconciliation%2FReport&amp;View=%7BEF0A88CB%2DF9AE%2D45EE%2DBD63%2D7F629B001F3A%7D" TargetMode="External"/><Relationship Id="rId108" Type="http://schemas.openxmlformats.org/officeDocument/2006/relationships/hyperlink" Target="https://popp.undp.org/taxonomy/term/276" TargetMode="External"/><Relationship Id="rId124" Type="http://schemas.openxmlformats.org/officeDocument/2006/relationships/image" Target="media/image2.png"/><Relationship Id="rId129" Type="http://schemas.openxmlformats.org/officeDocument/2006/relationships/image" Target="media/image7.png"/><Relationship Id="rId54" Type="http://schemas.openxmlformats.org/officeDocument/2006/relationships/hyperlink" Target="https://intranet.undp.org/unit/bom/ofrm/SitePages/Asset_Management.aspx" TargetMode="External"/><Relationship Id="rId70" Type="http://schemas.openxmlformats.org/officeDocument/2006/relationships/hyperlink" Target="https://intranet.undp.org/unit/ofrm/_layouts/15/WopiFrame.aspx?sourcedoc=/unit/ofrm/Donor%20Reporting%20Library/Cumulative%20Project%20FR_User%20Guide_draft.docx&amp;action=default" TargetMode="External"/><Relationship Id="rId75" Type="http://schemas.openxmlformats.org/officeDocument/2006/relationships/hyperlink" Target="https://popp.undp.org/node/3311" TargetMode="External"/><Relationship Id="rId91" Type="http://schemas.openxmlformats.org/officeDocument/2006/relationships/hyperlink" Target="https://intranet.undp.org/unit/ofrm/fbp/analytics/BA%20Documents/Forms/All%20SOP.aspx?RootFolder=%2Funit%2Fofrm%2Ffbp%2Fanalytics%2FBA%20Documents%2FMPTF%20Gateway%20and%20GL%20Reconciliation%2FReport&amp;View=%7BEF0A88CB%2DF9AE%2D45EE%2DBD63%2D7F629B001F3A%7D" TargetMode="External"/><Relationship Id="rId96" Type="http://schemas.openxmlformats.org/officeDocument/2006/relationships/hyperlink" Target="https://www.theglobalfund.org/media/3266/core_operationalpolicy_manual_en.pdf?u=637319006396170000"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hyperlink" Target="https://popp.undp.org/node/5066" TargetMode="External"/><Relationship Id="rId28" Type="http://schemas.openxmlformats.org/officeDocument/2006/relationships/hyperlink" Target="mailto:gssu.agencies@undp.org" TargetMode="External"/><Relationship Id="rId49" Type="http://schemas.openxmlformats.org/officeDocument/2006/relationships/hyperlink" Target="https://undp.custhelp.com/app/main/services" TargetMode="External"/><Relationship Id="rId114" Type="http://schemas.openxmlformats.org/officeDocument/2006/relationships/hyperlink" Target="https://popp.undp.org/node/10801" TargetMode="External"/><Relationship Id="rId119" Type="http://schemas.openxmlformats.org/officeDocument/2006/relationships/hyperlink" Target="mailto:gssu.sca@undp.org" TargetMode="External"/><Relationship Id="rId44" Type="http://schemas.openxmlformats.org/officeDocument/2006/relationships/hyperlink" Target="http://undp.service-now.com/unall" TargetMode="External"/><Relationship Id="rId60" Type="http://schemas.openxmlformats.org/officeDocument/2006/relationships/hyperlink" Target="https://finance.partneragencies.org/psc/UNDPP1FS/EMPLOYEE/ERP/q/?ICAction=ICQryNameURL=PUBLIC.UN_PS_CLOSE_PETTYCASH_ADVCASH" TargetMode="External"/><Relationship Id="rId65" Type="http://schemas.openxmlformats.org/officeDocument/2006/relationships/hyperlink" Target="mailto:gps.pension@undp.org" TargetMode="External"/><Relationship Id="rId81" Type="http://schemas.openxmlformats.org/officeDocument/2006/relationships/hyperlink" Target="mailto:refund.before.closure@undp.org" TargetMode="External"/><Relationship Id="rId86" Type="http://schemas.openxmlformats.org/officeDocument/2006/relationships/hyperlink" Target="https://intranet.undp.org/unit/ofrm/fbp/fbat/Shared%20Documents/Project%20Closure/RE%202014%20Cost%20Sharing%20Interest%20Allocation.msg" TargetMode="External"/><Relationship Id="rId130" Type="http://schemas.openxmlformats.org/officeDocument/2006/relationships/image" Target="media/image8.png"/><Relationship Id="rId13" Type="http://schemas.openxmlformats.org/officeDocument/2006/relationships/image" Target="media/image1.png"/><Relationship Id="rId18" Type="http://schemas.openxmlformats.org/officeDocument/2006/relationships/hyperlink" Target="https://popp.undp.org/node/18916" TargetMode="External"/><Relationship Id="rId39" Type="http://schemas.openxmlformats.org/officeDocument/2006/relationships/hyperlink" Target="https://finance.partneragencies.org/psc/UNDPP1FS/EMPLOYEE/ERP/q/?ICAction=ICQryNameURL=PUBLIC.UN_PS_CLOSE_PENDING_VCHR_BY_PR" TargetMode="External"/><Relationship Id="rId109" Type="http://schemas.openxmlformats.org/officeDocument/2006/relationships/hyperlink" Target="https://popp.undp.org/node/10651" TargetMode="External"/><Relationship Id="rId34" Type="http://schemas.openxmlformats.org/officeDocument/2006/relationships/hyperlink" Target="http://undp.service-now.com/unall" TargetMode="External"/><Relationship Id="rId50" Type="http://schemas.openxmlformats.org/officeDocument/2006/relationships/hyperlink" Target="https://intranet.undp.org/unit/bom/ofrm/SitePages/Asset_Management.aspx" TargetMode="External"/><Relationship Id="rId55" Type="http://schemas.openxmlformats.org/officeDocument/2006/relationships/hyperlink" Target="https://undp.custhelp.com/app/main/services" TargetMode="External"/><Relationship Id="rId76" Type="http://schemas.openxmlformats.org/officeDocument/2006/relationships/hyperlink" Target="https://popp.undp.org/node/4356" TargetMode="External"/><Relationship Id="rId97" Type="http://schemas.openxmlformats.org/officeDocument/2006/relationships/hyperlink" Target="https://popp.undp.org/node/301" TargetMode="External"/><Relationship Id="rId104" Type="http://schemas.openxmlformats.org/officeDocument/2006/relationships/hyperlink" Target="https://intranet.undp.org/unit/ofrm/_layouts/15/WopiFrame.aspx?sourcedoc=/unit/ofrm/Donor%20Reporting%20Library/MPTF%20GW%20and%20UNDP%20GL%20comparison%20report%20user%20Guide.docx&amp;action=default" TargetMode="External"/><Relationship Id="rId120" Type="http://schemas.openxmlformats.org/officeDocument/2006/relationships/hyperlink" Target="https://intranet.undp.org/unit/ofrm/fbp/fbat/Shared%20Documents/Project%20Closure/OPERATING%20GUIDELINES%20FOR%20MPTF%20PROJECTS%20IMPLEMENTED%20BY%20UNDP%20COUNTRY%20OFFICES%20%20-%2015%20MARCH%202016.docx?Web=1" TargetMode="External"/><Relationship Id="rId125" Type="http://schemas.openxmlformats.org/officeDocument/2006/relationships/image" Target="media/image3.png"/><Relationship Id="rId7" Type="http://schemas.openxmlformats.org/officeDocument/2006/relationships/numbering" Target="numbering.xml"/><Relationship Id="rId71" Type="http://schemas.openxmlformats.org/officeDocument/2006/relationships/hyperlink" Target="mailto:gssu.sca@undp.org" TargetMode="External"/><Relationship Id="rId92" Type="http://schemas.openxmlformats.org/officeDocument/2006/relationships/hyperlink" Target="https://intranet.undp.org/unit/ofrm/_layouts/15/WopiFrame.aspx?sourcedoc=/unit/ofrm/Donor%20Reporting%20Library/MPTF%20GW%20and%20UNDP%20GL%20comparison%20report%20user%20Guide.docx&amp;action=default" TargetMode="External"/><Relationship Id="rId2" Type="http://schemas.openxmlformats.org/officeDocument/2006/relationships/customXml" Target="../customXml/item2.xml"/><Relationship Id="rId29" Type="http://schemas.openxmlformats.org/officeDocument/2006/relationships/hyperlink" Target="mailto:gssu.sca@undp.org" TargetMode="External"/><Relationship Id="rId24" Type="http://schemas.openxmlformats.org/officeDocument/2006/relationships/footer" Target="footer1.xml"/><Relationship Id="rId40" Type="http://schemas.openxmlformats.org/officeDocument/2006/relationships/hyperlink" Target="https://finance.partneragencies.org/psc/UNDPP1FS/EMPLOYEE/ERP/q/?ICAction=ICQryNameURL=PUBLIC.UN_PS_CLOSE_GMS_ACTUAL" TargetMode="External"/><Relationship Id="rId45" Type="http://schemas.openxmlformats.org/officeDocument/2006/relationships/hyperlink" Target="http://undp.service-now.com/unall" TargetMode="External"/><Relationship Id="rId66" Type="http://schemas.openxmlformats.org/officeDocument/2006/relationships/hyperlink" Target="https://cards.undp.org/" TargetMode="External"/><Relationship Id="rId87" Type="http://schemas.openxmlformats.org/officeDocument/2006/relationships/hyperlink" Target="mailto:gssu.treasury@undp.org" TargetMode="External"/><Relationship Id="rId110" Type="http://schemas.openxmlformats.org/officeDocument/2006/relationships/hyperlink" Target="mailto:gssu.agencies@undp.org" TargetMode="External"/><Relationship Id="rId115" Type="http://schemas.openxmlformats.org/officeDocument/2006/relationships/hyperlink" Target="https://popp.undp.org/node/3311" TargetMode="External"/><Relationship Id="rId131" Type="http://schemas.openxmlformats.org/officeDocument/2006/relationships/image" Target="media/image9.emf"/><Relationship Id="rId61" Type="http://schemas.openxmlformats.org/officeDocument/2006/relationships/hyperlink" Target="mailto:GSSU.Cashmanagement@undp.org" TargetMode="External"/><Relationship Id="rId82" Type="http://schemas.openxmlformats.org/officeDocument/2006/relationships/hyperlink" Target="https://popp.undp.org/node/3311" TargetMode="External"/><Relationship Id="rId19" Type="http://schemas.openxmlformats.org/officeDocument/2006/relationships/hyperlink" Target="https://intranet.undp.org/unit/ofrm/fbp/fbat/sitepages/projectclosure.aspx" TargetMode="External"/><Relationship Id="rId14" Type="http://schemas.openxmlformats.org/officeDocument/2006/relationships/hyperlink" Target="https://popp.undp.org/node/10501" TargetMode="External"/><Relationship Id="rId30" Type="http://schemas.openxmlformats.org/officeDocument/2006/relationships/hyperlink" Target="https://popp.undp.org/node/3041" TargetMode="External"/><Relationship Id="rId35" Type="http://schemas.openxmlformats.org/officeDocument/2006/relationships/hyperlink" Target="http://undp.service-now.com/unall" TargetMode="External"/><Relationship Id="rId56" Type="http://schemas.openxmlformats.org/officeDocument/2006/relationships/hyperlink" Target="https://undp.custhelp.com/app/main/services" TargetMode="External"/><Relationship Id="rId77" Type="http://schemas.openxmlformats.org/officeDocument/2006/relationships/hyperlink" Target="mailto:gssu.sca@undp.org" TargetMode="External"/><Relationship Id="rId100" Type="http://schemas.openxmlformats.org/officeDocument/2006/relationships/hyperlink" Target="https://popp.undp.org/node/301" TargetMode="External"/><Relationship Id="rId105" Type="http://schemas.openxmlformats.org/officeDocument/2006/relationships/hyperlink" Target="https://popp.undp.org/node/4581" TargetMode="External"/><Relationship Id="rId126" Type="http://schemas.openxmlformats.org/officeDocument/2006/relationships/image" Target="media/image4.png"/><Relationship Id="rId8" Type="http://schemas.openxmlformats.org/officeDocument/2006/relationships/styles" Target="styles.xml"/><Relationship Id="rId51" Type="http://schemas.openxmlformats.org/officeDocument/2006/relationships/hyperlink" Target="https://undp.custhelp.com/app/main/services" TargetMode="External"/><Relationship Id="rId72" Type="http://schemas.openxmlformats.org/officeDocument/2006/relationships/hyperlink" Target="https://intranet.undp.org/unit/ofrm/fbp/fbat/Shared%20Documents/Project%20Closure/KK%20vs%20GL%20Balance%20Reconciliation%20Steps.docx?Web=1" TargetMode="External"/><Relationship Id="rId93" Type="http://schemas.openxmlformats.org/officeDocument/2006/relationships/hyperlink" Target="https://eur03.safelinks.protection.outlook.com/?url=https%3A%2F%2Fundphealthimplementation.org%2Ffunctional-areas%2Fgrant-closure%2Foverview%2F&amp;data=04%7C01%7Cnadda.chotiwichit%40undp.org%7Cfc7427605ade4019491b08d89c61baf1%7Cb3e5db5e2944483799f57488ace54319%7C0%7C0%7C637431290850840603%7CUnknown%7CTWFpbGZsb3d8eyJWIjoiMC4wLjAwMDAiLCJQIjoiV2luMzIiLCJBTiI6Ik1haWwiLCJXVCI6Mn0%3D%7C1000&amp;sdata=%2Fy%2FiJZ8ODr1ehCeBUCbpiLso16uKKW525PXa8GDe15k%3D&amp;reserved=0" TargetMode="External"/><Relationship Id="rId98" Type="http://schemas.openxmlformats.org/officeDocument/2006/relationships/hyperlink" Target="https://popp.undp.org/node/301" TargetMode="External"/><Relationship Id="rId121" Type="http://schemas.openxmlformats.org/officeDocument/2006/relationships/hyperlink" Target="https://intranet.undp.org/unit/ofrm/SitePages/Donor%20Reporting.aspx" TargetMode="External"/><Relationship Id="rId3" Type="http://schemas.openxmlformats.org/officeDocument/2006/relationships/customXml" Target="../customXml/item3.xml"/><Relationship Id="rId25" Type="http://schemas.openxmlformats.org/officeDocument/2006/relationships/hyperlink" Target="mailto:pfu.enquiry@undp.org" TargetMode="External"/><Relationship Id="rId46" Type="http://schemas.openxmlformats.org/officeDocument/2006/relationships/hyperlink" Target="mailto:gssu.revenue@undp.org" TargetMode="External"/><Relationship Id="rId67" Type="http://schemas.openxmlformats.org/officeDocument/2006/relationships/hyperlink" Target="https://popp.undp.org/node/3021" TargetMode="External"/><Relationship Id="rId116" Type="http://schemas.openxmlformats.org/officeDocument/2006/relationships/hyperlink" Target="https://popp.undp.org/node/10501" TargetMode="External"/><Relationship Id="rId20" Type="http://schemas.openxmlformats.org/officeDocument/2006/relationships/hyperlink" Target="https://intranet.undp.org/unit/ofrm/fbp/fbat/_layouts/15/WopiFrame.aspx?sourcedoc=/unit/ofrm/fbp/fbat/Shared%20Documents/Project%20Closure/UNDP_Project_Closure_Workbench%20-%20Introduction%20(Guide).pdf&amp;action=default" TargetMode="External"/><Relationship Id="rId41" Type="http://schemas.openxmlformats.org/officeDocument/2006/relationships/hyperlink" Target="https://intranet.undp.org/unit/ofrm/_layouts/15/WopiFrame.aspx?sourcedoc=/unit/ofrm/Financial%20Resource%20Management%20Policies/2018%20GUIDANCE%20NOTE%20-%20GMS%20SET-UP%20and%20REPORTS%20-%2016%20February%202018.docx&amp;action=default" TargetMode="External"/><Relationship Id="rId62" Type="http://schemas.openxmlformats.org/officeDocument/2006/relationships/hyperlink" Target="https://intranet.undp.org/docs/pdc/default.aspx" TargetMode="External"/><Relationship Id="rId83" Type="http://schemas.openxmlformats.org/officeDocument/2006/relationships/hyperlink" Target="https://popp.undp.org/node/10801" TargetMode="External"/><Relationship Id="rId88" Type="http://schemas.openxmlformats.org/officeDocument/2006/relationships/hyperlink" Target="mailto:gssu.revenue@undp.org" TargetMode="External"/><Relationship Id="rId111" Type="http://schemas.openxmlformats.org/officeDocument/2006/relationships/hyperlink" Target="https://bridge.undp.org/login" TargetMode="External"/><Relationship Id="rId132" Type="http://schemas.openxmlformats.org/officeDocument/2006/relationships/fontTable" Target="fontTable.xml"/><Relationship Id="rId15" Type="http://schemas.openxmlformats.org/officeDocument/2006/relationships/hyperlink" Target="https://popp.undp.org/node/10801" TargetMode="External"/><Relationship Id="rId36" Type="http://schemas.openxmlformats.org/officeDocument/2006/relationships/hyperlink" Target="http://undp.service-now.com/unall" TargetMode="External"/><Relationship Id="rId57" Type="http://schemas.openxmlformats.org/officeDocument/2006/relationships/hyperlink" Target="mailto:gssu.assets@undp.org" TargetMode="External"/><Relationship Id="rId106" Type="http://schemas.openxmlformats.org/officeDocument/2006/relationships/hyperlink" Target="https://finance.partneragencies.org/psp/UNDPP1FS/EMPLOYEE/ERP/s/WEBLIB_UN_DM_AM.ISCRIPT1.FieldFormula.IScript_GSSUAM?FolderPath=PORTAL_ROOT_OBJECT.UN_DMS.ISCRIPT_GSSUAM&amp;IsFolder=false&amp;IgnoreParamTempl=FolderPath%2cIsFolder" TargetMode="External"/><Relationship Id="rId127" Type="http://schemas.openxmlformats.org/officeDocument/2006/relationships/image" Target="media/image5.png"/><Relationship Id="rId10" Type="http://schemas.openxmlformats.org/officeDocument/2006/relationships/webSettings" Target="webSettings.xml"/><Relationship Id="rId31" Type="http://schemas.openxmlformats.org/officeDocument/2006/relationships/hyperlink" Target="mailto:gssu.sca@undp.org" TargetMode="External"/><Relationship Id="rId52" Type="http://schemas.openxmlformats.org/officeDocument/2006/relationships/hyperlink" Target="https://popp.undp.org/taxonomy/term/271" TargetMode="External"/><Relationship Id="rId73" Type="http://schemas.openxmlformats.org/officeDocument/2006/relationships/hyperlink" Target="mailto:fba.all@undp.org" TargetMode="External"/><Relationship Id="rId78" Type="http://schemas.openxmlformats.org/officeDocument/2006/relationships/hyperlink" Target="https://intranet.undp.org/unit/ofrm/fbp/fbat/Shared%20Documents/Project%20Closure/Interpreting%20Fin%20DB%20cost%20sharing%20deficit%20for%20USAID%20Letter%20of%20Credit%20(LOC)%20projects.msg" TargetMode="External"/><Relationship Id="rId94" Type="http://schemas.openxmlformats.org/officeDocument/2006/relationships/hyperlink" Target="https://intranet.undp.org/unit/ofrm/fbp/fbat/SitePages/ProjectClosure.aspx" TargetMode="External"/><Relationship Id="rId99" Type="http://schemas.openxmlformats.org/officeDocument/2006/relationships/hyperlink" Target="https://popp.undp.org/node/301" TargetMode="External"/><Relationship Id="rId101" Type="http://schemas.openxmlformats.org/officeDocument/2006/relationships/hyperlink" Target="https://popp.undp.org/node/11431" TargetMode="External"/><Relationship Id="rId122" Type="http://schemas.openxmlformats.org/officeDocument/2006/relationships/hyperlink" Target="https://intranet.undp.org/unit/ofrm/fbp/analytics/BA%20Documents/Forms/All%20SOP.aspx?RootFolder=%2Funit%2Fofrm%2Ffbp%2Fanalytics%2FBA%20Documents%2FMPTF%20Gateway%20and%20GL%20Reconciliation%2FReport&amp;View=%7BEF0A88CB%2DF9AE%2D45EE%2DBD63%2D7F629B001F3A%7D" TargetMode="Externa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hyperlink" Target="mailto:gssu.sca@undp.org" TargetMode="External"/><Relationship Id="rId47" Type="http://schemas.openxmlformats.org/officeDocument/2006/relationships/hyperlink" Target="mailto:gssu.revenue@undp.org" TargetMode="External"/><Relationship Id="rId68" Type="http://schemas.openxmlformats.org/officeDocument/2006/relationships/hyperlink" Target="https://popp.undp.org/node/3021" TargetMode="External"/><Relationship Id="rId89" Type="http://schemas.openxmlformats.org/officeDocument/2006/relationships/hyperlink" Target="https://intranet.undp.org/unit/ofrm/_layouts/15/WopiFrame.aspx?sourcedoc=/unit/ofrm/Donor%20Reporting%20Library/Cumulative%20Project%20FR_User%20Guide_draft.docx&amp;action=default" TargetMode="External"/><Relationship Id="rId112" Type="http://schemas.openxmlformats.org/officeDocument/2006/relationships/hyperlink" Target="https://popp.undp.org/node/3021" TargetMode="External"/><Relationship Id="rId13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UNDP_POPP_DOCUMENTLIB_CONTENTTYPE" ma:contentTypeID="0x01010061FF32BFFC2B4E50A3A86F4682D7D367007687F3382310C0489D2A99E053BA6D39" ma:contentTypeVersion="39" ma:contentTypeDescription="Create a new document." ma:contentTypeScope="" ma:versionID="6be656cb1c163ecae2ba3479e659beb4">
  <xsd:schema xmlns:xsd="http://www.w3.org/2001/XMLSchema" xmlns:xs="http://www.w3.org/2001/XMLSchema" xmlns:p="http://schemas.microsoft.com/office/2006/metadata/properties" xmlns:ns1="http://schemas.microsoft.com/sharepoint/v3" xmlns:ns2="8264c5cc-ec60-4b56-8111-ce635d3d139a" xmlns:ns3="e560140e-7b2f-4392-90df-e7567e3021a3" targetNamespace="http://schemas.microsoft.com/office/2006/metadata/properties" ma:root="true" ma:fieldsID="4ff6b9a3198065004b36a8a1743102d6" ns1:_="" ns2:_="" ns3:_="">
    <xsd:import namespace="http://schemas.microsoft.com/sharepoint/v3"/>
    <xsd:import namespace="8264c5cc-ec60-4b56-8111-ce635d3d139a"/>
    <xsd:import namespace="e560140e-7b2f-4392-90df-e7567e3021a3"/>
    <xsd:element name="properties">
      <xsd:complexType>
        <xsd:sequence>
          <xsd:element name="documentManagement">
            <xsd:complexType>
              <xsd:all>
                <xsd:element ref="ns2:UNDP_POPP_TITLE_EN" minOccurs="0"/>
                <xsd:element ref="ns2:UNDP_POPP_FOCALPOINT" minOccurs="0"/>
                <xsd:element ref="ns2:UNDP_POPP_DOCUMENT_TYPE"/>
                <xsd:element ref="ns2:UNDP_POPP_DOCUMENT_LANGUAGE"/>
                <xsd:element ref="ns2:UNDP_POPP_EFFECTIVEDATE" minOccurs="0"/>
                <xsd:element ref="ns2:UNDP_POPP_PLANNED_REVIEWDATE" minOccurs="0"/>
                <xsd:element ref="ns2:UNDP_POPP_VERSION_COMMENTS" minOccurs="0"/>
                <xsd:element ref="ns2:UNDP_POPP_FILEVERSION" minOccurs="0"/>
                <xsd:element ref="ns2:UNDP_POPP_ISACTIVE" minOccurs="0"/>
                <xsd:element ref="ns2:UNDP_POPP_NOTE" minOccurs="0"/>
                <xsd:element ref="ns2:UNDP_POPP_DOCUMENT_TEMPLATE" minOccurs="0"/>
                <xsd:element ref="ns2:TaxCatchAll" minOccurs="0"/>
                <xsd:element ref="ns2:TaxCatchAllLabel" minOccurs="0"/>
                <xsd:element ref="ns2:UNDP_POPP_BUSINESSPROCESS_HIDDEN" minOccurs="0"/>
                <xsd:element ref="ns2:UNDP_POPP_BUSINESSUNITID_HIDDEN" minOccurs="0"/>
                <xsd:element ref="ns2:l0e6ef0c43e74560bd7f3acd1f5e8571" minOccurs="0"/>
                <xsd:element ref="ns3:Location" minOccurs="0"/>
                <xsd:element ref="ns2:_dlc_DocId" minOccurs="0"/>
                <xsd:element ref="ns2:_dlc_DocIdUrl" minOccurs="0"/>
                <xsd:element ref="ns2:_dlc_DocIdPersistId" minOccurs="0"/>
                <xsd:element ref="ns1:_dlc_Exempt" minOccurs="0"/>
                <xsd:element ref="ns3:DLCPolicyLabelValue" minOccurs="0"/>
                <xsd:element ref="ns3:DLCPolicyLabelClientValue" minOccurs="0"/>
                <xsd:element ref="ns3:DLCPolicyLabelLock" minOccurs="0"/>
                <xsd:element ref="ns2:UNDP_POPP_REFITEM_VERSION" minOccurs="0"/>
                <xsd:element ref="ns2:UNDP_POPP_LASTMODIFIED" minOccurs="0"/>
                <xsd:element ref="ns2:UNDP_POPP_REJECT_COMMENTS" minOccurs="0"/>
                <xsd:element ref="ns3:POPPIsArchiv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0"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264c5cc-ec60-4b56-8111-ce635d3d139a" elementFormDefault="qualified">
    <xsd:import namespace="http://schemas.microsoft.com/office/2006/documentManagement/types"/>
    <xsd:import namespace="http://schemas.microsoft.com/office/infopath/2007/PartnerControls"/>
    <xsd:element name="UNDP_POPP_TITLE_EN" ma:index="1" nillable="true" ma:displayName="Title_EN" ma:indexed="true" ma:internalName="UNDP_POPP_TITLE_EN">
      <xsd:simpleType>
        <xsd:restriction base="dms:Text">
          <xsd:maxLength value="255"/>
        </xsd:restriction>
      </xsd:simpleType>
    </xsd:element>
    <xsd:element name="UNDP_POPP_FOCALPOINT" ma:index="3" nillable="true" ma:displayName="Focal Point" ma:SharePointGroup="0" ma:internalName="UNDP_POPP_FOCALPOINT"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DP_POPP_DOCUMENT_TYPE" ma:index="5" ma:displayName="Document TYPE" ma:default="Template" ma:format="Dropdown" ma:indexed="true" ma:internalName="UNDP_POPP_DOCUMENT_TYPE" ma:readOnly="false">
      <xsd:simpleType>
        <xsd:restriction base="dms:Choice">
          <xsd:enumeration value="Regulation"/>
          <xsd:enumeration value="Policy"/>
          <xsd:enumeration value="Template"/>
        </xsd:restriction>
      </xsd:simpleType>
    </xsd:element>
    <xsd:element name="UNDP_POPP_DOCUMENT_LANGUAGE" ma:index="6" ma:displayName="Document Language" ma:default="English" ma:format="Dropdown" ma:indexed="true" ma:internalName="UNDP_POPP_DOCUMENT_LANGUAGE" ma:readOnly="false">
      <xsd:simpleType>
        <xsd:restriction base="dms:Choice">
          <xsd:enumeration value="English"/>
          <xsd:enumeration value="Spanish"/>
          <xsd:enumeration value="French"/>
          <xsd:enumeration value="Arabic"/>
          <xsd:enumeration value="Portuguese"/>
        </xsd:restriction>
      </xsd:simpleType>
    </xsd:element>
    <xsd:element name="UNDP_POPP_EFFECTIVEDATE" ma:index="7" nillable="true" ma:displayName="Effective Date" ma:format="DateOnly" ma:internalName="UNDP_POPP_EFFECTIVEDATE">
      <xsd:simpleType>
        <xsd:restriction base="dms:DateTime"/>
      </xsd:simpleType>
    </xsd:element>
    <xsd:element name="UNDP_POPP_PLANNED_REVIEWDATE" ma:index="8" nillable="true" ma:displayName="Planned Review Date" ma:format="DateOnly" ma:internalName="UNDP_POPP_PLANNED_REVIEWDATE">
      <xsd:simpleType>
        <xsd:restriction base="dms:DateTime"/>
      </xsd:simpleType>
    </xsd:element>
    <xsd:element name="UNDP_POPP_VERSION_COMMENTS" ma:index="9" nillable="true" ma:displayName="Version Comments" ma:internalName="UNDP_POPP_VERSION_COMMENTS">
      <xsd:simpleType>
        <xsd:restriction base="dms:Note">
          <xsd:maxLength value="255"/>
        </xsd:restriction>
      </xsd:simpleType>
    </xsd:element>
    <xsd:element name="UNDP_POPP_FILEVERSION" ma:index="10" nillable="true" ma:displayName="FileVersionID" ma:decimals="0" ma:internalName="UNDP_POPP_FILEVERSION">
      <xsd:simpleType>
        <xsd:restriction base="dms:Number"/>
      </xsd:simpleType>
    </xsd:element>
    <xsd:element name="UNDP_POPP_ISACTIVE" ma:index="11" nillable="true" ma:displayName="POPPIsActive" ma:default="1" ma:internalName="UNDP_POPP_ISACTIVE">
      <xsd:simpleType>
        <xsd:restriction base="dms:Boolean"/>
      </xsd:simpleType>
    </xsd:element>
    <xsd:element name="UNDP_POPP_NOTE" ma:index="12" nillable="true" ma:displayName="Notes" ma:internalName="UNDP_POPP_NOTE">
      <xsd:simpleType>
        <xsd:restriction base="dms:Note">
          <xsd:maxLength value="255"/>
        </xsd:restriction>
      </xsd:simpleType>
    </xsd:element>
    <xsd:element name="UNDP_POPP_DOCUMENT_TEMPLATE" ma:index="13" nillable="true" ma:displayName="Document Template" ma:internalName="UNDP_POPP_DOCUMENT_TEMPLATE">
      <xsd:simpleType>
        <xsd:restriction base="dms:Text"/>
      </xsd:simpleType>
    </xsd:element>
    <xsd:element name="TaxCatchAll" ma:index="17" nillable="true" ma:displayName="Taxonomy Catch All Column" ma:hidden="true" ma:list="{ee792a02-1c68-437d-afee-526d4eee3bde}" ma:internalName="TaxCatchAll" ma:showField="CatchAllData" ma:web="8264c5cc-ec60-4b56-8111-ce635d3d139a">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ee792a02-1c68-437d-afee-526d4eee3bde}" ma:internalName="TaxCatchAllLabel" ma:readOnly="true" ma:showField="CatchAllDataLabel" ma:web="8264c5cc-ec60-4b56-8111-ce635d3d139a">
      <xsd:complexType>
        <xsd:complexContent>
          <xsd:extension base="dms:MultiChoiceLookup">
            <xsd:sequence>
              <xsd:element name="Value" type="dms:Lookup" maxOccurs="unbounded" minOccurs="0" nillable="true"/>
            </xsd:sequence>
          </xsd:extension>
        </xsd:complexContent>
      </xsd:complexType>
    </xsd:element>
    <xsd:element name="UNDP_POPP_BUSINESSPROCESS_HIDDEN" ma:index="19" nillable="true" ma:taxonomy="true" ma:internalName="UNDP_POPP_BUSINESSPROCESS_HIDDEN" ma:taxonomyFieldName="POPPBusinessProcess" ma:displayName="POPPBusinessProcess" ma:default="" ma:fieldId="{74bd8a2a-abe6-4809-9e69-96ac6e480a30}" ma:sspId="28e6c43a-9e99-4bdd-9574-a0fa4ea3b61e" ma:termSetId="602d329c-34f7-45d6-b12a-9bc8242c07ba" ma:anchorId="00000000-0000-0000-0000-000000000000" ma:open="false" ma:isKeyword="false">
      <xsd:complexType>
        <xsd:sequence>
          <xsd:element ref="pc:Terms" minOccurs="0" maxOccurs="1"/>
        </xsd:sequence>
      </xsd:complexType>
    </xsd:element>
    <xsd:element name="UNDP_POPP_BUSINESSUNITID_HIDDEN" ma:index="22" nillable="true" ma:displayName="BusinessUnitData" ma:hidden="true" ma:internalName="UNDP_POPP_BUSINESSUNITID_HIDDEN">
      <xsd:simpleType>
        <xsd:restriction base="dms:Note"/>
      </xsd:simpleType>
    </xsd:element>
    <xsd:element name="l0e6ef0c43e74560bd7f3acd1f5e8571" ma:index="23" nillable="true" ma:taxonomy="true" ma:internalName="l0e6ef0c43e74560bd7f3acd1f5e8571" ma:taxonomyFieldName="UNDP_POPP_BUSINESSUNIT" ma:displayName="BusinessUnit" ma:indexed="true" ma:default="" ma:fieldId="{50e6ef0c-43e7-4560-bd7f-3acd1f5e8571}" ma:sspId="28e6c43a-9e99-4bdd-9574-a0fa4ea3b61e" ma:termSetId="409cdc02-fd20-40c2-9bb7-655db5573ef9" ma:anchorId="00000000-0000-0000-0000-000000000000" ma:open="false" ma:isKeyword="false">
      <xsd:complexType>
        <xsd:sequence>
          <xsd:element ref="pc:Terms" minOccurs="0" maxOccurs="1"/>
        </xsd:sequence>
      </xsd:complexType>
    </xsd:element>
    <xsd:element name="_dlc_DocId" ma:index="27" nillable="true" ma:displayName="Document ID Value" ma:description="The value of the document ID assigned to this item." ma:internalName="_dlc_DocId" ma:readOnly="true">
      <xsd:simpleType>
        <xsd:restriction base="dms:Text"/>
      </xsd:simpleType>
    </xsd:element>
    <xsd:element name="_dlc_DocIdUrl" ma:index="2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Persist ID" ma:description="Keep ID on add." ma:hidden="true" ma:internalName="_dlc_DocIdPersistId" ma:readOnly="true">
      <xsd:simpleType>
        <xsd:restriction base="dms:Boolean"/>
      </xsd:simpleType>
    </xsd:element>
    <xsd:element name="UNDP_POPP_REFITEM_VERSION" ma:index="34" nillable="true" ma:displayName="POPPRefItemVersion" ma:decimals="0" ma:default="1" ma:internalName="UNDP_POPP_REFITEM_VERSION" ma:percentage="FALSE">
      <xsd:simpleType>
        <xsd:restriction base="dms:Number"/>
      </xsd:simpleType>
    </xsd:element>
    <xsd:element name="UNDP_POPP_LASTMODIFIED" ma:index="35" nillable="true" ma:displayName="POPPLastModified" ma:format="DateOnly" ma:internalName="UNDP_POPP_LASTMODIFIED">
      <xsd:simpleType>
        <xsd:restriction base="dms:DateTime"/>
      </xsd:simpleType>
    </xsd:element>
    <xsd:element name="UNDP_POPP_REJECT_COMMENTS" ma:index="37" nillable="true" ma:displayName="POPPRejectComments" ma:internalName="UNDP_POPP_REJECT_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560140e-7b2f-4392-90df-e7567e3021a3" elementFormDefault="qualified">
    <xsd:import namespace="http://schemas.microsoft.com/office/2006/documentManagement/types"/>
    <xsd:import namespace="http://schemas.microsoft.com/office/infopath/2007/PartnerControls"/>
    <xsd:element name="Location" ma:index="26" nillable="true" ma:displayName="Location" ma:internalName="Location">
      <xsd:simpleType>
        <xsd:restriction base="dms:Text">
          <xsd:maxLength value="255"/>
        </xsd:restriction>
      </xsd:simpleType>
    </xsd:element>
    <xsd:element name="DLCPolicyLabelValue" ma:index="31"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32"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33" nillable="true" ma:displayName="Label Locked" ma:description="Indicates whether the label should be updated when item properties are modified." ma:hidden="true" ma:internalName="DLCPolicyLabelLock" ma:readOnly="false">
      <xsd:simpleType>
        <xsd:restriction base="dms:Text"/>
      </xsd:simpleType>
    </xsd:element>
    <xsd:element name="POPPIsArchived" ma:index="38" nillable="true" ma:displayName="POPPIsArchived" ma:default="0" ma:internalName="POPPIsArchiv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UNDP_POPP_BUSINESSPROCESS_HIDDEN xmlns="8264c5cc-ec60-4b56-8111-ce635d3d139a">
      <Terms xmlns="http://schemas.microsoft.com/office/infopath/2007/PartnerControls"/>
    </UNDP_POPP_BUSINESSPROCESS_HIDDEN>
    <UNDP_POPP_NOTE xmlns="8264c5cc-ec60-4b56-8111-ce635d3d139a" xsi:nil="true"/>
    <POPPIsArchived xmlns="e560140e-7b2f-4392-90df-e7567e3021a3">false</POPPIsArchived>
    <_dlc_DocId xmlns="8264c5cc-ec60-4b56-8111-ce635d3d139a">UNITOFRM-83-1204</_dlc_DocId>
    <Location xmlns="e560140e-7b2f-4392-90df-e7567e3021a3" xsi:nil="true"/>
    <UNDP_POPP_DOCUMENT_TYPE xmlns="8264c5cc-ec60-4b56-8111-ce635d3d139a">Template</UNDP_POPP_DOCUMENT_TYPE>
    <UNDP_POPP_DOCUMENT_TEMPLATE xmlns="8264c5cc-ec60-4b56-8111-ce635d3d139a" xsi:nil="true"/>
    <TaxCatchAll xmlns="8264c5cc-ec60-4b56-8111-ce635d3d139a">
      <Value>350</Value>
    </TaxCatchAll>
    <UNDP_POPP_VERSION_COMMENTS xmlns="8264c5cc-ec60-4b56-8111-ce635d3d139a" xsi:nil="true"/>
    <UNDP_POPP_DOCUMENT_LANGUAGE xmlns="8264c5cc-ec60-4b56-8111-ce635d3d139a">English</UNDP_POPP_DOCUMENT_LANGUAGE>
    <UNDP_POPP_FOCALPOINT xmlns="8264c5cc-ec60-4b56-8111-ce635d3d139a">
      <UserInfo>
        <DisplayName/>
        <AccountId xsi:nil="true"/>
        <AccountType/>
      </UserInfo>
    </UNDP_POPP_FOCALPOINT>
    <UNDP_POPP_PLANNED_REVIEWDATE xmlns="8264c5cc-ec60-4b56-8111-ce635d3d139a" xsi:nil="true"/>
    <l0e6ef0c43e74560bd7f3acd1f5e8571 xmlns="8264c5cc-ec60-4b56-8111-ce635d3d139a">
      <Terms xmlns="http://schemas.microsoft.com/office/infopath/2007/PartnerControls">
        <TermInfo xmlns="http://schemas.microsoft.com/office/infopath/2007/PartnerControls">
          <TermName xmlns="http://schemas.microsoft.com/office/infopath/2007/PartnerControls">Financial Resources Management</TermName>
          <TermId xmlns="http://schemas.microsoft.com/office/infopath/2007/PartnerControls">682d4c54-a288-412d-bfec-ce5587bbd25c</TermId>
        </TermInfo>
      </Terms>
    </l0e6ef0c43e74560bd7f3acd1f5e8571>
    <UNDP_POPP_LASTMODIFIED xmlns="8264c5cc-ec60-4b56-8111-ce635d3d139a" xsi:nil="true"/>
    <UNDP_POPP_REJECT_COMMENTS xmlns="8264c5cc-ec60-4b56-8111-ce635d3d139a" xsi:nil="true"/>
    <UNDP_POPP_EFFECTIVEDATE xmlns="8264c5cc-ec60-4b56-8111-ce635d3d139a">2021-02-22T23:00:00+00:00</UNDP_POPP_EFFECTIVEDATE>
    <UNDP_POPP_FILEVERSION xmlns="8264c5cc-ec60-4b56-8111-ce635d3d139a" xsi:nil="true"/>
    <UNDP_POPP_ISACTIVE xmlns="8264c5cc-ec60-4b56-8111-ce635d3d139a">true</UNDP_POPP_ISACTIVE>
    <UNDP_POPP_TITLE_EN xmlns="8264c5cc-ec60-4b56-8111-ce635d3d139a">Operational Guidelines : Financial Closure of Development Projects</UNDP_POPP_TITLE_EN>
    <UNDP_POPP_REFITEM_VERSION xmlns="8264c5cc-ec60-4b56-8111-ce635d3d139a" xsi:nil="true"/>
    <_dlc_DocIdUrl xmlns="8264c5cc-ec60-4b56-8111-ce635d3d139a">
      <Url>https://intranet.undp.org/unit/ofrm/fbp/fbat/_layouts/15/DocIdRedir.aspx?ID=UNITOFRM-83-1204</Url>
      <Description>UNITOFRM-83-1204</Description>
    </_dlc_DocIdUrl>
    <DLCPolicyLabelLock xmlns="e560140e-7b2f-4392-90df-e7567e3021a3" xsi:nil="true"/>
    <DLCPolicyLabelClientValue xmlns="e560140e-7b2f-4392-90df-e7567e3021a3">Effective Date: 23/02/2021                                                Version #: {POPPRefItemVersion}</DLCPolicyLabelClientValue>
    <UNDP_POPP_BUSINESSUNITID_HIDDEN xmlns="8264c5cc-ec60-4b56-8111-ce635d3d139a" xsi:nil="true"/>
    <DLCPolicyLabelValue xmlns="e560140e-7b2f-4392-90df-e7567e3021a3">Effective Date: 23/02/2021                                                Version #: {POPPRefItemVersion}</DLCPolicyLabelValue>
  </documentManagement>
</p:properties>
</file>

<file path=customXml/item6.xml><?xml version="1.0" encoding="utf-8"?>
<?mso-contentType ?>
<p:Policy xmlns:p="office.server.policy" id="" local="true">
  <p:Name>UNDP_POPP_DOCUMENTLIB_CONTENTTYPE</p:Name>
  <p:Description/>
  <p:Statement/>
  <p:PolicyItems>
    <p:PolicyItem featureId="Microsoft.Office.RecordsManagement.PolicyFeatures.PolicyLabel" staticId="0x01010061FF32BFFC2B4E50A3A86F4682D7D367007687F3382310C0489D2A99E053BA6D39|-591493697" UniqueId="d084c973-6e46-4ddd-b9a1-4c01a62f12ea">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properties>
            <height>0.5</height>
            <font>Calibri</font>
          </properties>
          <segment type="literal">Effective Date: </segment>
          <segment type="metadata">UNDP_POPP_EFFECTIVEDATE</segment>
          <segment type="literal">                                                Version #: </segment>
          <segment type="metadata">UNDP_POPP_REFITEM_VERSION</segment>
        </label>
      </p:CustomData>
    </p:PolicyItem>
  </p:PolicyItems>
</p:Policy>
</file>

<file path=customXml/itemProps1.xml><?xml version="1.0" encoding="utf-8"?>
<ds:datastoreItem xmlns:ds="http://schemas.openxmlformats.org/officeDocument/2006/customXml" ds:itemID="{5FFC959F-AEBD-4917-A6AF-DCF08676FD5A}">
  <ds:schemaRefs>
    <ds:schemaRef ds:uri="http://schemas.microsoft.com/sharepoint/events"/>
  </ds:schemaRefs>
</ds:datastoreItem>
</file>

<file path=customXml/itemProps2.xml><?xml version="1.0" encoding="utf-8"?>
<ds:datastoreItem xmlns:ds="http://schemas.openxmlformats.org/officeDocument/2006/customXml" ds:itemID="{A43CC9BA-B657-4405-AF19-2D47B95F741D}">
  <ds:schemaRefs>
    <ds:schemaRef ds:uri="http://schemas.openxmlformats.org/officeDocument/2006/bibliography"/>
  </ds:schemaRefs>
</ds:datastoreItem>
</file>

<file path=customXml/itemProps3.xml><?xml version="1.0" encoding="utf-8"?>
<ds:datastoreItem xmlns:ds="http://schemas.openxmlformats.org/officeDocument/2006/customXml" ds:itemID="{6A56E7EA-B6F3-47DE-8D3C-CF080621FE5A}">
  <ds:schemaRefs>
    <ds:schemaRef ds:uri="http://schemas.microsoft.com/sharepoint/v3/contenttype/forms"/>
  </ds:schemaRefs>
</ds:datastoreItem>
</file>

<file path=customXml/itemProps4.xml><?xml version="1.0" encoding="utf-8"?>
<ds:datastoreItem xmlns:ds="http://schemas.openxmlformats.org/officeDocument/2006/customXml" ds:itemID="{C94EDFD3-81AD-4EEA-A24D-1498AAC036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264c5cc-ec60-4b56-8111-ce635d3d139a"/>
    <ds:schemaRef ds:uri="e560140e-7b2f-4392-90df-e7567e3021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7A2B50B-9A9F-4FCD-A191-15B9433F2DDD}">
  <ds:schemaRefs>
    <ds:schemaRef ds:uri="http://schemas.openxmlformats.org/package/2006/metadata/core-properties"/>
    <ds:schemaRef ds:uri="http://schemas.microsoft.com/sharepoint/v3"/>
    <ds:schemaRef ds:uri="http://schemas.microsoft.com/office/2006/documentManagement/types"/>
    <ds:schemaRef ds:uri="http://purl.org/dc/dcmitype/"/>
    <ds:schemaRef ds:uri="http://www.w3.org/XML/1998/namespace"/>
    <ds:schemaRef ds:uri="http://purl.org/dc/terms/"/>
    <ds:schemaRef ds:uri="http://schemas.microsoft.com/office/2006/metadata/properties"/>
    <ds:schemaRef ds:uri="e560140e-7b2f-4392-90df-e7567e3021a3"/>
    <ds:schemaRef ds:uri="http://schemas.microsoft.com/office/infopath/2007/PartnerControls"/>
    <ds:schemaRef ds:uri="8264c5cc-ec60-4b56-8111-ce635d3d139a"/>
    <ds:schemaRef ds:uri="http://purl.org/dc/elements/1.1/"/>
  </ds:schemaRefs>
</ds:datastoreItem>
</file>

<file path=customXml/itemProps6.xml><?xml version="1.0" encoding="utf-8"?>
<ds:datastoreItem xmlns:ds="http://schemas.openxmlformats.org/officeDocument/2006/customXml" ds:itemID="{D7482943-2C28-4FF5-9E7E-D2213DBE4CC7}">
  <ds:schemaRefs>
    <ds:schemaRef ds:uri="office.server.polic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55</Pages>
  <Words>14860</Words>
  <Characters>84702</Characters>
  <Application>Microsoft Office Word</Application>
  <DocSecurity>0</DocSecurity>
  <Lines>705</Lines>
  <Paragraphs>198</Paragraphs>
  <ScaleCrop>false</ScaleCrop>
  <HeadingPairs>
    <vt:vector size="2" baseType="variant">
      <vt:variant>
        <vt:lpstr>Title</vt:lpstr>
      </vt:variant>
      <vt:variant>
        <vt:i4>1</vt:i4>
      </vt:variant>
    </vt:vector>
  </HeadingPairs>
  <TitlesOfParts>
    <vt:vector size="1" baseType="lpstr">
      <vt:lpstr/>
    </vt:vector>
  </TitlesOfParts>
  <Company>UNDP BOM/OFA</Company>
  <LinksUpToDate>false</LinksUpToDate>
  <CharactersWithSpaces>99364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Project Closure Guidelines 27 Nov 2017</dc:subject>
  <dc:creator>Dale Leach</dc:creator>
  <cp:keywords/>
  <dc:description/>
  <cp:lastModifiedBy>Pablo Morete</cp:lastModifiedBy>
  <cp:revision>2</cp:revision>
  <cp:lastPrinted>2017-02-10T15:04:00Z</cp:lastPrinted>
  <dcterms:created xsi:type="dcterms:W3CDTF">2023-02-21T15:33:00Z</dcterms:created>
  <dcterms:modified xsi:type="dcterms:W3CDTF">2023-02-21T15:33:00Z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db1a1fe6-4cc1-4de9-a0ec-3214a6f25382</vt:lpwstr>
  </property>
  <property fmtid="{D5CDD505-2E9C-101B-9397-08002B2CF9AE}" pid="3" name="ContentTypeId">
    <vt:lpwstr>0x01010061FF32BFFC2B4E50A3A86F4682D7D367007687F3382310C0489D2A99E053BA6D39</vt:lpwstr>
  </property>
  <property fmtid="{D5CDD505-2E9C-101B-9397-08002B2CF9AE}" pid="4" name="UN Languages">
    <vt:lpwstr>3;#English|7f98b732-4b5b-4b70-ba90-a0eff09b5d2d</vt:lpwstr>
  </property>
  <property fmtid="{D5CDD505-2E9C-101B-9397-08002B2CF9AE}" pid="5" name="UndpDocTypeMM">
    <vt:lpwstr/>
  </property>
  <property fmtid="{D5CDD505-2E9C-101B-9397-08002B2CF9AE}" pid="6" name="UNDPDocumentCategory">
    <vt:lpwstr/>
  </property>
  <property fmtid="{D5CDD505-2E9C-101B-9397-08002B2CF9AE}" pid="7" name="UndpUnitMM">
    <vt:lpwstr/>
  </property>
  <property fmtid="{D5CDD505-2E9C-101B-9397-08002B2CF9AE}" pid="8" name="eRegFilingCodeMM">
    <vt:lpwstr/>
  </property>
  <property fmtid="{D5CDD505-2E9C-101B-9397-08002B2CF9AE}" pid="9" name="UNDPFocusAreas">
    <vt:lpwstr/>
  </property>
  <property fmtid="{D5CDD505-2E9C-101B-9397-08002B2CF9AE}" pid="10" name="Projects">
    <vt:lpwstr>Others</vt:lpwstr>
  </property>
  <property fmtid="{D5CDD505-2E9C-101B-9397-08002B2CF9AE}" pid="11" name="UN LanguagesTaxHTField0">
    <vt:lpwstr>English|7f98b732-4b5b-4b70-ba90-a0eff09b5d2d</vt:lpwstr>
  </property>
  <property fmtid="{D5CDD505-2E9C-101B-9397-08002B2CF9AE}" pid="12" name="POPPBusinessProcess">
    <vt:lpwstr/>
  </property>
  <property fmtid="{D5CDD505-2E9C-101B-9397-08002B2CF9AE}" pid="13" name="UndpDocStatus">
    <vt:lpwstr>Draft</vt:lpwstr>
  </property>
  <property fmtid="{D5CDD505-2E9C-101B-9397-08002B2CF9AE}" pid="14" name="Department">
    <vt:lpwstr>Advisory</vt:lpwstr>
  </property>
  <property fmtid="{D5CDD505-2E9C-101B-9397-08002B2CF9AE}" pid="15" name="UndpClassificationLevel">
    <vt:lpwstr>Internal Use Only</vt:lpwstr>
  </property>
  <property fmtid="{D5CDD505-2E9C-101B-9397-08002B2CF9AE}" pid="16" name="UndpIsTemplate">
    <vt:lpwstr>No</vt:lpwstr>
  </property>
  <property fmtid="{D5CDD505-2E9C-101B-9397-08002B2CF9AE}" pid="17" name="UNDP_POPP_BUSINESSUNIT">
    <vt:lpwstr>350;#Financial Resources Management|682d4c54-a288-412d-bfec-ce5587bbd25c</vt:lpwstr>
  </property>
  <property fmtid="{D5CDD505-2E9C-101B-9397-08002B2CF9AE}" pid="18" name="Language">
    <vt:lpwstr>English</vt:lpwstr>
  </property>
  <property fmtid="{D5CDD505-2E9C-101B-9397-08002B2CF9AE}" pid="19" name="UNDPSummary">
    <vt:lpwstr>&lt;p&gt;​Project Closure Operational Guide - draft&lt;/p&gt;</vt:lpwstr>
  </property>
</Properties>
</file>