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E5138" w14:textId="36C5B39B" w:rsidR="00E03EE3" w:rsidRDefault="00847E9C">
      <w:pPr>
        <w:spacing w:line="259" w:lineRule="auto"/>
        <w:ind w:left="0" w:right="0" w:firstLine="0"/>
        <w:jc w:val="left"/>
      </w:pPr>
      <w:r>
        <w:rPr>
          <w:b/>
          <w:sz w:val="28"/>
        </w:rPr>
        <w:t>Cession d’immobilisations</w:t>
      </w:r>
      <w:r w:rsidR="00A96C96">
        <w:rPr>
          <w:b/>
          <w:sz w:val="28"/>
        </w:rPr>
        <w:t xml:space="preserve"> incorporelles et comptabilisation en pertes</w:t>
      </w:r>
    </w:p>
    <w:p w14:paraId="0E4E856C" w14:textId="77777777" w:rsidR="00E03EE3" w:rsidRDefault="00E03EE3">
      <w:pPr>
        <w:spacing w:after="20" w:line="259" w:lineRule="auto"/>
        <w:ind w:left="0" w:right="0" w:firstLine="0"/>
        <w:jc w:val="left"/>
      </w:pPr>
    </w:p>
    <w:p w14:paraId="75613CEC" w14:textId="5988202B" w:rsidR="00E03EE3" w:rsidRDefault="00A96C96">
      <w:pPr>
        <w:numPr>
          <w:ilvl w:val="0"/>
          <w:numId w:val="1"/>
        </w:numPr>
        <w:ind w:right="-13" w:hanging="360"/>
      </w:pPr>
      <w:r>
        <w:t xml:space="preserve">En règle générale, les immobilisations incorporelles ne seront pas </w:t>
      </w:r>
      <w:proofErr w:type="spellStart"/>
      <w:r w:rsidR="00DE464E">
        <w:t>cedées</w:t>
      </w:r>
      <w:proofErr w:type="spellEnd"/>
      <w:r>
        <w:t xml:space="preserve">. Le </w:t>
      </w:r>
      <w:r w:rsidR="00503676">
        <w:t xml:space="preserve">Programme des Nations Unies pour le développement (PNUD) </w:t>
      </w:r>
      <w:r>
        <w:t>peut autoriser d</w:t>
      </w:r>
      <w:r w:rsidR="00503676">
        <w:t>’</w:t>
      </w:r>
      <w:r>
        <w:t>autres personnes à utiliser l</w:t>
      </w:r>
      <w:r w:rsidR="00503676">
        <w:t>’</w:t>
      </w:r>
      <w:r>
        <w:t>actif, par exemple une publication ou une invention du PNUD. Dans ce cas, tous les frais payés pour l</w:t>
      </w:r>
      <w:r w:rsidR="00503676">
        <w:t>’</w:t>
      </w:r>
      <w:r>
        <w:t>utilisation d</w:t>
      </w:r>
      <w:r w:rsidR="00503676">
        <w:t>’</w:t>
      </w:r>
      <w:r>
        <w:t>une immobilisation incorporelle sont crédités aux autres revenus, et non aux contributions des donateurs. Lorsqu</w:t>
      </w:r>
      <w:r w:rsidR="00503676">
        <w:t>’</w:t>
      </w:r>
      <w:r>
        <w:t>une licence ou un droit sur une immobilisation incorporelle expire, l</w:t>
      </w:r>
      <w:r w:rsidR="00503676">
        <w:t>’</w:t>
      </w:r>
      <w:r>
        <w:t xml:space="preserve">actif incorporel doit être liquidé conformément aux procédures générales énoncées dans la section </w:t>
      </w:r>
      <w:r w:rsidRPr="00503676">
        <w:t>d</w:t>
      </w:r>
      <w:r w:rsidR="00503676" w:rsidRPr="00503676">
        <w:t>es</w:t>
      </w:r>
      <w:r w:rsidRPr="00503676">
        <w:t xml:space="preserve"> </w:t>
      </w:r>
      <w:r w:rsidR="004E3F8C" w:rsidRPr="004E3F8C">
        <w:rPr>
          <w:bCs/>
        </w:rPr>
        <w:t xml:space="preserve">politiques et procédures régissant les programmes et opérations (POPP) </w:t>
      </w:r>
      <w:r w:rsidRPr="00503676">
        <w:t>sur</w:t>
      </w:r>
      <w:r>
        <w:t xml:space="preserve"> le mobilier et le matériel.</w:t>
      </w:r>
    </w:p>
    <w:p w14:paraId="2E6B2EE2" w14:textId="77777777" w:rsidR="00E03EE3" w:rsidRDefault="00E03EE3">
      <w:pPr>
        <w:spacing w:line="259" w:lineRule="auto"/>
        <w:ind w:left="0" w:right="0" w:firstLine="0"/>
        <w:jc w:val="left"/>
      </w:pPr>
    </w:p>
    <w:p w14:paraId="60F26566" w14:textId="77777777" w:rsidR="00E03EE3" w:rsidRDefault="00A96C96">
      <w:pPr>
        <w:spacing w:line="259" w:lineRule="auto"/>
        <w:ind w:left="-5" w:right="0" w:hanging="10"/>
        <w:jc w:val="left"/>
      </w:pPr>
      <w:r>
        <w:rPr>
          <w:b/>
        </w:rPr>
        <w:t>Liquidation pour corriger une immobilisation incorporelle enregistrée par erreur</w:t>
      </w:r>
    </w:p>
    <w:p w14:paraId="4E28D6F7" w14:textId="77777777" w:rsidR="00E03EE3" w:rsidRDefault="00E03EE3">
      <w:pPr>
        <w:spacing w:after="22" w:line="259" w:lineRule="auto"/>
        <w:ind w:left="0" w:right="0" w:firstLine="0"/>
        <w:jc w:val="left"/>
      </w:pPr>
    </w:p>
    <w:p w14:paraId="0FCBA490" w14:textId="77777777" w:rsidR="00707BCD" w:rsidRDefault="00A96C96">
      <w:pPr>
        <w:numPr>
          <w:ilvl w:val="0"/>
          <w:numId w:val="1"/>
        </w:numPr>
        <w:ind w:right="-13" w:hanging="360"/>
      </w:pPr>
      <w:r>
        <w:t>La procédure à suivre est similaire à celle établie dans la section d</w:t>
      </w:r>
      <w:r w:rsidR="00113D82">
        <w:t>es</w:t>
      </w:r>
      <w:r>
        <w:t xml:space="preserve"> POPP sur le mobilier et le matériel.</w:t>
      </w:r>
    </w:p>
    <w:p w14:paraId="575C67CD" w14:textId="77777777" w:rsidR="00A07C3D" w:rsidRDefault="00A07C3D" w:rsidP="00A07C3D">
      <w:pPr>
        <w:ind w:left="705" w:right="-13" w:firstLine="0"/>
      </w:pPr>
    </w:p>
    <w:p w14:paraId="6461C45B" w14:textId="77777777" w:rsidR="00A07C3D" w:rsidRDefault="00A07C3D" w:rsidP="00A07C3D">
      <w:pPr>
        <w:ind w:right="-13"/>
      </w:pPr>
    </w:p>
    <w:p w14:paraId="47826F2E" w14:textId="77777777" w:rsidR="00A07C3D" w:rsidRPr="00080345" w:rsidRDefault="00A07C3D" w:rsidP="00A07C3D">
      <w:pPr>
        <w:pStyle w:val="NormalWeb"/>
        <w:shd w:val="clear" w:color="auto" w:fill="FFFFFF"/>
        <w:spacing w:before="0" w:beforeAutospacing="0" w:after="0" w:afterAutospacing="0"/>
        <w:jc w:val="center"/>
        <w:rPr>
          <w:rFonts w:ascii="Calibri" w:hAnsi="Calibri"/>
          <w:i/>
          <w:color w:val="000000"/>
          <w:lang w:val="fr-FR"/>
        </w:rPr>
      </w:pPr>
      <w:r w:rsidRPr="00080345">
        <w:rPr>
          <w:rFonts w:ascii="Calibri" w:hAnsi="Calibri"/>
          <w:b/>
          <w:bCs/>
          <w:i/>
          <w:color w:val="212121"/>
          <w:sz w:val="22"/>
          <w:szCs w:val="22"/>
          <w:u w:val="single"/>
          <w:lang w:val="fr-FR"/>
        </w:rPr>
        <w:t>Avertissement:</w:t>
      </w:r>
      <w:r w:rsidRPr="00080345">
        <w:rPr>
          <w:rFonts w:ascii="Calibri" w:hAnsi="Calibri"/>
          <w:i/>
          <w:color w:val="212121"/>
          <w:sz w:val="22"/>
          <w:szCs w:val="22"/>
          <w:lang w:val="fr-FR"/>
        </w:rPr>
        <w:t> Ce document a été traduit de l'anglais vers le français. En cas de divergence entre cette traduction et le document anglais original, le document anglais original prévaudra.</w:t>
      </w:r>
    </w:p>
    <w:p w14:paraId="71F01C69" w14:textId="77777777" w:rsidR="00A07C3D" w:rsidRPr="00080345" w:rsidRDefault="00A07C3D" w:rsidP="00A07C3D">
      <w:pPr>
        <w:pStyle w:val="NormalWeb"/>
        <w:shd w:val="clear" w:color="auto" w:fill="FFFFFF"/>
        <w:spacing w:before="0" w:beforeAutospacing="0" w:after="0" w:afterAutospacing="0"/>
        <w:jc w:val="center"/>
        <w:rPr>
          <w:rFonts w:ascii="Calibri" w:hAnsi="Calibri"/>
          <w:i/>
          <w:color w:val="000000"/>
          <w:lang w:val="fr-FR"/>
        </w:rPr>
      </w:pPr>
    </w:p>
    <w:p w14:paraId="237EED25" w14:textId="77777777" w:rsidR="00A07C3D" w:rsidRPr="00F92CA9" w:rsidRDefault="00A07C3D" w:rsidP="00A07C3D">
      <w:pPr>
        <w:pStyle w:val="NormalWeb"/>
        <w:shd w:val="clear" w:color="auto" w:fill="FFFFFF"/>
        <w:spacing w:before="0" w:beforeAutospacing="0" w:after="0" w:afterAutospacing="0"/>
        <w:jc w:val="center"/>
        <w:rPr>
          <w:rFonts w:ascii="Calibri" w:hAnsi="Calibri"/>
          <w:i/>
          <w:color w:val="000000"/>
        </w:rPr>
      </w:pPr>
      <w:r w:rsidRPr="00F92CA9">
        <w:rPr>
          <w:rFonts w:ascii="Calibri" w:hAnsi="Calibri"/>
          <w:b/>
          <w:bCs/>
          <w:i/>
          <w:color w:val="000000"/>
          <w:sz w:val="22"/>
          <w:szCs w:val="22"/>
          <w:u w:val="single"/>
          <w:lang w:val="en-GB"/>
        </w:rPr>
        <w:t>Disclaimer:</w:t>
      </w:r>
      <w:r w:rsidRPr="00F92CA9">
        <w:rPr>
          <w:rFonts w:ascii="Calibri" w:hAnsi="Calibri"/>
          <w:i/>
          <w:color w:val="000000"/>
          <w:sz w:val="22"/>
          <w:szCs w:val="22"/>
          <w:lang w:val="en-GB"/>
        </w:rPr>
        <w:t> This document was translated from English into French. In the event of any discrepancy between this translation and the original English document, the original English document shall prevail.</w:t>
      </w:r>
    </w:p>
    <w:p w14:paraId="15B6CDE6" w14:textId="77777777" w:rsidR="00A07C3D" w:rsidRPr="00A07C3D" w:rsidRDefault="00A07C3D" w:rsidP="00A07C3D">
      <w:pPr>
        <w:ind w:right="-13"/>
        <w:rPr>
          <w:lang w:val="en-US"/>
        </w:rPr>
      </w:pPr>
    </w:p>
    <w:sectPr w:rsidR="00A07C3D" w:rsidRPr="00A07C3D" w:rsidSect="00110901">
      <w:headerReference w:type="even" r:id="rId11"/>
      <w:headerReference w:type="default" r:id="rId12"/>
      <w:footerReference w:type="even" r:id="rId13"/>
      <w:footerReference w:type="default" r:id="rId14"/>
      <w:headerReference w:type="first" r:id="rId15"/>
      <w:footerReference w:type="first" r:id="rId16"/>
      <w:pgSz w:w="12240" w:h="15840"/>
      <w:pgMar w:top="1440" w:right="1436"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157D0" w14:textId="77777777" w:rsidR="00D2198C" w:rsidRDefault="00D2198C" w:rsidP="002E3F1D">
      <w:pPr>
        <w:spacing w:line="240" w:lineRule="auto"/>
      </w:pPr>
      <w:r>
        <w:separator/>
      </w:r>
    </w:p>
  </w:endnote>
  <w:endnote w:type="continuationSeparator" w:id="0">
    <w:p w14:paraId="30C77B50" w14:textId="77777777" w:rsidR="00D2198C" w:rsidRDefault="00D2198C" w:rsidP="002E3F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5F526" w14:textId="77777777" w:rsidR="00503676" w:rsidRDefault="00503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9734" w14:textId="77777777" w:rsidR="002E3F1D" w:rsidRDefault="002E3F1D">
    <w:pPr>
      <w:pStyle w:val="Footer"/>
    </w:pPr>
    <w:r>
      <w:t xml:space="preserve">Page </w:t>
    </w:r>
    <w:r w:rsidR="004E3F8C">
      <w:rPr>
        <w:b/>
      </w:rPr>
      <w:fldChar w:fldCharType="begin"/>
    </w:r>
    <w:r>
      <w:rPr>
        <w:b/>
      </w:rPr>
      <w:instrText xml:space="preserve"> PAGE  \* Arabic  \* MERGEFORMAT </w:instrText>
    </w:r>
    <w:r w:rsidR="004E3F8C">
      <w:rPr>
        <w:b/>
      </w:rPr>
      <w:fldChar w:fldCharType="separate"/>
    </w:r>
    <w:r w:rsidR="00A07C3D">
      <w:rPr>
        <w:b/>
        <w:noProof/>
      </w:rPr>
      <w:t>1</w:t>
    </w:r>
    <w:r w:rsidR="004E3F8C">
      <w:rPr>
        <w:b/>
      </w:rPr>
      <w:fldChar w:fldCharType="end"/>
    </w:r>
    <w:r>
      <w:t xml:space="preserve"> de </w:t>
    </w:r>
    <w:r w:rsidR="00080345">
      <w:fldChar w:fldCharType="begin"/>
    </w:r>
    <w:r w:rsidR="00080345">
      <w:instrText xml:space="preserve"> NUMPAGES  </w:instrText>
    </w:r>
    <w:r w:rsidR="00080345">
      <w:instrText xml:space="preserve">\* Arabic  \* MERGEFORMAT </w:instrText>
    </w:r>
    <w:r w:rsidR="00080345">
      <w:fldChar w:fldCharType="separate"/>
    </w:r>
    <w:r w:rsidR="00A07C3D" w:rsidRPr="00A07C3D">
      <w:rPr>
        <w:b/>
        <w:noProof/>
      </w:rPr>
      <w:t>1</w:t>
    </w:r>
    <w:r w:rsidR="00080345">
      <w:rPr>
        <w:b/>
        <w:noProof/>
      </w:rPr>
      <w:fldChar w:fldCharType="end"/>
    </w:r>
    <w:r>
      <w:ptab w:relativeTo="margin" w:alignment="center" w:leader="none"/>
    </w:r>
    <w:r>
      <w:t>Date d</w:t>
    </w:r>
    <w:r w:rsidR="00503676">
      <w:t>’</w:t>
    </w:r>
    <w:r>
      <w:t xml:space="preserve">entrée en vigueur </w:t>
    </w:r>
    <w:sdt>
      <w:sdtPr>
        <w:alias w:val="Date d’entrée en vigueur"/>
        <w:tag w:val="UNDP_POPP_EFFECTIVEDATE"/>
        <w:id w:val="46276666"/>
        <w:placeholder>
          <w:docPart w:val="3229A375ACB441178667666AF88B0A10"/>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EFFECTIVEDATE[1]" w:storeItemID="{AFF684A3-D6A5-4DF8-9A51-AED351C3B5F2}"/>
        <w:date w:fullDate="2016-07-26T00:00:00Z">
          <w:dateFormat w:val="dd/MM/yyyy"/>
          <w:lid w:val="fr-FR"/>
          <w:storeMappedDataAs w:val="dateTime"/>
          <w:calendar w:val="gregorian"/>
        </w:date>
      </w:sdtPr>
      <w:sdtEndPr/>
      <w:sdtContent>
        <w:r>
          <w:t>26/07/2016</w:t>
        </w:r>
      </w:sdtContent>
    </w:sdt>
    <w:r>
      <w:ptab w:relativeTo="margin" w:alignment="right" w:leader="none"/>
    </w:r>
    <w:r>
      <w:t>Version n</w:t>
    </w:r>
    <w:r w:rsidR="004E3F8C" w:rsidRPr="004E3F8C">
      <w:rPr>
        <w:vertAlign w:val="superscript"/>
      </w:rPr>
      <w:t>o</w:t>
    </w:r>
    <w:r w:rsidR="00503676">
      <w:t> :</w:t>
    </w:r>
    <w:r>
      <w:t xml:space="preserve"> </w:t>
    </w:r>
    <w:sdt>
      <w:sdtPr>
        <w:alias w:val="POPPRefItemVersion"/>
        <w:tag w:val="UNDP_POPP_REFITEM_VERSION"/>
        <w:id w:val="-544296185"/>
        <w:placeholder>
          <w:docPart w:val="A5E6DBC8F8194A60ACD89958F54CF818"/>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AFF684A3-D6A5-4DF8-9A51-AED351C3B5F2}"/>
        <w:text/>
      </w:sdtPr>
      <w:sdtEndPr/>
      <w:sdtContent>
        <w: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59D9F" w14:textId="77777777" w:rsidR="00503676" w:rsidRDefault="00503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01C75" w14:textId="77777777" w:rsidR="00D2198C" w:rsidRDefault="00D2198C" w:rsidP="002E3F1D">
      <w:pPr>
        <w:spacing w:line="240" w:lineRule="auto"/>
      </w:pPr>
      <w:r>
        <w:separator/>
      </w:r>
    </w:p>
  </w:footnote>
  <w:footnote w:type="continuationSeparator" w:id="0">
    <w:p w14:paraId="550D8919" w14:textId="77777777" w:rsidR="00D2198C" w:rsidRDefault="00D2198C" w:rsidP="002E3F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E8B6B" w14:textId="77777777" w:rsidR="00503676" w:rsidRDefault="005036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21DB6" w14:textId="630AC071" w:rsidR="002E3F1D" w:rsidRDefault="002E3F1D" w:rsidP="002E3F1D">
    <w:pPr>
      <w:pStyle w:val="Header"/>
      <w:jc w:val="right"/>
    </w:pPr>
    <w:r>
      <w:rPr>
        <w:noProof/>
        <w:lang w:val="en-US" w:eastAsia="en-US"/>
      </w:rPr>
      <w:drawing>
        <wp:inline distT="0" distB="0" distL="0" distR="0" wp14:anchorId="51A99CB9" wp14:editId="67D49FFE">
          <wp:extent cx="304800" cy="589695"/>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6111"/>
                  <a:stretch/>
                </pic:blipFill>
                <pic:spPr bwMode="auto">
                  <a:xfrm>
                    <a:off x="0" y="0"/>
                    <a:ext cx="309373" cy="59854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9847" w14:textId="77777777" w:rsidR="00503676" w:rsidRDefault="00503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6239A0"/>
    <w:multiLevelType w:val="hybridMultilevel"/>
    <w:tmpl w:val="F95251A0"/>
    <w:lvl w:ilvl="0" w:tplc="EAF422E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F0B7A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D20C8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209EB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A44B9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86625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F06D2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24403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0A781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758600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EE3"/>
    <w:rsid w:val="00053509"/>
    <w:rsid w:val="00080345"/>
    <w:rsid w:val="00110901"/>
    <w:rsid w:val="00113D82"/>
    <w:rsid w:val="00234329"/>
    <w:rsid w:val="002B15EB"/>
    <w:rsid w:val="002E3F1D"/>
    <w:rsid w:val="004E3F8C"/>
    <w:rsid w:val="00503676"/>
    <w:rsid w:val="006303E5"/>
    <w:rsid w:val="00670BD7"/>
    <w:rsid w:val="00707BCD"/>
    <w:rsid w:val="007361DB"/>
    <w:rsid w:val="00847E9C"/>
    <w:rsid w:val="008669FF"/>
    <w:rsid w:val="0094750B"/>
    <w:rsid w:val="00A07C3D"/>
    <w:rsid w:val="00A96C96"/>
    <w:rsid w:val="00B063CC"/>
    <w:rsid w:val="00B133AC"/>
    <w:rsid w:val="00C77533"/>
    <w:rsid w:val="00D2198C"/>
    <w:rsid w:val="00DE464E"/>
    <w:rsid w:val="00E03EE3"/>
    <w:rsid w:val="00EA3EFE"/>
    <w:rsid w:val="00EC1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A8AF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901"/>
    <w:pPr>
      <w:spacing w:after="0" w:line="241" w:lineRule="auto"/>
      <w:ind w:left="730" w:right="2"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F1D"/>
    <w:pPr>
      <w:tabs>
        <w:tab w:val="center" w:pos="4513"/>
        <w:tab w:val="right" w:pos="9026"/>
      </w:tabs>
      <w:spacing w:line="240" w:lineRule="auto"/>
    </w:pPr>
  </w:style>
  <w:style w:type="character" w:customStyle="1" w:styleId="HeaderChar">
    <w:name w:val="Header Char"/>
    <w:basedOn w:val="DefaultParagraphFont"/>
    <w:link w:val="Header"/>
    <w:uiPriority w:val="99"/>
    <w:rsid w:val="002E3F1D"/>
    <w:rPr>
      <w:rFonts w:ascii="Calibri" w:eastAsia="Calibri" w:hAnsi="Calibri" w:cs="Calibri"/>
      <w:color w:val="000000"/>
    </w:rPr>
  </w:style>
  <w:style w:type="paragraph" w:styleId="Footer">
    <w:name w:val="footer"/>
    <w:basedOn w:val="Normal"/>
    <w:link w:val="FooterChar"/>
    <w:uiPriority w:val="99"/>
    <w:unhideWhenUsed/>
    <w:rsid w:val="002E3F1D"/>
    <w:pPr>
      <w:tabs>
        <w:tab w:val="center" w:pos="4513"/>
        <w:tab w:val="right" w:pos="9026"/>
      </w:tabs>
      <w:spacing w:line="240" w:lineRule="auto"/>
    </w:pPr>
  </w:style>
  <w:style w:type="character" w:customStyle="1" w:styleId="FooterChar">
    <w:name w:val="Footer Char"/>
    <w:basedOn w:val="DefaultParagraphFont"/>
    <w:link w:val="Footer"/>
    <w:uiPriority w:val="99"/>
    <w:rsid w:val="002E3F1D"/>
    <w:rPr>
      <w:rFonts w:ascii="Calibri" w:eastAsia="Calibri" w:hAnsi="Calibri" w:cs="Calibri"/>
      <w:color w:val="000000"/>
    </w:rPr>
  </w:style>
  <w:style w:type="paragraph" w:styleId="BalloonText">
    <w:name w:val="Balloon Text"/>
    <w:basedOn w:val="Normal"/>
    <w:link w:val="BalloonTextChar"/>
    <w:uiPriority w:val="99"/>
    <w:semiHidden/>
    <w:unhideWhenUsed/>
    <w:rsid w:val="002E3F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F1D"/>
    <w:rPr>
      <w:rFonts w:ascii="Tahoma" w:eastAsia="Calibri" w:hAnsi="Tahoma" w:cs="Tahoma"/>
      <w:color w:val="000000"/>
      <w:sz w:val="16"/>
      <w:szCs w:val="16"/>
    </w:rPr>
  </w:style>
  <w:style w:type="character" w:styleId="PlaceholderText">
    <w:name w:val="Placeholder Text"/>
    <w:basedOn w:val="DefaultParagraphFont"/>
    <w:uiPriority w:val="99"/>
    <w:semiHidden/>
    <w:rsid w:val="002E3F1D"/>
    <w:rPr>
      <w:color w:val="808080"/>
    </w:rPr>
  </w:style>
  <w:style w:type="paragraph" w:styleId="NormalWeb">
    <w:name w:val="Normal (Web)"/>
    <w:basedOn w:val="Normal"/>
    <w:uiPriority w:val="99"/>
    <w:semiHidden/>
    <w:unhideWhenUsed/>
    <w:rsid w:val="00A07C3D"/>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29A375ACB441178667666AF88B0A10"/>
        <w:category>
          <w:name w:val="General"/>
          <w:gallery w:val="placeholder"/>
        </w:category>
        <w:types>
          <w:type w:val="bbPlcHdr"/>
        </w:types>
        <w:behaviors>
          <w:behavior w:val="content"/>
        </w:behaviors>
        <w:guid w:val="{22B85B08-CC77-47D0-BF6A-8E6BA16C9A85}"/>
      </w:docPartPr>
      <w:docPartBody>
        <w:p w:rsidR="009470F5" w:rsidRDefault="004E6638">
          <w:r w:rsidRPr="005A59E2">
            <w:rPr>
              <w:rStyle w:val="PlaceholderText"/>
            </w:rPr>
            <w:t>[Effective Date]</w:t>
          </w:r>
        </w:p>
      </w:docPartBody>
    </w:docPart>
    <w:docPart>
      <w:docPartPr>
        <w:name w:val="A5E6DBC8F8194A60ACD89958F54CF818"/>
        <w:category>
          <w:name w:val="General"/>
          <w:gallery w:val="placeholder"/>
        </w:category>
        <w:types>
          <w:type w:val="bbPlcHdr"/>
        </w:types>
        <w:behaviors>
          <w:behavior w:val="content"/>
        </w:behaviors>
        <w:guid w:val="{72E0E864-9D4B-494A-AA5C-7B314BC56DFD}"/>
      </w:docPartPr>
      <w:docPartBody>
        <w:p w:rsidR="009470F5" w:rsidRDefault="004E6638">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E6638"/>
    <w:rsid w:val="001104AA"/>
    <w:rsid w:val="004E6638"/>
    <w:rsid w:val="0058377C"/>
    <w:rsid w:val="007D637B"/>
    <w:rsid w:val="009166ED"/>
    <w:rsid w:val="009470F5"/>
    <w:rsid w:val="00A907CF"/>
    <w:rsid w:val="00D1762B"/>
    <w:rsid w:val="00DB7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7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63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UNITBMS-1904581467-57</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353</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UNDP_POPP_FILEVERSION xmlns="8264c5cc-ec60-4b56-8111-ce635d3d139a">512</UNDP_POPP_FILEVERSION>
    <UNDP_POPP_REFITEM_VERSION xmlns="8264c5cc-ec60-4b56-8111-ce635d3d139a">2</UNDP_POPP_REFITEM_VERSION>
    <UNDP_POPP_ISACTIVE xmlns="8264c5cc-ec60-4b56-8111-ce635d3d139a">true</UNDP_POPP_ISACTIVE>
    <UNDP_POPP_TITLE_EN xmlns="8264c5cc-ec60-4b56-8111-ce635d3d139a">Cession d’immobilisations incorporelles et comptabilisation en pertes</UNDP_POPP_TITLE_EN>
    <_dlc_DocIdUrl xmlns="8264c5cc-ec60-4b56-8111-ce635d3d139a">
      <Url>https://intranet.undp.org/unit/bms/dir/internal/init_popp/_layouts/15/DocIdRedir.aspx?ID=UNITBMS-1904581467-57</Url>
      <Description>UNITBMS-1904581467-57</Description>
    </_dlc_DocIdUrl>
    <DLCPolicyLabelLock xmlns="e560140e-7b2f-4392-90df-e7567e3021a3" xsi:nil="true"/>
    <DLCPolicyLabelClientValue xmlns="e560140e-7b2f-4392-90df-e7567e3021a3" xsi:nil="true"/>
    <UNDP_POPP_BUSINESSUNITID_HIDDEN xmlns="8264c5cc-ec60-4b56-8111-ce635d3d139a" xsi:nil="true"/>
    <DLCPolicyLabelValue xmlns="e560140e-7b2f-4392-90df-e7567e3021a3">Effective Date: {Effective Date}                                                Version #: 2</DLCPolicyLabelVal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8FAD39B3-3DA9-4954-A79C-5CC965581E21}">
  <ds:schemaRefs>
    <ds:schemaRef ds:uri="http://schemas.microsoft.com/sharepoint/events"/>
  </ds:schemaRefs>
</ds:datastoreItem>
</file>

<file path=customXml/itemProps2.xml><?xml version="1.0" encoding="utf-8"?>
<ds:datastoreItem xmlns:ds="http://schemas.openxmlformats.org/officeDocument/2006/customXml" ds:itemID="{AFF684A3-D6A5-4DF8-9A51-AED351C3B5F2}">
  <ds:schemaRefs>
    <ds:schemaRef ds:uri="http://schemas.microsoft.com/office/2006/metadata/properties"/>
    <ds:schemaRef ds:uri="http://www.w3.org/XML/1998/namespace"/>
    <ds:schemaRef ds:uri="http://schemas.microsoft.com/office/2006/documentManagement/types"/>
    <ds:schemaRef ds:uri="http://purl.org/dc/dcmitype/"/>
    <ds:schemaRef ds:uri="http://purl.org/dc/elements/1.1/"/>
    <ds:schemaRef ds:uri="39c2ef4d-a13e-4025-8c8a-679686bde336"/>
    <ds:schemaRef ds:uri="http://purl.org/dc/terms/"/>
    <ds:schemaRef ds:uri="1ed4137b-41b2-488b-8250-6d369ec27664"/>
    <ds:schemaRef ds:uri="http://schemas.microsoft.com/office/infopath/2007/PartnerControls"/>
    <ds:schemaRef ds:uri="http://schemas.openxmlformats.org/package/2006/metadata/core-properties"/>
    <ds:schemaRef ds:uri="http://schemas.microsoft.com/sharepoint/v3/fields"/>
  </ds:schemaRefs>
</ds:datastoreItem>
</file>

<file path=customXml/itemProps3.xml><?xml version="1.0" encoding="utf-8"?>
<ds:datastoreItem xmlns:ds="http://schemas.openxmlformats.org/officeDocument/2006/customXml" ds:itemID="{7319F803-BFB3-460A-A5BD-F10161F1327D}">
  <ds:schemaRefs>
    <ds:schemaRef ds:uri="http://schemas.microsoft.com/sharepoint/v3/contenttype/forms"/>
  </ds:schemaRefs>
</ds:datastoreItem>
</file>

<file path=customXml/itemProps4.xml><?xml version="1.0" encoding="utf-8"?>
<ds:datastoreItem xmlns:ds="http://schemas.openxmlformats.org/officeDocument/2006/customXml" ds:itemID="{77377370-AFC0-40ED-AA2A-2910B4BA0A27}"/>
</file>

<file path=customXml/itemProps5.xml><?xml version="1.0" encoding="utf-8"?>
<ds:datastoreItem xmlns:ds="http://schemas.openxmlformats.org/officeDocument/2006/customXml" ds:itemID="{5B1362E6-270E-4899-8149-475B2DC24570}"/>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Rybarova</dc:creator>
  <cp:lastModifiedBy>Pablo Morete</cp:lastModifiedBy>
  <cp:revision>4</cp:revision>
  <dcterms:created xsi:type="dcterms:W3CDTF">2019-05-29T21:24:00Z</dcterms:created>
  <dcterms:modified xsi:type="dcterms:W3CDTF">2022-10-10T09:30:00Z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b945534f-060a-46f9-bfc6-e6cd88c6985e</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Administrative Services|a78f4201-2936-4934-95ba-30c4111d72d7</vt:lpwstr>
  </property>
  <property fmtid="{D5CDD505-2E9C-101B-9397-08002B2CF9AE}" pid="15" name="Location">
    <vt:lpwstr>Public</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French</vt:lpwstr>
  </property>
  <property fmtid="{D5CDD505-2E9C-101B-9397-08002B2CF9AE}" pid="19" name="UNDP_POPP_FILEVERSION">
    <vt:r8>512</vt:r8>
  </property>
  <property fmtid="{D5CDD505-2E9C-101B-9397-08002B2CF9AE}" pid="20" name="UNDP_POPP_REFITEM_VERSION">
    <vt:r8>2</vt:r8>
  </property>
  <property fmtid="{D5CDD505-2E9C-101B-9397-08002B2CF9AE}" pid="28" name="UndpDocStatus">
    <vt:lpwstr>Draft</vt:lpwstr>
  </property>
  <property fmtid="{D5CDD505-2E9C-101B-9397-08002B2CF9AE}" pid="32" name="UndpClassificationLevel">
    <vt:lpwstr>Internal Use Only</vt:lpwstr>
  </property>
  <property fmtid="{D5CDD505-2E9C-101B-9397-08002B2CF9AE}" pid="33" name="UndpIsTemplate">
    <vt:lpwstr>No</vt:lpwstr>
  </property>
</Properties>
</file>