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29854" w14:textId="77777777" w:rsidR="00675FC8" w:rsidRDefault="00D92E79">
      <w:pPr>
        <w:spacing w:after="157" w:line="259" w:lineRule="auto"/>
        <w:ind w:left="0" w:right="0" w:firstLine="0"/>
        <w:jc w:val="left"/>
      </w:pPr>
      <w:r>
        <w:rPr>
          <w:b/>
          <w:sz w:val="28"/>
        </w:rPr>
        <w:t xml:space="preserve">Maintenance and Usage of the Chart of Accounts </w:t>
      </w:r>
    </w:p>
    <w:p w14:paraId="70EF8AC0" w14:textId="55A91784" w:rsidR="00675FC8" w:rsidRDefault="00D92E79">
      <w:pPr>
        <w:numPr>
          <w:ilvl w:val="0"/>
          <w:numId w:val="1"/>
        </w:numPr>
        <w:ind w:right="0"/>
      </w:pPr>
      <w:r>
        <w:t xml:space="preserve">The Chart of Accounts (COA) plays a role in </w:t>
      </w:r>
      <w:r w:rsidR="007B7A27">
        <w:t>Quantum</w:t>
      </w:r>
      <w:r>
        <w:t xml:space="preserve"> financial systems for control, budgeting and reporting.  The correct use of the COA is critical for accurate financial, management and donor reporting.</w:t>
      </w:r>
      <w:r w:rsidR="00FF1AD7">
        <w:t xml:space="preserve"> </w:t>
      </w:r>
      <w:r>
        <w:t xml:space="preserve">The individual values, which in combination, describe a specific financial activity, are referred to as </w:t>
      </w:r>
      <w:r>
        <w:rPr>
          <w:b/>
        </w:rPr>
        <w:t>“chart field”.</w:t>
      </w:r>
      <w:r>
        <w:t xml:space="preserve">  All </w:t>
      </w:r>
      <w:r w:rsidR="0027553F">
        <w:t>Quantum</w:t>
      </w:r>
      <w:r>
        <w:t xml:space="preserve"> Financial Users should have a good understanding of chart fields and fully understand the purpose of each chart field. </w:t>
      </w:r>
    </w:p>
    <w:p w14:paraId="20BD8AB7" w14:textId="77777777" w:rsidR="00675FC8" w:rsidRDefault="00D92E79">
      <w:pPr>
        <w:spacing w:after="22" w:line="259" w:lineRule="auto"/>
        <w:ind w:left="0" w:right="0" w:firstLine="0"/>
        <w:jc w:val="left"/>
      </w:pPr>
      <w:r>
        <w:t xml:space="preserve">  </w:t>
      </w:r>
    </w:p>
    <w:p w14:paraId="6B64DE5A" w14:textId="4401241A" w:rsidR="00675FC8" w:rsidRDefault="00D92E79">
      <w:pPr>
        <w:numPr>
          <w:ilvl w:val="0"/>
          <w:numId w:val="1"/>
        </w:numPr>
        <w:ind w:right="0"/>
      </w:pPr>
      <w:r>
        <w:t xml:space="preserve">Transaction level data is recorded at a chart field level in all </w:t>
      </w:r>
      <w:r w:rsidR="0086106A">
        <w:t>Quantum</w:t>
      </w:r>
      <w:r>
        <w:t xml:space="preserve"> financial systems, and ultimately as the data pass from one system to another, it is summarized by chart field in the </w:t>
      </w:r>
      <w:r>
        <w:rPr>
          <w:b/>
        </w:rPr>
        <w:t>General Ledger</w:t>
      </w:r>
      <w:r>
        <w:t>. The General Ledger is a repository of all monetary transactions processed directly in the General Ledger or in sub-systems such as Accounts Payable (</w:t>
      </w:r>
      <w:r w:rsidR="00933B33">
        <w:t>subledger</w:t>
      </w:r>
      <w:r>
        <w:t xml:space="preserve"> used primarily for disbursements), Accounts Receivable (</w:t>
      </w:r>
      <w:r w:rsidR="00933B33">
        <w:t>subledger</w:t>
      </w:r>
      <w:r>
        <w:t xml:space="preserve"> used for recording receipts), Global Payroll, and all other </w:t>
      </w:r>
      <w:r w:rsidR="00933B33">
        <w:t>subledger</w:t>
      </w:r>
      <w:r>
        <w:t xml:space="preserve">s in </w:t>
      </w:r>
      <w:r w:rsidR="00527ABF">
        <w:t>Quantum</w:t>
      </w:r>
      <w:r>
        <w:t xml:space="preserve">. The General Ledger is the final record from which financial statements are prepared.  </w:t>
      </w:r>
    </w:p>
    <w:p w14:paraId="5219E504" w14:textId="77777777" w:rsidR="00675FC8" w:rsidRDefault="00D92E79">
      <w:pPr>
        <w:spacing w:after="22" w:line="259" w:lineRule="auto"/>
        <w:ind w:left="0" w:right="0" w:firstLine="0"/>
        <w:jc w:val="left"/>
      </w:pPr>
      <w:r>
        <w:t xml:space="preserve">  </w:t>
      </w:r>
    </w:p>
    <w:p w14:paraId="752E0B87" w14:textId="40EEE7BF" w:rsidR="00675FC8" w:rsidRDefault="00D92E79">
      <w:pPr>
        <w:numPr>
          <w:ilvl w:val="0"/>
          <w:numId w:val="1"/>
        </w:numPr>
        <w:ind w:right="0"/>
      </w:pPr>
      <w:r>
        <w:t xml:space="preserve">With reporting and </w:t>
      </w:r>
      <w:r w:rsidR="00D57AC8">
        <w:t>analytic</w:t>
      </w:r>
      <w:r>
        <w:t xml:space="preserve"> tools, chart fields provide access to accounting data needed for budget control, management reporting, and statutory (or formal and final financial) reporting.  Reporting tools reference chart fields directly or indirectly through the rollup mechanisms available with trees (see Chart field Tree Structures below).  In addition, chart fields are used in the definition of </w:t>
      </w:r>
      <w:r w:rsidR="006B08D0">
        <w:t>budget</w:t>
      </w:r>
      <w:r>
        <w:t xml:space="preserve"> control and journal edit combination rules either directly, by referencing specific values, or indirectly, through trees.  </w:t>
      </w:r>
    </w:p>
    <w:p w14:paraId="2F753D63" w14:textId="77777777" w:rsidR="00675FC8" w:rsidRDefault="00D92E79">
      <w:pPr>
        <w:spacing w:after="22" w:line="259" w:lineRule="auto"/>
        <w:ind w:left="0" w:right="0" w:firstLine="0"/>
        <w:jc w:val="left"/>
      </w:pPr>
      <w:r>
        <w:t xml:space="preserve">  </w:t>
      </w:r>
    </w:p>
    <w:p w14:paraId="0D76E02E" w14:textId="5BAC0A9D" w:rsidR="00737C51" w:rsidRDefault="00D92E79">
      <w:pPr>
        <w:numPr>
          <w:ilvl w:val="0"/>
          <w:numId w:val="1"/>
        </w:numPr>
        <w:ind w:right="0"/>
      </w:pPr>
      <w:r>
        <w:rPr>
          <w:b/>
        </w:rPr>
        <w:t>Chart field Tree Structures</w:t>
      </w:r>
      <w:r>
        <w:t xml:space="preserve"> are used to establish a hierarchical structure, which visually represent a set of summarization rules for a particular chart field.  For instance, a</w:t>
      </w:r>
      <w:r w:rsidR="009A143E">
        <w:t>n</w:t>
      </w:r>
      <w:r>
        <w:t xml:space="preserve"> </w:t>
      </w:r>
      <w:r w:rsidR="008D6CF6">
        <w:t>UN Account T</w:t>
      </w:r>
      <w:r>
        <w:t>ree</w:t>
      </w:r>
      <w:r w:rsidR="002E439D">
        <w:t xml:space="preserve"> </w:t>
      </w:r>
      <w:r w:rsidR="00EA49EC">
        <w:t xml:space="preserve">has </w:t>
      </w:r>
      <w:r w:rsidR="002E439D">
        <w:t>5 level of parent nodes</w:t>
      </w:r>
      <w:r w:rsidR="00737C51">
        <w:t xml:space="preserve"> as illustrated below:-</w:t>
      </w:r>
    </w:p>
    <w:p w14:paraId="2482FC50" w14:textId="33B0AB35" w:rsidR="00737C51" w:rsidRDefault="00737C51" w:rsidP="00ED475F">
      <w:pPr>
        <w:pStyle w:val="ListParagraph"/>
        <w:ind w:hanging="11"/>
      </w:pPr>
      <w:r w:rsidRPr="00737C51">
        <w:rPr>
          <w:noProof/>
        </w:rPr>
        <w:drawing>
          <wp:inline distT="0" distB="0" distL="0" distR="0" wp14:anchorId="4F7B638C" wp14:editId="6913B26B">
            <wp:extent cx="4107180" cy="13030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07180" cy="1303020"/>
                    </a:xfrm>
                    <a:prstGeom prst="rect">
                      <a:avLst/>
                    </a:prstGeom>
                    <a:noFill/>
                    <a:ln>
                      <a:noFill/>
                    </a:ln>
                  </pic:spPr>
                </pic:pic>
              </a:graphicData>
            </a:graphic>
          </wp:inline>
        </w:drawing>
      </w:r>
    </w:p>
    <w:p w14:paraId="303F15F9" w14:textId="0AE45FFE" w:rsidR="00675FC8" w:rsidRDefault="00D92E79">
      <w:pPr>
        <w:spacing w:after="22" w:line="259" w:lineRule="auto"/>
        <w:ind w:left="0" w:right="0" w:firstLine="0"/>
        <w:jc w:val="left"/>
      </w:pPr>
      <w:r>
        <w:t xml:space="preserve">  </w:t>
      </w:r>
    </w:p>
    <w:p w14:paraId="2FCC7A07" w14:textId="77777777" w:rsidR="00675FC8" w:rsidRDefault="00D92E79">
      <w:pPr>
        <w:numPr>
          <w:ilvl w:val="0"/>
          <w:numId w:val="1"/>
        </w:numPr>
        <w:ind w:right="0"/>
      </w:pPr>
      <w:r>
        <w:t xml:space="preserve">Similarly, user-defined logic on account could summarize details of assets, liabilities, reimbursements and other revenue in ways meaningful for selection of items for various reporting requirements. Trees do not store amount data but provide the summarization hierarchy for reporting, by summarizing amounts from their components.  </w:t>
      </w:r>
    </w:p>
    <w:p w14:paraId="09C8B167" w14:textId="77777777" w:rsidR="00675FC8" w:rsidRDefault="00D92E79">
      <w:pPr>
        <w:spacing w:after="0" w:line="259" w:lineRule="auto"/>
        <w:ind w:left="0" w:right="0" w:firstLine="0"/>
        <w:jc w:val="left"/>
      </w:pPr>
      <w:r>
        <w:t xml:space="preserve">  </w:t>
      </w:r>
    </w:p>
    <w:p w14:paraId="5B5B7669" w14:textId="6C4BC445" w:rsidR="00675FC8" w:rsidRDefault="00675FC8" w:rsidP="00ED475F">
      <w:pPr>
        <w:spacing w:after="0" w:line="259" w:lineRule="auto"/>
        <w:ind w:left="703" w:right="0" w:firstLine="0"/>
        <w:jc w:val="left"/>
        <w:rPr>
          <w:b/>
        </w:rPr>
      </w:pPr>
    </w:p>
    <w:p w14:paraId="79AA37D3" w14:textId="37AC3656" w:rsidR="00731DF7" w:rsidRDefault="00731DF7">
      <w:pPr>
        <w:spacing w:after="0" w:line="259" w:lineRule="auto"/>
        <w:ind w:left="0" w:right="0" w:firstLine="0"/>
        <w:jc w:val="left"/>
        <w:rPr>
          <w:b/>
        </w:rPr>
      </w:pPr>
    </w:p>
    <w:p w14:paraId="64AD5C47" w14:textId="1A6244C3" w:rsidR="00731DF7" w:rsidRDefault="00731DF7">
      <w:pPr>
        <w:spacing w:after="0" w:line="259" w:lineRule="auto"/>
        <w:ind w:left="0" w:right="0" w:firstLine="0"/>
        <w:jc w:val="left"/>
        <w:rPr>
          <w:b/>
        </w:rPr>
      </w:pPr>
    </w:p>
    <w:p w14:paraId="46F4BAFD" w14:textId="735782CC" w:rsidR="00731DF7" w:rsidRDefault="00731DF7">
      <w:pPr>
        <w:spacing w:after="0" w:line="259" w:lineRule="auto"/>
        <w:ind w:left="0" w:right="0" w:firstLine="0"/>
        <w:jc w:val="left"/>
        <w:rPr>
          <w:b/>
        </w:rPr>
      </w:pPr>
    </w:p>
    <w:p w14:paraId="7F41C112" w14:textId="339F4399" w:rsidR="00731DF7" w:rsidRDefault="00731DF7">
      <w:pPr>
        <w:spacing w:after="0" w:line="259" w:lineRule="auto"/>
        <w:ind w:left="0" w:right="0" w:firstLine="0"/>
        <w:jc w:val="left"/>
        <w:rPr>
          <w:b/>
        </w:rPr>
      </w:pPr>
    </w:p>
    <w:p w14:paraId="7FF11BF2" w14:textId="41AB6401" w:rsidR="00731DF7" w:rsidRDefault="00731DF7">
      <w:pPr>
        <w:spacing w:after="0" w:line="259" w:lineRule="auto"/>
        <w:ind w:left="0" w:right="0" w:firstLine="0"/>
        <w:jc w:val="left"/>
        <w:rPr>
          <w:b/>
        </w:rPr>
      </w:pPr>
    </w:p>
    <w:p w14:paraId="67285241" w14:textId="6C9E5E55" w:rsidR="00731DF7" w:rsidRDefault="00731DF7">
      <w:pPr>
        <w:spacing w:after="0" w:line="259" w:lineRule="auto"/>
        <w:ind w:left="0" w:right="0" w:firstLine="0"/>
        <w:jc w:val="left"/>
        <w:rPr>
          <w:b/>
        </w:rPr>
      </w:pPr>
    </w:p>
    <w:p w14:paraId="1295C809" w14:textId="3E2572B8" w:rsidR="00731DF7" w:rsidRDefault="00731DF7">
      <w:pPr>
        <w:spacing w:after="0" w:line="259" w:lineRule="auto"/>
        <w:ind w:left="0" w:right="0" w:firstLine="0"/>
        <w:jc w:val="left"/>
        <w:rPr>
          <w:b/>
        </w:rPr>
      </w:pPr>
    </w:p>
    <w:p w14:paraId="3DAEDB2E" w14:textId="30C7B5BF" w:rsidR="00731DF7" w:rsidRDefault="00731DF7">
      <w:pPr>
        <w:spacing w:after="0" w:line="259" w:lineRule="auto"/>
        <w:ind w:left="0" w:right="0" w:firstLine="0"/>
        <w:jc w:val="left"/>
        <w:rPr>
          <w:b/>
        </w:rPr>
      </w:pPr>
    </w:p>
    <w:p w14:paraId="78943A86" w14:textId="77777777" w:rsidR="00731DF7" w:rsidRDefault="00731DF7">
      <w:pPr>
        <w:spacing w:after="0" w:line="259" w:lineRule="auto"/>
        <w:ind w:left="0" w:right="0" w:firstLine="0"/>
        <w:jc w:val="left"/>
      </w:pPr>
    </w:p>
    <w:p w14:paraId="60F4C745" w14:textId="77777777" w:rsidR="00675FC8" w:rsidRDefault="00D92E79">
      <w:pPr>
        <w:pStyle w:val="Heading1"/>
        <w:ind w:left="-5"/>
      </w:pPr>
      <w:r>
        <w:t>Chart field Descriptions</w:t>
      </w:r>
      <w:r>
        <w:rPr>
          <w:b w:val="0"/>
        </w:rPr>
        <w:t xml:space="preserve">  </w:t>
      </w:r>
    </w:p>
    <w:p w14:paraId="7A0A4CAC" w14:textId="77777777" w:rsidR="00675FC8" w:rsidRDefault="00D92E79">
      <w:pPr>
        <w:spacing w:after="22" w:line="259" w:lineRule="auto"/>
        <w:ind w:left="0" w:right="0" w:firstLine="0"/>
        <w:jc w:val="left"/>
      </w:pPr>
      <w:r>
        <w:t xml:space="preserve">  </w:t>
      </w:r>
    </w:p>
    <w:p w14:paraId="79D41AD1" w14:textId="31B5825A" w:rsidR="00675FC8" w:rsidRDefault="00D92E79" w:rsidP="00ED475F">
      <w:pPr>
        <w:ind w:left="993" w:right="0" w:hanging="709"/>
      </w:pPr>
      <w:r>
        <w:t>6.</w:t>
      </w:r>
      <w:r>
        <w:rPr>
          <w:rFonts w:ascii="Arial" w:eastAsia="Arial" w:hAnsi="Arial" w:cs="Arial"/>
        </w:rPr>
        <w:t xml:space="preserve"> </w:t>
      </w:r>
      <w:r w:rsidR="00FA4630">
        <w:rPr>
          <w:rFonts w:ascii="Arial" w:eastAsia="Arial" w:hAnsi="Arial" w:cs="Arial"/>
        </w:rPr>
        <w:t xml:space="preserve"> </w:t>
      </w:r>
      <w:r>
        <w:t xml:space="preserve">The chart field structure under </w:t>
      </w:r>
      <w:r w:rsidR="007641BB">
        <w:t>Quantum</w:t>
      </w:r>
      <w:r>
        <w:t xml:space="preserve"> Chart of Accounts consists of the following: </w:t>
      </w:r>
    </w:p>
    <w:p w14:paraId="7CA620C0" w14:textId="77777777" w:rsidR="00675FC8" w:rsidRDefault="00D92E79">
      <w:pPr>
        <w:spacing w:after="0" w:line="259" w:lineRule="auto"/>
        <w:ind w:left="0" w:right="0" w:firstLine="0"/>
        <w:jc w:val="left"/>
      </w:pPr>
      <w:r>
        <w:t xml:space="preserve">  </w:t>
      </w:r>
    </w:p>
    <w:p w14:paraId="2CA99698" w14:textId="77777777" w:rsidR="00675FC8" w:rsidRDefault="00D92E79">
      <w:pPr>
        <w:spacing w:after="0" w:line="259" w:lineRule="auto"/>
        <w:ind w:left="47" w:right="0" w:firstLine="0"/>
        <w:jc w:val="center"/>
      </w:pPr>
      <w:r>
        <w:t xml:space="preserve"> </w:t>
      </w:r>
    </w:p>
    <w:p w14:paraId="1DF5260F" w14:textId="27E95F9B" w:rsidR="00675FC8" w:rsidRDefault="00493EEB">
      <w:pPr>
        <w:spacing w:after="0" w:line="259" w:lineRule="auto"/>
        <w:ind w:left="0" w:right="87" w:firstLine="0"/>
        <w:jc w:val="right"/>
      </w:pPr>
      <w:r>
        <w:rPr>
          <w:noProof/>
        </w:rPr>
        <w:drawing>
          <wp:inline distT="0" distB="0" distL="0" distR="0" wp14:anchorId="1DB4757A" wp14:editId="56F76C37">
            <wp:extent cx="5731510" cy="22872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287270"/>
                    </a:xfrm>
                    <a:prstGeom prst="rect">
                      <a:avLst/>
                    </a:prstGeom>
                  </pic:spPr>
                </pic:pic>
              </a:graphicData>
            </a:graphic>
          </wp:inline>
        </w:drawing>
      </w:r>
      <w:hyperlink r:id="rId14">
        <w:r w:rsidR="00D92E79">
          <w:t xml:space="preserve"> </w:t>
        </w:r>
      </w:hyperlink>
    </w:p>
    <w:p w14:paraId="4D7A0F05" w14:textId="77777777" w:rsidR="00675FC8" w:rsidRDefault="00D92E79">
      <w:pPr>
        <w:spacing w:after="0" w:line="259" w:lineRule="auto"/>
        <w:ind w:left="47" w:right="0" w:firstLine="0"/>
        <w:jc w:val="center"/>
      </w:pPr>
      <w:r>
        <w:t xml:space="preserve"> </w:t>
      </w:r>
    </w:p>
    <w:p w14:paraId="6172F0C2" w14:textId="781B4611" w:rsidR="00675FC8" w:rsidRDefault="002F64B0" w:rsidP="00ED475F">
      <w:pPr>
        <w:pStyle w:val="Heading2"/>
        <w:jc w:val="left"/>
      </w:pPr>
      <w:r>
        <w:t>Agency</w:t>
      </w:r>
      <w:r w:rsidR="00D92E79">
        <w:rPr>
          <w:u w:val="none"/>
        </w:rPr>
        <w:t xml:space="preserve"> </w:t>
      </w:r>
    </w:p>
    <w:p w14:paraId="608C9CA0" w14:textId="77777777" w:rsidR="00675FC8" w:rsidRDefault="00D92E79">
      <w:pPr>
        <w:spacing w:after="22" w:line="259" w:lineRule="auto"/>
        <w:ind w:left="0" w:right="0" w:firstLine="0"/>
        <w:jc w:val="left"/>
      </w:pPr>
      <w:r>
        <w:t xml:space="preserve">  </w:t>
      </w:r>
    </w:p>
    <w:p w14:paraId="3DDF7F23" w14:textId="34E92FFE" w:rsidR="00675FC8" w:rsidRDefault="00D92E79">
      <w:pPr>
        <w:numPr>
          <w:ilvl w:val="0"/>
          <w:numId w:val="2"/>
        </w:numPr>
        <w:ind w:right="0" w:hanging="360"/>
      </w:pPr>
      <w:r>
        <w:t xml:space="preserve">The </w:t>
      </w:r>
      <w:r w:rsidR="00597080">
        <w:t>Agency</w:t>
      </w:r>
      <w:r>
        <w:t xml:space="preserve"> chart field represents a “separate set of books” for a legal entity requiring separate accounting and operational information in the General Ledger (GL).  </w:t>
      </w:r>
      <w:r w:rsidR="000C6EC2">
        <w:t>Agency</w:t>
      </w:r>
      <w:r>
        <w:t xml:space="preserve"> is currently identified for </w:t>
      </w:r>
      <w:r w:rsidR="001F1919">
        <w:t>Quantum</w:t>
      </w:r>
      <w:r>
        <w:t xml:space="preserve"> implementation use as UNDP</w:t>
      </w:r>
      <w:r w:rsidR="00BA1D7F">
        <w:t xml:space="preserve">, </w:t>
      </w:r>
      <w:r w:rsidR="00CC010A">
        <w:t xml:space="preserve">UNV, </w:t>
      </w:r>
      <w:r>
        <w:t>UNCDF</w:t>
      </w:r>
      <w:r w:rsidR="00192952">
        <w:t>, UN Women, MPTF, UNU, UNSSC, UNITAR</w:t>
      </w:r>
      <w:r w:rsidR="00334EA8">
        <w:t xml:space="preserve"> and UNFPA</w:t>
      </w:r>
      <w:r w:rsidR="00BA1D7F">
        <w:t>.</w:t>
      </w:r>
    </w:p>
    <w:p w14:paraId="55BC23FE" w14:textId="77777777" w:rsidR="00675FC8" w:rsidRDefault="00D92E79">
      <w:pPr>
        <w:spacing w:after="21" w:line="259" w:lineRule="auto"/>
        <w:ind w:left="0" w:right="0" w:firstLine="0"/>
        <w:jc w:val="left"/>
      </w:pPr>
      <w:r>
        <w:t xml:space="preserve">  </w:t>
      </w:r>
    </w:p>
    <w:p w14:paraId="33B77AA3" w14:textId="3761C729" w:rsidR="00675FC8" w:rsidRDefault="00D92E79" w:rsidP="00ED475F">
      <w:pPr>
        <w:numPr>
          <w:ilvl w:val="0"/>
          <w:numId w:val="2"/>
        </w:numPr>
        <w:ind w:left="284" w:right="0" w:firstLine="0"/>
      </w:pPr>
      <w:r>
        <w:t xml:space="preserve">The implications of the General Ledger </w:t>
      </w:r>
      <w:r w:rsidR="006E3E0F">
        <w:t>A</w:t>
      </w:r>
      <w:r w:rsidR="00334EA8">
        <w:t>gency</w:t>
      </w:r>
      <w:r>
        <w:t xml:space="preserve"> concept in </w:t>
      </w:r>
      <w:r w:rsidR="00334EA8">
        <w:t>Quantum</w:t>
      </w:r>
      <w:r>
        <w:t xml:space="preserve"> are the following: </w:t>
      </w:r>
      <w:r w:rsidRPr="00485DB9">
        <w:rPr>
          <w:rFonts w:ascii="Arial" w:eastAsia="Arial" w:hAnsi="Arial" w:cs="Arial"/>
        </w:rPr>
        <w:t xml:space="preserve"> </w:t>
      </w:r>
      <w:r w:rsidRPr="00485DB9">
        <w:rPr>
          <w:rFonts w:ascii="Arial" w:eastAsia="Arial" w:hAnsi="Arial" w:cs="Arial"/>
        </w:rPr>
        <w:tab/>
      </w:r>
      <w:r>
        <w:t xml:space="preserve"> </w:t>
      </w:r>
    </w:p>
    <w:p w14:paraId="1EAEB5F7" w14:textId="0D095491" w:rsidR="005F0DB8" w:rsidRDefault="003746C8" w:rsidP="00D92E79">
      <w:pPr>
        <w:numPr>
          <w:ilvl w:val="1"/>
          <w:numId w:val="9"/>
        </w:numPr>
        <w:spacing w:after="11" w:line="277" w:lineRule="auto"/>
        <w:ind w:right="0" w:hanging="374"/>
      </w:pPr>
      <w:r>
        <w:t>Agency is the primary balancing segment</w:t>
      </w:r>
    </w:p>
    <w:p w14:paraId="26B0536D" w14:textId="3D22411E" w:rsidR="00365159" w:rsidRDefault="00365159" w:rsidP="00D92E79">
      <w:pPr>
        <w:numPr>
          <w:ilvl w:val="1"/>
          <w:numId w:val="9"/>
        </w:numPr>
        <w:spacing w:after="11" w:line="277" w:lineRule="auto"/>
        <w:ind w:right="0" w:hanging="374"/>
      </w:pPr>
      <w:r>
        <w:t xml:space="preserve">Transactions are entered and stored under </w:t>
      </w:r>
      <w:r w:rsidR="00485DB9">
        <w:t>agencie</w:t>
      </w:r>
      <w:r>
        <w:t xml:space="preserve">s;  </w:t>
      </w:r>
    </w:p>
    <w:p w14:paraId="709BC06B" w14:textId="546EA9D7" w:rsidR="00970871" w:rsidRDefault="00D92E79" w:rsidP="00D92E79">
      <w:pPr>
        <w:numPr>
          <w:ilvl w:val="1"/>
          <w:numId w:val="9"/>
        </w:numPr>
        <w:spacing w:after="11" w:line="277" w:lineRule="auto"/>
        <w:ind w:right="0" w:hanging="374"/>
      </w:pPr>
      <w:r>
        <w:t>Operators for GL-related transactions are granted security access by</w:t>
      </w:r>
      <w:r w:rsidR="004823DE">
        <w:t xml:space="preserve"> agency</w:t>
      </w:r>
      <w:r>
        <w:t>;</w:t>
      </w:r>
    </w:p>
    <w:p w14:paraId="6DBADCCF" w14:textId="4EAC7928" w:rsidR="00A13B19" w:rsidRPr="00ED475F" w:rsidRDefault="00D92E79" w:rsidP="00D92E79">
      <w:pPr>
        <w:numPr>
          <w:ilvl w:val="1"/>
          <w:numId w:val="9"/>
        </w:numPr>
        <w:spacing w:after="11" w:line="277" w:lineRule="auto"/>
        <w:ind w:right="0" w:hanging="374"/>
      </w:pPr>
      <w:r>
        <w:t xml:space="preserve">Budget checking and spending authority is established by GL </w:t>
      </w:r>
      <w:r w:rsidR="00A4316D">
        <w:t>agency</w:t>
      </w:r>
      <w:r>
        <w:t xml:space="preserve">; </w:t>
      </w:r>
    </w:p>
    <w:p w14:paraId="0E147A1A" w14:textId="2183C780" w:rsidR="00675FC8" w:rsidRDefault="00D92E79" w:rsidP="00D92E79">
      <w:pPr>
        <w:numPr>
          <w:ilvl w:val="1"/>
          <w:numId w:val="9"/>
        </w:numPr>
        <w:spacing w:after="11" w:line="277" w:lineRule="auto"/>
        <w:ind w:right="0" w:hanging="374"/>
      </w:pPr>
      <w:r>
        <w:t xml:space="preserve">Report generation is </w:t>
      </w:r>
      <w:r w:rsidR="00A4316D">
        <w:t>defined</w:t>
      </w:r>
      <w:r>
        <w:t xml:space="preserve"> by GL </w:t>
      </w:r>
      <w:r w:rsidR="00A4316D">
        <w:t>agency</w:t>
      </w:r>
      <w:r>
        <w:t xml:space="preserve">;  </w:t>
      </w:r>
    </w:p>
    <w:p w14:paraId="7F718978" w14:textId="578946AD" w:rsidR="00675FC8" w:rsidRDefault="00D92E79" w:rsidP="00D92E79">
      <w:pPr>
        <w:numPr>
          <w:ilvl w:val="1"/>
          <w:numId w:val="9"/>
        </w:numPr>
        <w:ind w:right="0" w:hanging="374"/>
      </w:pPr>
      <w:r>
        <w:t xml:space="preserve">Batch processing is defined by GL </w:t>
      </w:r>
      <w:r w:rsidR="00A4316D">
        <w:t>agency</w:t>
      </w:r>
      <w:r>
        <w:t xml:space="preserve">; </w:t>
      </w:r>
    </w:p>
    <w:p w14:paraId="11B19A45" w14:textId="079B4FAA" w:rsidR="00675FC8" w:rsidRDefault="00D92E79" w:rsidP="00D92E79">
      <w:pPr>
        <w:numPr>
          <w:ilvl w:val="1"/>
          <w:numId w:val="9"/>
        </w:numPr>
        <w:spacing w:after="35"/>
        <w:ind w:right="0" w:hanging="374"/>
      </w:pPr>
      <w:r>
        <w:t>The handling of journal entries error processing (i.e. whether errors are posted to a suspense account or recycled) is set up at</w:t>
      </w:r>
      <w:r w:rsidR="00644AF6">
        <w:t xml:space="preserve"> an</w:t>
      </w:r>
      <w:r>
        <w:t xml:space="preserve"> </w:t>
      </w:r>
      <w:r w:rsidR="003370CF">
        <w:t>agency</w:t>
      </w:r>
      <w:r>
        <w:t xml:space="preserve"> level; </w:t>
      </w:r>
    </w:p>
    <w:p w14:paraId="3E96EE3D" w14:textId="529F8852" w:rsidR="00675FC8" w:rsidRDefault="00D92E79" w:rsidP="00D92E79">
      <w:pPr>
        <w:numPr>
          <w:ilvl w:val="1"/>
          <w:numId w:val="9"/>
        </w:numPr>
        <w:spacing w:after="88"/>
        <w:ind w:right="0" w:hanging="374"/>
      </w:pPr>
      <w:r>
        <w:t xml:space="preserve">Base currency is also set up at a GL </w:t>
      </w:r>
      <w:r w:rsidR="005D5EC7">
        <w:t>agency</w:t>
      </w:r>
      <w:r>
        <w:t xml:space="preserve"> level</w:t>
      </w:r>
      <w:r w:rsidR="005D5EC7">
        <w:t>.</w:t>
      </w:r>
      <w:r>
        <w:t xml:space="preserve"> </w:t>
      </w:r>
    </w:p>
    <w:p w14:paraId="6CD1E211" w14:textId="77777777" w:rsidR="00D92E79" w:rsidRDefault="00D92E79" w:rsidP="00D92E79">
      <w:pPr>
        <w:spacing w:after="88"/>
        <w:ind w:left="1082" w:right="0" w:firstLine="0"/>
      </w:pPr>
    </w:p>
    <w:p w14:paraId="24BB49A1" w14:textId="77777777" w:rsidR="00675FC8" w:rsidRDefault="00D92E79">
      <w:pPr>
        <w:spacing w:after="0" w:line="259" w:lineRule="auto"/>
        <w:ind w:left="703" w:right="0" w:hanging="10"/>
        <w:jc w:val="left"/>
      </w:pPr>
      <w:r>
        <w:rPr>
          <w:u w:val="single" w:color="000000"/>
        </w:rPr>
        <w:t>Account</w:t>
      </w:r>
      <w:r>
        <w:t xml:space="preserve">  </w:t>
      </w:r>
    </w:p>
    <w:p w14:paraId="75DBA8AE" w14:textId="77777777" w:rsidR="00675FC8" w:rsidRDefault="00D92E79">
      <w:pPr>
        <w:spacing w:after="22" w:line="259" w:lineRule="auto"/>
        <w:ind w:left="0" w:right="0" w:firstLine="0"/>
        <w:jc w:val="left"/>
      </w:pPr>
      <w:r>
        <w:t xml:space="preserve">  </w:t>
      </w:r>
    </w:p>
    <w:p w14:paraId="742C8F67" w14:textId="77777777" w:rsidR="00675FC8" w:rsidRDefault="00D92E79">
      <w:pPr>
        <w:numPr>
          <w:ilvl w:val="0"/>
          <w:numId w:val="2"/>
        </w:numPr>
        <w:ind w:right="0" w:hanging="360"/>
      </w:pPr>
      <w:r>
        <w:t>The Account</w:t>
      </w:r>
      <w:r>
        <w:rPr>
          <w:b/>
          <w:i/>
        </w:rPr>
        <w:t xml:space="preserve"> </w:t>
      </w:r>
      <w:r>
        <w:t xml:space="preserve">chart field identifies a unique asset, liability, equity, revenue or expense account.  It is a required field that is primarily used for financial and management reports.   </w:t>
      </w:r>
    </w:p>
    <w:p w14:paraId="41F93CC9" w14:textId="77777777" w:rsidR="00675FC8" w:rsidRDefault="00D92E79">
      <w:pPr>
        <w:spacing w:after="22" w:line="259" w:lineRule="auto"/>
        <w:ind w:left="0" w:right="0" w:firstLine="0"/>
        <w:jc w:val="left"/>
      </w:pPr>
      <w:r>
        <w:t xml:space="preserve">  </w:t>
      </w:r>
    </w:p>
    <w:p w14:paraId="766DE4CA" w14:textId="79D62447" w:rsidR="00675FC8" w:rsidRDefault="00D92E79" w:rsidP="00D92E79">
      <w:pPr>
        <w:numPr>
          <w:ilvl w:val="0"/>
          <w:numId w:val="2"/>
        </w:numPr>
        <w:ind w:right="0" w:hanging="360"/>
      </w:pPr>
      <w:r>
        <w:lastRenderedPageBreak/>
        <w:t xml:space="preserve">It is used in combination with other chart fields to process transactions.  It classifies the nature of operational transactions. In other words, it shows how a transaction would be reported on the balance sheet or income statements.  It is also important for the year-end closing process to identify accounts with balances which should be taken forward or those revenue and expense accounts that do not have carried forward balances. There are three types of accounts: </w:t>
      </w:r>
    </w:p>
    <w:p w14:paraId="3CBC8ACE" w14:textId="77777777" w:rsidR="00287EB0" w:rsidRDefault="00D92E79" w:rsidP="00D92E79">
      <w:pPr>
        <w:numPr>
          <w:ilvl w:val="2"/>
          <w:numId w:val="10"/>
        </w:numPr>
        <w:spacing w:after="29"/>
        <w:ind w:right="0" w:hanging="374"/>
      </w:pPr>
      <w:r>
        <w:t>Balance Sheet accounts include assets, liabilities and fund equity/net assets accounts;</w:t>
      </w:r>
    </w:p>
    <w:p w14:paraId="7080826B" w14:textId="7AA0D24B" w:rsidR="00675FC8" w:rsidRDefault="00D92E79" w:rsidP="00D92E79">
      <w:pPr>
        <w:numPr>
          <w:ilvl w:val="2"/>
          <w:numId w:val="10"/>
        </w:numPr>
        <w:spacing w:after="29"/>
        <w:ind w:right="0" w:hanging="374"/>
      </w:pPr>
      <w:r>
        <w:t xml:space="preserve">Revenue accounts include financing sources.  Revenue accounts are usually created for each revenue category; </w:t>
      </w:r>
    </w:p>
    <w:p w14:paraId="08B975FD" w14:textId="77777777" w:rsidR="00675FC8" w:rsidRDefault="00D92E79" w:rsidP="00D92E79">
      <w:pPr>
        <w:numPr>
          <w:ilvl w:val="2"/>
          <w:numId w:val="10"/>
        </w:numPr>
        <w:spacing w:after="64"/>
        <w:ind w:right="0" w:hanging="374"/>
      </w:pPr>
      <w:r>
        <w:t xml:space="preserve">Expense/Expenditure accounts include financing uses.  </w:t>
      </w:r>
    </w:p>
    <w:p w14:paraId="00EEA7FC" w14:textId="77777777" w:rsidR="00D92E79" w:rsidRDefault="00D92E79">
      <w:pPr>
        <w:spacing w:after="0" w:line="259" w:lineRule="auto"/>
        <w:ind w:left="703" w:right="0" w:hanging="10"/>
        <w:jc w:val="left"/>
        <w:rPr>
          <w:u w:val="single" w:color="000000"/>
        </w:rPr>
      </w:pPr>
    </w:p>
    <w:p w14:paraId="522F87B7" w14:textId="77777777" w:rsidR="00675FC8" w:rsidRDefault="00D92E79">
      <w:pPr>
        <w:spacing w:after="0" w:line="259" w:lineRule="auto"/>
        <w:ind w:left="703" w:right="0" w:hanging="10"/>
        <w:jc w:val="left"/>
      </w:pPr>
      <w:r>
        <w:rPr>
          <w:u w:val="single" w:color="000000"/>
        </w:rPr>
        <w:t>Fund</w:t>
      </w:r>
      <w:r>
        <w:t xml:space="preserve">   </w:t>
      </w:r>
    </w:p>
    <w:p w14:paraId="454644AC" w14:textId="77777777" w:rsidR="00675FC8" w:rsidRDefault="00D92E79">
      <w:pPr>
        <w:spacing w:after="20" w:line="259" w:lineRule="auto"/>
        <w:ind w:left="0" w:right="0" w:firstLine="0"/>
        <w:jc w:val="left"/>
      </w:pPr>
      <w:r>
        <w:t xml:space="preserve">  </w:t>
      </w:r>
    </w:p>
    <w:p w14:paraId="4674D561" w14:textId="77777777" w:rsidR="00675FC8" w:rsidRDefault="00D92E79">
      <w:pPr>
        <w:numPr>
          <w:ilvl w:val="0"/>
          <w:numId w:val="2"/>
        </w:numPr>
        <w:ind w:right="0" w:hanging="360"/>
      </w:pPr>
      <w:r>
        <w:t xml:space="preserve">The Fund chart field is used to classify funding resources.  Funds are segregated for the purpose of conducting specific activities or attaining certain objectives in accordance with special regulations, restrictions, or limitations.  This chart field is also used to control spending in UNDP.   </w:t>
      </w:r>
    </w:p>
    <w:p w14:paraId="4BA471B2" w14:textId="77777777" w:rsidR="00675FC8" w:rsidRDefault="00D92E79">
      <w:pPr>
        <w:spacing w:after="22" w:line="259" w:lineRule="auto"/>
        <w:ind w:left="0" w:right="0" w:firstLine="0"/>
        <w:jc w:val="left"/>
      </w:pPr>
      <w:r>
        <w:t xml:space="preserve"> </w:t>
      </w:r>
    </w:p>
    <w:p w14:paraId="732C93F6" w14:textId="06B0759F" w:rsidR="00675FC8" w:rsidRDefault="00D92E79">
      <w:pPr>
        <w:numPr>
          <w:ilvl w:val="0"/>
          <w:numId w:val="2"/>
        </w:numPr>
        <w:ind w:right="0" w:hanging="360"/>
      </w:pPr>
      <w:r>
        <w:t xml:space="preserve">The inclusion of the donor chart field for budgeting cost-sharing funds has been requested to ensure alignment of donor funds for such funds to income and expenditure.   This has been implemented in 2006 for all cost-sharing funds, as well as “closed trust funds” that are controlled by cash for </w:t>
      </w:r>
      <w:r w:rsidR="00E27AC8">
        <w:t>budget</w:t>
      </w:r>
      <w:r>
        <w:t xml:space="preserve"> control purposes.  </w:t>
      </w:r>
    </w:p>
    <w:p w14:paraId="5E435C66" w14:textId="77777777" w:rsidR="00675FC8" w:rsidRDefault="00D92E79">
      <w:pPr>
        <w:spacing w:after="19" w:line="259" w:lineRule="auto"/>
        <w:ind w:left="0" w:right="0" w:firstLine="0"/>
        <w:jc w:val="left"/>
      </w:pPr>
      <w:r>
        <w:t xml:space="preserve"> </w:t>
      </w:r>
    </w:p>
    <w:p w14:paraId="6B6A8E7B" w14:textId="32C83B10" w:rsidR="00675FC8" w:rsidRDefault="00D92E79">
      <w:pPr>
        <w:numPr>
          <w:ilvl w:val="0"/>
          <w:numId w:val="2"/>
        </w:numPr>
        <w:ind w:right="0" w:hanging="360"/>
      </w:pPr>
      <w:r>
        <w:t xml:space="preserve">The Fund chart field in </w:t>
      </w:r>
      <w:r w:rsidR="00430ABF">
        <w:t>Quantum</w:t>
      </w:r>
      <w:r>
        <w:t xml:space="preserve"> maintains the fiscal and accounting entities for financial resources. It is a </w:t>
      </w:r>
      <w:r w:rsidR="002A71DF">
        <w:t>secondary balancing segment</w:t>
      </w:r>
      <w:r>
        <w:t xml:space="preserve">, meaning balance sheet and income statement can be produced by fund.  </w:t>
      </w:r>
    </w:p>
    <w:p w14:paraId="15ED6C6D" w14:textId="77777777" w:rsidR="00675FC8" w:rsidRDefault="00D92E79">
      <w:pPr>
        <w:spacing w:after="21" w:line="259" w:lineRule="auto"/>
        <w:ind w:left="0" w:right="0" w:firstLine="0"/>
        <w:jc w:val="left"/>
      </w:pPr>
      <w:r>
        <w:t xml:space="preserve">  </w:t>
      </w:r>
    </w:p>
    <w:p w14:paraId="1EB3BD29" w14:textId="1EF850A0" w:rsidR="00675FC8" w:rsidRDefault="00283919">
      <w:pPr>
        <w:numPr>
          <w:ilvl w:val="0"/>
          <w:numId w:val="2"/>
        </w:numPr>
        <w:spacing w:after="33"/>
        <w:ind w:right="0" w:hanging="360"/>
      </w:pPr>
      <w:r>
        <w:t>T</w:t>
      </w:r>
      <w:r w:rsidR="00D92E79">
        <w:t xml:space="preserve">he main funding categories in UNDP are:  </w:t>
      </w:r>
    </w:p>
    <w:p w14:paraId="22479CAA" w14:textId="77777777" w:rsidR="00675FC8" w:rsidRDefault="00D92E79" w:rsidP="00D92E79">
      <w:pPr>
        <w:numPr>
          <w:ilvl w:val="2"/>
          <w:numId w:val="11"/>
        </w:numPr>
        <w:ind w:right="0" w:hanging="360"/>
      </w:pPr>
      <w:r>
        <w:t xml:space="preserve">Regular Resources;  </w:t>
      </w:r>
    </w:p>
    <w:p w14:paraId="21750D0D" w14:textId="77777777" w:rsidR="00675FC8" w:rsidRDefault="00D92E79" w:rsidP="00D92E79">
      <w:pPr>
        <w:numPr>
          <w:ilvl w:val="2"/>
          <w:numId w:val="11"/>
        </w:numPr>
        <w:ind w:right="0" w:hanging="360"/>
      </w:pPr>
      <w:r>
        <w:t xml:space="preserve">Other Resources that are further categorized into the following:    </w:t>
      </w:r>
    </w:p>
    <w:p w14:paraId="2C070DB6" w14:textId="77777777" w:rsidR="00675FC8" w:rsidRDefault="00D92E79" w:rsidP="00D92E79">
      <w:pPr>
        <w:numPr>
          <w:ilvl w:val="3"/>
          <w:numId w:val="12"/>
        </w:numPr>
        <w:spacing w:after="32"/>
        <w:ind w:right="0" w:hanging="361"/>
      </w:pPr>
      <w:r>
        <w:t xml:space="preserve">Cost sharing; </w:t>
      </w:r>
    </w:p>
    <w:p w14:paraId="0FA10EFE" w14:textId="77777777" w:rsidR="00675FC8" w:rsidRDefault="00D92E79" w:rsidP="00D92E79">
      <w:pPr>
        <w:numPr>
          <w:ilvl w:val="3"/>
          <w:numId w:val="12"/>
        </w:numPr>
        <w:spacing w:after="32"/>
        <w:ind w:right="0" w:hanging="361"/>
      </w:pPr>
      <w:r>
        <w:t xml:space="preserve">Trust funds; </w:t>
      </w:r>
    </w:p>
    <w:p w14:paraId="56FB3302" w14:textId="4E7B14D7" w:rsidR="00675FC8" w:rsidRDefault="00D92E79" w:rsidP="00D92E79">
      <w:pPr>
        <w:numPr>
          <w:ilvl w:val="3"/>
          <w:numId w:val="12"/>
        </w:numPr>
        <w:ind w:right="0" w:hanging="361"/>
      </w:pPr>
      <w:r>
        <w:t xml:space="preserve">Others: government cash counterpart, United Nations Volunteers (UNV), Junior Professional Officers (JPO) and Management Service Agreements (MSAs).  </w:t>
      </w:r>
    </w:p>
    <w:p w14:paraId="24E65B31" w14:textId="77777777" w:rsidR="00675FC8" w:rsidRDefault="00D92E79">
      <w:pPr>
        <w:spacing w:after="0" w:line="259" w:lineRule="auto"/>
        <w:ind w:left="0" w:right="0" w:firstLine="0"/>
        <w:jc w:val="left"/>
      </w:pPr>
      <w:r>
        <w:t xml:space="preserve">  </w:t>
      </w:r>
    </w:p>
    <w:p w14:paraId="3F778ADC" w14:textId="77777777" w:rsidR="00675FC8" w:rsidRDefault="00D92E79">
      <w:pPr>
        <w:spacing w:after="0" w:line="259" w:lineRule="auto"/>
        <w:ind w:left="703" w:right="0" w:hanging="10"/>
        <w:jc w:val="left"/>
      </w:pPr>
      <w:r>
        <w:rPr>
          <w:u w:val="single" w:color="000000"/>
        </w:rPr>
        <w:t>Operating Unit</w:t>
      </w:r>
      <w:r>
        <w:t xml:space="preserve"> </w:t>
      </w:r>
    </w:p>
    <w:p w14:paraId="7D4431AF" w14:textId="77777777" w:rsidR="00675FC8" w:rsidRDefault="00D92E79">
      <w:pPr>
        <w:spacing w:after="21" w:line="259" w:lineRule="auto"/>
        <w:ind w:left="0" w:right="0" w:firstLine="0"/>
        <w:jc w:val="left"/>
      </w:pPr>
      <w:r>
        <w:t xml:space="preserve">  </w:t>
      </w:r>
    </w:p>
    <w:p w14:paraId="394BE9AE" w14:textId="3E0604CA" w:rsidR="00675FC8" w:rsidRDefault="00D92E79">
      <w:pPr>
        <w:numPr>
          <w:ilvl w:val="0"/>
          <w:numId w:val="2"/>
        </w:numPr>
        <w:ind w:right="0" w:hanging="360"/>
      </w:pPr>
      <w:r>
        <w:t xml:space="preserve">The Operating Unit chart field lies between the </w:t>
      </w:r>
      <w:r w:rsidR="00BD1FDC">
        <w:t>Agency</w:t>
      </w:r>
      <w:r>
        <w:t xml:space="preserve"> and the </w:t>
      </w:r>
      <w:r w:rsidR="00FE2B3A">
        <w:t>Cost Center</w:t>
      </w:r>
      <w:r>
        <w:t xml:space="preserve">. It is useful for identifying units responsible and accountable for financial transactions. For UNDP, an operating unit could be a regional bureau, a country office, or a similar functional area.  The relationship of the operating units (e.g. regional grouping) is established using the tree structure.   </w:t>
      </w:r>
    </w:p>
    <w:p w14:paraId="6865FBB3" w14:textId="77777777" w:rsidR="00675FC8" w:rsidRDefault="00D92E79">
      <w:pPr>
        <w:spacing w:after="0" w:line="259" w:lineRule="auto"/>
        <w:ind w:left="0" w:right="0" w:firstLine="0"/>
        <w:jc w:val="left"/>
      </w:pPr>
      <w:r>
        <w:t xml:space="preserve">  </w:t>
      </w:r>
    </w:p>
    <w:p w14:paraId="33100B9D" w14:textId="07F28C7B" w:rsidR="00675FC8" w:rsidRDefault="00E551DA">
      <w:pPr>
        <w:spacing w:after="0" w:line="259" w:lineRule="auto"/>
        <w:ind w:left="703" w:right="0" w:hanging="10"/>
        <w:jc w:val="left"/>
      </w:pPr>
      <w:r>
        <w:rPr>
          <w:u w:val="single" w:color="000000"/>
        </w:rPr>
        <w:t>Cost Cent</w:t>
      </w:r>
      <w:r w:rsidR="00A01453">
        <w:rPr>
          <w:u w:val="single" w:color="000000"/>
        </w:rPr>
        <w:t>re</w:t>
      </w:r>
      <w:r w:rsidR="00D92E79">
        <w:t xml:space="preserve"> </w:t>
      </w:r>
    </w:p>
    <w:p w14:paraId="4B0166B8" w14:textId="77777777" w:rsidR="00675FC8" w:rsidRDefault="00D92E79">
      <w:pPr>
        <w:spacing w:after="22" w:line="259" w:lineRule="auto"/>
        <w:ind w:left="0" w:right="0" w:firstLine="0"/>
        <w:jc w:val="left"/>
      </w:pPr>
      <w:r>
        <w:t xml:space="preserve">  </w:t>
      </w:r>
    </w:p>
    <w:p w14:paraId="37AD63B7" w14:textId="611D0115" w:rsidR="00675FC8" w:rsidRDefault="00D92E79">
      <w:pPr>
        <w:numPr>
          <w:ilvl w:val="0"/>
          <w:numId w:val="2"/>
        </w:numPr>
        <w:ind w:right="0" w:hanging="360"/>
      </w:pPr>
      <w:r>
        <w:lastRenderedPageBreak/>
        <w:t xml:space="preserve">The </w:t>
      </w:r>
      <w:r w:rsidR="002D53A4">
        <w:t xml:space="preserve">Cost </w:t>
      </w:r>
      <w:r w:rsidR="00DF1BE7">
        <w:t>Centre</w:t>
      </w:r>
      <w:r>
        <w:t xml:space="preserve"> chart field is maintained for departmental expenses, budgets and cost groupings and rolled up to country and bureau.  It represents the financial management view of the organization. </w:t>
      </w:r>
      <w:r w:rsidR="00AC1BB5">
        <w:t>Quantum</w:t>
      </w:r>
      <w:r>
        <w:t xml:space="preserve"> financial system </w:t>
      </w:r>
      <w:r w:rsidR="00933B33">
        <w:t>subledger</w:t>
      </w:r>
      <w:r>
        <w:t xml:space="preserve">s use </w:t>
      </w:r>
      <w:r w:rsidR="00AC1BB5">
        <w:t>cost centre</w:t>
      </w:r>
      <w:r>
        <w:t xml:space="preserve"> as defined in the human resources system and maintained by the Office of Financial Management (OFM). PeopleSoft technology is used to ensure that the two databases remain in sync.  Typically, an operating unit would be the country office (e.g. ‘AFG' for UNDP Afghanistan) and </w:t>
      </w:r>
      <w:r w:rsidR="00041E2B">
        <w:t>cost centre</w:t>
      </w:r>
      <w:r>
        <w:t xml:space="preserve"> would be the various units set up in the country office (e.g. Afghanistan </w:t>
      </w:r>
    </w:p>
    <w:p w14:paraId="44056AEA" w14:textId="77777777" w:rsidR="00675FC8" w:rsidRDefault="00D92E79">
      <w:pPr>
        <w:ind w:left="720" w:right="0" w:firstLine="0"/>
      </w:pPr>
      <w:r>
        <w:t xml:space="preserve">Central Department; Democratic Governance Department, Finance Department, Human Resources Department, etc.).  </w:t>
      </w:r>
    </w:p>
    <w:p w14:paraId="75BC820E" w14:textId="77777777" w:rsidR="00675FC8" w:rsidRDefault="00D92E79">
      <w:pPr>
        <w:spacing w:after="21" w:line="259" w:lineRule="auto"/>
        <w:ind w:left="0" w:right="0" w:firstLine="0"/>
        <w:jc w:val="left"/>
      </w:pPr>
      <w:r>
        <w:t xml:space="preserve">  </w:t>
      </w:r>
    </w:p>
    <w:p w14:paraId="1DC3A31E" w14:textId="30BF7B1D" w:rsidR="00675FC8" w:rsidRDefault="00D92E79">
      <w:pPr>
        <w:numPr>
          <w:ilvl w:val="0"/>
          <w:numId w:val="2"/>
        </w:numPr>
        <w:spacing w:after="32"/>
        <w:ind w:right="0" w:hanging="360"/>
      </w:pPr>
      <w:r>
        <w:t xml:space="preserve">There are two types of </w:t>
      </w:r>
      <w:r w:rsidR="00337A88">
        <w:t>cost centre</w:t>
      </w:r>
      <w:r>
        <w:t xml:space="preserve"> chart field values: </w:t>
      </w:r>
    </w:p>
    <w:p w14:paraId="30E16E5D" w14:textId="3CE2E45F" w:rsidR="00675FC8" w:rsidRDefault="00D92E79" w:rsidP="00D92E79">
      <w:pPr>
        <w:numPr>
          <w:ilvl w:val="2"/>
          <w:numId w:val="13"/>
        </w:numPr>
        <w:ind w:right="0" w:hanging="374"/>
      </w:pPr>
      <w:r>
        <w:t xml:space="preserve">Budgetary </w:t>
      </w:r>
      <w:r w:rsidR="00655FC1">
        <w:t>Cost Centre</w:t>
      </w:r>
      <w:r>
        <w:t xml:space="preserve"> </w:t>
      </w:r>
    </w:p>
    <w:p w14:paraId="0B83CC58" w14:textId="675FEC5F" w:rsidR="00675FC8" w:rsidRDefault="00D92E79" w:rsidP="00D92E79">
      <w:pPr>
        <w:numPr>
          <w:ilvl w:val="2"/>
          <w:numId w:val="13"/>
        </w:numPr>
        <w:ind w:right="0" w:hanging="374"/>
      </w:pPr>
      <w:r>
        <w:t xml:space="preserve">Expenditure </w:t>
      </w:r>
      <w:r w:rsidR="00655FC1">
        <w:t>Cost Centre</w:t>
      </w:r>
      <w:r>
        <w:t xml:space="preserve"> </w:t>
      </w:r>
    </w:p>
    <w:p w14:paraId="159C21FF" w14:textId="53C6D8C3" w:rsidR="00675FC8" w:rsidRDefault="00D92E79" w:rsidP="00D92E79">
      <w:pPr>
        <w:spacing w:after="0" w:line="259" w:lineRule="auto"/>
        <w:ind w:left="720" w:right="0" w:firstLine="0"/>
        <w:jc w:val="left"/>
      </w:pPr>
      <w:r>
        <w:t xml:space="preserve"> </w:t>
      </w:r>
    </w:p>
    <w:p w14:paraId="196239A0" w14:textId="268C4F35" w:rsidR="00675FC8" w:rsidRDefault="00D92E79">
      <w:pPr>
        <w:numPr>
          <w:ilvl w:val="0"/>
          <w:numId w:val="2"/>
        </w:numPr>
        <w:ind w:right="0" w:hanging="360"/>
      </w:pPr>
      <w:r>
        <w:t xml:space="preserve">The Budgetary </w:t>
      </w:r>
      <w:r w:rsidR="00CE374B">
        <w:t>Cost Centre</w:t>
      </w:r>
      <w:r>
        <w:t xml:space="preserve"> codes start with a “B”, preceding the </w:t>
      </w:r>
      <w:r w:rsidR="00CE374B">
        <w:t>cost centre</w:t>
      </w:r>
      <w:r>
        <w:t xml:space="preserve"> code, while the Expenditure </w:t>
      </w:r>
      <w:r w:rsidR="00CE374B">
        <w:t>Cost Centre</w:t>
      </w:r>
      <w:r>
        <w:t xml:space="preserve"> codes are five-digit numeric.  The first three numbers of the expenditure </w:t>
      </w:r>
      <w:r w:rsidR="00B859FC">
        <w:t>cost centre</w:t>
      </w:r>
      <w:r>
        <w:t xml:space="preserve"> code are the same as the last three numbers of the budgetary </w:t>
      </w:r>
      <w:r w:rsidR="00B859FC">
        <w:t>cost centre</w:t>
      </w:r>
      <w:r>
        <w:t xml:space="preserve"> code.  </w:t>
      </w:r>
    </w:p>
    <w:p w14:paraId="79876CA6" w14:textId="77777777" w:rsidR="00675FC8" w:rsidRDefault="00D92E79">
      <w:pPr>
        <w:spacing w:after="22" w:line="259" w:lineRule="auto"/>
        <w:ind w:left="0" w:right="0" w:firstLine="0"/>
        <w:jc w:val="left"/>
      </w:pPr>
      <w:r>
        <w:t xml:space="preserve"> </w:t>
      </w:r>
    </w:p>
    <w:p w14:paraId="039C67E2" w14:textId="16723D30" w:rsidR="00675FC8" w:rsidRDefault="00D92E79">
      <w:pPr>
        <w:numPr>
          <w:ilvl w:val="0"/>
          <w:numId w:val="2"/>
        </w:numPr>
        <w:ind w:right="0" w:hanging="360"/>
      </w:pPr>
      <w:r>
        <w:t xml:space="preserve">Budgetary </w:t>
      </w:r>
      <w:r w:rsidR="003E0982">
        <w:t>cost centre</w:t>
      </w:r>
      <w:r>
        <w:t xml:space="preserve">s are used for budgeting only.  They represent a group of expenditure </w:t>
      </w:r>
      <w:r w:rsidR="00716238">
        <w:t>cost centre</w:t>
      </w:r>
      <w:r>
        <w:t xml:space="preserve">s.  Funds are allocated at budgetary </w:t>
      </w:r>
      <w:r w:rsidR="00716238">
        <w:t>cost centre</w:t>
      </w:r>
      <w:r>
        <w:t xml:space="preserve"> level and any </w:t>
      </w:r>
      <w:r w:rsidR="00046C2F">
        <w:t>cost centre</w:t>
      </w:r>
      <w:r>
        <w:t xml:space="preserve"> within a group of expenditure </w:t>
      </w:r>
      <w:r w:rsidR="00046C2F">
        <w:t>cost centre</w:t>
      </w:r>
      <w:r>
        <w:t xml:space="preserve">s rolling up to the budgetary </w:t>
      </w:r>
      <w:r w:rsidR="00046C2F">
        <w:t>cost centre</w:t>
      </w:r>
      <w:r>
        <w:t xml:space="preserve"> can spend funds assigned to that budgetary </w:t>
      </w:r>
      <w:r w:rsidR="00046C2F">
        <w:t>cost centre</w:t>
      </w:r>
      <w:r>
        <w:t xml:space="preserve">.   </w:t>
      </w:r>
    </w:p>
    <w:p w14:paraId="09539866" w14:textId="77777777" w:rsidR="00675FC8" w:rsidRDefault="00D92E79">
      <w:pPr>
        <w:spacing w:after="23" w:line="259" w:lineRule="auto"/>
        <w:ind w:left="0" w:right="0" w:firstLine="0"/>
        <w:jc w:val="left"/>
      </w:pPr>
      <w:r>
        <w:t xml:space="preserve">  </w:t>
      </w:r>
    </w:p>
    <w:p w14:paraId="73ECAAC3" w14:textId="0DA4164D" w:rsidR="00675FC8" w:rsidRDefault="00D92E79">
      <w:pPr>
        <w:numPr>
          <w:ilvl w:val="0"/>
          <w:numId w:val="2"/>
        </w:numPr>
        <w:ind w:right="0" w:hanging="360"/>
      </w:pPr>
      <w:r>
        <w:t xml:space="preserve">For example, budgetary </w:t>
      </w:r>
      <w:r w:rsidR="006F3ABE">
        <w:t>cost centre</w:t>
      </w:r>
      <w:r>
        <w:t xml:space="preserve"> code B0300 has been issued a budget of $100,000.  Expenditure </w:t>
      </w:r>
      <w:r w:rsidR="00AD152C">
        <w:t>cost centre</w:t>
      </w:r>
      <w:r>
        <w:t xml:space="preserve"> codes ranging from 30001 to 30099 can spend up to $100,000 - the funds allocated to budgetary </w:t>
      </w:r>
      <w:r w:rsidR="000E0E68">
        <w:t>cost centre</w:t>
      </w:r>
      <w:r>
        <w:t xml:space="preserve"> B0300. </w:t>
      </w:r>
    </w:p>
    <w:p w14:paraId="5A7A0EE0" w14:textId="77777777" w:rsidR="00675FC8" w:rsidRDefault="00D92E79">
      <w:pPr>
        <w:spacing w:after="0" w:line="259" w:lineRule="auto"/>
        <w:ind w:left="0" w:right="0" w:firstLine="0"/>
        <w:jc w:val="left"/>
      </w:pPr>
      <w:r>
        <w:t xml:space="preserve">  </w:t>
      </w:r>
    </w:p>
    <w:p w14:paraId="58AEE162" w14:textId="77777777" w:rsidR="00675FC8" w:rsidRDefault="00D92E79">
      <w:pPr>
        <w:spacing w:after="0" w:line="259" w:lineRule="auto"/>
        <w:ind w:left="703" w:right="0" w:hanging="10"/>
        <w:jc w:val="left"/>
      </w:pPr>
      <w:r>
        <w:rPr>
          <w:u w:val="single" w:color="000000"/>
        </w:rPr>
        <w:t>Project</w:t>
      </w:r>
      <w:r>
        <w:t xml:space="preserve"> </w:t>
      </w:r>
    </w:p>
    <w:p w14:paraId="2F856BF4" w14:textId="77777777" w:rsidR="00675FC8" w:rsidRDefault="00D92E79">
      <w:pPr>
        <w:spacing w:after="22" w:line="259" w:lineRule="auto"/>
        <w:ind w:left="0" w:right="0" w:firstLine="0"/>
        <w:jc w:val="left"/>
      </w:pPr>
      <w:r>
        <w:t xml:space="preserve">  </w:t>
      </w:r>
    </w:p>
    <w:p w14:paraId="01D59D53" w14:textId="51DC47A1" w:rsidR="00675FC8" w:rsidRDefault="00D92E79">
      <w:pPr>
        <w:numPr>
          <w:ilvl w:val="0"/>
          <w:numId w:val="2"/>
        </w:numPr>
        <w:ind w:right="0" w:hanging="360"/>
      </w:pPr>
      <w:r>
        <w:t xml:space="preserve">The Project chart field is tied to the </w:t>
      </w:r>
      <w:r w:rsidR="00617496">
        <w:t>Quantum</w:t>
      </w:r>
      <w:r>
        <w:t xml:space="preserve"> Project</w:t>
      </w:r>
      <w:r w:rsidR="00D02DC9">
        <w:t xml:space="preserve"> and Portfolio Manage</w:t>
      </w:r>
      <w:r w:rsidR="00534BF1">
        <w:t>m</w:t>
      </w:r>
      <w:r w:rsidR="00D02DC9">
        <w:t>ent (PPM)</w:t>
      </w:r>
      <w:r>
        <w:t xml:space="preserve"> </w:t>
      </w:r>
      <w:r w:rsidR="009A5996">
        <w:t>subledger</w:t>
      </w:r>
      <w:r>
        <w:t xml:space="preserve"> and used for project accounting.  The Project chart field identifies objectives for projects to which funding sources are applied.  It is essentially used for activities that are temporary in duration and for which revenues and expenditures may be accumulated over more than one fiscal year.  Projects start and end dates may not correspond to a fiscal year.  Beginning and ending dates are entered for the project values that limit financial activity. </w:t>
      </w:r>
    </w:p>
    <w:p w14:paraId="6E465CCB" w14:textId="77777777" w:rsidR="00675FC8" w:rsidRDefault="00D92E79">
      <w:pPr>
        <w:spacing w:after="22" w:line="259" w:lineRule="auto"/>
        <w:ind w:left="0" w:right="0" w:firstLine="0"/>
        <w:jc w:val="left"/>
      </w:pPr>
      <w:r>
        <w:t xml:space="preserve">   </w:t>
      </w:r>
    </w:p>
    <w:p w14:paraId="0249403A" w14:textId="77777777" w:rsidR="00675FC8" w:rsidRDefault="00D92E79">
      <w:pPr>
        <w:numPr>
          <w:ilvl w:val="0"/>
          <w:numId w:val="2"/>
        </w:numPr>
        <w:ind w:right="0" w:hanging="360"/>
      </w:pPr>
      <w:r>
        <w:t xml:space="preserve">The Project chart field is also broken down into specific activities.  This feature facilitates the tracking of project financial information without changing the chart of accounts.  </w:t>
      </w:r>
    </w:p>
    <w:p w14:paraId="5274F0A7" w14:textId="77777777" w:rsidR="00675FC8" w:rsidRDefault="00D92E79">
      <w:pPr>
        <w:spacing w:after="21" w:line="259" w:lineRule="auto"/>
        <w:ind w:left="720" w:right="0" w:firstLine="0"/>
        <w:jc w:val="left"/>
      </w:pPr>
      <w:r>
        <w:t xml:space="preserve"> </w:t>
      </w:r>
    </w:p>
    <w:p w14:paraId="3FCEB791" w14:textId="77777777" w:rsidR="00675FC8" w:rsidRDefault="00D92E79">
      <w:pPr>
        <w:numPr>
          <w:ilvl w:val="0"/>
          <w:numId w:val="2"/>
        </w:numPr>
        <w:ind w:right="0" w:hanging="360"/>
      </w:pPr>
      <w:r>
        <w:t xml:space="preserve">Project is the top level at which budget and expenditure can be recorded and Activity is the lowest budgeting and reporting level for projects. </w:t>
      </w:r>
    </w:p>
    <w:p w14:paraId="1503BD7A" w14:textId="77777777" w:rsidR="00675FC8" w:rsidRDefault="00D92E79">
      <w:pPr>
        <w:spacing w:after="21" w:line="259" w:lineRule="auto"/>
        <w:ind w:left="0" w:right="0" w:firstLine="0"/>
        <w:jc w:val="left"/>
      </w:pPr>
      <w:r>
        <w:t xml:space="preserve">  </w:t>
      </w:r>
    </w:p>
    <w:p w14:paraId="6BCCDD6F" w14:textId="5C678E5D" w:rsidR="00675FC8" w:rsidRDefault="00D92E79">
      <w:pPr>
        <w:numPr>
          <w:ilvl w:val="0"/>
          <w:numId w:val="2"/>
        </w:numPr>
        <w:ind w:right="0" w:hanging="360"/>
      </w:pPr>
      <w:r>
        <w:t xml:space="preserve">Detailed project data (including all chart field values) are maintained in the </w:t>
      </w:r>
      <w:r w:rsidR="005E1C2C">
        <w:t>Quantum</w:t>
      </w:r>
      <w:r>
        <w:t xml:space="preserve"> P</w:t>
      </w:r>
      <w:r w:rsidR="002F734E">
        <w:t>PM</w:t>
      </w:r>
      <w:r>
        <w:t xml:space="preserve"> </w:t>
      </w:r>
      <w:r w:rsidR="009A5996">
        <w:t>subledger</w:t>
      </w:r>
      <w:r>
        <w:t xml:space="preserve"> and tracked at project summary level in the General Ledger. However, the data maintained in the P</w:t>
      </w:r>
      <w:r w:rsidR="00145078">
        <w:t>PM</w:t>
      </w:r>
      <w:r>
        <w:t xml:space="preserve"> </w:t>
      </w:r>
      <w:r w:rsidR="001F6FC5">
        <w:t>subledger</w:t>
      </w:r>
      <w:r>
        <w:t>, is classified by business unit defined at the sub-</w:t>
      </w:r>
      <w:r w:rsidR="001F6FC5">
        <w:t>ledger</w:t>
      </w:r>
      <w:r>
        <w:t xml:space="preserve"> level, providing the flexibility of using different level of project activity based on the requirements </w:t>
      </w:r>
      <w:r>
        <w:lastRenderedPageBreak/>
        <w:t xml:space="preserve">of each business unit.   For instance, using the project business unit feature, projects are classified by project owners (i.e. country office and Headquarters, UNV, etc.) </w:t>
      </w:r>
    </w:p>
    <w:p w14:paraId="5DFC7C6B" w14:textId="77777777" w:rsidR="00675FC8" w:rsidRDefault="00D92E79">
      <w:pPr>
        <w:spacing w:after="20" w:line="259" w:lineRule="auto"/>
        <w:ind w:left="0" w:right="0" w:firstLine="0"/>
        <w:jc w:val="left"/>
      </w:pPr>
      <w:r>
        <w:t xml:space="preserve">  </w:t>
      </w:r>
    </w:p>
    <w:p w14:paraId="65AA8C8E" w14:textId="77777777" w:rsidR="00675FC8" w:rsidRDefault="00D92E79">
      <w:pPr>
        <w:numPr>
          <w:ilvl w:val="0"/>
          <w:numId w:val="2"/>
        </w:numPr>
        <w:spacing w:after="34"/>
        <w:ind w:right="0" w:hanging="360"/>
      </w:pPr>
      <w:r>
        <w:t xml:space="preserve">There are generally three types of projects: </w:t>
      </w:r>
    </w:p>
    <w:p w14:paraId="2EF5DF3F" w14:textId="77777777" w:rsidR="00675FC8" w:rsidRDefault="00D92E79" w:rsidP="00D92E79">
      <w:pPr>
        <w:numPr>
          <w:ilvl w:val="1"/>
          <w:numId w:val="14"/>
        </w:numPr>
        <w:ind w:right="0" w:hanging="374"/>
      </w:pPr>
      <w:r>
        <w:t xml:space="preserve">Development Projects - funded from core, trust fund or cost sharing resources;  </w:t>
      </w:r>
    </w:p>
    <w:p w14:paraId="4DC0169E" w14:textId="77777777" w:rsidR="00675FC8" w:rsidRDefault="00D92E79" w:rsidP="00D92E79">
      <w:pPr>
        <w:numPr>
          <w:ilvl w:val="1"/>
          <w:numId w:val="14"/>
        </w:numPr>
        <w:spacing w:after="34"/>
        <w:ind w:right="0" w:hanging="374"/>
      </w:pPr>
      <w:r>
        <w:t xml:space="preserve">Management Projects - mostly funded from biennial support budget or extra-budgetary funds;  </w:t>
      </w:r>
    </w:p>
    <w:p w14:paraId="50F54D7D" w14:textId="77777777" w:rsidR="00675FC8" w:rsidRDefault="00D92E79" w:rsidP="00D92E79">
      <w:pPr>
        <w:numPr>
          <w:ilvl w:val="1"/>
          <w:numId w:val="14"/>
        </w:numPr>
        <w:spacing w:after="63"/>
        <w:ind w:right="0" w:hanging="374"/>
      </w:pPr>
      <w:r>
        <w:t xml:space="preserve">Cost Recovery Projects -used for transactions processed on behalf of UN agencies. </w:t>
      </w:r>
    </w:p>
    <w:p w14:paraId="7327A50A" w14:textId="77777777" w:rsidR="00D92E79" w:rsidRDefault="00D92E79">
      <w:pPr>
        <w:spacing w:after="0" w:line="259" w:lineRule="auto"/>
        <w:ind w:left="703" w:right="0" w:hanging="10"/>
        <w:jc w:val="left"/>
        <w:rPr>
          <w:u w:val="single" w:color="000000"/>
        </w:rPr>
      </w:pPr>
    </w:p>
    <w:p w14:paraId="34B5048B" w14:textId="641BE94A" w:rsidR="00675FC8" w:rsidRDefault="00D92E79">
      <w:pPr>
        <w:spacing w:after="0" w:line="259" w:lineRule="auto"/>
        <w:ind w:left="703" w:right="0" w:hanging="10"/>
        <w:jc w:val="left"/>
      </w:pPr>
      <w:r>
        <w:rPr>
          <w:u w:val="single" w:color="000000"/>
        </w:rPr>
        <w:t>I</w:t>
      </w:r>
      <w:r w:rsidR="004C44DF">
        <w:rPr>
          <w:u w:val="single" w:color="000000"/>
        </w:rPr>
        <w:t>nter</w:t>
      </w:r>
      <w:r w:rsidR="00053D9B">
        <w:rPr>
          <w:u w:val="single" w:color="000000"/>
        </w:rPr>
        <w:t>a</w:t>
      </w:r>
      <w:r>
        <w:rPr>
          <w:u w:val="single" w:color="000000"/>
        </w:rPr>
        <w:t>gency</w:t>
      </w:r>
      <w:r>
        <w:t xml:space="preserve">  </w:t>
      </w:r>
    </w:p>
    <w:p w14:paraId="44B50B19" w14:textId="77777777" w:rsidR="00675FC8" w:rsidRDefault="00D92E79">
      <w:pPr>
        <w:spacing w:after="21" w:line="259" w:lineRule="auto"/>
        <w:ind w:left="0" w:right="0" w:firstLine="0"/>
        <w:jc w:val="left"/>
      </w:pPr>
      <w:r>
        <w:t xml:space="preserve">  </w:t>
      </w:r>
    </w:p>
    <w:p w14:paraId="2E2170F0" w14:textId="1137F488" w:rsidR="00675FC8" w:rsidRDefault="00D92E79">
      <w:pPr>
        <w:numPr>
          <w:ilvl w:val="0"/>
          <w:numId w:val="2"/>
        </w:numPr>
        <w:ind w:right="0" w:hanging="360"/>
      </w:pPr>
      <w:r>
        <w:t>The I</w:t>
      </w:r>
      <w:r w:rsidR="004C44DF">
        <w:t>nter</w:t>
      </w:r>
      <w:r>
        <w:t xml:space="preserve"> Agency chart field is </w:t>
      </w:r>
      <w:r w:rsidR="000E02F6">
        <w:t xml:space="preserve">used for inter-unit accounting and is populated during journal processing, when inter-office or inter-fund transactions are being processed. </w:t>
      </w:r>
      <w:r w:rsidR="00D90D2B">
        <w:t>Quantum</w:t>
      </w:r>
      <w:r w:rsidR="000E02F6">
        <w:t xml:space="preserve"> provides the capability to record all inter-office or inter-fund generated journals in a single intra-fund, intra-operating unit or inter-unit with other GL </w:t>
      </w:r>
      <w:r w:rsidR="00B57201">
        <w:t>Agency</w:t>
      </w:r>
      <w:r w:rsidR="000E02F6">
        <w:t xml:space="preserve"> and track the </w:t>
      </w:r>
      <w:r w:rsidR="00B57201">
        <w:t>interagency</w:t>
      </w:r>
      <w:r w:rsidR="000E02F6">
        <w:t xml:space="preserve"> fund, office or agency using the </w:t>
      </w:r>
      <w:r w:rsidR="00FE7B46">
        <w:t>interagency</w:t>
      </w:r>
      <w:r w:rsidR="000E02F6">
        <w:t xml:space="preserve"> field.  For instance, if UNDP makes payment out of its bank on behalf of another UN agency, the </w:t>
      </w:r>
      <w:r w:rsidR="00693CFE">
        <w:t>inter</w:t>
      </w:r>
      <w:r w:rsidR="0069398B">
        <w:t>-</w:t>
      </w:r>
      <w:r w:rsidR="00693CFE">
        <w:t>agency</w:t>
      </w:r>
      <w:r w:rsidR="000E02F6">
        <w:t xml:space="preserve"> chart field in UNDP records would capture the name of another agency.  </w:t>
      </w:r>
    </w:p>
    <w:p w14:paraId="50B85352" w14:textId="00A510BF" w:rsidR="00675FC8" w:rsidRDefault="00D92E79" w:rsidP="00D92E79">
      <w:pPr>
        <w:spacing w:after="0" w:line="259" w:lineRule="auto"/>
        <w:ind w:left="0" w:right="0" w:firstLine="0"/>
        <w:jc w:val="left"/>
      </w:pPr>
      <w:r>
        <w:t xml:space="preserve">   </w:t>
      </w:r>
    </w:p>
    <w:p w14:paraId="2DE0CE94" w14:textId="77777777" w:rsidR="00675FC8" w:rsidRDefault="00D92E79">
      <w:pPr>
        <w:spacing w:after="0" w:line="259" w:lineRule="auto"/>
        <w:ind w:left="703" w:right="0" w:hanging="10"/>
        <w:jc w:val="left"/>
      </w:pPr>
      <w:r>
        <w:rPr>
          <w:u w:val="single" w:color="000000"/>
        </w:rPr>
        <w:t>Donor</w:t>
      </w:r>
      <w:r>
        <w:t xml:space="preserve">  </w:t>
      </w:r>
    </w:p>
    <w:p w14:paraId="424B2599" w14:textId="77777777" w:rsidR="00675FC8" w:rsidRDefault="00D92E79">
      <w:pPr>
        <w:spacing w:after="22" w:line="259" w:lineRule="auto"/>
        <w:ind w:left="0" w:right="0" w:firstLine="0"/>
        <w:jc w:val="left"/>
      </w:pPr>
      <w:r>
        <w:t xml:space="preserve">  </w:t>
      </w:r>
    </w:p>
    <w:p w14:paraId="52BF900E" w14:textId="3FDF7AB7" w:rsidR="00675FC8" w:rsidRDefault="00D92E79">
      <w:pPr>
        <w:numPr>
          <w:ilvl w:val="0"/>
          <w:numId w:val="2"/>
        </w:numPr>
        <w:ind w:right="0" w:hanging="360"/>
      </w:pPr>
      <w:r>
        <w:t>The Donor chart field is used to track donors' revenue as well as expenses apportioned to different donors/funding sources and to facilitate donor reporting. All projects funded on cost</w:t>
      </w:r>
      <w:r w:rsidR="005E49F3">
        <w:t xml:space="preserve"> </w:t>
      </w:r>
      <w:r>
        <w:t xml:space="preserve">sharing basis (or project level co-financing) should show the correct donor at all times.  This is critical for donor reporting.   </w:t>
      </w:r>
    </w:p>
    <w:p w14:paraId="3179BD23" w14:textId="77777777" w:rsidR="00675FC8" w:rsidRDefault="00D92E79">
      <w:pPr>
        <w:spacing w:after="21" w:line="259" w:lineRule="auto"/>
        <w:ind w:left="0" w:right="0" w:firstLine="0"/>
        <w:jc w:val="left"/>
      </w:pPr>
      <w:r>
        <w:t xml:space="preserve">  </w:t>
      </w:r>
    </w:p>
    <w:p w14:paraId="00514A6E" w14:textId="22335270" w:rsidR="00675FC8" w:rsidRDefault="00D92E79">
      <w:pPr>
        <w:numPr>
          <w:ilvl w:val="0"/>
          <w:numId w:val="2"/>
        </w:numPr>
        <w:ind w:right="0" w:hanging="360"/>
      </w:pPr>
      <w:r>
        <w:t>Starting from 2006, the donor code for cost-sharing, as well as certain trust funds (e.g. European Commission) is also part of the chart-fields used for budgetary control.  Other funds, viz. regular resources and the other trust funds (or fund level co-financing) are managed through allocation.  The donor field for such funds would be ‘UNDP' donor, i.e. ‘</w:t>
      </w:r>
      <w:r w:rsidR="0044046B">
        <w:t>0</w:t>
      </w:r>
      <w:r>
        <w:t xml:space="preserve">00012'.   </w:t>
      </w:r>
    </w:p>
    <w:p w14:paraId="05518389" w14:textId="77777777" w:rsidR="00675FC8" w:rsidRDefault="00D92E79">
      <w:pPr>
        <w:spacing w:after="0" w:line="259" w:lineRule="auto"/>
        <w:ind w:left="0" w:right="0" w:firstLine="0"/>
        <w:jc w:val="left"/>
      </w:pPr>
      <w:r>
        <w:t xml:space="preserve">  </w:t>
      </w:r>
    </w:p>
    <w:p w14:paraId="28C03003" w14:textId="77777777" w:rsidR="00675FC8" w:rsidRDefault="00D92E79">
      <w:pPr>
        <w:pStyle w:val="Heading1"/>
        <w:ind w:left="-5"/>
      </w:pPr>
      <w:r>
        <w:t>Other important fields</w:t>
      </w:r>
      <w:r>
        <w:rPr>
          <w:b w:val="0"/>
        </w:rPr>
        <w:t xml:space="preserve">    </w:t>
      </w:r>
    </w:p>
    <w:p w14:paraId="1DD8A52B" w14:textId="372A5D2C" w:rsidR="00675FC8" w:rsidRDefault="00D92E79">
      <w:pPr>
        <w:spacing w:after="0" w:line="259" w:lineRule="auto"/>
        <w:ind w:left="0" w:right="0" w:firstLine="0"/>
        <w:jc w:val="left"/>
      </w:pPr>
      <w:r>
        <w:t xml:space="preserve">  </w:t>
      </w:r>
    </w:p>
    <w:p w14:paraId="22B37550" w14:textId="77777777" w:rsidR="00675FC8" w:rsidRDefault="00D92E79">
      <w:pPr>
        <w:spacing w:after="0" w:line="259" w:lineRule="auto"/>
        <w:ind w:left="703" w:right="0" w:hanging="10"/>
        <w:jc w:val="left"/>
      </w:pPr>
      <w:r>
        <w:rPr>
          <w:u w:val="single" w:color="000000"/>
        </w:rPr>
        <w:t>Budget Period</w:t>
      </w:r>
      <w:r>
        <w:t xml:space="preserve">  </w:t>
      </w:r>
    </w:p>
    <w:p w14:paraId="1BB4643A" w14:textId="77777777" w:rsidR="00675FC8" w:rsidRDefault="00D92E79">
      <w:pPr>
        <w:spacing w:after="22" w:line="259" w:lineRule="auto"/>
        <w:ind w:left="0" w:right="0" w:firstLine="0"/>
        <w:jc w:val="left"/>
      </w:pPr>
      <w:r>
        <w:t xml:space="preserve">  </w:t>
      </w:r>
    </w:p>
    <w:p w14:paraId="4C3779CE" w14:textId="4C350BAA" w:rsidR="00675FC8" w:rsidRDefault="00D92E79" w:rsidP="00ED475F">
      <w:pPr>
        <w:numPr>
          <w:ilvl w:val="0"/>
          <w:numId w:val="7"/>
        </w:numPr>
        <w:ind w:right="0" w:hanging="360"/>
      </w:pPr>
      <w:r>
        <w:t xml:space="preserve">The Budget Period field is required for maintaining budget entries and identifying a period for budgeting purposes. The Budget Period will ensure that those transactions that affect budgets fall within the defined start and end dates.   </w:t>
      </w:r>
    </w:p>
    <w:p w14:paraId="661CBB79" w14:textId="676AB902" w:rsidR="00675FC8" w:rsidRDefault="00675FC8">
      <w:pPr>
        <w:spacing w:after="0" w:line="259" w:lineRule="auto"/>
        <w:ind w:left="0" w:right="0" w:firstLine="0"/>
        <w:jc w:val="left"/>
      </w:pPr>
    </w:p>
    <w:p w14:paraId="609B1AF5" w14:textId="77777777" w:rsidR="00675FC8" w:rsidRDefault="00D92E79">
      <w:pPr>
        <w:spacing w:after="0" w:line="259" w:lineRule="auto"/>
        <w:ind w:left="703" w:right="0" w:hanging="10"/>
        <w:jc w:val="left"/>
      </w:pPr>
      <w:r>
        <w:rPr>
          <w:u w:val="single" w:color="000000"/>
        </w:rPr>
        <w:t>Currency Code</w:t>
      </w:r>
      <w:r>
        <w:t xml:space="preserve">  </w:t>
      </w:r>
    </w:p>
    <w:p w14:paraId="0B32AF27" w14:textId="77777777" w:rsidR="00675FC8" w:rsidRDefault="00D92E79">
      <w:pPr>
        <w:spacing w:after="23" w:line="259" w:lineRule="auto"/>
        <w:ind w:left="0" w:right="0" w:firstLine="0"/>
        <w:jc w:val="left"/>
      </w:pPr>
      <w:r>
        <w:t xml:space="preserve">  </w:t>
      </w:r>
    </w:p>
    <w:p w14:paraId="22A9A63D" w14:textId="6760962C" w:rsidR="00675FC8" w:rsidRDefault="00D92E79">
      <w:pPr>
        <w:numPr>
          <w:ilvl w:val="0"/>
          <w:numId w:val="7"/>
        </w:numPr>
        <w:ind w:right="0" w:hanging="360"/>
      </w:pPr>
      <w:r>
        <w:t xml:space="preserve">Currency code is a PeopleSoft-delivered field used to facilitate multi-currency processing.  Multicurrency will be used in all </w:t>
      </w:r>
      <w:r w:rsidR="00AE4229">
        <w:t>Quantum</w:t>
      </w:r>
      <w:r>
        <w:t xml:space="preserve"> financial </w:t>
      </w:r>
      <w:r w:rsidR="00CC1B8A">
        <w:t>subledger</w:t>
      </w:r>
      <w:r>
        <w:t xml:space="preserve">s.  </w:t>
      </w:r>
    </w:p>
    <w:p w14:paraId="58388D7A" w14:textId="77777777" w:rsidR="00675FC8" w:rsidRDefault="00D92E79">
      <w:pPr>
        <w:spacing w:after="0" w:line="259" w:lineRule="auto"/>
        <w:ind w:left="0" w:right="0" w:firstLine="0"/>
        <w:jc w:val="left"/>
      </w:pPr>
      <w:r>
        <w:t xml:space="preserve">  </w:t>
      </w:r>
    </w:p>
    <w:p w14:paraId="17C005A3" w14:textId="77777777" w:rsidR="00675FC8" w:rsidRDefault="00D92E79">
      <w:pPr>
        <w:spacing w:after="0" w:line="259" w:lineRule="auto"/>
        <w:ind w:left="703" w:right="0" w:hanging="10"/>
        <w:jc w:val="left"/>
      </w:pPr>
      <w:r>
        <w:rPr>
          <w:u w:val="single" w:color="000000"/>
        </w:rPr>
        <w:t>Fiscal Year and Accounting Period</w:t>
      </w:r>
      <w:r>
        <w:t xml:space="preserve"> </w:t>
      </w:r>
    </w:p>
    <w:p w14:paraId="3819168F" w14:textId="77777777" w:rsidR="00675FC8" w:rsidRDefault="00D92E79">
      <w:pPr>
        <w:spacing w:after="20" w:line="259" w:lineRule="auto"/>
        <w:ind w:left="0" w:right="0" w:firstLine="0"/>
        <w:jc w:val="left"/>
      </w:pPr>
      <w:r>
        <w:t xml:space="preserve">  </w:t>
      </w:r>
    </w:p>
    <w:p w14:paraId="01EB8F1E" w14:textId="7F6E0A58" w:rsidR="00675FC8" w:rsidRDefault="00D92E79">
      <w:pPr>
        <w:numPr>
          <w:ilvl w:val="0"/>
          <w:numId w:val="7"/>
        </w:numPr>
        <w:ind w:right="0" w:hanging="360"/>
      </w:pPr>
      <w:r>
        <w:lastRenderedPageBreak/>
        <w:t xml:space="preserve">All transactions within PeopleSoft are posted by fiscal year and accounting period, based on user-defined processing calendars.  There is only one calendar identified in </w:t>
      </w:r>
      <w:r w:rsidR="00DE7F4F">
        <w:t>Quantum</w:t>
      </w:r>
      <w:r>
        <w:t xml:space="preserve"> - a fiscal year (January 1 to December 31).  Other calendars may be built as needed and will be used for appropriate reporting. </w:t>
      </w:r>
    </w:p>
    <w:p w14:paraId="3DC3B5B9" w14:textId="77777777" w:rsidR="00675FC8" w:rsidRDefault="00D92E79">
      <w:pPr>
        <w:spacing w:after="0" w:line="259" w:lineRule="auto"/>
        <w:ind w:left="0" w:right="0" w:firstLine="0"/>
        <w:jc w:val="left"/>
      </w:pPr>
      <w:r>
        <w:t xml:space="preserve">  </w:t>
      </w:r>
    </w:p>
    <w:p w14:paraId="68FB83DA" w14:textId="77777777" w:rsidR="00675FC8" w:rsidRDefault="00D92E79">
      <w:pPr>
        <w:spacing w:after="0" w:line="259" w:lineRule="auto"/>
        <w:ind w:left="703" w:right="0" w:hanging="10"/>
        <w:jc w:val="left"/>
      </w:pPr>
      <w:r>
        <w:rPr>
          <w:u w:val="single" w:color="000000"/>
        </w:rPr>
        <w:t>Ledgers</w:t>
      </w:r>
      <w:r>
        <w:t xml:space="preserve"> </w:t>
      </w:r>
    </w:p>
    <w:p w14:paraId="60E71D73" w14:textId="77777777" w:rsidR="00675FC8" w:rsidRDefault="00D92E79">
      <w:pPr>
        <w:spacing w:after="20" w:line="259" w:lineRule="auto"/>
        <w:ind w:left="0" w:right="0" w:firstLine="0"/>
        <w:jc w:val="left"/>
      </w:pPr>
      <w:r>
        <w:t xml:space="preserve">  </w:t>
      </w:r>
    </w:p>
    <w:p w14:paraId="4B65FBB6" w14:textId="6A7376FF" w:rsidR="00675FC8" w:rsidRDefault="00D92E79" w:rsidP="00ED475F">
      <w:pPr>
        <w:numPr>
          <w:ilvl w:val="0"/>
          <w:numId w:val="7"/>
        </w:numPr>
        <w:ind w:right="0" w:hanging="360"/>
      </w:pPr>
      <w:r>
        <w:t>Ledgers are associated directly with a</w:t>
      </w:r>
      <w:r w:rsidR="00C1090C">
        <w:t>n</w:t>
      </w:r>
      <w:r w:rsidR="00DE7F4F">
        <w:t xml:space="preserve"> agency</w:t>
      </w:r>
      <w:r>
        <w:t xml:space="preserve"> and store posted amounts by ledger classification.  </w:t>
      </w:r>
      <w:r w:rsidR="000A6D0E">
        <w:t>I</w:t>
      </w:r>
      <w:r w:rsidR="00264C4A">
        <w:t>n Quantum</w:t>
      </w:r>
      <w:r w:rsidR="00C962AA">
        <w:t>, UNDP</w:t>
      </w:r>
      <w:r w:rsidR="00264C4A">
        <w:t xml:space="preserve"> ha</w:t>
      </w:r>
      <w:r w:rsidR="00C962AA">
        <w:t>s</w:t>
      </w:r>
      <w:r w:rsidR="00264C4A">
        <w:t xml:space="preserve"> </w:t>
      </w:r>
      <w:r w:rsidR="00C1090C">
        <w:t xml:space="preserve">USD </w:t>
      </w:r>
      <w:r w:rsidR="00264C4A">
        <w:t>primary ledger to record</w:t>
      </w:r>
      <w:r w:rsidR="00DD6F2D">
        <w:t xml:space="preserve"> financial transaction</w:t>
      </w:r>
      <w:r w:rsidR="004B0039">
        <w:t>s</w:t>
      </w:r>
      <w:r w:rsidR="00DD6F2D">
        <w:t xml:space="preserve"> </w:t>
      </w:r>
      <w:r w:rsidR="00366B39">
        <w:t>from all subledgers (payables, fixed assets, project, receivables</w:t>
      </w:r>
      <w:r w:rsidR="005D515B">
        <w:t xml:space="preserve">, </w:t>
      </w:r>
      <w:r w:rsidR="00366B39">
        <w:t>payroll</w:t>
      </w:r>
      <w:r w:rsidR="005D515B">
        <w:t xml:space="preserve"> and cash management</w:t>
      </w:r>
      <w:r w:rsidR="00366B39">
        <w:t xml:space="preserve">) </w:t>
      </w:r>
      <w:r w:rsidR="00DD6F2D">
        <w:t>and</w:t>
      </w:r>
      <w:r w:rsidR="00C1090C">
        <w:t xml:space="preserve"> USD secondary ledger </w:t>
      </w:r>
      <w:r w:rsidR="001D01FA">
        <w:t xml:space="preserve">limit </w:t>
      </w:r>
      <w:r w:rsidR="00C1090C">
        <w:t xml:space="preserve">to record corporate </w:t>
      </w:r>
      <w:r w:rsidR="004B0039">
        <w:t>transactions only</w:t>
      </w:r>
      <w:r w:rsidR="00C1090C">
        <w:t xml:space="preserve">. </w:t>
      </w:r>
    </w:p>
    <w:p w14:paraId="5ECD18A1" w14:textId="7921CF6D" w:rsidR="00675FC8" w:rsidRDefault="00675FC8">
      <w:pPr>
        <w:spacing w:after="44" w:line="259" w:lineRule="auto"/>
        <w:ind w:left="720" w:right="0" w:firstLine="0"/>
        <w:jc w:val="left"/>
      </w:pPr>
    </w:p>
    <w:p w14:paraId="53F4CEBE" w14:textId="211F826F" w:rsidR="00675FC8" w:rsidRDefault="00D92E79">
      <w:pPr>
        <w:numPr>
          <w:ilvl w:val="0"/>
          <w:numId w:val="7"/>
        </w:numPr>
        <w:ind w:right="0" w:hanging="360"/>
      </w:pPr>
      <w:r>
        <w:t xml:space="preserve">Ledgers are defined as “balanced”, so the system will enforce edits to ensure that dollar journals are in balance for “Actuals”. The period(s) open for journal processing is (are) also defined at the ledger level by </w:t>
      </w:r>
      <w:r w:rsidR="000D0D20">
        <w:t>agency</w:t>
      </w:r>
      <w:r>
        <w:t xml:space="preserve">. Journal error handling, combination edit processing options, currency options and approval options are also defined at this level. </w:t>
      </w:r>
    </w:p>
    <w:p w14:paraId="42DBAA47" w14:textId="77777777" w:rsidR="00BC133B" w:rsidRDefault="00BC133B" w:rsidP="00BC133B">
      <w:pPr>
        <w:ind w:left="705" w:right="0" w:firstLine="0"/>
      </w:pPr>
    </w:p>
    <w:p w14:paraId="76B4FE88" w14:textId="1E86BBDE" w:rsidR="00AD3F0E" w:rsidRDefault="00D778C5" w:rsidP="00AD3F0E">
      <w:pPr>
        <w:spacing w:after="0" w:line="259" w:lineRule="auto"/>
        <w:ind w:left="703" w:right="0" w:hanging="10"/>
        <w:jc w:val="left"/>
      </w:pPr>
      <w:r>
        <w:rPr>
          <w:u w:val="single" w:color="000000"/>
        </w:rPr>
        <w:t>Responsible Party</w:t>
      </w:r>
      <w:r w:rsidR="00AD3F0E">
        <w:t xml:space="preserve"> </w:t>
      </w:r>
    </w:p>
    <w:p w14:paraId="13D980C9" w14:textId="50DB9D49" w:rsidR="00BC133B" w:rsidRDefault="00D54756">
      <w:pPr>
        <w:numPr>
          <w:ilvl w:val="0"/>
          <w:numId w:val="7"/>
        </w:numPr>
        <w:ind w:right="0" w:hanging="360"/>
      </w:pPr>
      <w:r>
        <w:t>The respon</w:t>
      </w:r>
      <w:r w:rsidR="00883F09">
        <w:t>sible party (or implementing agent</w:t>
      </w:r>
      <w:r w:rsidR="004310E2">
        <w:t xml:space="preserve"> </w:t>
      </w:r>
      <w:r w:rsidR="00F82798">
        <w:t xml:space="preserve">as was known </w:t>
      </w:r>
      <w:r w:rsidR="004310E2">
        <w:t>in ATLAS</w:t>
      </w:r>
      <w:r w:rsidR="00883F09">
        <w:t xml:space="preserve">) </w:t>
      </w:r>
      <w:r w:rsidR="00F82798">
        <w:t xml:space="preserve">is </w:t>
      </w:r>
      <w:r w:rsidR="00883F09">
        <w:t>used to track advances and payment</w:t>
      </w:r>
      <w:r w:rsidR="00EC51F3">
        <w:t xml:space="preserve">s made </w:t>
      </w:r>
      <w:r w:rsidR="00F82798">
        <w:t>to</w:t>
      </w:r>
      <w:r w:rsidR="00EC51F3">
        <w:t xml:space="preserve"> </w:t>
      </w:r>
      <w:r w:rsidR="00F81E82">
        <w:t>the implementing</w:t>
      </w:r>
      <w:r w:rsidR="00EC51F3">
        <w:t xml:space="preserve"> agency. This is </w:t>
      </w:r>
      <w:r w:rsidR="00F82798">
        <w:t xml:space="preserve">a </w:t>
      </w:r>
      <w:r w:rsidR="00EC51F3">
        <w:t xml:space="preserve">required field </w:t>
      </w:r>
      <w:r w:rsidR="00AF0D00">
        <w:t xml:space="preserve">for expenses charged to all UNDP projects. </w:t>
      </w:r>
      <w:r w:rsidR="007D59F1">
        <w:t xml:space="preserve">In Quantum, this field is no longer a GL COA but </w:t>
      </w:r>
      <w:r w:rsidR="002008DE">
        <w:t>modelled as vendor</w:t>
      </w:r>
      <w:r w:rsidR="007D59F1">
        <w:t xml:space="preserve"> in </w:t>
      </w:r>
      <w:r w:rsidR="00C0781D">
        <w:t>Project and Portfolio Management (PPM)</w:t>
      </w:r>
    </w:p>
    <w:p w14:paraId="7AE803BD" w14:textId="77777777" w:rsidR="000459A1" w:rsidRDefault="000459A1" w:rsidP="000459A1">
      <w:pPr>
        <w:ind w:left="705" w:right="0" w:firstLine="0"/>
      </w:pPr>
    </w:p>
    <w:p w14:paraId="31D25410" w14:textId="244D6272" w:rsidR="000459A1" w:rsidRDefault="000459A1" w:rsidP="000459A1">
      <w:pPr>
        <w:spacing w:after="0" w:line="259" w:lineRule="auto"/>
        <w:ind w:left="703" w:right="0" w:hanging="10"/>
        <w:jc w:val="left"/>
      </w:pPr>
      <w:r>
        <w:rPr>
          <w:u w:val="single" w:color="000000"/>
        </w:rPr>
        <w:t>Task id</w:t>
      </w:r>
      <w:r>
        <w:t xml:space="preserve"> </w:t>
      </w:r>
    </w:p>
    <w:p w14:paraId="7E91BCC4" w14:textId="5450AD3F" w:rsidR="000459A1" w:rsidRDefault="004310E2">
      <w:pPr>
        <w:numPr>
          <w:ilvl w:val="0"/>
          <w:numId w:val="7"/>
        </w:numPr>
        <w:ind w:right="0" w:hanging="360"/>
      </w:pPr>
      <w:r>
        <w:t xml:space="preserve">The task id (or activity id </w:t>
      </w:r>
      <w:r w:rsidR="00F343AB">
        <w:t xml:space="preserve">as was known </w:t>
      </w:r>
      <w:r>
        <w:t xml:space="preserve">in ATLAS) </w:t>
      </w:r>
      <w:r w:rsidR="008A30D6">
        <w:t>detail</w:t>
      </w:r>
      <w:r w:rsidR="00F343AB">
        <w:t>s</w:t>
      </w:r>
      <w:r w:rsidR="008A30D6">
        <w:t xml:space="preserve"> the task breakdown </w:t>
      </w:r>
      <w:r w:rsidR="008E59DE">
        <w:t>of the project and</w:t>
      </w:r>
      <w:r>
        <w:t xml:space="preserve"> </w:t>
      </w:r>
      <w:r w:rsidR="00EE6D2D">
        <w:t xml:space="preserve">output. In Quantum, </w:t>
      </w:r>
      <w:r w:rsidR="00624B68">
        <w:t>this field is no longer a GL COA but will be tracked in Project and Portfolio Management (PPM).</w:t>
      </w:r>
    </w:p>
    <w:p w14:paraId="2BFB3732" w14:textId="77777777" w:rsidR="00675FC8" w:rsidRDefault="00D92E79">
      <w:pPr>
        <w:spacing w:after="0" w:line="259" w:lineRule="auto"/>
        <w:ind w:left="0" w:right="0" w:firstLine="0"/>
        <w:jc w:val="left"/>
      </w:pPr>
      <w:r>
        <w:rPr>
          <w:b/>
        </w:rPr>
        <w:t xml:space="preserve"> </w:t>
      </w:r>
    </w:p>
    <w:p w14:paraId="2F89B02B" w14:textId="77777777" w:rsidR="00675FC8" w:rsidRDefault="00D92E79">
      <w:pPr>
        <w:spacing w:after="0" w:line="259" w:lineRule="auto"/>
        <w:ind w:left="-5" w:right="0" w:hanging="10"/>
        <w:jc w:val="left"/>
      </w:pPr>
      <w:r>
        <w:rPr>
          <w:b/>
        </w:rPr>
        <w:t>Chart fields</w:t>
      </w:r>
      <w:r>
        <w:t xml:space="preserve"> </w:t>
      </w:r>
    </w:p>
    <w:p w14:paraId="20FB3384" w14:textId="77777777" w:rsidR="00675FC8" w:rsidRDefault="00D92E79">
      <w:pPr>
        <w:spacing w:after="19" w:line="259" w:lineRule="auto"/>
        <w:ind w:left="0" w:right="0" w:firstLine="0"/>
        <w:jc w:val="left"/>
      </w:pPr>
      <w:r>
        <w:t xml:space="preserve">  </w:t>
      </w:r>
    </w:p>
    <w:p w14:paraId="3F7D6D23" w14:textId="2EB9F266" w:rsidR="00675FC8" w:rsidRDefault="00D92E79">
      <w:pPr>
        <w:numPr>
          <w:ilvl w:val="0"/>
          <w:numId w:val="7"/>
        </w:numPr>
        <w:ind w:right="0" w:hanging="360"/>
      </w:pPr>
      <w:r>
        <w:t xml:space="preserve">Any changes to the chart fields must be approved by OFM.  </w:t>
      </w:r>
    </w:p>
    <w:p w14:paraId="0FB239F1" w14:textId="77777777" w:rsidR="00675FC8" w:rsidRDefault="00D92E79">
      <w:pPr>
        <w:spacing w:after="0" w:line="259" w:lineRule="auto"/>
        <w:ind w:left="0" w:right="0" w:firstLine="0"/>
        <w:jc w:val="left"/>
      </w:pPr>
      <w:r>
        <w:t xml:space="preserve"> </w:t>
      </w:r>
    </w:p>
    <w:p w14:paraId="430CAD6C" w14:textId="77777777" w:rsidR="00675FC8" w:rsidRDefault="00D92E79">
      <w:pPr>
        <w:pStyle w:val="Heading1"/>
        <w:ind w:left="-5"/>
      </w:pPr>
      <w:r>
        <w:t>Account Code</w:t>
      </w:r>
      <w:r>
        <w:rPr>
          <w:b w:val="0"/>
        </w:rPr>
        <w:t xml:space="preserve"> </w:t>
      </w:r>
    </w:p>
    <w:p w14:paraId="4023D740" w14:textId="77777777" w:rsidR="00675FC8" w:rsidRDefault="00D92E79">
      <w:pPr>
        <w:spacing w:after="16" w:line="259" w:lineRule="auto"/>
        <w:ind w:left="0" w:right="0" w:firstLine="0"/>
        <w:jc w:val="left"/>
      </w:pPr>
      <w:r>
        <w:t xml:space="preserve">  </w:t>
      </w:r>
    </w:p>
    <w:p w14:paraId="42F7173E" w14:textId="1232BF12" w:rsidR="00675FC8" w:rsidRDefault="00FA30AE" w:rsidP="00ED475F">
      <w:pPr>
        <w:pStyle w:val="ListParagraph"/>
        <w:numPr>
          <w:ilvl w:val="0"/>
          <w:numId w:val="7"/>
        </w:numPr>
        <w:ind w:left="709" w:right="0" w:hanging="425"/>
      </w:pPr>
      <w:r>
        <w:t>T</w:t>
      </w:r>
      <w:r w:rsidR="00D92E79">
        <w:t xml:space="preserve">he chart field table for account codes </w:t>
      </w:r>
      <w:r>
        <w:t>is local segment</w:t>
      </w:r>
      <w:r w:rsidR="00D92E79">
        <w:t xml:space="preserve"> for all </w:t>
      </w:r>
      <w:r>
        <w:t>Agencies in Quantum</w:t>
      </w:r>
      <w:r w:rsidR="00783BD6">
        <w:t xml:space="preserve">, hence, each agencies can </w:t>
      </w:r>
      <w:r w:rsidR="003C32E3">
        <w:t xml:space="preserve">add, </w:t>
      </w:r>
      <w:r w:rsidR="00783BD6">
        <w:t>modify</w:t>
      </w:r>
      <w:r w:rsidR="003C32E3">
        <w:t xml:space="preserve"> or delete</w:t>
      </w:r>
      <w:r w:rsidR="008B69D2">
        <w:t xml:space="preserve"> the account code.</w:t>
      </w:r>
      <w:r w:rsidR="00D92E79" w:rsidRPr="00A7153F">
        <w:rPr>
          <w:b/>
        </w:rPr>
        <w:t xml:space="preserve"> </w:t>
      </w:r>
    </w:p>
    <w:p w14:paraId="13417B05" w14:textId="77777777" w:rsidR="00675FC8" w:rsidRDefault="00D92E79">
      <w:pPr>
        <w:spacing w:after="22" w:line="259" w:lineRule="auto"/>
        <w:ind w:left="0" w:right="0" w:firstLine="0"/>
        <w:jc w:val="left"/>
      </w:pPr>
      <w:r>
        <w:rPr>
          <w:b/>
        </w:rPr>
        <w:t xml:space="preserve"> </w:t>
      </w:r>
    </w:p>
    <w:p w14:paraId="04BDD3AF" w14:textId="3F997F9B" w:rsidR="00675FC8" w:rsidRDefault="00D92E79" w:rsidP="00ED475F">
      <w:pPr>
        <w:pStyle w:val="ListParagraph"/>
        <w:numPr>
          <w:ilvl w:val="0"/>
          <w:numId w:val="7"/>
        </w:numPr>
        <w:ind w:right="0" w:hanging="421"/>
      </w:pPr>
      <w:r>
        <w:t xml:space="preserve">Users are required to do the following: </w:t>
      </w:r>
    </w:p>
    <w:p w14:paraId="494676BC" w14:textId="3FD8D262" w:rsidR="00675FC8" w:rsidRDefault="00D92E79" w:rsidP="00D92E79">
      <w:pPr>
        <w:pStyle w:val="ListParagraph"/>
        <w:numPr>
          <w:ilvl w:val="0"/>
          <w:numId w:val="16"/>
        </w:numPr>
        <w:ind w:right="0"/>
      </w:pPr>
      <w:r w:rsidRPr="00D92E79">
        <w:rPr>
          <w:b/>
          <w:i/>
        </w:rPr>
        <w:t xml:space="preserve">Revenue </w:t>
      </w:r>
      <w:r>
        <w:t xml:space="preserve">- contributions received from donors should always be recorded using account 51005 and entering the relevant operating unit, </w:t>
      </w:r>
      <w:r w:rsidR="005A34EF">
        <w:t>cost centre</w:t>
      </w:r>
      <w:r>
        <w:t xml:space="preserve">, fund ID and the donor code.  If the fund code is cost-sharing or project level co-financing, the project ID, project business unit and a default activity should also be entered. </w:t>
      </w:r>
    </w:p>
    <w:p w14:paraId="27EB2D9D" w14:textId="383FEFD4" w:rsidR="00675FC8" w:rsidRDefault="00D92E79" w:rsidP="00D92E79">
      <w:pPr>
        <w:pStyle w:val="ListParagraph"/>
        <w:numPr>
          <w:ilvl w:val="0"/>
          <w:numId w:val="16"/>
        </w:numPr>
        <w:ind w:right="0"/>
      </w:pPr>
      <w:r w:rsidRPr="00D92E79">
        <w:rPr>
          <w:b/>
          <w:i/>
        </w:rPr>
        <w:t>Expenses</w:t>
      </w:r>
      <w:r>
        <w:t xml:space="preserve"> - are recorded using appropriate expenditure account in the 6xxxx or 7xxxx series.  All expenses should include all chart fields without any exception.  The </w:t>
      </w:r>
      <w:r w:rsidR="00BF2958">
        <w:t>cost centre</w:t>
      </w:r>
      <w:r>
        <w:t xml:space="preserve"> entered for expenses should be the </w:t>
      </w:r>
      <w:r w:rsidR="00BF2958">
        <w:t>expenditure cost centre</w:t>
      </w:r>
      <w:r>
        <w:t xml:space="preserve"> (not the budgetary </w:t>
      </w:r>
      <w:r w:rsidR="00BF2958">
        <w:t>cost centre</w:t>
      </w:r>
      <w:r>
        <w:t xml:space="preserve">).Other asset or liability accounts in the </w:t>
      </w:r>
      <w:r w:rsidRPr="00D92E79">
        <w:rPr>
          <w:b/>
          <w:i/>
        </w:rPr>
        <w:t>1xxxxx or 2xxxx series</w:t>
      </w:r>
      <w:r>
        <w:t xml:space="preserve"> should include, as a minimum, the following chart field values:  account, operating unit, fund and </w:t>
      </w:r>
      <w:r w:rsidR="005D3C5E">
        <w:t>cost centre</w:t>
      </w:r>
      <w:r>
        <w:t xml:space="preserve">. </w:t>
      </w:r>
    </w:p>
    <w:p w14:paraId="3285601D" w14:textId="623CE21A" w:rsidR="00675FC8" w:rsidRPr="00D92E79" w:rsidRDefault="00D92E79" w:rsidP="00D92E79">
      <w:pPr>
        <w:pStyle w:val="ListParagraph"/>
        <w:numPr>
          <w:ilvl w:val="0"/>
          <w:numId w:val="16"/>
        </w:numPr>
        <w:ind w:right="0"/>
      </w:pPr>
      <w:r w:rsidRPr="00D92E79">
        <w:lastRenderedPageBreak/>
        <w:t xml:space="preserve">Business Owners for the various chart fields need to make sure that no duplicate values exist. A review of the donor chart field values should be regularly undertaken by the business owners to “inactivate” the duplicated values.   </w:t>
      </w:r>
    </w:p>
    <w:p w14:paraId="77D87DC2" w14:textId="3849584E" w:rsidR="00675FC8" w:rsidRDefault="00D92E79">
      <w:pPr>
        <w:spacing w:after="0" w:line="259" w:lineRule="auto"/>
        <w:ind w:left="0" w:right="0" w:firstLine="0"/>
        <w:jc w:val="left"/>
      </w:pPr>
      <w:r>
        <w:t xml:space="preserve"> </w:t>
      </w:r>
    </w:p>
    <w:p w14:paraId="18B07237" w14:textId="77777777" w:rsidR="00761130" w:rsidRDefault="00761130">
      <w:pPr>
        <w:spacing w:after="0" w:line="259" w:lineRule="auto"/>
        <w:ind w:left="0" w:right="0" w:firstLine="0"/>
        <w:jc w:val="left"/>
      </w:pPr>
    </w:p>
    <w:p w14:paraId="29084C47" w14:textId="77777777" w:rsidR="00675FC8" w:rsidRDefault="00D92E79">
      <w:pPr>
        <w:pStyle w:val="Heading1"/>
        <w:ind w:left="-5"/>
      </w:pPr>
      <w:r>
        <w:t>Summary Table of Chart fields</w:t>
      </w:r>
      <w:r>
        <w:rPr>
          <w:b w:val="0"/>
        </w:rPr>
        <w:t xml:space="preserve"> </w:t>
      </w:r>
    </w:p>
    <w:p w14:paraId="38F84DAF" w14:textId="77777777" w:rsidR="00675FC8" w:rsidRDefault="00D92E79">
      <w:pPr>
        <w:spacing w:after="0" w:line="259" w:lineRule="auto"/>
        <w:ind w:left="0" w:right="0" w:firstLine="0"/>
        <w:jc w:val="left"/>
      </w:pPr>
      <w:r>
        <w:rPr>
          <w:rFonts w:ascii="Arial" w:eastAsia="Arial" w:hAnsi="Arial" w:cs="Arial"/>
          <w:color w:val="333333"/>
          <w:sz w:val="20"/>
        </w:rPr>
        <w:t xml:space="preserve">  </w:t>
      </w:r>
    </w:p>
    <w:tbl>
      <w:tblPr>
        <w:tblStyle w:val="TableGrid"/>
        <w:tblW w:w="9307" w:type="dxa"/>
        <w:tblInd w:w="-34" w:type="dxa"/>
        <w:tblCellMar>
          <w:top w:w="46" w:type="dxa"/>
          <w:left w:w="106" w:type="dxa"/>
          <w:bottom w:w="6" w:type="dxa"/>
          <w:right w:w="65" w:type="dxa"/>
        </w:tblCellMar>
        <w:tblLook w:val="04A0" w:firstRow="1" w:lastRow="0" w:firstColumn="1" w:lastColumn="0" w:noHBand="0" w:noVBand="1"/>
      </w:tblPr>
      <w:tblGrid>
        <w:gridCol w:w="231"/>
        <w:gridCol w:w="1543"/>
        <w:gridCol w:w="98"/>
        <w:gridCol w:w="1251"/>
        <w:gridCol w:w="60"/>
        <w:gridCol w:w="3378"/>
        <w:gridCol w:w="131"/>
        <w:gridCol w:w="2280"/>
        <w:gridCol w:w="335"/>
      </w:tblGrid>
      <w:tr w:rsidR="00675FC8" w14:paraId="75C7B804" w14:textId="77777777" w:rsidTr="00897180">
        <w:trPr>
          <w:gridBefore w:val="1"/>
          <w:gridAfter w:val="1"/>
          <w:wBefore w:w="231" w:type="dxa"/>
          <w:wAfter w:w="335" w:type="dxa"/>
          <w:trHeight w:val="547"/>
        </w:trPr>
        <w:tc>
          <w:tcPr>
            <w:tcW w:w="1641" w:type="dxa"/>
            <w:gridSpan w:val="2"/>
            <w:tcBorders>
              <w:top w:val="single" w:sz="4" w:space="0" w:color="000000"/>
              <w:left w:val="single" w:sz="4" w:space="0" w:color="000000"/>
              <w:bottom w:val="single" w:sz="4" w:space="0" w:color="000000"/>
              <w:right w:val="single" w:sz="4" w:space="0" w:color="000000"/>
            </w:tcBorders>
            <w:vAlign w:val="center"/>
          </w:tcPr>
          <w:p w14:paraId="405F967B" w14:textId="77777777" w:rsidR="00675FC8" w:rsidRDefault="00D92E79">
            <w:pPr>
              <w:spacing w:after="0" w:line="259" w:lineRule="auto"/>
              <w:ind w:left="0" w:right="0" w:firstLine="0"/>
              <w:jc w:val="left"/>
            </w:pPr>
            <w:r>
              <w:rPr>
                <w:b/>
              </w:rPr>
              <w:t>Chartfield</w:t>
            </w:r>
            <w:r>
              <w:t xml:space="preserve"> </w:t>
            </w:r>
          </w:p>
        </w:tc>
        <w:tc>
          <w:tcPr>
            <w:tcW w:w="1311" w:type="dxa"/>
            <w:gridSpan w:val="2"/>
            <w:tcBorders>
              <w:top w:val="single" w:sz="4" w:space="0" w:color="000000"/>
              <w:left w:val="single" w:sz="4" w:space="0" w:color="000000"/>
              <w:bottom w:val="single" w:sz="4" w:space="0" w:color="000000"/>
              <w:right w:val="single" w:sz="4" w:space="0" w:color="000000"/>
            </w:tcBorders>
          </w:tcPr>
          <w:p w14:paraId="14FBDA55" w14:textId="77777777" w:rsidR="00675FC8" w:rsidRDefault="00D92E79">
            <w:pPr>
              <w:spacing w:after="0" w:line="259" w:lineRule="auto"/>
              <w:ind w:left="0" w:right="0" w:firstLine="0"/>
              <w:jc w:val="left"/>
            </w:pPr>
            <w:r>
              <w:rPr>
                <w:b/>
              </w:rPr>
              <w:t>Number of Characters</w:t>
            </w:r>
            <w:r>
              <w:t xml:space="preserve"> </w:t>
            </w:r>
          </w:p>
        </w:tc>
        <w:tc>
          <w:tcPr>
            <w:tcW w:w="3378" w:type="dxa"/>
            <w:tcBorders>
              <w:top w:val="single" w:sz="4" w:space="0" w:color="000000"/>
              <w:left w:val="single" w:sz="4" w:space="0" w:color="000000"/>
              <w:bottom w:val="single" w:sz="4" w:space="0" w:color="000000"/>
              <w:right w:val="single" w:sz="4" w:space="0" w:color="000000"/>
            </w:tcBorders>
            <w:vAlign w:val="center"/>
          </w:tcPr>
          <w:p w14:paraId="487E3948" w14:textId="77777777" w:rsidR="00675FC8" w:rsidRDefault="00D92E79">
            <w:pPr>
              <w:spacing w:after="0" w:line="259" w:lineRule="auto"/>
              <w:ind w:left="2" w:right="0" w:firstLine="0"/>
              <w:jc w:val="left"/>
            </w:pPr>
            <w:r>
              <w:rPr>
                <w:b/>
              </w:rPr>
              <w:t>Description</w:t>
            </w:r>
            <w:r>
              <w:t xml:space="preserve"> </w:t>
            </w:r>
          </w:p>
        </w:tc>
        <w:tc>
          <w:tcPr>
            <w:tcW w:w="2411" w:type="dxa"/>
            <w:gridSpan w:val="2"/>
            <w:tcBorders>
              <w:top w:val="single" w:sz="4" w:space="0" w:color="000000"/>
              <w:left w:val="single" w:sz="4" w:space="0" w:color="000000"/>
              <w:bottom w:val="single" w:sz="4" w:space="0" w:color="000000"/>
              <w:right w:val="single" w:sz="4" w:space="0" w:color="000000"/>
            </w:tcBorders>
            <w:vAlign w:val="center"/>
          </w:tcPr>
          <w:p w14:paraId="1F6A2CFA" w14:textId="77777777" w:rsidR="00675FC8" w:rsidRDefault="00D92E79">
            <w:pPr>
              <w:spacing w:after="0" w:line="259" w:lineRule="auto"/>
              <w:ind w:left="3" w:right="0" w:firstLine="0"/>
              <w:jc w:val="left"/>
            </w:pPr>
            <w:r>
              <w:rPr>
                <w:b/>
              </w:rPr>
              <w:t>Business Owner</w:t>
            </w:r>
            <w:r>
              <w:t xml:space="preserve"> </w:t>
            </w:r>
          </w:p>
        </w:tc>
      </w:tr>
      <w:tr w:rsidR="00675FC8" w14:paraId="30A45502" w14:textId="77777777" w:rsidTr="00897180">
        <w:trPr>
          <w:gridBefore w:val="1"/>
          <w:gridAfter w:val="1"/>
          <w:wBefore w:w="231" w:type="dxa"/>
          <w:wAfter w:w="335" w:type="dxa"/>
          <w:trHeight w:val="273"/>
        </w:trPr>
        <w:tc>
          <w:tcPr>
            <w:tcW w:w="1641" w:type="dxa"/>
            <w:gridSpan w:val="2"/>
            <w:tcBorders>
              <w:top w:val="single" w:sz="4" w:space="0" w:color="000000"/>
              <w:left w:val="single" w:sz="4" w:space="0" w:color="000000"/>
              <w:bottom w:val="single" w:sz="4" w:space="0" w:color="000000"/>
              <w:right w:val="single" w:sz="4" w:space="0" w:color="000000"/>
            </w:tcBorders>
            <w:vAlign w:val="bottom"/>
          </w:tcPr>
          <w:p w14:paraId="5D5A344C" w14:textId="54BADEE7" w:rsidR="00675FC8" w:rsidRDefault="00FE57F0">
            <w:pPr>
              <w:spacing w:after="0" w:line="259" w:lineRule="auto"/>
              <w:ind w:left="0" w:right="0" w:firstLine="0"/>
              <w:jc w:val="left"/>
            </w:pPr>
            <w:r>
              <w:t>Agency</w:t>
            </w:r>
            <w:r w:rsidR="00D92E79">
              <w:t xml:space="preserve"> </w:t>
            </w:r>
          </w:p>
        </w:tc>
        <w:tc>
          <w:tcPr>
            <w:tcW w:w="1311" w:type="dxa"/>
            <w:gridSpan w:val="2"/>
            <w:tcBorders>
              <w:top w:val="single" w:sz="4" w:space="0" w:color="000000"/>
              <w:left w:val="single" w:sz="4" w:space="0" w:color="000000"/>
              <w:bottom w:val="single" w:sz="4" w:space="0" w:color="000000"/>
              <w:right w:val="single" w:sz="4" w:space="0" w:color="000000"/>
            </w:tcBorders>
            <w:vAlign w:val="center"/>
          </w:tcPr>
          <w:p w14:paraId="28442660" w14:textId="20062D7F" w:rsidR="00675FC8" w:rsidRDefault="00675FC8">
            <w:pPr>
              <w:spacing w:after="0" w:line="259" w:lineRule="auto"/>
              <w:ind w:left="0" w:right="0" w:firstLine="0"/>
              <w:jc w:val="left"/>
            </w:pPr>
          </w:p>
        </w:tc>
        <w:tc>
          <w:tcPr>
            <w:tcW w:w="3378" w:type="dxa"/>
            <w:tcBorders>
              <w:top w:val="single" w:sz="4" w:space="0" w:color="000000"/>
              <w:left w:val="single" w:sz="4" w:space="0" w:color="000000"/>
              <w:bottom w:val="single" w:sz="4" w:space="0" w:color="000000"/>
              <w:right w:val="single" w:sz="4" w:space="0" w:color="000000"/>
            </w:tcBorders>
          </w:tcPr>
          <w:p w14:paraId="56D053B8" w14:textId="721B013B" w:rsidR="00675FC8" w:rsidRDefault="005C277E">
            <w:pPr>
              <w:spacing w:after="0" w:line="259" w:lineRule="auto"/>
              <w:ind w:left="2" w:right="0" w:firstLine="0"/>
              <w:jc w:val="left"/>
            </w:pPr>
            <w:r>
              <w:t xml:space="preserve">For USD UNDP PL - </w:t>
            </w:r>
            <w:r w:rsidR="004151F6">
              <w:t>UNDP, UNV</w:t>
            </w:r>
          </w:p>
        </w:tc>
        <w:tc>
          <w:tcPr>
            <w:tcW w:w="2411" w:type="dxa"/>
            <w:gridSpan w:val="2"/>
            <w:tcBorders>
              <w:top w:val="single" w:sz="4" w:space="0" w:color="000000"/>
              <w:left w:val="single" w:sz="4" w:space="0" w:color="000000"/>
              <w:bottom w:val="single" w:sz="4" w:space="0" w:color="000000"/>
              <w:right w:val="single" w:sz="4" w:space="0" w:color="000000"/>
            </w:tcBorders>
          </w:tcPr>
          <w:p w14:paraId="657FC8BA" w14:textId="77777777" w:rsidR="00675FC8" w:rsidRDefault="00D92E79">
            <w:pPr>
              <w:spacing w:after="0" w:line="259" w:lineRule="auto"/>
              <w:ind w:left="3" w:right="0" w:firstLine="0"/>
              <w:jc w:val="left"/>
            </w:pPr>
            <w:r>
              <w:t xml:space="preserve">   </w:t>
            </w:r>
          </w:p>
        </w:tc>
      </w:tr>
      <w:tr w:rsidR="00675FC8" w14:paraId="3C893941" w14:textId="77777777" w:rsidTr="00897180">
        <w:trPr>
          <w:gridBefore w:val="1"/>
          <w:gridAfter w:val="1"/>
          <w:wBefore w:w="231" w:type="dxa"/>
          <w:wAfter w:w="335" w:type="dxa"/>
          <w:trHeight w:val="816"/>
        </w:trPr>
        <w:tc>
          <w:tcPr>
            <w:tcW w:w="1641" w:type="dxa"/>
            <w:gridSpan w:val="2"/>
            <w:tcBorders>
              <w:top w:val="single" w:sz="4" w:space="0" w:color="000000"/>
              <w:left w:val="single" w:sz="4" w:space="0" w:color="000000"/>
              <w:bottom w:val="single" w:sz="4" w:space="0" w:color="000000"/>
              <w:right w:val="single" w:sz="4" w:space="0" w:color="000000"/>
            </w:tcBorders>
          </w:tcPr>
          <w:p w14:paraId="74C9722D" w14:textId="77777777" w:rsidR="00675FC8" w:rsidRDefault="00D92E79">
            <w:pPr>
              <w:spacing w:after="0" w:line="259" w:lineRule="auto"/>
              <w:ind w:left="0" w:right="0" w:firstLine="0"/>
              <w:jc w:val="left"/>
            </w:pPr>
            <w:r>
              <w:t xml:space="preserve">Operating Unit </w:t>
            </w:r>
          </w:p>
        </w:tc>
        <w:tc>
          <w:tcPr>
            <w:tcW w:w="1311" w:type="dxa"/>
            <w:gridSpan w:val="2"/>
            <w:tcBorders>
              <w:top w:val="single" w:sz="4" w:space="0" w:color="000000"/>
              <w:left w:val="single" w:sz="4" w:space="0" w:color="000000"/>
              <w:bottom w:val="single" w:sz="4" w:space="0" w:color="000000"/>
              <w:right w:val="single" w:sz="4" w:space="0" w:color="000000"/>
            </w:tcBorders>
            <w:vAlign w:val="center"/>
          </w:tcPr>
          <w:p w14:paraId="31250646" w14:textId="77777777" w:rsidR="00675FC8" w:rsidRDefault="00D92E79">
            <w:pPr>
              <w:spacing w:after="0" w:line="259" w:lineRule="auto"/>
              <w:ind w:left="0" w:right="0" w:firstLine="0"/>
              <w:jc w:val="left"/>
            </w:pPr>
            <w:r>
              <w:t xml:space="preserve">3 </w:t>
            </w:r>
          </w:p>
        </w:tc>
        <w:tc>
          <w:tcPr>
            <w:tcW w:w="3378" w:type="dxa"/>
            <w:tcBorders>
              <w:top w:val="single" w:sz="4" w:space="0" w:color="000000"/>
              <w:left w:val="single" w:sz="4" w:space="0" w:color="000000"/>
              <w:bottom w:val="single" w:sz="4" w:space="0" w:color="000000"/>
              <w:right w:val="single" w:sz="4" w:space="0" w:color="000000"/>
            </w:tcBorders>
          </w:tcPr>
          <w:p w14:paraId="2779C59E" w14:textId="77777777" w:rsidR="00675FC8" w:rsidRDefault="00D92E79">
            <w:pPr>
              <w:spacing w:after="0" w:line="259" w:lineRule="auto"/>
              <w:ind w:left="2" w:right="0" w:firstLine="0"/>
              <w:jc w:val="left"/>
            </w:pPr>
            <w:r>
              <w:t xml:space="preserve">Operating Unit </w:t>
            </w:r>
          </w:p>
        </w:tc>
        <w:tc>
          <w:tcPr>
            <w:tcW w:w="2411" w:type="dxa"/>
            <w:gridSpan w:val="2"/>
            <w:tcBorders>
              <w:top w:val="single" w:sz="4" w:space="0" w:color="000000"/>
              <w:left w:val="single" w:sz="4" w:space="0" w:color="000000"/>
              <w:bottom w:val="single" w:sz="4" w:space="0" w:color="000000"/>
              <w:right w:val="single" w:sz="4" w:space="0" w:color="000000"/>
            </w:tcBorders>
          </w:tcPr>
          <w:p w14:paraId="3F9FE771" w14:textId="77742F7E" w:rsidR="00675FC8" w:rsidRDefault="00D92E79" w:rsidP="00546B9C">
            <w:pPr>
              <w:spacing w:after="0" w:line="259" w:lineRule="auto"/>
              <w:ind w:left="3" w:right="0" w:firstLine="0"/>
              <w:jc w:val="left"/>
            </w:pPr>
            <w:r>
              <w:t xml:space="preserve">Office of </w:t>
            </w:r>
            <w:r w:rsidR="00546B9C">
              <w:t>Hu</w:t>
            </w:r>
            <w:r w:rsidR="00B65E3A">
              <w:t>man Resource</w:t>
            </w:r>
            <w:r>
              <w:t xml:space="preserve"> (O</w:t>
            </w:r>
            <w:r w:rsidR="00B65E3A">
              <w:t>HR</w:t>
            </w:r>
            <w:r>
              <w:t xml:space="preserve">) </w:t>
            </w:r>
          </w:p>
        </w:tc>
      </w:tr>
      <w:tr w:rsidR="00675FC8" w14:paraId="4BB54203" w14:textId="77777777" w:rsidTr="00897180">
        <w:trPr>
          <w:gridBefore w:val="1"/>
          <w:gridAfter w:val="1"/>
          <w:wBefore w:w="231" w:type="dxa"/>
          <w:wAfter w:w="335" w:type="dxa"/>
          <w:trHeight w:val="1085"/>
        </w:trPr>
        <w:tc>
          <w:tcPr>
            <w:tcW w:w="1641" w:type="dxa"/>
            <w:gridSpan w:val="2"/>
            <w:tcBorders>
              <w:top w:val="single" w:sz="4" w:space="0" w:color="000000"/>
              <w:left w:val="single" w:sz="4" w:space="0" w:color="000000"/>
              <w:bottom w:val="single" w:sz="4" w:space="0" w:color="000000"/>
              <w:right w:val="single" w:sz="4" w:space="0" w:color="000000"/>
            </w:tcBorders>
          </w:tcPr>
          <w:p w14:paraId="12F76C4C" w14:textId="77777777" w:rsidR="00675FC8" w:rsidRDefault="00D92E79">
            <w:pPr>
              <w:spacing w:after="0" w:line="259" w:lineRule="auto"/>
              <w:ind w:left="0" w:right="0" w:firstLine="0"/>
              <w:jc w:val="left"/>
            </w:pPr>
            <w:r>
              <w:t xml:space="preserve">Account </w:t>
            </w:r>
          </w:p>
        </w:tc>
        <w:tc>
          <w:tcPr>
            <w:tcW w:w="1311" w:type="dxa"/>
            <w:gridSpan w:val="2"/>
            <w:tcBorders>
              <w:top w:val="single" w:sz="4" w:space="0" w:color="000000"/>
              <w:left w:val="single" w:sz="4" w:space="0" w:color="000000"/>
              <w:bottom w:val="single" w:sz="4" w:space="0" w:color="000000"/>
              <w:right w:val="single" w:sz="4" w:space="0" w:color="000000"/>
            </w:tcBorders>
            <w:vAlign w:val="center"/>
          </w:tcPr>
          <w:p w14:paraId="152BE00E" w14:textId="3F4EEE75" w:rsidR="00675FC8" w:rsidRDefault="000F4C75">
            <w:pPr>
              <w:spacing w:after="0" w:line="259" w:lineRule="auto"/>
              <w:ind w:left="0" w:right="0" w:firstLine="0"/>
              <w:jc w:val="left"/>
            </w:pPr>
            <w:r>
              <w:t>5</w:t>
            </w:r>
          </w:p>
        </w:tc>
        <w:tc>
          <w:tcPr>
            <w:tcW w:w="3378" w:type="dxa"/>
            <w:tcBorders>
              <w:top w:val="single" w:sz="4" w:space="0" w:color="000000"/>
              <w:left w:val="single" w:sz="4" w:space="0" w:color="000000"/>
              <w:bottom w:val="single" w:sz="4" w:space="0" w:color="000000"/>
              <w:right w:val="single" w:sz="4" w:space="0" w:color="000000"/>
            </w:tcBorders>
          </w:tcPr>
          <w:p w14:paraId="579C2E62" w14:textId="77777777" w:rsidR="00675FC8" w:rsidRDefault="00D92E79">
            <w:pPr>
              <w:spacing w:after="0" w:line="239" w:lineRule="auto"/>
              <w:ind w:left="2" w:right="16" w:firstLine="0"/>
              <w:jc w:val="left"/>
            </w:pPr>
            <w:r>
              <w:t xml:space="preserve">Accounting element to classify assets, liabilities, equity, </w:t>
            </w:r>
          </w:p>
          <w:p w14:paraId="7521FF50" w14:textId="521ED7BE" w:rsidR="00675FC8" w:rsidRDefault="00D92E79">
            <w:pPr>
              <w:spacing w:after="0" w:line="259" w:lineRule="auto"/>
              <w:ind w:left="2" w:right="0" w:firstLine="0"/>
              <w:jc w:val="left"/>
            </w:pPr>
            <w:r>
              <w:t>revenue</w:t>
            </w:r>
            <w:r w:rsidR="000F4C75">
              <w:t xml:space="preserve"> and expense</w:t>
            </w:r>
            <w:r>
              <w:t xml:space="preserve"> </w:t>
            </w:r>
          </w:p>
        </w:tc>
        <w:tc>
          <w:tcPr>
            <w:tcW w:w="2411" w:type="dxa"/>
            <w:gridSpan w:val="2"/>
            <w:tcBorders>
              <w:top w:val="single" w:sz="4" w:space="0" w:color="000000"/>
              <w:left w:val="single" w:sz="4" w:space="0" w:color="000000"/>
              <w:bottom w:val="single" w:sz="4" w:space="0" w:color="000000"/>
              <w:right w:val="single" w:sz="4" w:space="0" w:color="000000"/>
            </w:tcBorders>
          </w:tcPr>
          <w:p w14:paraId="6EAA1418" w14:textId="0EEA0D10" w:rsidR="00675FC8" w:rsidRDefault="00546B9C">
            <w:pPr>
              <w:spacing w:after="0" w:line="259" w:lineRule="auto"/>
              <w:ind w:left="3" w:right="0" w:firstLine="0"/>
              <w:jc w:val="left"/>
            </w:pPr>
            <w:r>
              <w:t>Office of Financial Management (</w:t>
            </w:r>
            <w:r w:rsidR="00D92E79">
              <w:t>OFM</w:t>
            </w:r>
            <w:r>
              <w:t>)</w:t>
            </w:r>
            <w:r w:rsidR="00D92E79">
              <w:t xml:space="preserve">  </w:t>
            </w:r>
          </w:p>
        </w:tc>
      </w:tr>
      <w:tr w:rsidR="00675FC8" w14:paraId="6C84C33C" w14:textId="77777777" w:rsidTr="00897180">
        <w:trPr>
          <w:gridBefore w:val="1"/>
          <w:gridAfter w:val="1"/>
          <w:wBefore w:w="231" w:type="dxa"/>
          <w:wAfter w:w="335" w:type="dxa"/>
          <w:trHeight w:val="478"/>
        </w:trPr>
        <w:tc>
          <w:tcPr>
            <w:tcW w:w="1641" w:type="dxa"/>
            <w:gridSpan w:val="2"/>
            <w:tcBorders>
              <w:top w:val="single" w:sz="4" w:space="0" w:color="000000"/>
              <w:left w:val="single" w:sz="4" w:space="0" w:color="000000"/>
              <w:bottom w:val="single" w:sz="4" w:space="0" w:color="000000"/>
              <w:right w:val="single" w:sz="4" w:space="0" w:color="000000"/>
            </w:tcBorders>
          </w:tcPr>
          <w:p w14:paraId="643DB02B" w14:textId="77777777" w:rsidR="00675FC8" w:rsidRDefault="00D92E79">
            <w:pPr>
              <w:spacing w:after="0" w:line="259" w:lineRule="auto"/>
              <w:ind w:left="0" w:right="0" w:firstLine="0"/>
              <w:jc w:val="left"/>
            </w:pPr>
            <w:r>
              <w:t xml:space="preserve">Fund </w:t>
            </w:r>
          </w:p>
        </w:tc>
        <w:tc>
          <w:tcPr>
            <w:tcW w:w="1311" w:type="dxa"/>
            <w:gridSpan w:val="2"/>
            <w:tcBorders>
              <w:top w:val="single" w:sz="4" w:space="0" w:color="000000"/>
              <w:left w:val="single" w:sz="4" w:space="0" w:color="000000"/>
              <w:bottom w:val="single" w:sz="4" w:space="0" w:color="000000"/>
              <w:right w:val="single" w:sz="4" w:space="0" w:color="000000"/>
            </w:tcBorders>
            <w:vAlign w:val="center"/>
          </w:tcPr>
          <w:p w14:paraId="3C2437D0" w14:textId="77777777" w:rsidR="00675FC8" w:rsidRDefault="00D92E79">
            <w:pPr>
              <w:spacing w:after="0" w:line="259" w:lineRule="auto"/>
              <w:ind w:left="0" w:right="0" w:firstLine="0"/>
              <w:jc w:val="left"/>
            </w:pPr>
            <w:r>
              <w:t xml:space="preserve">5 </w:t>
            </w:r>
          </w:p>
        </w:tc>
        <w:tc>
          <w:tcPr>
            <w:tcW w:w="3378" w:type="dxa"/>
            <w:tcBorders>
              <w:top w:val="single" w:sz="4" w:space="0" w:color="000000"/>
              <w:left w:val="single" w:sz="4" w:space="0" w:color="000000"/>
              <w:bottom w:val="single" w:sz="4" w:space="0" w:color="000000"/>
              <w:right w:val="single" w:sz="4" w:space="0" w:color="000000"/>
            </w:tcBorders>
          </w:tcPr>
          <w:p w14:paraId="0B66B7CA" w14:textId="77777777" w:rsidR="00675FC8" w:rsidRDefault="00D92E79">
            <w:pPr>
              <w:spacing w:after="0" w:line="259" w:lineRule="auto"/>
              <w:ind w:left="2" w:right="0" w:firstLine="0"/>
              <w:jc w:val="left"/>
            </w:pPr>
            <w:r>
              <w:t xml:space="preserve">Fund  </w:t>
            </w:r>
          </w:p>
        </w:tc>
        <w:tc>
          <w:tcPr>
            <w:tcW w:w="2411" w:type="dxa"/>
            <w:gridSpan w:val="2"/>
            <w:tcBorders>
              <w:top w:val="single" w:sz="4" w:space="0" w:color="000000"/>
              <w:left w:val="single" w:sz="4" w:space="0" w:color="000000"/>
              <w:bottom w:val="single" w:sz="4" w:space="0" w:color="000000"/>
              <w:right w:val="single" w:sz="4" w:space="0" w:color="000000"/>
            </w:tcBorders>
            <w:vAlign w:val="bottom"/>
          </w:tcPr>
          <w:p w14:paraId="684A17A8" w14:textId="56AEF7C7" w:rsidR="00675FC8" w:rsidRDefault="00D92E79">
            <w:pPr>
              <w:spacing w:after="0" w:line="259" w:lineRule="auto"/>
              <w:ind w:left="3" w:right="0" w:firstLine="0"/>
              <w:jc w:val="left"/>
            </w:pPr>
            <w:r>
              <w:t xml:space="preserve">OFM </w:t>
            </w:r>
          </w:p>
        </w:tc>
      </w:tr>
      <w:tr w:rsidR="00675FC8" w14:paraId="4DA9512D" w14:textId="77777777" w:rsidTr="00897180">
        <w:trPr>
          <w:gridBefore w:val="1"/>
          <w:gridAfter w:val="1"/>
          <w:wBefore w:w="231" w:type="dxa"/>
          <w:wAfter w:w="335" w:type="dxa"/>
          <w:trHeight w:val="314"/>
        </w:trPr>
        <w:tc>
          <w:tcPr>
            <w:tcW w:w="1641" w:type="dxa"/>
            <w:gridSpan w:val="2"/>
            <w:tcBorders>
              <w:top w:val="single" w:sz="4" w:space="0" w:color="000000"/>
              <w:left w:val="single" w:sz="4" w:space="0" w:color="000000"/>
              <w:bottom w:val="single" w:sz="4" w:space="0" w:color="000000"/>
              <w:right w:val="single" w:sz="4" w:space="0" w:color="000000"/>
            </w:tcBorders>
          </w:tcPr>
          <w:p w14:paraId="6F0DC5BE" w14:textId="04477AAE" w:rsidR="00675FC8" w:rsidRDefault="00B65E3A">
            <w:pPr>
              <w:spacing w:after="0" w:line="259" w:lineRule="auto"/>
              <w:ind w:left="0" w:right="0" w:firstLine="0"/>
              <w:jc w:val="left"/>
            </w:pPr>
            <w:r>
              <w:t>Cost Centre</w:t>
            </w:r>
          </w:p>
        </w:tc>
        <w:tc>
          <w:tcPr>
            <w:tcW w:w="1311" w:type="dxa"/>
            <w:gridSpan w:val="2"/>
            <w:tcBorders>
              <w:top w:val="single" w:sz="4" w:space="0" w:color="000000"/>
              <w:left w:val="single" w:sz="4" w:space="0" w:color="000000"/>
              <w:bottom w:val="single" w:sz="4" w:space="0" w:color="000000"/>
              <w:right w:val="single" w:sz="4" w:space="0" w:color="000000"/>
            </w:tcBorders>
          </w:tcPr>
          <w:p w14:paraId="03AF3B62" w14:textId="77777777" w:rsidR="00675FC8" w:rsidRDefault="00D92E79">
            <w:pPr>
              <w:spacing w:after="0" w:line="259" w:lineRule="auto"/>
              <w:ind w:left="0" w:right="0" w:firstLine="0"/>
              <w:jc w:val="left"/>
            </w:pPr>
            <w:r>
              <w:t xml:space="preserve">5 </w:t>
            </w:r>
          </w:p>
        </w:tc>
        <w:tc>
          <w:tcPr>
            <w:tcW w:w="3378" w:type="dxa"/>
            <w:tcBorders>
              <w:top w:val="single" w:sz="4" w:space="0" w:color="000000"/>
              <w:left w:val="single" w:sz="4" w:space="0" w:color="000000"/>
              <w:bottom w:val="single" w:sz="4" w:space="0" w:color="000000"/>
              <w:right w:val="single" w:sz="4" w:space="0" w:color="000000"/>
            </w:tcBorders>
          </w:tcPr>
          <w:p w14:paraId="481F6D1D" w14:textId="77777777" w:rsidR="00675FC8" w:rsidRDefault="00D92E79">
            <w:pPr>
              <w:spacing w:after="0" w:line="259" w:lineRule="auto"/>
              <w:ind w:left="2" w:right="0" w:firstLine="0"/>
              <w:jc w:val="left"/>
            </w:pPr>
            <w:r>
              <w:t xml:space="preserve">Organizational element  </w:t>
            </w:r>
          </w:p>
        </w:tc>
        <w:tc>
          <w:tcPr>
            <w:tcW w:w="2411" w:type="dxa"/>
            <w:gridSpan w:val="2"/>
            <w:tcBorders>
              <w:top w:val="single" w:sz="4" w:space="0" w:color="000000"/>
              <w:left w:val="single" w:sz="4" w:space="0" w:color="000000"/>
              <w:bottom w:val="single" w:sz="4" w:space="0" w:color="000000"/>
              <w:right w:val="single" w:sz="4" w:space="0" w:color="000000"/>
            </w:tcBorders>
          </w:tcPr>
          <w:p w14:paraId="2E65BB59" w14:textId="453A12D8" w:rsidR="00675FC8" w:rsidRDefault="00D92E79">
            <w:pPr>
              <w:spacing w:after="0" w:line="259" w:lineRule="auto"/>
              <w:ind w:left="3" w:right="0" w:firstLine="0"/>
              <w:jc w:val="left"/>
            </w:pPr>
            <w:r>
              <w:t>O</w:t>
            </w:r>
            <w:r w:rsidR="00B65E3A">
              <w:t>HR</w:t>
            </w:r>
            <w:r>
              <w:t xml:space="preserve">  </w:t>
            </w:r>
          </w:p>
        </w:tc>
      </w:tr>
      <w:tr w:rsidR="00675FC8" w14:paraId="25D4CAF2" w14:textId="77777777" w:rsidTr="00897180">
        <w:trPr>
          <w:gridBefore w:val="1"/>
          <w:gridAfter w:val="1"/>
          <w:wBefore w:w="231" w:type="dxa"/>
          <w:wAfter w:w="335" w:type="dxa"/>
          <w:trHeight w:val="281"/>
        </w:trPr>
        <w:tc>
          <w:tcPr>
            <w:tcW w:w="1641" w:type="dxa"/>
            <w:gridSpan w:val="2"/>
            <w:tcBorders>
              <w:top w:val="single" w:sz="4" w:space="0" w:color="000000"/>
              <w:left w:val="single" w:sz="4" w:space="0" w:color="000000"/>
              <w:bottom w:val="single" w:sz="4" w:space="0" w:color="000000"/>
              <w:right w:val="single" w:sz="4" w:space="0" w:color="000000"/>
            </w:tcBorders>
          </w:tcPr>
          <w:p w14:paraId="5E2D16B9" w14:textId="77777777" w:rsidR="00675FC8" w:rsidRDefault="00D92E79">
            <w:pPr>
              <w:spacing w:after="0" w:line="259" w:lineRule="auto"/>
              <w:ind w:left="0" w:right="0" w:firstLine="0"/>
              <w:jc w:val="left"/>
            </w:pPr>
            <w:r>
              <w:t xml:space="preserve">Project  </w:t>
            </w:r>
          </w:p>
        </w:tc>
        <w:tc>
          <w:tcPr>
            <w:tcW w:w="1311" w:type="dxa"/>
            <w:gridSpan w:val="2"/>
            <w:tcBorders>
              <w:top w:val="single" w:sz="4" w:space="0" w:color="000000"/>
              <w:left w:val="single" w:sz="4" w:space="0" w:color="000000"/>
              <w:bottom w:val="single" w:sz="4" w:space="0" w:color="000000"/>
              <w:right w:val="single" w:sz="4" w:space="0" w:color="000000"/>
            </w:tcBorders>
          </w:tcPr>
          <w:p w14:paraId="6B9BA0B6" w14:textId="5FF1B3B2" w:rsidR="00675FC8" w:rsidRDefault="00311678">
            <w:pPr>
              <w:spacing w:after="0" w:line="259" w:lineRule="auto"/>
              <w:ind w:left="0" w:right="0" w:firstLine="0"/>
              <w:jc w:val="left"/>
            </w:pPr>
            <w:r>
              <w:t>8</w:t>
            </w:r>
            <w:r w:rsidR="00D92E79">
              <w:t xml:space="preserve"> </w:t>
            </w:r>
          </w:p>
        </w:tc>
        <w:tc>
          <w:tcPr>
            <w:tcW w:w="3378" w:type="dxa"/>
            <w:tcBorders>
              <w:top w:val="single" w:sz="4" w:space="0" w:color="000000"/>
              <w:left w:val="single" w:sz="4" w:space="0" w:color="000000"/>
              <w:bottom w:val="single" w:sz="4" w:space="0" w:color="000000"/>
              <w:right w:val="single" w:sz="4" w:space="0" w:color="000000"/>
            </w:tcBorders>
          </w:tcPr>
          <w:p w14:paraId="1A8DD5D6" w14:textId="77777777" w:rsidR="00675FC8" w:rsidRDefault="00D92E79">
            <w:pPr>
              <w:spacing w:after="0" w:line="259" w:lineRule="auto"/>
              <w:ind w:left="2" w:right="0" w:firstLine="0"/>
              <w:jc w:val="left"/>
            </w:pPr>
            <w:r>
              <w:t xml:space="preserve">Project identifier </w:t>
            </w:r>
          </w:p>
        </w:tc>
        <w:tc>
          <w:tcPr>
            <w:tcW w:w="2411" w:type="dxa"/>
            <w:gridSpan w:val="2"/>
            <w:tcBorders>
              <w:top w:val="single" w:sz="4" w:space="0" w:color="000000"/>
              <w:left w:val="single" w:sz="4" w:space="0" w:color="000000"/>
              <w:bottom w:val="single" w:sz="4" w:space="0" w:color="000000"/>
              <w:right w:val="single" w:sz="4" w:space="0" w:color="000000"/>
            </w:tcBorders>
          </w:tcPr>
          <w:p w14:paraId="587CFA3B" w14:textId="2B68C739" w:rsidR="00675FC8" w:rsidRDefault="00F045C8">
            <w:pPr>
              <w:spacing w:after="0" w:line="259" w:lineRule="auto"/>
              <w:ind w:left="3" w:right="0" w:firstLine="0"/>
              <w:jc w:val="left"/>
            </w:pPr>
            <w:r>
              <w:t>Finance Business Advisor (FBA)</w:t>
            </w:r>
          </w:p>
        </w:tc>
      </w:tr>
      <w:tr w:rsidR="00C12B1C" w14:paraId="3735E44F" w14:textId="77777777" w:rsidTr="00897180">
        <w:trPr>
          <w:gridBefore w:val="1"/>
          <w:gridAfter w:val="1"/>
          <w:wBefore w:w="231" w:type="dxa"/>
          <w:wAfter w:w="335" w:type="dxa"/>
          <w:trHeight w:val="281"/>
        </w:trPr>
        <w:tc>
          <w:tcPr>
            <w:tcW w:w="1641" w:type="dxa"/>
            <w:gridSpan w:val="2"/>
            <w:tcBorders>
              <w:top w:val="single" w:sz="4" w:space="0" w:color="000000"/>
              <w:left w:val="single" w:sz="4" w:space="0" w:color="000000"/>
              <w:bottom w:val="single" w:sz="4" w:space="0" w:color="000000"/>
              <w:right w:val="single" w:sz="4" w:space="0" w:color="000000"/>
            </w:tcBorders>
          </w:tcPr>
          <w:p w14:paraId="4E551887" w14:textId="60B7F572" w:rsidR="00C12B1C" w:rsidRDefault="00C12B1C">
            <w:pPr>
              <w:spacing w:after="0" w:line="259" w:lineRule="auto"/>
              <w:ind w:left="0" w:right="0" w:firstLine="0"/>
              <w:jc w:val="left"/>
            </w:pPr>
            <w:r>
              <w:t>Donor</w:t>
            </w:r>
          </w:p>
        </w:tc>
        <w:tc>
          <w:tcPr>
            <w:tcW w:w="1311" w:type="dxa"/>
            <w:gridSpan w:val="2"/>
            <w:tcBorders>
              <w:top w:val="single" w:sz="4" w:space="0" w:color="000000"/>
              <w:left w:val="single" w:sz="4" w:space="0" w:color="000000"/>
              <w:bottom w:val="single" w:sz="4" w:space="0" w:color="000000"/>
              <w:right w:val="single" w:sz="4" w:space="0" w:color="000000"/>
            </w:tcBorders>
          </w:tcPr>
          <w:p w14:paraId="319ACA09" w14:textId="680C8A6E" w:rsidR="00C12B1C" w:rsidRDefault="00C12B1C">
            <w:pPr>
              <w:spacing w:after="0" w:line="259" w:lineRule="auto"/>
              <w:ind w:left="0" w:right="0" w:firstLine="0"/>
              <w:jc w:val="left"/>
            </w:pPr>
            <w:r>
              <w:t>6</w:t>
            </w:r>
          </w:p>
        </w:tc>
        <w:tc>
          <w:tcPr>
            <w:tcW w:w="3378" w:type="dxa"/>
            <w:tcBorders>
              <w:top w:val="single" w:sz="4" w:space="0" w:color="000000"/>
              <w:left w:val="single" w:sz="4" w:space="0" w:color="000000"/>
              <w:bottom w:val="single" w:sz="4" w:space="0" w:color="000000"/>
              <w:right w:val="single" w:sz="4" w:space="0" w:color="000000"/>
            </w:tcBorders>
          </w:tcPr>
          <w:p w14:paraId="1A4590B1" w14:textId="3D6634C0" w:rsidR="00C12B1C" w:rsidRDefault="00C12B1C">
            <w:pPr>
              <w:spacing w:after="0" w:line="259" w:lineRule="auto"/>
              <w:ind w:left="2" w:right="0" w:firstLine="0"/>
              <w:jc w:val="left"/>
            </w:pPr>
            <w:r>
              <w:t>Donor</w:t>
            </w:r>
          </w:p>
        </w:tc>
        <w:tc>
          <w:tcPr>
            <w:tcW w:w="2411" w:type="dxa"/>
            <w:gridSpan w:val="2"/>
            <w:tcBorders>
              <w:top w:val="single" w:sz="4" w:space="0" w:color="000000"/>
              <w:left w:val="single" w:sz="4" w:space="0" w:color="000000"/>
              <w:bottom w:val="single" w:sz="4" w:space="0" w:color="000000"/>
              <w:right w:val="single" w:sz="4" w:space="0" w:color="000000"/>
            </w:tcBorders>
          </w:tcPr>
          <w:p w14:paraId="79CC8C79" w14:textId="54EAB403" w:rsidR="00C12B1C" w:rsidRDefault="00C12B1C">
            <w:pPr>
              <w:spacing w:after="0" w:line="259" w:lineRule="auto"/>
              <w:ind w:left="3" w:right="0" w:firstLine="0"/>
              <w:jc w:val="left"/>
            </w:pPr>
            <w:r>
              <w:t>Parnter and Donor Interactive (PDI)</w:t>
            </w:r>
          </w:p>
        </w:tc>
      </w:tr>
      <w:tr w:rsidR="00C12B1C" w14:paraId="32D51808" w14:textId="77777777" w:rsidTr="00897180">
        <w:trPr>
          <w:gridBefore w:val="1"/>
          <w:gridAfter w:val="1"/>
          <w:wBefore w:w="231" w:type="dxa"/>
          <w:wAfter w:w="335" w:type="dxa"/>
          <w:trHeight w:val="281"/>
        </w:trPr>
        <w:tc>
          <w:tcPr>
            <w:tcW w:w="1641" w:type="dxa"/>
            <w:gridSpan w:val="2"/>
            <w:tcBorders>
              <w:top w:val="single" w:sz="4" w:space="0" w:color="000000"/>
              <w:left w:val="single" w:sz="4" w:space="0" w:color="000000"/>
              <w:bottom w:val="single" w:sz="4" w:space="0" w:color="000000"/>
              <w:right w:val="single" w:sz="4" w:space="0" w:color="000000"/>
            </w:tcBorders>
          </w:tcPr>
          <w:p w14:paraId="18BFBD4E" w14:textId="04B6E931" w:rsidR="00C12B1C" w:rsidRDefault="00C12B1C">
            <w:pPr>
              <w:spacing w:after="0" w:line="259" w:lineRule="auto"/>
              <w:ind w:left="0" w:right="0" w:firstLine="0"/>
              <w:jc w:val="left"/>
            </w:pPr>
            <w:r>
              <w:t>Currency Code</w:t>
            </w:r>
          </w:p>
        </w:tc>
        <w:tc>
          <w:tcPr>
            <w:tcW w:w="1311" w:type="dxa"/>
            <w:gridSpan w:val="2"/>
            <w:tcBorders>
              <w:top w:val="single" w:sz="4" w:space="0" w:color="000000"/>
              <w:left w:val="single" w:sz="4" w:space="0" w:color="000000"/>
              <w:bottom w:val="single" w:sz="4" w:space="0" w:color="000000"/>
              <w:right w:val="single" w:sz="4" w:space="0" w:color="000000"/>
            </w:tcBorders>
          </w:tcPr>
          <w:p w14:paraId="0ECE1163" w14:textId="594C769B" w:rsidR="00C12B1C" w:rsidRDefault="00C12B1C">
            <w:pPr>
              <w:spacing w:after="0" w:line="259" w:lineRule="auto"/>
              <w:ind w:left="0" w:right="0" w:firstLine="0"/>
              <w:jc w:val="left"/>
            </w:pPr>
            <w:r>
              <w:t>3</w:t>
            </w:r>
          </w:p>
        </w:tc>
        <w:tc>
          <w:tcPr>
            <w:tcW w:w="3378" w:type="dxa"/>
            <w:tcBorders>
              <w:top w:val="single" w:sz="4" w:space="0" w:color="000000"/>
              <w:left w:val="single" w:sz="4" w:space="0" w:color="000000"/>
              <w:bottom w:val="single" w:sz="4" w:space="0" w:color="000000"/>
              <w:right w:val="single" w:sz="4" w:space="0" w:color="000000"/>
            </w:tcBorders>
          </w:tcPr>
          <w:p w14:paraId="127DB159" w14:textId="4ED6BBAC" w:rsidR="00C12B1C" w:rsidRDefault="00C12B1C">
            <w:pPr>
              <w:spacing w:after="0" w:line="259" w:lineRule="auto"/>
              <w:ind w:left="2" w:right="0" w:firstLine="0"/>
              <w:jc w:val="left"/>
            </w:pPr>
            <w:r>
              <w:t>Local currency</w:t>
            </w:r>
          </w:p>
        </w:tc>
        <w:tc>
          <w:tcPr>
            <w:tcW w:w="2411" w:type="dxa"/>
            <w:gridSpan w:val="2"/>
            <w:tcBorders>
              <w:top w:val="single" w:sz="4" w:space="0" w:color="000000"/>
              <w:left w:val="single" w:sz="4" w:space="0" w:color="000000"/>
              <w:bottom w:val="single" w:sz="4" w:space="0" w:color="000000"/>
              <w:right w:val="single" w:sz="4" w:space="0" w:color="000000"/>
            </w:tcBorders>
          </w:tcPr>
          <w:p w14:paraId="7B096783" w14:textId="00A41D74" w:rsidR="00C12B1C" w:rsidRDefault="00C12B1C">
            <w:pPr>
              <w:spacing w:after="0" w:line="259" w:lineRule="auto"/>
              <w:ind w:left="3" w:right="0" w:firstLine="0"/>
              <w:jc w:val="left"/>
            </w:pPr>
            <w:r>
              <w:t>Treasury</w:t>
            </w:r>
          </w:p>
        </w:tc>
      </w:tr>
      <w:tr w:rsidR="00C12B1C" w14:paraId="078B2054" w14:textId="77777777" w:rsidTr="00897180">
        <w:trPr>
          <w:gridBefore w:val="1"/>
          <w:gridAfter w:val="1"/>
          <w:wBefore w:w="231" w:type="dxa"/>
          <w:wAfter w:w="335" w:type="dxa"/>
          <w:trHeight w:val="281"/>
        </w:trPr>
        <w:tc>
          <w:tcPr>
            <w:tcW w:w="1641" w:type="dxa"/>
            <w:gridSpan w:val="2"/>
            <w:tcBorders>
              <w:top w:val="single" w:sz="4" w:space="0" w:color="000000"/>
              <w:left w:val="single" w:sz="4" w:space="0" w:color="000000"/>
              <w:bottom w:val="single" w:sz="4" w:space="0" w:color="000000"/>
              <w:right w:val="single" w:sz="4" w:space="0" w:color="000000"/>
            </w:tcBorders>
          </w:tcPr>
          <w:p w14:paraId="24E58C6C" w14:textId="58E4D681" w:rsidR="00C12B1C" w:rsidRDefault="00C12B1C">
            <w:pPr>
              <w:spacing w:after="0" w:line="259" w:lineRule="auto"/>
              <w:ind w:left="0" w:right="0" w:firstLine="0"/>
              <w:jc w:val="left"/>
            </w:pPr>
            <w:r>
              <w:t>Fiscal Year</w:t>
            </w:r>
          </w:p>
        </w:tc>
        <w:tc>
          <w:tcPr>
            <w:tcW w:w="1311" w:type="dxa"/>
            <w:gridSpan w:val="2"/>
            <w:tcBorders>
              <w:top w:val="single" w:sz="4" w:space="0" w:color="000000"/>
              <w:left w:val="single" w:sz="4" w:space="0" w:color="000000"/>
              <w:bottom w:val="single" w:sz="4" w:space="0" w:color="000000"/>
              <w:right w:val="single" w:sz="4" w:space="0" w:color="000000"/>
            </w:tcBorders>
          </w:tcPr>
          <w:p w14:paraId="1548C8C1" w14:textId="4010B5F9" w:rsidR="00C12B1C" w:rsidRDefault="00C12B1C">
            <w:pPr>
              <w:spacing w:after="0" w:line="259" w:lineRule="auto"/>
              <w:ind w:left="0" w:right="0" w:firstLine="0"/>
              <w:jc w:val="left"/>
            </w:pPr>
            <w:r>
              <w:t>4</w:t>
            </w:r>
          </w:p>
        </w:tc>
        <w:tc>
          <w:tcPr>
            <w:tcW w:w="3378" w:type="dxa"/>
            <w:tcBorders>
              <w:top w:val="single" w:sz="4" w:space="0" w:color="000000"/>
              <w:left w:val="single" w:sz="4" w:space="0" w:color="000000"/>
              <w:bottom w:val="single" w:sz="4" w:space="0" w:color="000000"/>
              <w:right w:val="single" w:sz="4" w:space="0" w:color="000000"/>
            </w:tcBorders>
          </w:tcPr>
          <w:p w14:paraId="244A4C76" w14:textId="68EF9CAC" w:rsidR="00C12B1C" w:rsidRDefault="00C12B1C">
            <w:pPr>
              <w:spacing w:after="0" w:line="259" w:lineRule="auto"/>
              <w:ind w:left="2" w:right="0" w:firstLine="0"/>
              <w:jc w:val="left"/>
            </w:pPr>
            <w:r>
              <w:t>Fiscal year of ledger balance</w:t>
            </w:r>
          </w:p>
        </w:tc>
        <w:tc>
          <w:tcPr>
            <w:tcW w:w="2411" w:type="dxa"/>
            <w:gridSpan w:val="2"/>
            <w:tcBorders>
              <w:top w:val="single" w:sz="4" w:space="0" w:color="000000"/>
              <w:left w:val="single" w:sz="4" w:space="0" w:color="000000"/>
              <w:bottom w:val="single" w:sz="4" w:space="0" w:color="000000"/>
              <w:right w:val="single" w:sz="4" w:space="0" w:color="000000"/>
            </w:tcBorders>
          </w:tcPr>
          <w:p w14:paraId="5164151F" w14:textId="747C43CE" w:rsidR="00C12B1C" w:rsidRDefault="00C12B1C">
            <w:pPr>
              <w:spacing w:after="0" w:line="259" w:lineRule="auto"/>
              <w:ind w:left="3" w:right="0" w:firstLine="0"/>
              <w:jc w:val="left"/>
            </w:pPr>
            <w:r>
              <w:t>OFM</w:t>
            </w:r>
          </w:p>
        </w:tc>
      </w:tr>
      <w:tr w:rsidR="00C12B1C" w14:paraId="47CDB2B1" w14:textId="77777777" w:rsidTr="00897180">
        <w:trPr>
          <w:gridBefore w:val="1"/>
          <w:gridAfter w:val="1"/>
          <w:wBefore w:w="231" w:type="dxa"/>
          <w:wAfter w:w="335" w:type="dxa"/>
          <w:trHeight w:val="281"/>
        </w:trPr>
        <w:tc>
          <w:tcPr>
            <w:tcW w:w="1641" w:type="dxa"/>
            <w:gridSpan w:val="2"/>
            <w:tcBorders>
              <w:top w:val="single" w:sz="4" w:space="0" w:color="000000"/>
              <w:left w:val="single" w:sz="4" w:space="0" w:color="000000"/>
              <w:bottom w:val="single" w:sz="4" w:space="0" w:color="000000"/>
              <w:right w:val="single" w:sz="4" w:space="0" w:color="000000"/>
            </w:tcBorders>
          </w:tcPr>
          <w:p w14:paraId="25B32730" w14:textId="783D8B0B" w:rsidR="00C12B1C" w:rsidRDefault="00C12B1C">
            <w:pPr>
              <w:spacing w:after="0" w:line="259" w:lineRule="auto"/>
              <w:ind w:left="0" w:right="0" w:firstLine="0"/>
              <w:jc w:val="left"/>
            </w:pPr>
            <w:r>
              <w:t>Accounting Period</w:t>
            </w:r>
          </w:p>
        </w:tc>
        <w:tc>
          <w:tcPr>
            <w:tcW w:w="1311" w:type="dxa"/>
            <w:gridSpan w:val="2"/>
            <w:tcBorders>
              <w:top w:val="single" w:sz="4" w:space="0" w:color="000000"/>
              <w:left w:val="single" w:sz="4" w:space="0" w:color="000000"/>
              <w:bottom w:val="single" w:sz="4" w:space="0" w:color="000000"/>
              <w:right w:val="single" w:sz="4" w:space="0" w:color="000000"/>
            </w:tcBorders>
          </w:tcPr>
          <w:p w14:paraId="64F3189A" w14:textId="7789EC12" w:rsidR="00C12B1C" w:rsidRDefault="003A69F7">
            <w:pPr>
              <w:spacing w:after="0" w:line="259" w:lineRule="auto"/>
              <w:ind w:left="0" w:right="0" w:firstLine="0"/>
              <w:jc w:val="left"/>
            </w:pPr>
            <w:r>
              <w:t>8</w:t>
            </w:r>
          </w:p>
        </w:tc>
        <w:tc>
          <w:tcPr>
            <w:tcW w:w="3378" w:type="dxa"/>
            <w:tcBorders>
              <w:top w:val="single" w:sz="4" w:space="0" w:color="000000"/>
              <w:left w:val="single" w:sz="4" w:space="0" w:color="000000"/>
              <w:bottom w:val="single" w:sz="4" w:space="0" w:color="000000"/>
              <w:right w:val="single" w:sz="4" w:space="0" w:color="000000"/>
            </w:tcBorders>
          </w:tcPr>
          <w:p w14:paraId="5D03C6AD" w14:textId="2385151A" w:rsidR="00C12B1C" w:rsidRDefault="003A69F7">
            <w:pPr>
              <w:spacing w:after="0" w:line="259" w:lineRule="auto"/>
              <w:ind w:left="2" w:right="0" w:firstLine="0"/>
              <w:jc w:val="left"/>
            </w:pPr>
            <w:r>
              <w:t>Accounting period of ledger transaction</w:t>
            </w:r>
          </w:p>
        </w:tc>
        <w:tc>
          <w:tcPr>
            <w:tcW w:w="2411" w:type="dxa"/>
            <w:gridSpan w:val="2"/>
            <w:tcBorders>
              <w:top w:val="single" w:sz="4" w:space="0" w:color="000000"/>
              <w:left w:val="single" w:sz="4" w:space="0" w:color="000000"/>
              <w:bottom w:val="single" w:sz="4" w:space="0" w:color="000000"/>
              <w:right w:val="single" w:sz="4" w:space="0" w:color="000000"/>
            </w:tcBorders>
          </w:tcPr>
          <w:p w14:paraId="74E9C8EA" w14:textId="4D777EAD" w:rsidR="00C12B1C" w:rsidRDefault="003A69F7">
            <w:pPr>
              <w:spacing w:after="0" w:line="259" w:lineRule="auto"/>
              <w:ind w:left="3" w:right="0" w:firstLine="0"/>
              <w:jc w:val="left"/>
            </w:pPr>
            <w:r>
              <w:t>OFM</w:t>
            </w:r>
          </w:p>
        </w:tc>
      </w:tr>
      <w:tr w:rsidR="00B656A9" w14:paraId="2F7966EE" w14:textId="77777777" w:rsidTr="00897180">
        <w:tblPrEx>
          <w:tblCellMar>
            <w:left w:w="29" w:type="dxa"/>
            <w:bottom w:w="1" w:type="dxa"/>
            <w:right w:w="80" w:type="dxa"/>
          </w:tblCellMar>
        </w:tblPrEx>
        <w:trPr>
          <w:trHeight w:val="272"/>
        </w:trPr>
        <w:tc>
          <w:tcPr>
            <w:tcW w:w="1774" w:type="dxa"/>
            <w:gridSpan w:val="2"/>
            <w:tcBorders>
              <w:top w:val="nil"/>
              <w:left w:val="nil"/>
              <w:bottom w:val="nil"/>
              <w:right w:val="nil"/>
            </w:tcBorders>
            <w:shd w:val="clear" w:color="auto" w:fill="FFFFFF"/>
          </w:tcPr>
          <w:p w14:paraId="3FBC7D82" w14:textId="77777777" w:rsidR="00675FC8" w:rsidRDefault="00D92E79">
            <w:pPr>
              <w:spacing w:after="0" w:line="259" w:lineRule="auto"/>
              <w:ind w:left="0" w:right="0" w:firstLine="0"/>
              <w:jc w:val="left"/>
            </w:pPr>
            <w:r>
              <w:t xml:space="preserve"> </w:t>
            </w:r>
          </w:p>
        </w:tc>
        <w:tc>
          <w:tcPr>
            <w:tcW w:w="1349" w:type="dxa"/>
            <w:gridSpan w:val="2"/>
            <w:tcBorders>
              <w:top w:val="single" w:sz="4" w:space="0" w:color="000000"/>
              <w:left w:val="nil"/>
              <w:bottom w:val="nil"/>
              <w:right w:val="nil"/>
            </w:tcBorders>
            <w:shd w:val="clear" w:color="auto" w:fill="FFFFFF"/>
            <w:vAlign w:val="bottom"/>
          </w:tcPr>
          <w:p w14:paraId="08FB3BCB" w14:textId="77777777" w:rsidR="00675FC8" w:rsidRDefault="00675FC8">
            <w:pPr>
              <w:spacing w:after="160" w:line="259" w:lineRule="auto"/>
              <w:ind w:left="0" w:right="0" w:firstLine="0"/>
              <w:jc w:val="left"/>
            </w:pPr>
          </w:p>
        </w:tc>
        <w:tc>
          <w:tcPr>
            <w:tcW w:w="3569" w:type="dxa"/>
            <w:gridSpan w:val="3"/>
            <w:tcBorders>
              <w:top w:val="single" w:sz="4" w:space="0" w:color="000000"/>
              <w:left w:val="nil"/>
              <w:bottom w:val="nil"/>
              <w:right w:val="nil"/>
            </w:tcBorders>
            <w:shd w:val="clear" w:color="auto" w:fill="FFFFFF"/>
            <w:vAlign w:val="bottom"/>
          </w:tcPr>
          <w:p w14:paraId="40E861CE" w14:textId="77777777" w:rsidR="00675FC8" w:rsidRDefault="00675FC8">
            <w:pPr>
              <w:spacing w:after="160" w:line="259" w:lineRule="auto"/>
              <w:ind w:left="0" w:right="0" w:firstLine="0"/>
              <w:jc w:val="left"/>
            </w:pPr>
          </w:p>
        </w:tc>
        <w:tc>
          <w:tcPr>
            <w:tcW w:w="2615" w:type="dxa"/>
            <w:gridSpan w:val="2"/>
            <w:tcBorders>
              <w:top w:val="single" w:sz="4" w:space="0" w:color="000000"/>
              <w:left w:val="nil"/>
              <w:bottom w:val="nil"/>
              <w:right w:val="nil"/>
            </w:tcBorders>
            <w:shd w:val="clear" w:color="auto" w:fill="FFFFFF"/>
            <w:vAlign w:val="center"/>
          </w:tcPr>
          <w:p w14:paraId="57CF0A01" w14:textId="77777777" w:rsidR="00675FC8" w:rsidRDefault="00675FC8">
            <w:pPr>
              <w:spacing w:after="160" w:line="259" w:lineRule="auto"/>
              <w:ind w:left="0" w:right="0" w:firstLine="0"/>
              <w:jc w:val="left"/>
            </w:pPr>
          </w:p>
        </w:tc>
      </w:tr>
    </w:tbl>
    <w:p w14:paraId="48865873" w14:textId="0ADB250E" w:rsidR="00675FC8" w:rsidRDefault="00675FC8" w:rsidP="00ED475F">
      <w:pPr>
        <w:ind w:left="360" w:firstLine="0"/>
      </w:pPr>
    </w:p>
    <w:sectPr w:rsidR="00675FC8" w:rsidSect="00D92E7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DFABB" w14:textId="77777777" w:rsidR="00677D63" w:rsidRDefault="00677D63">
      <w:pPr>
        <w:spacing w:after="0" w:line="240" w:lineRule="auto"/>
      </w:pPr>
      <w:r>
        <w:separator/>
      </w:r>
    </w:p>
  </w:endnote>
  <w:endnote w:type="continuationSeparator" w:id="0">
    <w:p w14:paraId="665BF716" w14:textId="77777777" w:rsidR="00677D63" w:rsidRDefault="00677D63">
      <w:pPr>
        <w:spacing w:after="0" w:line="240" w:lineRule="auto"/>
      </w:pPr>
      <w:r>
        <w:continuationSeparator/>
      </w:r>
    </w:p>
  </w:endnote>
  <w:endnote w:type="continuationNotice" w:id="1">
    <w:p w14:paraId="67819EB7" w14:textId="77777777" w:rsidR="00677D63" w:rsidRDefault="00677D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06AB" w14:textId="77777777" w:rsidR="00675FC8" w:rsidRDefault="00D92E79">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2438894B" w14:textId="77777777" w:rsidR="00675FC8" w:rsidRDefault="00D92E79">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5157" w14:textId="17F8CD5E" w:rsidR="00675FC8" w:rsidRDefault="00D92E79">
    <w:pPr>
      <w:spacing w:after="0" w:line="259" w:lineRule="auto"/>
      <w:ind w:left="0" w:right="0" w:firstLine="0"/>
      <w:jc w:val="left"/>
    </w:pPr>
    <w:r>
      <w:t xml:space="preserve">Page </w:t>
    </w:r>
    <w:r>
      <w:rPr>
        <w:b/>
        <w:bCs/>
      </w:rPr>
      <w:fldChar w:fldCharType="begin"/>
    </w:r>
    <w:r>
      <w:rPr>
        <w:b/>
        <w:bCs/>
      </w:rPr>
      <w:instrText xml:space="preserve"> PAGE  \* Arabic  \* MERGEFORMAT </w:instrText>
    </w:r>
    <w:r>
      <w:rPr>
        <w:b/>
        <w:bCs/>
      </w:rPr>
      <w:fldChar w:fldCharType="separate"/>
    </w:r>
    <w:r>
      <w:rPr>
        <w:b/>
        <w:bCs/>
        <w:noProof/>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8</w:t>
    </w:r>
    <w:r>
      <w:rPr>
        <w:b/>
        <w:bCs/>
      </w:rPr>
      <w:fldChar w:fldCharType="end"/>
    </w:r>
    <w:r>
      <w:ptab w:relativeTo="margin" w:alignment="center" w:leader="none"/>
    </w:r>
    <w:r>
      <w:t xml:space="preserve">Effective Date: </w:t>
    </w:r>
    <w:sdt>
      <w:sdtPr>
        <w:alias w:val="Date d’entrée en vigueur"/>
        <w:tag w:val="UNDP_POPP_EFFECTIVEDATE"/>
        <w:id w:val="1552960860"/>
        <w:placeholder>
          <w:docPart w:val="C960F572B11C46C0BB6DF4E0E2F4D30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8F5AED72-0909-434A-B6AB-08F1ED7EDDF8}"/>
        <w:date w:fullDate="2012-01-01T00:00:00Z">
          <w:dateFormat w:val="dd/MM/yyyy"/>
          <w:lid w:val="fr-FR"/>
          <w:storeMappedDataAs w:val="dateTime"/>
          <w:calendar w:val="gregorian"/>
        </w:date>
      </w:sdtPr>
      <w:sdtContent>
        <w:r w:rsidR="00CF3835">
          <w:rPr>
            <w:lang w:val="fr-FR"/>
          </w:rPr>
          <w:t>01/01/2012</w:t>
        </w:r>
      </w:sdtContent>
    </w:sdt>
    <w:r>
      <w:ptab w:relativeTo="margin" w:alignment="right" w:leader="none"/>
    </w:r>
    <w:r>
      <w:t xml:space="preserve">Version #: </w:t>
    </w:r>
    <w:sdt>
      <w:sdtPr>
        <w:alias w:val="POPPRefItemVersion"/>
        <w:tag w:val="UNDP_POPP_REFITEM_VERSION"/>
        <w:id w:val="-1844928543"/>
        <w:placeholder>
          <w:docPart w:val="1121D1EFDBBF45C0B2D2CD00EBFF688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F5AED72-0909-434A-B6AB-08F1ED7EDDF8}"/>
        <w:text/>
      </w:sdtPr>
      <w:sdtContent>
        <w:r w:rsidR="002E247C">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F1D48" w14:textId="77777777" w:rsidR="00675FC8" w:rsidRDefault="00D92E79">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633E5BA6" w14:textId="77777777" w:rsidR="00675FC8" w:rsidRDefault="00D92E79">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F8921" w14:textId="77777777" w:rsidR="00677D63" w:rsidRDefault="00677D63">
      <w:pPr>
        <w:spacing w:after="0" w:line="240" w:lineRule="auto"/>
      </w:pPr>
      <w:r>
        <w:separator/>
      </w:r>
    </w:p>
  </w:footnote>
  <w:footnote w:type="continuationSeparator" w:id="0">
    <w:p w14:paraId="164FEDD2" w14:textId="77777777" w:rsidR="00677D63" w:rsidRDefault="00677D63">
      <w:pPr>
        <w:spacing w:after="0" w:line="240" w:lineRule="auto"/>
      </w:pPr>
      <w:r>
        <w:continuationSeparator/>
      </w:r>
    </w:p>
  </w:footnote>
  <w:footnote w:type="continuationNotice" w:id="1">
    <w:p w14:paraId="62B96038" w14:textId="77777777" w:rsidR="00677D63" w:rsidRDefault="00677D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09101" w14:textId="77777777" w:rsidR="000624FF" w:rsidRDefault="00062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A8BB7" w14:textId="201BC440" w:rsidR="00D92E79" w:rsidRDefault="00D92E79" w:rsidP="00D92E79">
    <w:pPr>
      <w:pStyle w:val="Header"/>
      <w:jc w:val="right"/>
    </w:pPr>
    <w:r>
      <w:rPr>
        <w:noProof/>
      </w:rPr>
      <w:drawing>
        <wp:inline distT="0" distB="0" distL="0" distR="0" wp14:anchorId="7B2DE6AD" wp14:editId="22A54D08">
          <wp:extent cx="304800" cy="59804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4923"/>
                  <a:stretch/>
                </pic:blipFill>
                <pic:spPr bwMode="auto">
                  <a:xfrm>
                    <a:off x="0" y="0"/>
                    <a:ext cx="309373" cy="607015"/>
                  </a:xfrm>
                  <a:prstGeom prst="rect">
                    <a:avLst/>
                  </a:prstGeom>
                  <a:ln>
                    <a:noFill/>
                  </a:ln>
                  <a:extLst>
                    <a:ext uri="{53640926-AAD7-44D8-BBD7-CCE9431645EC}">
                      <a14:shadowObscured xmlns:a14="http://schemas.microsoft.com/office/drawing/2010/main"/>
                    </a:ext>
                  </a:extLst>
                </pic:spPr>
              </pic:pic>
            </a:graphicData>
          </a:graphic>
        </wp:inline>
      </w:drawing>
    </w:r>
  </w:p>
  <w:p w14:paraId="5032FFA5" w14:textId="77777777" w:rsidR="00D92E79" w:rsidRDefault="00D92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DC38" w14:textId="77777777" w:rsidR="000624FF" w:rsidRDefault="00062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E5A"/>
    <w:multiLevelType w:val="hybridMultilevel"/>
    <w:tmpl w:val="630EA4CE"/>
    <w:lvl w:ilvl="0" w:tplc="DC1CD17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E25000">
      <w:start w:val="1"/>
      <w:numFmt w:val="bullet"/>
      <w:lvlText w:val="o"/>
      <w:lvlJc w:val="left"/>
      <w:pPr>
        <w:ind w:left="9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C48A358">
      <w:start w:val="1"/>
      <w:numFmt w:val="bullet"/>
      <w:lvlText w:val="▪"/>
      <w:lvlJc w:val="left"/>
      <w:pPr>
        <w:ind w:left="14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09001B">
      <w:start w:val="1"/>
      <w:numFmt w:val="lowerRoman"/>
      <w:lvlText w:val="%4."/>
      <w:lvlJc w:val="right"/>
      <w:pPr>
        <w:ind w:left="1985"/>
      </w:pPr>
      <w:rPr>
        <w:b w:val="0"/>
        <w:i w:val="0"/>
        <w:strike w:val="0"/>
        <w:dstrike w:val="0"/>
        <w:color w:val="000000"/>
        <w:sz w:val="22"/>
        <w:szCs w:val="22"/>
        <w:u w:val="none" w:color="000000"/>
        <w:bdr w:val="none" w:sz="0" w:space="0" w:color="auto"/>
        <w:shd w:val="clear" w:color="auto" w:fill="auto"/>
        <w:vertAlign w:val="baseline"/>
      </w:rPr>
    </w:lvl>
    <w:lvl w:ilvl="4" w:tplc="92EA9850">
      <w:start w:val="1"/>
      <w:numFmt w:val="bullet"/>
      <w:lvlText w:val="o"/>
      <w:lvlJc w:val="left"/>
      <w:pPr>
        <w:ind w:left="2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5C6120">
      <w:start w:val="1"/>
      <w:numFmt w:val="bullet"/>
      <w:lvlText w:val="▪"/>
      <w:lvlJc w:val="left"/>
      <w:pPr>
        <w:ind w:left="3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3A08DE">
      <w:start w:val="1"/>
      <w:numFmt w:val="bullet"/>
      <w:lvlText w:val="•"/>
      <w:lvlJc w:val="left"/>
      <w:pPr>
        <w:ind w:left="41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96645C4">
      <w:start w:val="1"/>
      <w:numFmt w:val="bullet"/>
      <w:lvlText w:val="o"/>
      <w:lvlJc w:val="left"/>
      <w:pPr>
        <w:ind w:left="48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B8DD30">
      <w:start w:val="1"/>
      <w:numFmt w:val="bullet"/>
      <w:lvlText w:val="▪"/>
      <w:lvlJc w:val="left"/>
      <w:pPr>
        <w:ind w:left="55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BD164A"/>
    <w:multiLevelType w:val="hybridMultilevel"/>
    <w:tmpl w:val="9D869CFA"/>
    <w:lvl w:ilvl="0" w:tplc="8CD8D2EA">
      <w:start w:val="2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D649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DE966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015A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EA77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A206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8CA4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16DF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C0073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3F1C70"/>
    <w:multiLevelType w:val="hybridMultilevel"/>
    <w:tmpl w:val="3C76D6E0"/>
    <w:lvl w:ilvl="0" w:tplc="E0F475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9AC56E">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38187A">
      <w:start w:val="1"/>
      <w:numFmt w:val="bullet"/>
      <w:lvlRestart w:val="0"/>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3CA1C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7CA5F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765BD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B0FDA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E87EE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70057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7751F1"/>
    <w:multiLevelType w:val="hybridMultilevel"/>
    <w:tmpl w:val="B24232E8"/>
    <w:lvl w:ilvl="0" w:tplc="7248B8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6458DA">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544026">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CC71E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ADD2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60F62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80212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E602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7C60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7967F2"/>
    <w:multiLevelType w:val="hybridMultilevel"/>
    <w:tmpl w:val="064A9D54"/>
    <w:lvl w:ilvl="0" w:tplc="14AEC162">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82"/>
      </w:pPr>
      <w:rPr>
        <w:b w:val="0"/>
        <w:i w:val="0"/>
        <w:strike w:val="0"/>
        <w:dstrike w:val="0"/>
        <w:color w:val="000000"/>
        <w:sz w:val="22"/>
        <w:szCs w:val="22"/>
        <w:u w:val="none" w:color="000000"/>
        <w:bdr w:val="none" w:sz="0" w:space="0" w:color="auto"/>
        <w:shd w:val="clear" w:color="auto" w:fill="auto"/>
        <w:vertAlign w:val="baseline"/>
      </w:rPr>
    </w:lvl>
    <w:lvl w:ilvl="2" w:tplc="5914C0DC">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60815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C90E0">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D45F36">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28CA7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A36FE">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D6C9F8">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8F302F"/>
    <w:multiLevelType w:val="hybridMultilevel"/>
    <w:tmpl w:val="88C6A992"/>
    <w:lvl w:ilvl="0" w:tplc="DC1CD17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E25000">
      <w:start w:val="1"/>
      <w:numFmt w:val="bullet"/>
      <w:lvlText w:val="o"/>
      <w:lvlJc w:val="left"/>
      <w:pPr>
        <w:ind w:left="9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C48A358">
      <w:start w:val="1"/>
      <w:numFmt w:val="bullet"/>
      <w:lvlText w:val="▪"/>
      <w:lvlJc w:val="left"/>
      <w:pPr>
        <w:ind w:left="14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1D0675C">
      <w:start w:val="1"/>
      <w:numFmt w:val="bullet"/>
      <w:lvlRestart w:val="0"/>
      <w:lvlText w:val=""/>
      <w:lvlJc w:val="left"/>
      <w:pPr>
        <w:ind w:left="19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EA9850">
      <w:start w:val="1"/>
      <w:numFmt w:val="bullet"/>
      <w:lvlText w:val="o"/>
      <w:lvlJc w:val="left"/>
      <w:pPr>
        <w:ind w:left="2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5C6120">
      <w:start w:val="1"/>
      <w:numFmt w:val="bullet"/>
      <w:lvlText w:val="▪"/>
      <w:lvlJc w:val="left"/>
      <w:pPr>
        <w:ind w:left="3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3A08DE">
      <w:start w:val="1"/>
      <w:numFmt w:val="bullet"/>
      <w:lvlText w:val="•"/>
      <w:lvlJc w:val="left"/>
      <w:pPr>
        <w:ind w:left="41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96645C4">
      <w:start w:val="1"/>
      <w:numFmt w:val="bullet"/>
      <w:lvlText w:val="o"/>
      <w:lvlJc w:val="left"/>
      <w:pPr>
        <w:ind w:left="48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B8DD30">
      <w:start w:val="1"/>
      <w:numFmt w:val="bullet"/>
      <w:lvlText w:val="▪"/>
      <w:lvlJc w:val="left"/>
      <w:pPr>
        <w:ind w:left="55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4F5730"/>
    <w:multiLevelType w:val="hybridMultilevel"/>
    <w:tmpl w:val="400202F0"/>
    <w:lvl w:ilvl="0" w:tplc="14AEC162">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E3E63A6"/>
    <w:multiLevelType w:val="hybridMultilevel"/>
    <w:tmpl w:val="6292E494"/>
    <w:lvl w:ilvl="0" w:tplc="B810DF60">
      <w:start w:val="1"/>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7AE4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0EA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CABF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DEBE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6BA0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6C22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4413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88B89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54324A6"/>
    <w:multiLevelType w:val="hybridMultilevel"/>
    <w:tmpl w:val="801067B8"/>
    <w:lvl w:ilvl="0" w:tplc="5C98C8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165110">
      <w:start w:val="1"/>
      <w:numFmt w:val="bullet"/>
      <w:lvlText w:val="o"/>
      <w:lvlJc w:val="left"/>
      <w:pPr>
        <w:ind w:left="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76835E">
      <w:start w:val="1"/>
      <w:numFmt w:val="bullet"/>
      <w:lvlRestart w:val="0"/>
      <w:lvlText w:val="•"/>
      <w:lvlJc w:val="left"/>
      <w:pPr>
        <w:ind w:left="1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20A210">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25936">
      <w:start w:val="1"/>
      <w:numFmt w:val="bullet"/>
      <w:lvlText w:val="o"/>
      <w:lvlJc w:val="left"/>
      <w:pPr>
        <w:ind w:left="27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8070AA">
      <w:start w:val="1"/>
      <w:numFmt w:val="bullet"/>
      <w:lvlText w:val="▪"/>
      <w:lvlJc w:val="left"/>
      <w:pPr>
        <w:ind w:left="3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654F2">
      <w:start w:val="1"/>
      <w:numFmt w:val="bullet"/>
      <w:lvlText w:val="•"/>
      <w:lvlJc w:val="left"/>
      <w:pPr>
        <w:ind w:left="4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B6A4C4">
      <w:start w:val="1"/>
      <w:numFmt w:val="bullet"/>
      <w:lvlText w:val="o"/>
      <w:lvlJc w:val="left"/>
      <w:pPr>
        <w:ind w:left="4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C6A3D8">
      <w:start w:val="1"/>
      <w:numFmt w:val="bullet"/>
      <w:lvlText w:val="▪"/>
      <w:lvlJc w:val="left"/>
      <w:pPr>
        <w:ind w:left="5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6E701A"/>
    <w:multiLevelType w:val="hybridMultilevel"/>
    <w:tmpl w:val="CD5CFD32"/>
    <w:lvl w:ilvl="0" w:tplc="FB06C9F2">
      <w:start w:val="39"/>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2E8E13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400EBE">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82AAD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0AF10A">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CA3B20">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EAE53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62EEC">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E625C4">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D26794"/>
    <w:multiLevelType w:val="hybridMultilevel"/>
    <w:tmpl w:val="EF7611F4"/>
    <w:lvl w:ilvl="0" w:tplc="5C98C8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165110">
      <w:start w:val="1"/>
      <w:numFmt w:val="bullet"/>
      <w:lvlText w:val="o"/>
      <w:lvlJc w:val="left"/>
      <w:pPr>
        <w:ind w:left="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090019">
      <w:start w:val="1"/>
      <w:numFmt w:val="lowerLetter"/>
      <w:lvlText w:val="%3."/>
      <w:lvlJc w:val="left"/>
      <w:pPr>
        <w:ind w:left="1291"/>
      </w:pPr>
      <w:rPr>
        <w:b w:val="0"/>
        <w:i w:val="0"/>
        <w:strike w:val="0"/>
        <w:dstrike w:val="0"/>
        <w:color w:val="000000"/>
        <w:sz w:val="22"/>
        <w:szCs w:val="22"/>
        <w:u w:val="none" w:color="000000"/>
        <w:bdr w:val="none" w:sz="0" w:space="0" w:color="auto"/>
        <w:shd w:val="clear" w:color="auto" w:fill="auto"/>
        <w:vertAlign w:val="baseline"/>
      </w:rPr>
    </w:lvl>
    <w:lvl w:ilvl="3" w:tplc="2820A210">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25936">
      <w:start w:val="1"/>
      <w:numFmt w:val="bullet"/>
      <w:lvlText w:val="o"/>
      <w:lvlJc w:val="left"/>
      <w:pPr>
        <w:ind w:left="27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8070AA">
      <w:start w:val="1"/>
      <w:numFmt w:val="bullet"/>
      <w:lvlText w:val="▪"/>
      <w:lvlJc w:val="left"/>
      <w:pPr>
        <w:ind w:left="3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654F2">
      <w:start w:val="1"/>
      <w:numFmt w:val="bullet"/>
      <w:lvlText w:val="•"/>
      <w:lvlJc w:val="left"/>
      <w:pPr>
        <w:ind w:left="4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B6A4C4">
      <w:start w:val="1"/>
      <w:numFmt w:val="bullet"/>
      <w:lvlText w:val="o"/>
      <w:lvlJc w:val="left"/>
      <w:pPr>
        <w:ind w:left="4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C6A3D8">
      <w:start w:val="1"/>
      <w:numFmt w:val="bullet"/>
      <w:lvlText w:val="▪"/>
      <w:lvlJc w:val="left"/>
      <w:pPr>
        <w:ind w:left="5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85155BE"/>
    <w:multiLevelType w:val="hybridMultilevel"/>
    <w:tmpl w:val="5ECC145C"/>
    <w:lvl w:ilvl="0" w:tplc="7248B8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6458DA">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090019">
      <w:start w:val="1"/>
      <w:numFmt w:val="lowerLetter"/>
      <w:lvlText w:val="%3."/>
      <w:lvlJc w:val="left"/>
      <w:pPr>
        <w:ind w:left="1440"/>
      </w:pPr>
      <w:rPr>
        <w:b w:val="0"/>
        <w:i w:val="0"/>
        <w:strike w:val="0"/>
        <w:dstrike w:val="0"/>
        <w:color w:val="000000"/>
        <w:sz w:val="22"/>
        <w:szCs w:val="22"/>
        <w:u w:val="none" w:color="000000"/>
        <w:bdr w:val="none" w:sz="0" w:space="0" w:color="auto"/>
        <w:shd w:val="clear" w:color="auto" w:fill="auto"/>
        <w:vertAlign w:val="baseline"/>
      </w:rPr>
    </w:lvl>
    <w:lvl w:ilvl="3" w:tplc="59CC71E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ADD2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60F62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80212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E602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7C60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CE63151"/>
    <w:multiLevelType w:val="hybridMultilevel"/>
    <w:tmpl w:val="4EA44EC6"/>
    <w:lvl w:ilvl="0" w:tplc="14AEC162">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82"/>
      </w:pPr>
      <w:rPr>
        <w:b w:val="0"/>
        <w:i w:val="0"/>
        <w:strike w:val="0"/>
        <w:dstrike w:val="0"/>
        <w:color w:val="000000"/>
        <w:sz w:val="22"/>
        <w:szCs w:val="22"/>
        <w:u w:val="none" w:color="000000"/>
        <w:bdr w:val="none" w:sz="0" w:space="0" w:color="auto"/>
        <w:shd w:val="clear" w:color="auto" w:fill="auto"/>
        <w:vertAlign w:val="baseline"/>
      </w:rPr>
    </w:lvl>
    <w:lvl w:ilvl="2" w:tplc="5914C0DC">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60815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C90E0">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D45F36">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28CA7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A36FE">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D6C9F8">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FDA6D09"/>
    <w:multiLevelType w:val="hybridMultilevel"/>
    <w:tmpl w:val="80CC8B00"/>
    <w:lvl w:ilvl="0" w:tplc="14AEC162">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A20482">
      <w:start w:val="1"/>
      <w:numFmt w:val="bullet"/>
      <w:lvlText w:val="•"/>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14C0DC">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60815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C90E0">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D45F36">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28CA7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A36FE">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D6C9F8">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8320FF8"/>
    <w:multiLevelType w:val="hybridMultilevel"/>
    <w:tmpl w:val="84789688"/>
    <w:lvl w:ilvl="0" w:tplc="FB06C9F2">
      <w:start w:val="39"/>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66"/>
      </w:pPr>
      <w:rPr>
        <w:b w:val="0"/>
        <w:i w:val="0"/>
        <w:strike w:val="0"/>
        <w:dstrike w:val="0"/>
        <w:color w:val="000000"/>
        <w:sz w:val="22"/>
        <w:szCs w:val="22"/>
        <w:u w:val="none" w:color="000000"/>
        <w:bdr w:val="none" w:sz="0" w:space="0" w:color="auto"/>
        <w:shd w:val="clear" w:color="auto" w:fill="auto"/>
        <w:vertAlign w:val="baseline"/>
      </w:rPr>
    </w:lvl>
    <w:lvl w:ilvl="2" w:tplc="8C400EBE">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82AAD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0AF10A">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CA3B20">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EAE53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62EEC">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E625C4">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CF66DAF"/>
    <w:multiLevelType w:val="hybridMultilevel"/>
    <w:tmpl w:val="1D825978"/>
    <w:lvl w:ilvl="0" w:tplc="E0F475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9AC56E">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090019">
      <w:start w:val="1"/>
      <w:numFmt w:val="lowerLetter"/>
      <w:lvlText w:val="%3."/>
      <w:lvlJc w:val="left"/>
      <w:pPr>
        <w:ind w:left="1454"/>
      </w:pPr>
      <w:rPr>
        <w:b w:val="0"/>
        <w:i w:val="0"/>
        <w:strike w:val="0"/>
        <w:dstrike w:val="0"/>
        <w:color w:val="000000"/>
        <w:sz w:val="22"/>
        <w:szCs w:val="22"/>
        <w:u w:val="none" w:color="000000"/>
        <w:bdr w:val="none" w:sz="0" w:space="0" w:color="auto"/>
        <w:shd w:val="clear" w:color="auto" w:fill="auto"/>
        <w:vertAlign w:val="baseline"/>
      </w:rPr>
    </w:lvl>
    <w:lvl w:ilvl="3" w:tplc="693CA1C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7CA5F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765BD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B0FDA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E87EE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70057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464684E"/>
    <w:multiLevelType w:val="hybridMultilevel"/>
    <w:tmpl w:val="795891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8207467">
    <w:abstractNumId w:val="7"/>
  </w:num>
  <w:num w:numId="2" w16cid:durableId="2108888365">
    <w:abstractNumId w:val="13"/>
  </w:num>
  <w:num w:numId="3" w16cid:durableId="1011954119">
    <w:abstractNumId w:val="8"/>
  </w:num>
  <w:num w:numId="4" w16cid:durableId="618537976">
    <w:abstractNumId w:val="3"/>
  </w:num>
  <w:num w:numId="5" w16cid:durableId="855919842">
    <w:abstractNumId w:val="5"/>
  </w:num>
  <w:num w:numId="6" w16cid:durableId="197738260">
    <w:abstractNumId w:val="2"/>
  </w:num>
  <w:num w:numId="7" w16cid:durableId="134371056">
    <w:abstractNumId w:val="1"/>
  </w:num>
  <w:num w:numId="8" w16cid:durableId="367607912">
    <w:abstractNumId w:val="9"/>
  </w:num>
  <w:num w:numId="9" w16cid:durableId="1380205584">
    <w:abstractNumId w:val="4"/>
  </w:num>
  <w:num w:numId="10" w16cid:durableId="728965713">
    <w:abstractNumId w:val="10"/>
  </w:num>
  <w:num w:numId="11" w16cid:durableId="2145341944">
    <w:abstractNumId w:val="11"/>
  </w:num>
  <w:num w:numId="12" w16cid:durableId="1677414927">
    <w:abstractNumId w:val="0"/>
  </w:num>
  <w:num w:numId="13" w16cid:durableId="145556860">
    <w:abstractNumId w:val="15"/>
  </w:num>
  <w:num w:numId="14" w16cid:durableId="1997880062">
    <w:abstractNumId w:val="12"/>
  </w:num>
  <w:num w:numId="15" w16cid:durableId="1813477014">
    <w:abstractNumId w:val="14"/>
  </w:num>
  <w:num w:numId="16" w16cid:durableId="1027219038">
    <w:abstractNumId w:val="16"/>
  </w:num>
  <w:num w:numId="17" w16cid:durableId="1100416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FC8"/>
    <w:rsid w:val="00005313"/>
    <w:rsid w:val="00041E2B"/>
    <w:rsid w:val="00042425"/>
    <w:rsid w:val="000459A1"/>
    <w:rsid w:val="00046C2F"/>
    <w:rsid w:val="00053D9B"/>
    <w:rsid w:val="00060F41"/>
    <w:rsid w:val="000624FF"/>
    <w:rsid w:val="000A66DD"/>
    <w:rsid w:val="000A6D0E"/>
    <w:rsid w:val="000B25E4"/>
    <w:rsid w:val="000C15EE"/>
    <w:rsid w:val="000C6EC2"/>
    <w:rsid w:val="000D0D20"/>
    <w:rsid w:val="000E02F6"/>
    <w:rsid w:val="000E0E68"/>
    <w:rsid w:val="000F4C75"/>
    <w:rsid w:val="00104DE8"/>
    <w:rsid w:val="0012642A"/>
    <w:rsid w:val="00145078"/>
    <w:rsid w:val="001656E3"/>
    <w:rsid w:val="00165DCA"/>
    <w:rsid w:val="00192952"/>
    <w:rsid w:val="001D01FA"/>
    <w:rsid w:val="001F1919"/>
    <w:rsid w:val="001F6FC5"/>
    <w:rsid w:val="002008DE"/>
    <w:rsid w:val="0021328F"/>
    <w:rsid w:val="00242DCB"/>
    <w:rsid w:val="00256586"/>
    <w:rsid w:val="00264C4A"/>
    <w:rsid w:val="00265344"/>
    <w:rsid w:val="0027553F"/>
    <w:rsid w:val="00283919"/>
    <w:rsid w:val="00287B72"/>
    <w:rsid w:val="00287EB0"/>
    <w:rsid w:val="002A71DF"/>
    <w:rsid w:val="002D53A4"/>
    <w:rsid w:val="002E247C"/>
    <w:rsid w:val="002E439D"/>
    <w:rsid w:val="002F64B0"/>
    <w:rsid w:val="002F734E"/>
    <w:rsid w:val="003056E9"/>
    <w:rsid w:val="00310D64"/>
    <w:rsid w:val="00311678"/>
    <w:rsid w:val="00332373"/>
    <w:rsid w:val="00332F59"/>
    <w:rsid w:val="00334EA8"/>
    <w:rsid w:val="003370CF"/>
    <w:rsid w:val="00337A88"/>
    <w:rsid w:val="00365159"/>
    <w:rsid w:val="00365D9A"/>
    <w:rsid w:val="00366B39"/>
    <w:rsid w:val="003672D4"/>
    <w:rsid w:val="00370B9D"/>
    <w:rsid w:val="003746C8"/>
    <w:rsid w:val="003A69F7"/>
    <w:rsid w:val="003C0044"/>
    <w:rsid w:val="003C32E3"/>
    <w:rsid w:val="003D687C"/>
    <w:rsid w:val="003E0982"/>
    <w:rsid w:val="004151F6"/>
    <w:rsid w:val="00430ABF"/>
    <w:rsid w:val="004310E2"/>
    <w:rsid w:val="0044046B"/>
    <w:rsid w:val="00443FE4"/>
    <w:rsid w:val="004803DD"/>
    <w:rsid w:val="004823DE"/>
    <w:rsid w:val="00485DB9"/>
    <w:rsid w:val="00493EEB"/>
    <w:rsid w:val="004B0039"/>
    <w:rsid w:val="004C44DF"/>
    <w:rsid w:val="004F05D5"/>
    <w:rsid w:val="00513CFF"/>
    <w:rsid w:val="00523688"/>
    <w:rsid w:val="00527ABF"/>
    <w:rsid w:val="00533A2B"/>
    <w:rsid w:val="00534BF1"/>
    <w:rsid w:val="00534EA7"/>
    <w:rsid w:val="00546B9C"/>
    <w:rsid w:val="005753B7"/>
    <w:rsid w:val="00576397"/>
    <w:rsid w:val="00597080"/>
    <w:rsid w:val="005A34EF"/>
    <w:rsid w:val="005C277E"/>
    <w:rsid w:val="005D3C5E"/>
    <w:rsid w:val="005D515B"/>
    <w:rsid w:val="005D594E"/>
    <w:rsid w:val="005D5EC7"/>
    <w:rsid w:val="005E1C2C"/>
    <w:rsid w:val="005E49F3"/>
    <w:rsid w:val="005F0DB8"/>
    <w:rsid w:val="005F4BDB"/>
    <w:rsid w:val="00617496"/>
    <w:rsid w:val="00624B68"/>
    <w:rsid w:val="00626C44"/>
    <w:rsid w:val="00644AF6"/>
    <w:rsid w:val="00655FC1"/>
    <w:rsid w:val="00674A02"/>
    <w:rsid w:val="00675FC8"/>
    <w:rsid w:val="00677D63"/>
    <w:rsid w:val="00684E73"/>
    <w:rsid w:val="0069398B"/>
    <w:rsid w:val="00693CFE"/>
    <w:rsid w:val="006B08D0"/>
    <w:rsid w:val="006D0E56"/>
    <w:rsid w:val="006E3E0F"/>
    <w:rsid w:val="006F3ABE"/>
    <w:rsid w:val="00716238"/>
    <w:rsid w:val="00731DF7"/>
    <w:rsid w:val="00737C51"/>
    <w:rsid w:val="00742597"/>
    <w:rsid w:val="0075422C"/>
    <w:rsid w:val="00761130"/>
    <w:rsid w:val="007641BB"/>
    <w:rsid w:val="00783BD6"/>
    <w:rsid w:val="007A70E3"/>
    <w:rsid w:val="007B7A27"/>
    <w:rsid w:val="007D59F1"/>
    <w:rsid w:val="007E5422"/>
    <w:rsid w:val="007F36A2"/>
    <w:rsid w:val="00802279"/>
    <w:rsid w:val="0080458B"/>
    <w:rsid w:val="0086106A"/>
    <w:rsid w:val="00870C04"/>
    <w:rsid w:val="0087399E"/>
    <w:rsid w:val="008759D2"/>
    <w:rsid w:val="00877C4D"/>
    <w:rsid w:val="00883F09"/>
    <w:rsid w:val="00886342"/>
    <w:rsid w:val="00886BF0"/>
    <w:rsid w:val="00897180"/>
    <w:rsid w:val="008A1F9E"/>
    <w:rsid w:val="008A30D6"/>
    <w:rsid w:val="008B69D2"/>
    <w:rsid w:val="008D6CF6"/>
    <w:rsid w:val="008E59DE"/>
    <w:rsid w:val="00923D26"/>
    <w:rsid w:val="00933B33"/>
    <w:rsid w:val="00961F37"/>
    <w:rsid w:val="00970871"/>
    <w:rsid w:val="0098180C"/>
    <w:rsid w:val="009A143E"/>
    <w:rsid w:val="009A5996"/>
    <w:rsid w:val="009C2B58"/>
    <w:rsid w:val="009F6CF9"/>
    <w:rsid w:val="00A01453"/>
    <w:rsid w:val="00A03576"/>
    <w:rsid w:val="00A04A67"/>
    <w:rsid w:val="00A13B19"/>
    <w:rsid w:val="00A2447E"/>
    <w:rsid w:val="00A342A6"/>
    <w:rsid w:val="00A4316D"/>
    <w:rsid w:val="00A7153F"/>
    <w:rsid w:val="00AA246E"/>
    <w:rsid w:val="00AC07CC"/>
    <w:rsid w:val="00AC1BB5"/>
    <w:rsid w:val="00AD152C"/>
    <w:rsid w:val="00AD3F0E"/>
    <w:rsid w:val="00AE4229"/>
    <w:rsid w:val="00AF0D00"/>
    <w:rsid w:val="00B57201"/>
    <w:rsid w:val="00B656A9"/>
    <w:rsid w:val="00B65E3A"/>
    <w:rsid w:val="00B66277"/>
    <w:rsid w:val="00B72320"/>
    <w:rsid w:val="00B859FC"/>
    <w:rsid w:val="00B9449B"/>
    <w:rsid w:val="00B95302"/>
    <w:rsid w:val="00BA065C"/>
    <w:rsid w:val="00BA1D7F"/>
    <w:rsid w:val="00BA314A"/>
    <w:rsid w:val="00BB1C76"/>
    <w:rsid w:val="00BB5979"/>
    <w:rsid w:val="00BC133B"/>
    <w:rsid w:val="00BD1FDC"/>
    <w:rsid w:val="00BD5393"/>
    <w:rsid w:val="00BF2958"/>
    <w:rsid w:val="00C0781D"/>
    <w:rsid w:val="00C1090C"/>
    <w:rsid w:val="00C12B1C"/>
    <w:rsid w:val="00C424F7"/>
    <w:rsid w:val="00C51F20"/>
    <w:rsid w:val="00C63B76"/>
    <w:rsid w:val="00C673A9"/>
    <w:rsid w:val="00C818A7"/>
    <w:rsid w:val="00C962AA"/>
    <w:rsid w:val="00CB35F9"/>
    <w:rsid w:val="00CC010A"/>
    <w:rsid w:val="00CC1B8A"/>
    <w:rsid w:val="00CC439E"/>
    <w:rsid w:val="00CE374B"/>
    <w:rsid w:val="00CF3835"/>
    <w:rsid w:val="00D02DC9"/>
    <w:rsid w:val="00D23ABD"/>
    <w:rsid w:val="00D26DA7"/>
    <w:rsid w:val="00D439EA"/>
    <w:rsid w:val="00D52C14"/>
    <w:rsid w:val="00D54756"/>
    <w:rsid w:val="00D57AC8"/>
    <w:rsid w:val="00D62B60"/>
    <w:rsid w:val="00D778C5"/>
    <w:rsid w:val="00D90D2B"/>
    <w:rsid w:val="00D92E79"/>
    <w:rsid w:val="00DD6F2D"/>
    <w:rsid w:val="00DD7E33"/>
    <w:rsid w:val="00DE7F4F"/>
    <w:rsid w:val="00DF1BE7"/>
    <w:rsid w:val="00E27AC8"/>
    <w:rsid w:val="00E37C94"/>
    <w:rsid w:val="00E50F49"/>
    <w:rsid w:val="00E551DA"/>
    <w:rsid w:val="00E642D2"/>
    <w:rsid w:val="00E7172D"/>
    <w:rsid w:val="00EA001C"/>
    <w:rsid w:val="00EA49EC"/>
    <w:rsid w:val="00EB53B4"/>
    <w:rsid w:val="00EC25C2"/>
    <w:rsid w:val="00EC51F3"/>
    <w:rsid w:val="00ED475F"/>
    <w:rsid w:val="00EE3632"/>
    <w:rsid w:val="00EE6D2D"/>
    <w:rsid w:val="00EF3651"/>
    <w:rsid w:val="00F045C8"/>
    <w:rsid w:val="00F11431"/>
    <w:rsid w:val="00F12A4A"/>
    <w:rsid w:val="00F16AD8"/>
    <w:rsid w:val="00F16D36"/>
    <w:rsid w:val="00F343AB"/>
    <w:rsid w:val="00F433D3"/>
    <w:rsid w:val="00F81E82"/>
    <w:rsid w:val="00F82798"/>
    <w:rsid w:val="00FA30AE"/>
    <w:rsid w:val="00FA3721"/>
    <w:rsid w:val="00FA4630"/>
    <w:rsid w:val="00FD0716"/>
    <w:rsid w:val="00FE2B3A"/>
    <w:rsid w:val="00FE57F0"/>
    <w:rsid w:val="00FE7B46"/>
    <w:rsid w:val="00FF1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D3DC5"/>
  <w15:docId w15:val="{D5428344-FCD1-4FF4-AC24-09298D9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18" w:right="3" w:hanging="358"/>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right="2"/>
      <w:jc w:val="center"/>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92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E79"/>
    <w:rPr>
      <w:rFonts w:ascii="Calibri" w:eastAsia="Calibri" w:hAnsi="Calibri" w:cs="Calibri"/>
      <w:color w:val="000000"/>
    </w:rPr>
  </w:style>
  <w:style w:type="character" w:styleId="PlaceholderText">
    <w:name w:val="Placeholder Text"/>
    <w:basedOn w:val="DefaultParagraphFont"/>
    <w:uiPriority w:val="99"/>
    <w:semiHidden/>
    <w:rsid w:val="00D92E79"/>
    <w:rPr>
      <w:color w:val="808080"/>
    </w:rPr>
  </w:style>
  <w:style w:type="paragraph" w:styleId="ListParagraph">
    <w:name w:val="List Paragraph"/>
    <w:basedOn w:val="Normal"/>
    <w:uiPriority w:val="34"/>
    <w:qFormat/>
    <w:rsid w:val="00D92E79"/>
    <w:pPr>
      <w:ind w:left="720"/>
      <w:contextualSpacing/>
    </w:pPr>
  </w:style>
  <w:style w:type="paragraph" w:styleId="Revision">
    <w:name w:val="Revision"/>
    <w:hidden/>
    <w:uiPriority w:val="99"/>
    <w:semiHidden/>
    <w:rsid w:val="00FF1AD7"/>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886342"/>
    <w:rPr>
      <w:sz w:val="16"/>
      <w:szCs w:val="16"/>
    </w:rPr>
  </w:style>
  <w:style w:type="paragraph" w:styleId="CommentText">
    <w:name w:val="annotation text"/>
    <w:basedOn w:val="Normal"/>
    <w:link w:val="CommentTextChar"/>
    <w:uiPriority w:val="99"/>
    <w:unhideWhenUsed/>
    <w:rsid w:val="00886342"/>
    <w:pPr>
      <w:spacing w:line="240" w:lineRule="auto"/>
    </w:pPr>
    <w:rPr>
      <w:sz w:val="20"/>
      <w:szCs w:val="20"/>
    </w:rPr>
  </w:style>
  <w:style w:type="character" w:customStyle="1" w:styleId="CommentTextChar">
    <w:name w:val="Comment Text Char"/>
    <w:basedOn w:val="DefaultParagraphFont"/>
    <w:link w:val="CommentText"/>
    <w:uiPriority w:val="99"/>
    <w:rsid w:val="0088634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86342"/>
    <w:rPr>
      <w:b/>
      <w:bCs/>
    </w:rPr>
  </w:style>
  <w:style w:type="character" w:customStyle="1" w:styleId="CommentSubjectChar">
    <w:name w:val="Comment Subject Char"/>
    <w:basedOn w:val="CommentTextChar"/>
    <w:link w:val="CommentSubject"/>
    <w:uiPriority w:val="99"/>
    <w:semiHidden/>
    <w:rsid w:val="00886342"/>
    <w:rPr>
      <w:rFonts w:ascii="Calibri" w:eastAsia="Calibri" w:hAnsi="Calibri" w:cs="Calibri"/>
      <w:b/>
      <w:bCs/>
      <w:color w:val="000000"/>
      <w:sz w:val="20"/>
      <w:szCs w:val="20"/>
    </w:rPr>
  </w:style>
  <w:style w:type="paragraph" w:styleId="Footer">
    <w:name w:val="footer"/>
    <w:basedOn w:val="Normal"/>
    <w:link w:val="FooterChar"/>
    <w:uiPriority w:val="99"/>
    <w:semiHidden/>
    <w:unhideWhenUsed/>
    <w:rsid w:val="00533A2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33A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undp.org/global/popp/frm/PublishingImages/maintenance-and-usage-of-the-chart-of-accounts_P1.jpg"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21D1EFDBBF45C0B2D2CD00EBFF6880"/>
        <w:category>
          <w:name w:val="General"/>
          <w:gallery w:val="placeholder"/>
        </w:category>
        <w:types>
          <w:type w:val="bbPlcHdr"/>
        </w:types>
        <w:behaviors>
          <w:behavior w:val="content"/>
        </w:behaviors>
        <w:guid w:val="{DAA97345-27B9-4455-B3DF-81C5E0A7D81B}"/>
      </w:docPartPr>
      <w:docPartBody>
        <w:p w:rsidR="00A46C42" w:rsidRDefault="00020B0B">
          <w:r w:rsidRPr="00C531B9">
            <w:rPr>
              <w:rStyle w:val="PlaceholderText"/>
            </w:rPr>
            <w:t>[POPPRefItemVersion]</w:t>
          </w:r>
        </w:p>
      </w:docPartBody>
    </w:docPart>
    <w:docPart>
      <w:docPartPr>
        <w:name w:val="C960F572B11C46C0BB6DF4E0E2F4D303"/>
        <w:category>
          <w:name w:val="General"/>
          <w:gallery w:val="placeholder"/>
        </w:category>
        <w:types>
          <w:type w:val="bbPlcHdr"/>
        </w:types>
        <w:behaviors>
          <w:behavior w:val="content"/>
        </w:behaviors>
        <w:guid w:val="{9D832CEB-1EE2-4F34-AC83-87AAE17EF01A}"/>
      </w:docPartPr>
      <w:docPartBody>
        <w:p w:rsidR="00000000" w:rsidRDefault="00BC2C70" w:rsidP="00BC2C70">
          <w:pPr>
            <w:pStyle w:val="C960F572B11C46C0BB6DF4E0E2F4D303"/>
          </w:pPr>
          <w:r>
            <w:rPr>
              <w:rStyle w:val="PlaceholderText"/>
            </w:rPr>
            <w:t>[Effective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0B"/>
    <w:rsid w:val="00020B0B"/>
    <w:rsid w:val="00A46C42"/>
    <w:rsid w:val="00B66277"/>
    <w:rsid w:val="00BC2C70"/>
    <w:rsid w:val="00BF7E38"/>
    <w:rsid w:val="00FA6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C70"/>
  </w:style>
  <w:style w:type="paragraph" w:customStyle="1" w:styleId="C960F572B11C46C0BB6DF4E0E2F4D303">
    <w:name w:val="C960F572B11C46C0BB6DF4E0E2F4D303"/>
    <w:rsid w:val="00BC2C70"/>
    <w:pPr>
      <w:spacing w:line="278" w:lineRule="auto"/>
    </w:pPr>
    <w:rPr>
      <w:kern w:val="2"/>
      <w:sz w:val="24"/>
      <w:szCs w:val="24"/>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01/01/2012                                                Version #: 2</DLCPolicyLabelValue>
    <UNDP_POPP_EFFECTIVEDATE xmlns="8264c5cc-ec60-4b56-8111-ce635d3d139a">2011-12-31T23:00:00+00:00</UNDP_POPP_EFFECTIVEDATE>
    <UNDP_POPP_REFITEM_VERSION xmlns="8264c5cc-ec60-4b56-8111-ce635d3d139a">2</UNDP_POPP_REFITEM_VERSION>
    <UNDP_POPP_FILEVERSION xmlns="8264c5cc-ec60-4b56-8111-ce635d3d139a" xsi:nil="true"/>
    <UNDP_POPP_ISACTIVE xmlns="8264c5cc-ec60-4b56-8111-ce635d3d139a">true</UNDP_POPP_ISACTIVE>
    <UNDP_POPP_TITLE_EN xmlns="8264c5cc-ec60-4b56-8111-ce635d3d139a">Maintenance Usage of the Chart of Accounts</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POPP-11-2335</_dlc_DocId>
    <_dlc_DocIdUrl xmlns="8264c5cc-ec60-4b56-8111-ce635d3d139a">
      <Url>https://popp.undp.org/_layouts/15/DocIdRedir.aspx?ID=POPP-11-2335</Url>
      <Description>POPP-11-2335</Description>
    </_dlc_DocIdUrl>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6451E6-1D13-4586-9DBE-013B60E84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5E258-3806-4CC7-ADF8-E193371557A5}">
  <ds:schemaRefs>
    <ds:schemaRef ds:uri="http://schemas.microsoft.com/sharepoint/v3/contenttype/forms"/>
  </ds:schemaRefs>
</ds:datastoreItem>
</file>

<file path=customXml/itemProps3.xml><?xml version="1.0" encoding="utf-8"?>
<ds:datastoreItem xmlns:ds="http://schemas.openxmlformats.org/officeDocument/2006/customXml" ds:itemID="{8F5AED72-0909-434A-B6AB-08F1ED7EDDF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EF099A37-F9BB-4E83-AC5D-3EE48A803BE3}">
  <ds:schemaRefs>
    <ds:schemaRef ds:uri="office.server.policy"/>
  </ds:schemaRefs>
</ds:datastoreItem>
</file>

<file path=customXml/itemProps5.xml><?xml version="1.0" encoding="utf-8"?>
<ds:datastoreItem xmlns:ds="http://schemas.openxmlformats.org/officeDocument/2006/customXml" ds:itemID="{7723FC56-D905-4B63-9AF4-89C5D6CF27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14721</CharactersWithSpaces>
  <SharedDoc>false</SharedDoc>
  <HLinks>
    <vt:vector size="6" baseType="variant">
      <vt:variant>
        <vt:i4>3080271</vt:i4>
      </vt:variant>
      <vt:variant>
        <vt:i4>0</vt:i4>
      </vt:variant>
      <vt:variant>
        <vt:i4>0</vt:i4>
      </vt:variant>
      <vt:variant>
        <vt:i4>5</vt:i4>
      </vt:variant>
      <vt:variant>
        <vt:lpwstr>https://intranet.undp.org/global/popp/frm/PublishingImages/maintenance-and-usage-of-the-chart-of-accounts_P1.jpg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5</cp:revision>
  <dcterms:created xsi:type="dcterms:W3CDTF">2023-01-10T09:59:00Z</dcterms:created>
  <dcterms:modified xsi:type="dcterms:W3CDTF">2024-06-03T13:52:00Z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d4954663-fe4f-475b-920d-7621983bbcca</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