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715D" w14:textId="0F80DC80" w:rsidR="005F00F4" w:rsidRDefault="00371748">
      <w:pPr>
        <w:spacing w:after="121" w:line="259" w:lineRule="auto"/>
        <w:ind w:left="0" w:firstLine="0"/>
        <w:jc w:val="left"/>
      </w:pPr>
      <w:r>
        <w:rPr>
          <w:b/>
          <w:sz w:val="28"/>
        </w:rPr>
        <w:t>Disbursing Funds (Making Payments)</w:t>
      </w:r>
    </w:p>
    <w:p w14:paraId="4AAE715E" w14:textId="1C4F8C6D" w:rsidR="005F00F4" w:rsidRDefault="00371748">
      <w:pPr>
        <w:numPr>
          <w:ilvl w:val="0"/>
          <w:numId w:val="1"/>
        </w:numPr>
        <w:ind w:hanging="360"/>
      </w:pPr>
      <w:r>
        <w:t xml:space="preserve">A disbursement is the release of cash to a </w:t>
      </w:r>
      <w:r w:rsidR="000B5E5C">
        <w:t>Supplier</w:t>
      </w:r>
      <w:r>
        <w:t xml:space="preserve"> in </w:t>
      </w:r>
      <w:r w:rsidR="000B5E5C">
        <w:t>Quantum</w:t>
      </w:r>
      <w:r>
        <w:t xml:space="preserve">.  All disbursements in </w:t>
      </w:r>
      <w:r w:rsidR="000B5E5C">
        <w:t>Quantum</w:t>
      </w:r>
      <w:r>
        <w:t xml:space="preserve"> are made from AP </w:t>
      </w:r>
      <w:r w:rsidR="000B5E5C">
        <w:t>invoice</w:t>
      </w:r>
      <w:r>
        <w:t xml:space="preserve">s and prepayment </w:t>
      </w:r>
      <w:r w:rsidR="000B5E5C">
        <w:t>invoice</w:t>
      </w:r>
      <w:r>
        <w:t xml:space="preserve">s that are approved and budget-checked.  The disbursement is effected in two ways: </w:t>
      </w:r>
    </w:p>
    <w:p w14:paraId="4AAE715F" w14:textId="69EF9158" w:rsidR="005F00F4" w:rsidRPr="00484796" w:rsidRDefault="000B5E5C">
      <w:pPr>
        <w:numPr>
          <w:ilvl w:val="1"/>
          <w:numId w:val="1"/>
        </w:numPr>
        <w:ind w:hanging="360"/>
      </w:pPr>
      <w:r>
        <w:rPr>
          <w:b/>
        </w:rPr>
        <w:t>Payment Process Request (PPR)</w:t>
      </w:r>
      <w:r w:rsidR="00371748">
        <w:rPr>
          <w:b/>
        </w:rPr>
        <w:t>:</w:t>
      </w:r>
      <w:r w:rsidR="00371748">
        <w:t xml:space="preserve"> this is an automated batch process that creates a predefined set of payments.  These can be either system cheques (CHK) where a batch of cheques are produced, </w:t>
      </w:r>
      <w:r w:rsidR="00371748" w:rsidRPr="008349CC">
        <w:t xml:space="preserve">or </w:t>
      </w:r>
      <w:r w:rsidR="00371748" w:rsidRPr="008349CC">
        <w:rPr>
          <w:color w:val="auto"/>
        </w:rPr>
        <w:t>electronic fund transfers (EFTs),</w:t>
      </w:r>
      <w:r w:rsidR="00371748" w:rsidRPr="00484796">
        <w:rPr>
          <w:color w:val="auto"/>
        </w:rPr>
        <w:t xml:space="preserve"> </w:t>
      </w:r>
      <w:r w:rsidR="00371748">
        <w:t xml:space="preserve">creating real-time </w:t>
      </w:r>
      <w:r w:rsidR="00F06FF8">
        <w:t>online</w:t>
      </w:r>
      <w:r w:rsidR="00EF61AF">
        <w:t xml:space="preserve"> p</w:t>
      </w:r>
      <w:r w:rsidR="00371748">
        <w:t xml:space="preserve">ayments.  </w:t>
      </w:r>
      <w:r>
        <w:t>Quantum</w:t>
      </w:r>
      <w:r w:rsidR="00371748">
        <w:t xml:space="preserve"> creates the accounting entries and, in the case of </w:t>
      </w:r>
      <w:r w:rsidR="00371748" w:rsidRPr="00484796">
        <w:t xml:space="preserve">EFTs,   </w:t>
      </w:r>
      <w:r w:rsidR="00F06FF8" w:rsidRPr="00484796">
        <w:t>instructions</w:t>
      </w:r>
      <w:r w:rsidR="00371748" w:rsidRPr="00484796">
        <w:t xml:space="preserve"> to the bank to transfer cash;  </w:t>
      </w:r>
    </w:p>
    <w:p w14:paraId="61676E26" w14:textId="4F735537" w:rsidR="00F06FF8" w:rsidRDefault="00F06FF8" w:rsidP="00F06FF8">
      <w:pPr>
        <w:numPr>
          <w:ilvl w:val="1"/>
          <w:numId w:val="1"/>
        </w:numPr>
        <w:spacing w:after="0"/>
        <w:ind w:hanging="360"/>
      </w:pPr>
      <w:r w:rsidRPr="00484796">
        <w:rPr>
          <w:b/>
        </w:rPr>
        <w:t xml:space="preserve">Electronic Funds Transfers (EFT): </w:t>
      </w:r>
      <w:r w:rsidRPr="00484796">
        <w:t xml:space="preserve">When </w:t>
      </w:r>
      <w:r w:rsidR="001A3DC1" w:rsidRPr="00484796">
        <w:t xml:space="preserve">disbursing </w:t>
      </w:r>
      <w:r w:rsidRPr="00484796">
        <w:t>payment</w:t>
      </w:r>
      <w:r w:rsidR="001A3DC1" w:rsidRPr="00484796">
        <w:t xml:space="preserve">s through the </w:t>
      </w:r>
      <w:r w:rsidRPr="00484796">
        <w:t>Electronic Funds Transfers (EFT), payment instructions are generated in electronic format using</w:t>
      </w:r>
      <w:r>
        <w:t xml:space="preserve"> the batch process of the ‘PPR’</w:t>
      </w:r>
      <w:r w:rsidR="001A3DC1">
        <w:t xml:space="preserve"> for </w:t>
      </w:r>
      <w:r w:rsidR="00C91139">
        <w:t>using ‘TRF’ method</w:t>
      </w:r>
      <w:r>
        <w:t xml:space="preserve">.   </w:t>
      </w:r>
    </w:p>
    <w:p w14:paraId="56A5D7EA" w14:textId="59972BB2" w:rsidR="00F06FF8" w:rsidRDefault="00F06FF8" w:rsidP="00F06FF8">
      <w:pPr>
        <w:numPr>
          <w:ilvl w:val="1"/>
          <w:numId w:val="1"/>
        </w:numPr>
        <w:spacing w:after="0"/>
        <w:ind w:hanging="360"/>
      </w:pPr>
      <w:r>
        <w:rPr>
          <w:b/>
        </w:rPr>
        <w:t xml:space="preserve">System Cheques (CHK): </w:t>
      </w:r>
      <w:r>
        <w:t xml:space="preserve">These are series of cheques automatically produced by Quantum in the PPR batch process. Cheque numbers are assigned automatically.  The starting number is increased by one unit each time a cheque is generated for a particular bank account.  The user downloads the payment file generated during the PPR for cheque printing. Offices can use the cheque-writer software developed specifically for use with the System Check format to customize cheque formats and add special characters.    </w:t>
      </w:r>
    </w:p>
    <w:p w14:paraId="4AAE7160" w14:textId="4AA0F05B" w:rsidR="005F00F4" w:rsidRDefault="00371748">
      <w:pPr>
        <w:numPr>
          <w:ilvl w:val="1"/>
          <w:numId w:val="1"/>
        </w:numPr>
        <w:ind w:hanging="360"/>
      </w:pPr>
      <w:r>
        <w:rPr>
          <w:b/>
        </w:rPr>
        <w:t>Manual payment</w:t>
      </w:r>
      <w:r>
        <w:t xml:space="preserve">: Manual payments are defined as payments made outside of </w:t>
      </w:r>
      <w:r w:rsidR="000B5E5C">
        <w:t>Quantum</w:t>
      </w:r>
      <w:r>
        <w:t xml:space="preserve"> and then subsequently recorded in </w:t>
      </w:r>
      <w:r w:rsidR="000B5E5C">
        <w:t>Quantum</w:t>
      </w:r>
      <w:r>
        <w:t xml:space="preserve">. Offices may only make manual payments when (1) the office is unable to connect to, or complete, a transaction due to poor system performance or poor connectivity to </w:t>
      </w:r>
      <w:r w:rsidR="000B5E5C">
        <w:t>Quantum</w:t>
      </w:r>
      <w:r>
        <w:t xml:space="preserve"> and (2) the payment is needed immediately due to an unavoidable emergency situation. All manual payments must have supporting documents and must be recorded immediately thereafter in </w:t>
      </w:r>
      <w:r w:rsidR="000B5E5C">
        <w:t>Quantum</w:t>
      </w:r>
      <w:r>
        <w:t xml:space="preserve">. Offices are authorized to issue up to five manual </w:t>
      </w:r>
      <w:r w:rsidR="003B3A40">
        <w:t xml:space="preserve">payments </w:t>
      </w:r>
      <w:r>
        <w:t xml:space="preserve">per month, and the circumstances for making such manual payments must be recorded in writing.  If this maximum number is inadequate,   the Head of Office must request prior authorization from the Comptroller to exceed this limit. </w:t>
      </w:r>
    </w:p>
    <w:p w14:paraId="4AAE7161" w14:textId="5BC884F7" w:rsidR="005F00F4" w:rsidRDefault="00371748">
      <w:pPr>
        <w:numPr>
          <w:ilvl w:val="1"/>
          <w:numId w:val="1"/>
        </w:numPr>
        <w:ind w:hanging="360"/>
      </w:pPr>
      <w:r>
        <w:rPr>
          <w:b/>
        </w:rPr>
        <w:t xml:space="preserve">Manual Cheques (MAN): </w:t>
      </w:r>
      <w:r>
        <w:t xml:space="preserve">This format is chosen if the cheque number is to be assigned by the user, or if the payment is being made in cash.  Manual cheques (MAN) are prepared and written/printed by the user. The </w:t>
      </w:r>
      <w:r w:rsidR="000B5E5C">
        <w:t>PPR</w:t>
      </w:r>
      <w:r>
        <w:t xml:space="preserve"> does not include and process manual cheques. This option should be used as infrequently as possible, as the manual nature of the process is prone to errors. </w:t>
      </w:r>
    </w:p>
    <w:p w14:paraId="4AAE7163" w14:textId="38CEAA5F" w:rsidR="005F00F4" w:rsidRDefault="005F00F4">
      <w:pPr>
        <w:spacing w:after="22" w:line="259" w:lineRule="auto"/>
        <w:ind w:left="720" w:firstLine="0"/>
        <w:jc w:val="left"/>
      </w:pPr>
    </w:p>
    <w:p w14:paraId="4AAE7164" w14:textId="2D8DF273" w:rsidR="005F00F4" w:rsidRDefault="00371748">
      <w:pPr>
        <w:numPr>
          <w:ilvl w:val="0"/>
          <w:numId w:val="1"/>
        </w:numPr>
        <w:spacing w:after="128"/>
        <w:ind w:hanging="360"/>
      </w:pPr>
      <w:r>
        <w:t xml:space="preserve">In </w:t>
      </w:r>
      <w:r w:rsidR="000B5E5C">
        <w:t>Quantum</w:t>
      </w:r>
      <w:r>
        <w:t xml:space="preserve">, EFT’s are configured for two formats:  Universal Flat File (UFF) and </w:t>
      </w:r>
      <w:r w:rsidR="003B3A40">
        <w:t>ISO20022 standard</w:t>
      </w:r>
      <w:r>
        <w:t xml:space="preserve">. An EFT instruction can be processed in one of three ways: UFF, </w:t>
      </w:r>
      <w:r w:rsidR="003B3A40">
        <w:t xml:space="preserve">ISO20222 </w:t>
      </w:r>
      <w:r>
        <w:t xml:space="preserve">and letter of transmittal. </w:t>
      </w:r>
    </w:p>
    <w:p w14:paraId="4AAE7165" w14:textId="22BAD34E" w:rsidR="005F00F4" w:rsidRDefault="00371748">
      <w:pPr>
        <w:numPr>
          <w:ilvl w:val="1"/>
          <w:numId w:val="1"/>
        </w:numPr>
        <w:ind w:hanging="360"/>
      </w:pPr>
      <w:r>
        <w:rPr>
          <w:b/>
        </w:rPr>
        <w:t>Positive Pay</w:t>
      </w:r>
      <w:r>
        <w:t xml:space="preserve">: Positive pay is a process used to combat cheque fraud. With this service </w:t>
      </w:r>
      <w:r w:rsidR="003B3A40">
        <w:t xml:space="preserve">UNDP </w:t>
      </w:r>
      <w:r>
        <w:t xml:space="preserve">transmits a file of issued cheque information to the bank soon after its issuance to the payee. The bank matches cheque serial numbers and amounts of cheques presented for payments against the issue file and pays only those cheques that match. Exceptions are conveyed to </w:t>
      </w:r>
      <w:r w:rsidR="003B3A40">
        <w:t xml:space="preserve">UNDP </w:t>
      </w:r>
      <w:r>
        <w:t xml:space="preserve">for disposition. Some positive pay services match against the payee field as well as the serial number and amount, in an effort to detect altered payees.  </w:t>
      </w:r>
      <w:r w:rsidR="003B3A40">
        <w:t>Positive pay services are used for Bank of America ZBA accounts.</w:t>
      </w:r>
    </w:p>
    <w:p w14:paraId="4AAE7166" w14:textId="7AB14240" w:rsidR="005F00F4" w:rsidRDefault="00371748" w:rsidP="00F06FF8">
      <w:pPr>
        <w:numPr>
          <w:ilvl w:val="1"/>
          <w:numId w:val="1"/>
        </w:numPr>
        <w:ind w:hanging="360"/>
      </w:pPr>
      <w:r w:rsidRPr="00F06FF8">
        <w:rPr>
          <w:b/>
          <w:u w:val="single" w:color="000000"/>
        </w:rPr>
        <w:t>Universal Flat File (UFF)</w:t>
      </w:r>
      <w:r>
        <w:t xml:space="preserve"> is the generic payment file format generated by the </w:t>
      </w:r>
      <w:r w:rsidR="000B5E5C">
        <w:t>PPR</w:t>
      </w:r>
      <w:r>
        <w:t xml:space="preserve"> </w:t>
      </w:r>
      <w:r w:rsidR="00BD6774">
        <w:t>from Quantum</w:t>
      </w:r>
      <w:r>
        <w:t xml:space="preserve">.  UFF files are used by offices </w:t>
      </w:r>
      <w:r w:rsidR="00BD6774">
        <w:t xml:space="preserve">that </w:t>
      </w:r>
      <w:r>
        <w:t xml:space="preserve">have developed a </w:t>
      </w:r>
      <w:r w:rsidR="00BD6774">
        <w:t xml:space="preserve">local </w:t>
      </w:r>
      <w:r>
        <w:t xml:space="preserve">banking interface </w:t>
      </w:r>
      <w:r w:rsidR="00BD6774">
        <w:t xml:space="preserve">or web </w:t>
      </w:r>
      <w:r w:rsidR="00BD6774">
        <w:lastRenderedPageBreak/>
        <w:t xml:space="preserve">e-banking solutions </w:t>
      </w:r>
      <w:r>
        <w:t>with their local banks</w:t>
      </w:r>
      <w:r w:rsidR="00BD6774">
        <w:t xml:space="preserve"> with the approval from the Treasurer</w:t>
      </w:r>
      <w:r>
        <w:t xml:space="preserve">. </w:t>
      </w:r>
      <w:r w:rsidR="00BD6774">
        <w:t xml:space="preserve"> </w:t>
      </w:r>
      <w:r w:rsidR="00EE2BFA">
        <w:t xml:space="preserve">Please refer to </w:t>
      </w:r>
      <w:hyperlink r:id="rId12" w:history="1">
        <w:r w:rsidR="00EE2BFA" w:rsidRPr="00F06FF8">
          <w:rPr>
            <w:rStyle w:val="Hyperlink"/>
            <w:lang w:val="en-US"/>
          </w:rPr>
          <w:t>Establishment and Use of Electronic Banking Systems</w:t>
        </w:r>
      </w:hyperlink>
      <w:r w:rsidR="00EE2BFA">
        <w:t xml:space="preserve">.  </w:t>
      </w:r>
      <w:r>
        <w:t xml:space="preserve">If an office does not have a local interface, then a </w:t>
      </w:r>
      <w:r w:rsidRPr="00F06FF8">
        <w:rPr>
          <w:b/>
        </w:rPr>
        <w:t>letter of instruction</w:t>
      </w:r>
      <w:r>
        <w:t xml:space="preserve"> must be manually prepared and authorized to request the bank to execute a transfer for payment.</w:t>
      </w:r>
      <w:r w:rsidR="00C91139">
        <w:t xml:space="preserve">  PPR process is run using payment method </w:t>
      </w:r>
      <w:r>
        <w:t xml:space="preserve"> </w:t>
      </w:r>
      <w:r w:rsidR="00C91139">
        <w:t xml:space="preserve">‘TRF’ for UFF file generation. </w:t>
      </w:r>
    </w:p>
    <w:p w14:paraId="4AAE7167" w14:textId="18188D42" w:rsidR="005F00F4" w:rsidRPr="005F0073" w:rsidRDefault="00EE2BFA">
      <w:pPr>
        <w:numPr>
          <w:ilvl w:val="1"/>
          <w:numId w:val="1"/>
        </w:numPr>
        <w:spacing w:after="0"/>
        <w:ind w:hanging="360"/>
      </w:pPr>
      <w:r w:rsidRPr="005F0073">
        <w:rPr>
          <w:b/>
          <w:u w:val="single" w:color="000000"/>
        </w:rPr>
        <w:t>EFT with full H2H using ISO20022 standard</w:t>
      </w:r>
      <w:r w:rsidR="00371748" w:rsidRPr="005F0073">
        <w:rPr>
          <w:b/>
        </w:rPr>
        <w:t xml:space="preserve"> </w:t>
      </w:r>
      <w:r w:rsidR="00371748" w:rsidRPr="005F0073">
        <w:t xml:space="preserve">applies if the disbursing bank account is part of the </w:t>
      </w:r>
      <w:r w:rsidRPr="005F0073">
        <w:t xml:space="preserve">full Host-to-Host </w:t>
      </w:r>
      <w:r w:rsidR="00371748" w:rsidRPr="005F0073">
        <w:t xml:space="preserve">interface.  These payment files are processed by the system </w:t>
      </w:r>
      <w:r w:rsidRPr="005F0073">
        <w:t xml:space="preserve">as soon as a PPR is run </w:t>
      </w:r>
      <w:r w:rsidR="00371748" w:rsidRPr="005F0073">
        <w:t>and automatically transmitted to Bank</w:t>
      </w:r>
      <w:r w:rsidRPr="005F0073">
        <w:t>s through the Treasury Management System (TMS) payment hub</w:t>
      </w:r>
      <w:r w:rsidR="00371748" w:rsidRPr="005F0073">
        <w:t xml:space="preserve">. </w:t>
      </w:r>
      <w:r w:rsidRPr="005F0073">
        <w:t>Banks</w:t>
      </w:r>
      <w:r w:rsidR="00371748" w:rsidRPr="005F0073">
        <w:t>, in turn, route these payment instructions to the disbursing banks</w:t>
      </w:r>
      <w:r w:rsidRPr="005F0073">
        <w:t xml:space="preserve">, and also return through the same H2H channel the bank statements. </w:t>
      </w:r>
    </w:p>
    <w:p w14:paraId="4AAE7168" w14:textId="77777777" w:rsidR="005F00F4" w:rsidRPr="005F0073" w:rsidRDefault="00371748">
      <w:pPr>
        <w:spacing w:after="18" w:line="259" w:lineRule="auto"/>
        <w:ind w:left="1133" w:firstLine="0"/>
        <w:jc w:val="left"/>
      </w:pPr>
      <w:r w:rsidRPr="005F0073">
        <w:t xml:space="preserve"> </w:t>
      </w:r>
    </w:p>
    <w:p w14:paraId="4AAE7169" w14:textId="00EFDA32" w:rsidR="005F00F4" w:rsidRDefault="00F06FF8">
      <w:pPr>
        <w:numPr>
          <w:ilvl w:val="0"/>
          <w:numId w:val="1"/>
        </w:numPr>
        <w:spacing w:after="123"/>
        <w:ind w:hanging="360"/>
      </w:pPr>
      <w:r w:rsidRPr="005F0073">
        <w:t xml:space="preserve">EFT </w:t>
      </w:r>
      <w:r w:rsidR="00371748" w:rsidRPr="005F0073">
        <w:t>is th</w:t>
      </w:r>
      <w:r w:rsidR="00371748">
        <w:t xml:space="preserve">e preferred payment method for the following reasons: </w:t>
      </w:r>
    </w:p>
    <w:p w14:paraId="4AAE716A" w14:textId="77777777" w:rsidR="005F00F4" w:rsidRDefault="00371748">
      <w:pPr>
        <w:numPr>
          <w:ilvl w:val="1"/>
          <w:numId w:val="1"/>
        </w:numPr>
        <w:ind w:hanging="360"/>
      </w:pPr>
      <w:r>
        <w:t xml:space="preserve">Creation and approval of entries and transmission of cash are simultaneous;  </w:t>
      </w:r>
    </w:p>
    <w:p w14:paraId="4AAE716B" w14:textId="0C927301" w:rsidR="005F00F4" w:rsidRDefault="00EE2BFA" w:rsidP="00BD44BD">
      <w:pPr>
        <w:numPr>
          <w:ilvl w:val="1"/>
          <w:numId w:val="1"/>
        </w:numPr>
        <w:ind w:hanging="360"/>
      </w:pPr>
      <w:r>
        <w:t xml:space="preserve">H2H </w:t>
      </w:r>
      <w:r w:rsidR="00371748">
        <w:t xml:space="preserve">interface and positive pay contribute to creating a strong internal control environment (see the section on Banking Arrangements under Cash Banking and Investment, Financial Resources Management, in the present POPP); there is a reduced risk of inputting error and the process is fully automated. </w:t>
      </w:r>
    </w:p>
    <w:p w14:paraId="05421F3E" w14:textId="6C91F0F2" w:rsidR="00EE7D0A" w:rsidRDefault="00371748" w:rsidP="00573236">
      <w:pPr>
        <w:spacing w:after="11483" w:line="259" w:lineRule="auto"/>
        <w:ind w:left="0" w:firstLine="0"/>
        <w:jc w:val="left"/>
      </w:pPr>
      <w:r>
        <w:t xml:space="preserve">   </w:t>
      </w:r>
    </w:p>
    <w:sectPr w:rsidR="00EE7D0A" w:rsidSect="004E29E1">
      <w:headerReference w:type="even" r:id="rId13"/>
      <w:headerReference w:type="default" r:id="rId14"/>
      <w:footerReference w:type="even" r:id="rId15"/>
      <w:footerReference w:type="default" r:id="rId16"/>
      <w:headerReference w:type="first" r:id="rId17"/>
      <w:footerReference w:type="first" r:id="rId18"/>
      <w:pgSz w:w="11906" w:h="16838"/>
      <w:pgMar w:top="1176" w:right="83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5DF9" w14:textId="77777777" w:rsidR="004E29E1" w:rsidRDefault="004E29E1" w:rsidP="00BD44BD">
      <w:pPr>
        <w:spacing w:after="0" w:line="240" w:lineRule="auto"/>
      </w:pPr>
      <w:r>
        <w:separator/>
      </w:r>
    </w:p>
  </w:endnote>
  <w:endnote w:type="continuationSeparator" w:id="0">
    <w:p w14:paraId="04FA5E1D" w14:textId="77777777" w:rsidR="004E29E1" w:rsidRDefault="004E29E1" w:rsidP="00BD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13D5" w14:textId="77777777" w:rsidR="00D9258F" w:rsidRDefault="00D9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7175" w14:textId="77777777" w:rsidR="00BD44BD" w:rsidRDefault="00BD44BD">
    <w:pPr>
      <w:pStyle w:val="Footer"/>
    </w:pPr>
  </w:p>
  <w:p w14:paraId="4AAE7176" w14:textId="261C5612" w:rsidR="00BD44BD" w:rsidRDefault="00BD44BD">
    <w:pPr>
      <w:pStyle w:val="Footer"/>
    </w:pPr>
    <w:r>
      <w:t xml:space="preserve">Page </w:t>
    </w:r>
    <w:r>
      <w:rPr>
        <w:b/>
      </w:rPr>
      <w:fldChar w:fldCharType="begin"/>
    </w:r>
    <w:r>
      <w:rPr>
        <w:b/>
      </w:rPr>
      <w:instrText xml:space="preserve"> PAGE  \* Arabic  \* MERGEFORMAT </w:instrText>
    </w:r>
    <w:r>
      <w:rPr>
        <w:b/>
      </w:rPr>
      <w:fldChar w:fldCharType="separate"/>
    </w:r>
    <w:r>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2</w:t>
    </w:r>
    <w:r>
      <w:rPr>
        <w:b/>
      </w:rPr>
      <w:fldChar w:fldCharType="end"/>
    </w:r>
    <w:r>
      <w:ptab w:relativeTo="margin" w:alignment="center" w:leader="none"/>
    </w:r>
    <w:r w:rsidRPr="00BD44BD">
      <w:t>Effective Date:</w:t>
    </w:r>
    <w:r>
      <w:t xml:space="preserve"> </w:t>
    </w:r>
    <w:r w:rsidR="00CF6E3D" w:rsidRPr="00CF6E3D">
      <w:t>18/03/2015</w:t>
    </w:r>
    <w:r w:rsidR="00CF6E3D" w:rsidRPr="00CF6E3D">
      <w:t xml:space="preserve"> </w:t>
    </w:r>
    <w:r>
      <w:ptab w:relativeTo="margin" w:alignment="right" w:leader="none"/>
    </w:r>
    <w:r w:rsidRPr="00BD44BD">
      <w:t>Version #:</w:t>
    </w:r>
    <w:r>
      <w:t xml:space="preserve"> </w:t>
    </w:r>
    <w:sdt>
      <w:sdtPr>
        <w:alias w:val="POPPRefItemVersion"/>
        <w:tag w:val="UNDP_POPP_REFITEM_VERSION"/>
        <w:id w:val="-1032641165"/>
        <w:placeholder>
          <w:docPart w:val="E7A96F55BBDC4BE3ACE5A26471D3FD5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9633D14-F66B-46AF-87EF-AFD9142ACD0E}"/>
        <w:text/>
      </w:sdtPr>
      <w:sdtContent>
        <w:r w:rsidR="00CF6E3D">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0E3A" w14:textId="77777777" w:rsidR="00D9258F" w:rsidRDefault="00D9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F905" w14:textId="77777777" w:rsidR="004E29E1" w:rsidRDefault="004E29E1" w:rsidP="00BD44BD">
      <w:pPr>
        <w:spacing w:after="0" w:line="240" w:lineRule="auto"/>
      </w:pPr>
      <w:r>
        <w:separator/>
      </w:r>
    </w:p>
  </w:footnote>
  <w:footnote w:type="continuationSeparator" w:id="0">
    <w:p w14:paraId="54EB4351" w14:textId="77777777" w:rsidR="004E29E1" w:rsidRDefault="004E29E1" w:rsidP="00BD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9060" w14:textId="77777777" w:rsidR="00D9258F" w:rsidRDefault="00D9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7173" w14:textId="77777777" w:rsidR="00BD44BD" w:rsidRDefault="00BD44BD" w:rsidP="00BD44BD">
    <w:pPr>
      <w:pStyle w:val="Header"/>
      <w:jc w:val="right"/>
    </w:pPr>
    <w:r>
      <w:rPr>
        <w:noProof/>
      </w:rPr>
      <w:drawing>
        <wp:inline distT="0" distB="0" distL="0" distR="0" wp14:anchorId="4AAE7177" wp14:editId="55DDAF5E">
          <wp:extent cx="268686" cy="58070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809" b="14556"/>
                  <a:stretch/>
                </pic:blipFill>
                <pic:spPr bwMode="auto">
                  <a:xfrm>
                    <a:off x="0" y="0"/>
                    <a:ext cx="275986" cy="596486"/>
                  </a:xfrm>
                  <a:prstGeom prst="rect">
                    <a:avLst/>
                  </a:prstGeom>
                  <a:ln>
                    <a:noFill/>
                  </a:ln>
                  <a:extLst>
                    <a:ext uri="{53640926-AAD7-44D8-BBD7-CCE9431645EC}">
                      <a14:shadowObscured xmlns:a14="http://schemas.microsoft.com/office/drawing/2010/main"/>
                    </a:ext>
                  </a:extLst>
                </pic:spPr>
              </pic:pic>
            </a:graphicData>
          </a:graphic>
        </wp:inline>
      </w:drawing>
    </w:r>
  </w:p>
  <w:p w14:paraId="4AAE7174" w14:textId="77777777" w:rsidR="00BD44BD" w:rsidRDefault="00BD44BD" w:rsidP="00BD44B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38BD" w14:textId="77777777" w:rsidR="00D9258F" w:rsidRDefault="00D9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588"/>
    <w:multiLevelType w:val="hybridMultilevel"/>
    <w:tmpl w:val="1896ACC6"/>
    <w:lvl w:ilvl="0" w:tplc="CD0A70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ED8A6">
      <w:start w:val="1"/>
      <w:numFmt w:val="bullet"/>
      <w:lvlText w:val="•"/>
      <w:lvlJc w:val="left"/>
      <w:pPr>
        <w:ind w:left="111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9EA344C">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D30E7B00">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39AA97E2">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524C8C9E">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05EEB89E">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10607C84">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6DC82060">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70387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F4"/>
    <w:rsid w:val="000B5E5C"/>
    <w:rsid w:val="00107900"/>
    <w:rsid w:val="001A3DC1"/>
    <w:rsid w:val="0028772D"/>
    <w:rsid w:val="003104A4"/>
    <w:rsid w:val="00371748"/>
    <w:rsid w:val="003B3A40"/>
    <w:rsid w:val="004021B4"/>
    <w:rsid w:val="00484796"/>
    <w:rsid w:val="004E29E1"/>
    <w:rsid w:val="005129DC"/>
    <w:rsid w:val="00573236"/>
    <w:rsid w:val="005F0073"/>
    <w:rsid w:val="005F00F4"/>
    <w:rsid w:val="008349CC"/>
    <w:rsid w:val="00954DF2"/>
    <w:rsid w:val="00B133F9"/>
    <w:rsid w:val="00B47786"/>
    <w:rsid w:val="00BD44BD"/>
    <w:rsid w:val="00BD6774"/>
    <w:rsid w:val="00C91139"/>
    <w:rsid w:val="00CF6E3D"/>
    <w:rsid w:val="00D9258F"/>
    <w:rsid w:val="00DA5AC8"/>
    <w:rsid w:val="00DF57F4"/>
    <w:rsid w:val="00ED2D4C"/>
    <w:rsid w:val="00EE2BFA"/>
    <w:rsid w:val="00EE7D0A"/>
    <w:rsid w:val="00EF61AF"/>
    <w:rsid w:val="00F06F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E715D"/>
  <w15:docId w15:val="{2940DADC-14E6-4C9C-AF07-9DECE39D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4BD"/>
    <w:rPr>
      <w:rFonts w:ascii="Calibri" w:eastAsia="Calibri" w:hAnsi="Calibri" w:cs="Calibri"/>
      <w:color w:val="000000"/>
    </w:rPr>
  </w:style>
  <w:style w:type="paragraph" w:styleId="Footer">
    <w:name w:val="footer"/>
    <w:basedOn w:val="Normal"/>
    <w:link w:val="FooterChar"/>
    <w:uiPriority w:val="99"/>
    <w:unhideWhenUsed/>
    <w:rsid w:val="00BD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4BD"/>
    <w:rPr>
      <w:rFonts w:ascii="Calibri" w:eastAsia="Calibri" w:hAnsi="Calibri" w:cs="Calibri"/>
      <w:color w:val="000000"/>
    </w:rPr>
  </w:style>
  <w:style w:type="paragraph" w:styleId="BalloonText">
    <w:name w:val="Balloon Text"/>
    <w:basedOn w:val="Normal"/>
    <w:link w:val="BalloonTextChar"/>
    <w:uiPriority w:val="99"/>
    <w:semiHidden/>
    <w:unhideWhenUsed/>
    <w:rsid w:val="00BD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D"/>
    <w:rPr>
      <w:rFonts w:ascii="Tahoma" w:eastAsia="Calibri" w:hAnsi="Tahoma" w:cs="Tahoma"/>
      <w:color w:val="000000"/>
      <w:sz w:val="16"/>
      <w:szCs w:val="16"/>
    </w:rPr>
  </w:style>
  <w:style w:type="character" w:styleId="PlaceholderText">
    <w:name w:val="Placeholder Text"/>
    <w:basedOn w:val="DefaultParagraphFont"/>
    <w:uiPriority w:val="99"/>
    <w:semiHidden/>
    <w:rsid w:val="00BD44BD"/>
    <w:rPr>
      <w:color w:val="808080"/>
    </w:rPr>
  </w:style>
  <w:style w:type="character" w:styleId="Hyperlink">
    <w:name w:val="Hyperlink"/>
    <w:basedOn w:val="DefaultParagraphFont"/>
    <w:uiPriority w:val="99"/>
    <w:unhideWhenUsed/>
    <w:rsid w:val="00BD6774"/>
    <w:rPr>
      <w:color w:val="0000FF" w:themeColor="hyperlink"/>
      <w:u w:val="single"/>
    </w:rPr>
  </w:style>
  <w:style w:type="paragraph" w:styleId="ListParagraph">
    <w:name w:val="List Paragraph"/>
    <w:basedOn w:val="Normal"/>
    <w:uiPriority w:val="34"/>
    <w:qFormat/>
    <w:rsid w:val="00BD6774"/>
    <w:pPr>
      <w:ind w:left="720"/>
      <w:contextualSpacing/>
    </w:pPr>
  </w:style>
  <w:style w:type="character" w:styleId="CommentReference">
    <w:name w:val="annotation reference"/>
    <w:basedOn w:val="DefaultParagraphFont"/>
    <w:uiPriority w:val="99"/>
    <w:semiHidden/>
    <w:unhideWhenUsed/>
    <w:rsid w:val="0028772D"/>
    <w:rPr>
      <w:sz w:val="16"/>
      <w:szCs w:val="16"/>
    </w:rPr>
  </w:style>
  <w:style w:type="paragraph" w:styleId="CommentText">
    <w:name w:val="annotation text"/>
    <w:basedOn w:val="Normal"/>
    <w:link w:val="CommentTextChar"/>
    <w:uiPriority w:val="99"/>
    <w:semiHidden/>
    <w:unhideWhenUsed/>
    <w:rsid w:val="0028772D"/>
    <w:pPr>
      <w:spacing w:line="240" w:lineRule="auto"/>
    </w:pPr>
    <w:rPr>
      <w:sz w:val="20"/>
      <w:szCs w:val="20"/>
    </w:rPr>
  </w:style>
  <w:style w:type="character" w:customStyle="1" w:styleId="CommentTextChar">
    <w:name w:val="Comment Text Char"/>
    <w:basedOn w:val="DefaultParagraphFont"/>
    <w:link w:val="CommentText"/>
    <w:uiPriority w:val="99"/>
    <w:semiHidden/>
    <w:rsid w:val="0028772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772D"/>
    <w:rPr>
      <w:b/>
      <w:bCs/>
    </w:rPr>
  </w:style>
  <w:style w:type="character" w:customStyle="1" w:styleId="CommentSubjectChar">
    <w:name w:val="Comment Subject Char"/>
    <w:basedOn w:val="CommentTextChar"/>
    <w:link w:val="CommentSubject"/>
    <w:uiPriority w:val="99"/>
    <w:semiHidden/>
    <w:rsid w:val="0028772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7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073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96F55BBDC4BE3ACE5A26471D3FD56"/>
        <w:category>
          <w:name w:val="General"/>
          <w:gallery w:val="placeholder"/>
        </w:category>
        <w:types>
          <w:type w:val="bbPlcHdr"/>
        </w:types>
        <w:behaviors>
          <w:behavior w:val="content"/>
        </w:behaviors>
        <w:guid w:val="{ED7A51E7-69EB-450A-9056-45A3797BF7A4}"/>
      </w:docPartPr>
      <w:docPartBody>
        <w:p w:rsidR="00152B18" w:rsidRDefault="00A1021F">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21F"/>
    <w:rsid w:val="0014349C"/>
    <w:rsid w:val="00152B18"/>
    <w:rsid w:val="0019313F"/>
    <w:rsid w:val="00541628"/>
    <w:rsid w:val="005C5C61"/>
    <w:rsid w:val="006C743D"/>
    <w:rsid w:val="00A1021F"/>
    <w:rsid w:val="00D515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2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18/03/2015                                                Version #: 9.0</DLCPolicyLabelValue>
    <UNDP_POPP_EFFECTIVEDATE xmlns="8264c5cc-ec60-4b56-8111-ce635d3d139a">2015-03-17T23:00:00+00:00</UNDP_POPP_EFFECTIVEDATE>
    <UNDP_POPP_REFITEM_VERSION xmlns="8264c5cc-ec60-4b56-8111-ce635d3d139a">9</UNDP_POPP_REFITEM_VERSION>
    <UNDP_POPP_FILEVERSION xmlns="8264c5cc-ec60-4b56-8111-ce635d3d139a" xsi:nil="true"/>
    <UNDP_POPP_ISACTIVE xmlns="8264c5cc-ec60-4b56-8111-ce635d3d139a">true</UNDP_POPP_ISACTIVE>
    <UNDP_POPP_TITLE_EN xmlns="8264c5cc-ec60-4b56-8111-ce635d3d139a">Disbursing Funds (Making Payments)</UNDP_POPP_TITLE_EN>
    <DLCPolicyLabelLock xmlns="e560140e-7b2f-4392-90df-e7567e3021a3" xsi:nil="true"/>
    <DLCPolicyLabelClientValue xmlns="e560140e-7b2f-4392-90df-e7567e3021a3">Effective Date: 18/03/2015                                                Version #: 9.0</DLCPolicyLabelClientValue>
    <UNDP_POPP_BUSINESSUNITID_HIDDEN xmlns="8264c5cc-ec60-4b56-8111-ce635d3d139a" xsi:nil="true"/>
    <_dlc_DocId xmlns="8264c5cc-ec60-4b56-8111-ce635d3d139a">POPP-11-2226</_dlc_DocId>
    <_dlc_DocIdUrl xmlns="8264c5cc-ec60-4b56-8111-ce635d3d139a">
      <Url>https://popp.undp.org/_layouts/15/DocIdRedir.aspx?ID=POPP-11-2226</Url>
      <Description>POPP-11-2226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9633D14-F66B-46AF-87EF-AFD9142ACD0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656AD09-8BDE-4714-ABBB-85B498B9D94E}">
  <ds:schemaRefs>
    <ds:schemaRef ds:uri="http://schemas.microsoft.com/sharepoint/events"/>
  </ds:schemaRefs>
</ds:datastoreItem>
</file>

<file path=customXml/itemProps3.xml><?xml version="1.0" encoding="utf-8"?>
<ds:datastoreItem xmlns:ds="http://schemas.openxmlformats.org/officeDocument/2006/customXml" ds:itemID="{E06FB09D-2B67-4E20-8CC6-6E96A2F95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9E844-3C49-4057-9685-0ADACC53E25E}">
  <ds:schemaRefs>
    <ds:schemaRef ds:uri="http://schemas.microsoft.com/sharepoint/v3/contenttype/forms"/>
  </ds:schemaRefs>
</ds:datastoreItem>
</file>

<file path=customXml/itemProps5.xml><?xml version="1.0" encoding="utf-8"?>
<ds:datastoreItem xmlns:ds="http://schemas.openxmlformats.org/officeDocument/2006/customXml" ds:itemID="{E27EF807-2E79-46AF-8BFF-7DBA4F59AAD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Pablo Morete</cp:lastModifiedBy>
  <cp:revision>3</cp:revision>
  <dcterms:created xsi:type="dcterms:W3CDTF">2022-12-28T06:26:00Z</dcterms:created>
  <dcterms:modified xsi:type="dcterms:W3CDTF">2024-01-12T12:29:00Z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7085f3e0-0fcd-4e8f-827a-6cc56e0ca60a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GrammarlyDocumentId">
    <vt:lpwstr>0d9874411cca7d08704656a39f99a8a4ddfbe8cdd5aaecd34434604ffd8a78d4</vt:lpwstr>
  </property>
  <property fmtid="{D5CDD505-2E9C-101B-9397-08002B2CF9AE}" pid="7" name="MediaServiceImageTags">
    <vt:lpwstr/>
  </property>
  <property fmtid="{D5CDD505-2E9C-101B-9397-08002B2CF9AE}" pid="8" name="UNDP_POPP_BUSINESSPROCESS_HIDDEN">
    <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ies>
</file>