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B8334" w14:textId="77777777" w:rsidR="00534C17" w:rsidRPr="00A81C4E" w:rsidRDefault="00535A47">
      <w:pPr>
        <w:spacing w:after="50" w:line="259" w:lineRule="auto"/>
        <w:ind w:left="0" w:right="0" w:firstLine="0"/>
        <w:jc w:val="left"/>
        <w:rPr>
          <w:color w:val="auto"/>
        </w:rPr>
      </w:pPr>
      <w:r w:rsidRPr="00A81C4E">
        <w:rPr>
          <w:b/>
          <w:color w:val="auto"/>
          <w:sz w:val="28"/>
        </w:rPr>
        <w:t xml:space="preserve">Cierre financiero de proyectos de desarrollo  </w:t>
      </w:r>
    </w:p>
    <w:p w14:paraId="60F55EDF" w14:textId="77777777" w:rsidR="00534C17" w:rsidRPr="00A81C4E" w:rsidRDefault="00535A47">
      <w:pPr>
        <w:spacing w:after="12" w:line="259" w:lineRule="auto"/>
        <w:ind w:left="0" w:right="0" w:firstLine="0"/>
        <w:jc w:val="left"/>
        <w:rPr>
          <w:color w:val="auto"/>
        </w:rPr>
      </w:pPr>
      <w:r w:rsidRPr="00A81C4E">
        <w:rPr>
          <w:rFonts w:ascii="Arial" w:hAnsi="Arial"/>
          <w:color w:val="auto"/>
          <w:sz w:val="20"/>
        </w:rPr>
        <w:t xml:space="preserve">  </w:t>
      </w:r>
    </w:p>
    <w:p w14:paraId="404569F4" w14:textId="091D0E45" w:rsidR="00534C17" w:rsidRPr="00A81C4E" w:rsidRDefault="00535A47">
      <w:pPr>
        <w:numPr>
          <w:ilvl w:val="0"/>
          <w:numId w:val="1"/>
        </w:numPr>
        <w:ind w:right="0" w:hanging="360"/>
        <w:rPr>
          <w:color w:val="auto"/>
        </w:rPr>
      </w:pPr>
      <w:r w:rsidRPr="00A81C4E">
        <w:rPr>
          <w:color w:val="auto"/>
        </w:rPr>
        <w:t xml:space="preserve">Los pasos operativos para el cierre financiero de proyectos deben llevarse a cabo junto con el contenido prescriptivo de la sección </w:t>
      </w:r>
      <w:hyperlink r:id="rId12" w:history="1">
        <w:r>
          <w:rPr>
            <w:rStyle w:val="Hyperlink"/>
          </w:rPr>
          <w:t>cierre y transición</w:t>
        </w:r>
      </w:hyperlink>
      <w:r>
        <w:t xml:space="preserve"> </w:t>
      </w:r>
      <w:r w:rsidRPr="00A81C4E">
        <w:rPr>
          <w:color w:val="auto"/>
        </w:rPr>
        <w:t xml:space="preserve">de la </w:t>
      </w:r>
      <w:hyperlink r:id="rId13" w:history="1">
        <w:r>
          <w:rPr>
            <w:rStyle w:val="Hyperlink"/>
          </w:rPr>
          <w:t>página</w:t>
        </w:r>
        <w:r w:rsidR="00D41158">
          <w:rPr>
            <w:rStyle w:val="Hyperlink"/>
          </w:rPr>
          <w:t xml:space="preserve"> de gestión de programas</w:t>
        </w:r>
        <w:r w:rsidR="00D41158">
          <w:rPr>
            <w:rStyle w:val="Hyperlink"/>
          </w:rPr>
          <w:br/>
        </w:r>
        <w:r>
          <w:rPr>
            <w:rStyle w:val="Hyperlink"/>
          </w:rPr>
          <w:t>y proyectos</w:t>
        </w:r>
      </w:hyperlink>
      <w:hyperlink r:id="rId14">
        <w:r w:rsidRPr="00A81C4E">
          <w:rPr>
            <w:color w:val="auto"/>
          </w:rPr>
          <w:t>.</w:t>
        </w:r>
      </w:hyperlink>
      <w:r w:rsidR="008F1389" w:rsidRPr="00A81C4E">
        <w:rPr>
          <w:color w:val="auto"/>
        </w:rPr>
        <w:t xml:space="preserve"> En las </w:t>
      </w:r>
      <w:hyperlink r:id="rId15" w:history="1">
        <w:r w:rsidR="008F1389" w:rsidRPr="008F1389">
          <w:rPr>
            <w:rStyle w:val="Hyperlink"/>
          </w:rPr>
          <w:t>Directrices operacionales para el cierre financiero de proyectos</w:t>
        </w:r>
      </w:hyperlink>
      <w:r w:rsidR="008F1389" w:rsidRPr="008F1389">
        <w:t xml:space="preserve"> </w:t>
      </w:r>
      <w:r w:rsidR="008F1389" w:rsidRPr="00A81C4E">
        <w:rPr>
          <w:color w:val="auto"/>
        </w:rPr>
        <w:t>se ofrece un procedimiento paso a paso que incluye otra información útil. Esta directriz debería seguirse antes de cambiar el Estado del proyecto a "Cerrado operativamente" ya que la liquidación de las transacciones financieras pendientes puede realizarse principalmente cuando el Estado del proyecto está "En curso".</w:t>
      </w:r>
      <w:r w:rsidR="008F1389" w:rsidRPr="00A81C4E">
        <w:rPr>
          <w:b/>
          <w:bCs/>
          <w:color w:val="auto"/>
        </w:rPr>
        <w:t xml:space="preserve">     </w:t>
      </w:r>
      <w:r w:rsidRPr="00A81C4E">
        <w:rPr>
          <w:color w:val="auto"/>
        </w:rPr>
        <w:t xml:space="preserve">     </w:t>
      </w:r>
    </w:p>
    <w:p w14:paraId="41FE806B" w14:textId="77777777" w:rsidR="00534C17" w:rsidRPr="00A81C4E" w:rsidRDefault="00535A47">
      <w:pPr>
        <w:spacing w:after="0" w:line="259" w:lineRule="auto"/>
        <w:ind w:left="720" w:right="0" w:firstLine="0"/>
        <w:jc w:val="left"/>
        <w:rPr>
          <w:color w:val="auto"/>
        </w:rPr>
      </w:pPr>
      <w:r w:rsidRPr="00A81C4E">
        <w:rPr>
          <w:color w:val="auto"/>
        </w:rPr>
        <w:t xml:space="preserve"> </w:t>
      </w:r>
    </w:p>
    <w:p w14:paraId="5B916D59" w14:textId="49D61F74" w:rsidR="00534C17" w:rsidRPr="00A81C4E" w:rsidRDefault="00535A47">
      <w:pPr>
        <w:numPr>
          <w:ilvl w:val="0"/>
          <w:numId w:val="1"/>
        </w:numPr>
        <w:ind w:right="0" w:hanging="360"/>
        <w:rPr>
          <w:color w:val="auto"/>
        </w:rPr>
      </w:pPr>
      <w:r w:rsidRPr="00A81C4E">
        <w:rPr>
          <w:color w:val="auto"/>
        </w:rPr>
        <w:t xml:space="preserve">Las políticas del Programa de las Naciones Unidas para el Desarrollo (PNUD) requieren que los proyectos pasen por las siguientes etapas: en curso, cerrado operativamente y cerrado financieramente. Según lo estipulado en el Reglamento Financiero y Reglamentación Financiera Detallada del PNUD, el cierre financiero debe realizarse dentro de los 12 meses posteriores al cierre operativo. El estado del proyecto se refleja en el módulo de proyectos de </w:t>
      </w:r>
      <w:r w:rsidR="004E017C" w:rsidRPr="004E017C">
        <w:rPr>
          <w:color w:val="auto"/>
        </w:rPr>
        <w:t>Quantum (Inicio&gt;Proyecto&gt;Gestión financiera del proyecto)</w:t>
      </w:r>
      <w:r w:rsidRPr="00A81C4E">
        <w:rPr>
          <w:color w:val="auto"/>
        </w:rPr>
        <w:t xml:space="preserve"> de la siguiente manera: </w:t>
      </w:r>
    </w:p>
    <w:p w14:paraId="751CDF6C" w14:textId="77777777" w:rsidR="00534C17" w:rsidRPr="00A81C4E" w:rsidRDefault="00535A47">
      <w:pPr>
        <w:spacing w:after="0" w:line="259" w:lineRule="auto"/>
        <w:ind w:left="0" w:right="0" w:firstLine="0"/>
        <w:jc w:val="left"/>
        <w:rPr>
          <w:color w:val="auto"/>
        </w:rPr>
      </w:pPr>
      <w:r w:rsidRPr="00A81C4E">
        <w:rPr>
          <w:color w:val="auto"/>
        </w:rPr>
        <w:t xml:space="preserve">  </w:t>
      </w:r>
    </w:p>
    <w:p w14:paraId="6FB4283E" w14:textId="77777777" w:rsidR="00534C17" w:rsidRPr="00A81C4E" w:rsidRDefault="00535A47">
      <w:pPr>
        <w:ind w:left="720" w:right="0" w:firstLine="0"/>
        <w:rPr>
          <w:color w:val="auto"/>
        </w:rPr>
      </w:pPr>
      <w:r w:rsidRPr="00A81C4E">
        <w:rPr>
          <w:color w:val="auto"/>
        </w:rPr>
        <w:t xml:space="preserve">O = En curso </w:t>
      </w:r>
    </w:p>
    <w:p w14:paraId="6D78D605" w14:textId="344C23A7" w:rsidR="00534C17" w:rsidRPr="00A81C4E" w:rsidRDefault="00535A47" w:rsidP="00D41158">
      <w:pPr>
        <w:ind w:left="720" w:right="6075" w:firstLine="0"/>
        <w:rPr>
          <w:color w:val="auto"/>
        </w:rPr>
      </w:pPr>
      <w:r w:rsidRPr="00A81C4E">
        <w:rPr>
          <w:color w:val="auto"/>
        </w:rPr>
        <w:t>C = Cerrado operativamente F= Cerrado</w:t>
      </w:r>
      <w:r w:rsidR="516F6D54" w:rsidRPr="00A81C4E">
        <w:rPr>
          <w:color w:val="auto"/>
        </w:rPr>
        <w:t xml:space="preserve"> </w:t>
      </w:r>
      <w:r w:rsidRPr="00A81C4E">
        <w:rPr>
          <w:color w:val="auto"/>
        </w:rPr>
        <w:t xml:space="preserve">financieramente. </w:t>
      </w:r>
    </w:p>
    <w:p w14:paraId="4FB775A0" w14:textId="77777777" w:rsidR="00534C17" w:rsidRPr="00A81C4E" w:rsidRDefault="00535A47">
      <w:pPr>
        <w:spacing w:after="0" w:line="259" w:lineRule="auto"/>
        <w:ind w:left="0" w:right="0" w:firstLine="0"/>
        <w:jc w:val="left"/>
        <w:rPr>
          <w:color w:val="auto"/>
        </w:rPr>
      </w:pPr>
      <w:r w:rsidRPr="00A81C4E">
        <w:rPr>
          <w:color w:val="auto"/>
        </w:rPr>
        <w:t xml:space="preserve">  </w:t>
      </w:r>
    </w:p>
    <w:p w14:paraId="4C28660C" w14:textId="3AF5C076" w:rsidR="00534C17" w:rsidRPr="00A81C4E" w:rsidRDefault="00535A47">
      <w:pPr>
        <w:numPr>
          <w:ilvl w:val="0"/>
          <w:numId w:val="1"/>
        </w:numPr>
        <w:ind w:right="0" w:hanging="360"/>
        <w:rPr>
          <w:color w:val="auto"/>
        </w:rPr>
      </w:pPr>
      <w:r w:rsidRPr="00A81C4E">
        <w:rPr>
          <w:color w:val="auto"/>
        </w:rPr>
        <w:t xml:space="preserve">No se pueden </w:t>
      </w:r>
      <w:r w:rsidR="440A8E06" w:rsidRPr="00A81C4E">
        <w:rPr>
          <w:color w:val="auto"/>
        </w:rPr>
        <w:t>asumir</w:t>
      </w:r>
      <w:r w:rsidRPr="00A81C4E">
        <w:rPr>
          <w:color w:val="auto"/>
        </w:rPr>
        <w:t xml:space="preserve"> más compromisos financieros (registro de </w:t>
      </w:r>
      <w:r w:rsidR="5EF50532" w:rsidRPr="00A81C4E">
        <w:rPr>
          <w:color w:val="auto"/>
        </w:rPr>
        <w:t>requisiciones</w:t>
      </w:r>
      <w:r w:rsidRPr="00A81C4E">
        <w:rPr>
          <w:color w:val="auto"/>
        </w:rPr>
        <w:t xml:space="preserve"> u órdenes de compra) ni se pueden cargar gastos una vez que el proyecto está cerrado operativamente. Solo se permiten la liquidación de obligaciones financieras previas, los ajustes resultantes de la </w:t>
      </w:r>
      <w:r w:rsidR="0E446470" w:rsidRPr="00A81C4E">
        <w:rPr>
          <w:color w:val="auto"/>
        </w:rPr>
        <w:t>liquidación de adelantos de fondos bajo</w:t>
      </w:r>
      <w:r w:rsidRPr="00A81C4E">
        <w:rPr>
          <w:color w:val="auto"/>
        </w:rPr>
        <w:t xml:space="preserve"> la modalidad de implementación nacional (NIM, </w:t>
      </w:r>
      <w:r w:rsidR="00D41158" w:rsidRPr="00A81C4E">
        <w:rPr>
          <w:i/>
          <w:iCs/>
          <w:color w:val="auto"/>
        </w:rPr>
        <w:t>National Implementation M</w:t>
      </w:r>
      <w:r w:rsidRPr="00A81C4E">
        <w:rPr>
          <w:i/>
          <w:iCs/>
          <w:color w:val="auto"/>
        </w:rPr>
        <w:t>odality</w:t>
      </w:r>
      <w:r w:rsidRPr="00A81C4E">
        <w:rPr>
          <w:color w:val="auto"/>
        </w:rPr>
        <w:t xml:space="preserve">, por sus siglas en inglés) u otros anticipos, pagos relativos a órdenes de compra existentes, depreciación y diferencias de divisas.  </w:t>
      </w:r>
    </w:p>
    <w:p w14:paraId="44DFBBEB" w14:textId="77777777" w:rsidR="00534C17" w:rsidRPr="00A81C4E" w:rsidRDefault="00535A47">
      <w:pPr>
        <w:spacing w:after="0" w:line="259" w:lineRule="auto"/>
        <w:ind w:left="0" w:right="0" w:firstLine="0"/>
        <w:jc w:val="left"/>
        <w:rPr>
          <w:color w:val="auto"/>
        </w:rPr>
      </w:pPr>
      <w:r w:rsidRPr="00A81C4E">
        <w:rPr>
          <w:color w:val="auto"/>
        </w:rPr>
        <w:t xml:space="preserve">  </w:t>
      </w:r>
    </w:p>
    <w:p w14:paraId="27885A83" w14:textId="0196A52F" w:rsidR="00B84DDE" w:rsidRDefault="00706A83">
      <w:pPr>
        <w:numPr>
          <w:ilvl w:val="0"/>
          <w:numId w:val="1"/>
        </w:numPr>
        <w:ind w:right="0" w:hanging="360"/>
        <w:rPr>
          <w:color w:val="auto"/>
        </w:rPr>
      </w:pPr>
      <w:r>
        <w:rPr>
          <w:color w:val="auto"/>
        </w:rPr>
        <w:t xml:space="preserve">El </w:t>
      </w:r>
      <w:r w:rsidRPr="00706A83">
        <w:rPr>
          <w:color w:val="auto"/>
        </w:rPr>
        <w:t xml:space="preserve">Centro Mundial de Servicios Compartidos </w:t>
      </w:r>
      <w:r w:rsidR="0008125E" w:rsidRPr="0008125E">
        <w:rPr>
          <w:color w:val="auto"/>
        </w:rPr>
        <w:t xml:space="preserve">(GSSC, Global Shared Services Centre, por sus siglas en inglés) </w:t>
      </w:r>
      <w:r w:rsidR="00B84DDE" w:rsidRPr="00B84DDE">
        <w:rPr>
          <w:color w:val="auto"/>
        </w:rPr>
        <w:t>es responsable de cerrar financieramente los Proyectos de Desarrollo en Quantum para las oficinas de país agrupadas. Las oficinas deben enviar una solicitud UNall a GSSC para una revisión adicional y para garantizar que la lista de verificación de finalización del proyecto esté debidamente completa.</w:t>
      </w:r>
    </w:p>
    <w:p w14:paraId="35051501" w14:textId="77777777" w:rsidR="00B84DDE" w:rsidRDefault="00B84DDE" w:rsidP="00B84DDE">
      <w:pPr>
        <w:pStyle w:val="ListParagraph"/>
        <w:rPr>
          <w:color w:val="auto"/>
        </w:rPr>
      </w:pPr>
    </w:p>
    <w:p w14:paraId="765B6890" w14:textId="77777777" w:rsidR="00F17166" w:rsidRPr="00F17166" w:rsidRDefault="00F17166" w:rsidP="00F17166">
      <w:pPr>
        <w:numPr>
          <w:ilvl w:val="0"/>
          <w:numId w:val="1"/>
        </w:numPr>
        <w:ind w:right="0"/>
        <w:rPr>
          <w:color w:val="auto"/>
        </w:rPr>
      </w:pPr>
      <w:r w:rsidRPr="00F17166">
        <w:rPr>
          <w:color w:val="auto"/>
        </w:rPr>
        <w:t>El GSSC y las oficinas de país deben considerar los siguientes elementos de cierre importantes antes de cerrar financieramente el proyecto en Quantum.</w:t>
      </w:r>
    </w:p>
    <w:p w14:paraId="2BC752ED" w14:textId="77777777" w:rsidR="00F17166" w:rsidRPr="00F17166" w:rsidRDefault="00F17166" w:rsidP="00F17166">
      <w:pPr>
        <w:ind w:left="270" w:right="0" w:firstLine="0"/>
        <w:rPr>
          <w:color w:val="auto"/>
        </w:rPr>
      </w:pPr>
      <w:r w:rsidRPr="00F17166">
        <w:rPr>
          <w:color w:val="auto"/>
        </w:rPr>
        <w:t xml:space="preserve">1. </w:t>
      </w:r>
      <w:r w:rsidRPr="00F17166">
        <w:rPr>
          <w:b/>
          <w:bCs/>
          <w:color w:val="auto"/>
        </w:rPr>
        <w:t>Un premio con un proyecto</w:t>
      </w:r>
      <w:r w:rsidRPr="00F17166">
        <w:rPr>
          <w:color w:val="auto"/>
        </w:rPr>
        <w:t>; GSSC para cerrar el premio primero antes de cerrar financieramente el proyecto en Quantum.</w:t>
      </w:r>
    </w:p>
    <w:p w14:paraId="18C51642" w14:textId="77777777" w:rsidR="00F17166" w:rsidRPr="00F17166" w:rsidRDefault="00F17166" w:rsidP="00F17166">
      <w:pPr>
        <w:ind w:left="270" w:right="0" w:firstLine="0"/>
        <w:rPr>
          <w:color w:val="auto"/>
        </w:rPr>
      </w:pPr>
      <w:r w:rsidRPr="00F17166">
        <w:rPr>
          <w:color w:val="auto"/>
        </w:rPr>
        <w:t xml:space="preserve">2. </w:t>
      </w:r>
      <w:r w:rsidRPr="00F17166">
        <w:rPr>
          <w:b/>
          <w:bCs/>
          <w:color w:val="auto"/>
        </w:rPr>
        <w:t>Premio con múltiples proyectos</w:t>
      </w:r>
      <w:r w:rsidRPr="00F17166">
        <w:rPr>
          <w:color w:val="auto"/>
        </w:rPr>
        <w:t>-</w:t>
      </w:r>
    </w:p>
    <w:p w14:paraId="5BF39261" w14:textId="77777777" w:rsidR="00F17166" w:rsidRPr="00F17166" w:rsidRDefault="00F17166" w:rsidP="00F17166">
      <w:pPr>
        <w:ind w:left="720" w:right="0" w:firstLine="0"/>
        <w:rPr>
          <w:color w:val="auto"/>
        </w:rPr>
      </w:pPr>
      <w:r w:rsidRPr="00F17166">
        <w:rPr>
          <w:color w:val="auto"/>
        </w:rPr>
        <w:t>a. si otros proyectos asociados ya están cerrados financieramente y el proyecto es el último proyecto en cerrarse financieramente, cierre la adjudicación antes de cerrar financieramente el proyecto.</w:t>
      </w:r>
    </w:p>
    <w:p w14:paraId="2A437A1E" w14:textId="77777777" w:rsidR="00F17166" w:rsidRPr="00F17166" w:rsidRDefault="00F17166" w:rsidP="00F17166">
      <w:pPr>
        <w:ind w:left="720" w:right="0" w:firstLine="0"/>
        <w:rPr>
          <w:color w:val="auto"/>
        </w:rPr>
      </w:pPr>
      <w:r w:rsidRPr="00F17166">
        <w:rPr>
          <w:color w:val="auto"/>
        </w:rPr>
        <w:t>b. Si otros proyectos asociados etiquetados a un premio aún no están financieramente cerrados, el premio permanecerá abierto.</w:t>
      </w:r>
    </w:p>
    <w:p w14:paraId="79B0936E" w14:textId="77777777" w:rsidR="00F17166" w:rsidRPr="00F17166" w:rsidRDefault="00F17166" w:rsidP="00F17166">
      <w:pPr>
        <w:ind w:left="270" w:right="0" w:firstLine="0"/>
        <w:rPr>
          <w:color w:val="auto"/>
        </w:rPr>
      </w:pPr>
      <w:r w:rsidRPr="00F17166">
        <w:rPr>
          <w:color w:val="auto"/>
        </w:rPr>
        <w:t xml:space="preserve">3. </w:t>
      </w:r>
      <w:r w:rsidRPr="00F17166">
        <w:rPr>
          <w:b/>
          <w:bCs/>
          <w:color w:val="auto"/>
        </w:rPr>
        <w:t>Múltiples premios con un proyecto</w:t>
      </w:r>
    </w:p>
    <w:p w14:paraId="46DEE368" w14:textId="0614EE8E" w:rsidR="00F17166" w:rsidRDefault="00F17166" w:rsidP="00F17166">
      <w:pPr>
        <w:ind w:left="720" w:right="0" w:firstLine="0"/>
        <w:rPr>
          <w:color w:val="auto"/>
        </w:rPr>
      </w:pPr>
      <w:r w:rsidRPr="00F17166">
        <w:rPr>
          <w:color w:val="auto"/>
        </w:rPr>
        <w:t>a. GSSC para cerrar los premios primero antes de cerrar financieramente el proyecto en Quantum.</w:t>
      </w:r>
    </w:p>
    <w:p w14:paraId="6FC6F6BA" w14:textId="77777777" w:rsidR="00F17166" w:rsidRDefault="00F17166" w:rsidP="00F17166">
      <w:pPr>
        <w:pStyle w:val="ListParagraph"/>
        <w:rPr>
          <w:color w:val="auto"/>
        </w:rPr>
      </w:pPr>
    </w:p>
    <w:p w14:paraId="5638ECE1" w14:textId="7C94D821" w:rsidR="00534C17" w:rsidRPr="00A81C4E" w:rsidRDefault="00F80DF7">
      <w:pPr>
        <w:numPr>
          <w:ilvl w:val="0"/>
          <w:numId w:val="1"/>
        </w:numPr>
        <w:ind w:right="0" w:hanging="360"/>
        <w:rPr>
          <w:color w:val="auto"/>
        </w:rPr>
      </w:pPr>
      <w:r w:rsidRPr="00F80DF7">
        <w:rPr>
          <w:color w:val="auto"/>
        </w:rPr>
        <w:lastRenderedPageBreak/>
        <w:t>Una vez que todos los proyectos de Quantum estén financieramente cerrados, el Premio asociado también debe marcarse como "Cerrado" en Quantum. El Centro Global de Servicios Compartidos (GSSC) debe ser notificado y solicitado para cerrar el contrato asociado creado en el Módulo de Contratos</w:t>
      </w:r>
      <w:r w:rsidR="00535A47" w:rsidRPr="00A81C4E">
        <w:rPr>
          <w:color w:val="auto"/>
        </w:rPr>
        <w:t xml:space="preserve">. </w:t>
      </w:r>
    </w:p>
    <w:p w14:paraId="60E44AA7" w14:textId="77777777" w:rsidR="00534C17" w:rsidRPr="00A81C4E" w:rsidRDefault="00535A47">
      <w:pPr>
        <w:spacing w:after="0" w:line="259" w:lineRule="auto"/>
        <w:ind w:left="0" w:right="0" w:firstLine="0"/>
        <w:jc w:val="left"/>
        <w:rPr>
          <w:color w:val="auto"/>
        </w:rPr>
      </w:pPr>
      <w:r w:rsidRPr="00A81C4E">
        <w:rPr>
          <w:color w:val="auto"/>
        </w:rPr>
        <w:t xml:space="preserve">  </w:t>
      </w:r>
    </w:p>
    <w:p w14:paraId="6F0D9857" w14:textId="0B431043" w:rsidR="00534C17" w:rsidRDefault="007F6954" w:rsidP="007F6954">
      <w:pPr>
        <w:spacing w:after="0" w:line="259" w:lineRule="auto"/>
        <w:ind w:left="270" w:right="0" w:firstLine="0"/>
        <w:rPr>
          <w:color w:val="auto"/>
        </w:rPr>
      </w:pPr>
      <w:r w:rsidRPr="007F6954">
        <w:rPr>
          <w:color w:val="auto"/>
        </w:rPr>
        <w:t>Una vez que un proyecto se marca como financieramente cerrado y el contrato de adjudicación asociado también se cierra, Quantum evitará todas las transacciones posteriores contra el proyecto y el contrato de adjudicación.</w:t>
      </w:r>
    </w:p>
    <w:p w14:paraId="43887664" w14:textId="77777777" w:rsidR="007F6954" w:rsidRPr="00A81C4E" w:rsidRDefault="007F6954" w:rsidP="007F6954">
      <w:pPr>
        <w:spacing w:after="0" w:line="259" w:lineRule="auto"/>
        <w:ind w:left="270" w:right="0" w:firstLine="0"/>
        <w:rPr>
          <w:color w:val="auto"/>
        </w:rPr>
      </w:pPr>
    </w:p>
    <w:p w14:paraId="779A2794" w14:textId="77777777" w:rsidR="00534C17" w:rsidRPr="00A81C4E" w:rsidRDefault="00535A47">
      <w:pPr>
        <w:spacing w:after="0" w:line="259" w:lineRule="auto"/>
        <w:ind w:left="-5" w:right="0" w:hanging="10"/>
        <w:jc w:val="left"/>
        <w:rPr>
          <w:color w:val="auto"/>
        </w:rPr>
      </w:pPr>
      <w:r w:rsidRPr="00A81C4E">
        <w:rPr>
          <w:b/>
          <w:color w:val="auto"/>
        </w:rPr>
        <w:t>Designar un proyecto como financieramente cerrado</w:t>
      </w:r>
      <w:r w:rsidRPr="00A81C4E">
        <w:rPr>
          <w:color w:val="auto"/>
        </w:rPr>
        <w:t xml:space="preserve"> </w:t>
      </w:r>
    </w:p>
    <w:p w14:paraId="6FED6135" w14:textId="77777777" w:rsidR="00534C17" w:rsidRPr="00A81C4E" w:rsidRDefault="00535A47">
      <w:pPr>
        <w:spacing w:after="0" w:line="259" w:lineRule="auto"/>
        <w:ind w:left="0" w:right="0" w:firstLine="0"/>
        <w:jc w:val="left"/>
        <w:rPr>
          <w:color w:val="auto"/>
        </w:rPr>
      </w:pPr>
      <w:r w:rsidRPr="00A81C4E">
        <w:rPr>
          <w:color w:val="auto"/>
        </w:rPr>
        <w:t xml:space="preserve">  </w:t>
      </w:r>
    </w:p>
    <w:p w14:paraId="00B7259E" w14:textId="26004C0D" w:rsidR="00534C17" w:rsidRPr="00A81C4E" w:rsidRDefault="00535A47">
      <w:pPr>
        <w:numPr>
          <w:ilvl w:val="0"/>
          <w:numId w:val="1"/>
        </w:numPr>
        <w:ind w:right="0" w:hanging="360"/>
        <w:rPr>
          <w:color w:val="auto"/>
        </w:rPr>
      </w:pPr>
      <w:r w:rsidRPr="00A81C4E">
        <w:rPr>
          <w:color w:val="auto"/>
        </w:rPr>
        <w:t>El Gerente del Proyecto es responsable de supervisar las actividades del proyecto e iniciar la designación de proyectos como cerrados operativamente y luego, como cerrados financieramente. La unidad de Finanzas de cada oficina es responsable de revisar los proyectos en curso y de coordinar con los gerentes de proyectos para iniciar el cierre financiero</w:t>
      </w:r>
      <w:r w:rsidR="00FE63CB">
        <w:rPr>
          <w:color w:val="auto"/>
        </w:rPr>
        <w:t xml:space="preserve"> </w:t>
      </w:r>
      <w:r w:rsidR="005E26D6" w:rsidRPr="005E26D6">
        <w:rPr>
          <w:color w:val="auto"/>
        </w:rPr>
        <w:t>con el apoyo de la GSSC</w:t>
      </w:r>
      <w:r w:rsidRPr="00A81C4E">
        <w:rPr>
          <w:color w:val="auto"/>
        </w:rPr>
        <w:t xml:space="preserve">. La fecha límite para que un proyecto se «cierre operativamente» debe ser la fecha de finalización del proyecto estipulada en el acuerdo de </w:t>
      </w:r>
      <w:r w:rsidR="3EC062A4" w:rsidRPr="00A81C4E">
        <w:rPr>
          <w:color w:val="auto"/>
        </w:rPr>
        <w:t xml:space="preserve">costos </w:t>
      </w:r>
      <w:r w:rsidR="005E26D6" w:rsidRPr="00A81C4E">
        <w:rPr>
          <w:color w:val="auto"/>
        </w:rPr>
        <w:t>compartidos firmado</w:t>
      </w:r>
      <w:r w:rsidRPr="00A81C4E">
        <w:rPr>
          <w:color w:val="auto"/>
        </w:rPr>
        <w:t xml:space="preserve"> o en el documento del proyecto.  </w:t>
      </w:r>
    </w:p>
    <w:p w14:paraId="0D2ADF84" w14:textId="77777777" w:rsidR="00534C17" w:rsidRPr="00A81C4E" w:rsidRDefault="00535A47">
      <w:pPr>
        <w:spacing w:after="0" w:line="259" w:lineRule="auto"/>
        <w:ind w:left="0" w:right="0" w:firstLine="0"/>
        <w:jc w:val="left"/>
        <w:rPr>
          <w:color w:val="auto"/>
        </w:rPr>
      </w:pPr>
      <w:r w:rsidRPr="00A81C4E">
        <w:rPr>
          <w:color w:val="auto"/>
        </w:rPr>
        <w:t xml:space="preserve">  </w:t>
      </w:r>
    </w:p>
    <w:p w14:paraId="40CD7883" w14:textId="77777777" w:rsidR="00534C17" w:rsidRPr="00A81C4E" w:rsidRDefault="00535A47">
      <w:pPr>
        <w:numPr>
          <w:ilvl w:val="0"/>
          <w:numId w:val="1"/>
        </w:numPr>
        <w:ind w:right="0" w:hanging="360"/>
        <w:rPr>
          <w:color w:val="auto"/>
        </w:rPr>
      </w:pPr>
      <w:r w:rsidRPr="00A81C4E">
        <w:rPr>
          <w:color w:val="auto"/>
        </w:rPr>
        <w:t>El PNUD y el Asociado en la Ejecución firman el informe de gastos trimestrales (CDR, C</w:t>
      </w:r>
      <w:r w:rsidRPr="00A81C4E">
        <w:rPr>
          <w:i/>
          <w:color w:val="auto"/>
        </w:rPr>
        <w:t>ombined Delivery Report</w:t>
      </w:r>
      <w:r w:rsidRPr="00A81C4E">
        <w:rPr>
          <w:color w:val="auto"/>
        </w:rPr>
        <w:t xml:space="preserve">, por sus siglas en inglés), lo que confirma las cuentas y los gastos finales. </w:t>
      </w:r>
    </w:p>
    <w:p w14:paraId="2595095A" w14:textId="77777777" w:rsidR="00534C17" w:rsidRPr="00A81C4E" w:rsidRDefault="00535A47">
      <w:pPr>
        <w:spacing w:after="0" w:line="259" w:lineRule="auto"/>
        <w:ind w:left="0" w:right="0" w:firstLine="0"/>
        <w:jc w:val="left"/>
        <w:rPr>
          <w:color w:val="auto"/>
        </w:rPr>
      </w:pPr>
      <w:r w:rsidRPr="00A81C4E">
        <w:rPr>
          <w:color w:val="auto"/>
        </w:rPr>
        <w:t xml:space="preserve">  </w:t>
      </w:r>
    </w:p>
    <w:p w14:paraId="6C470CD9" w14:textId="6119DA52" w:rsidR="008B1BB1" w:rsidRPr="00A81C4E" w:rsidRDefault="00535A47" w:rsidP="00133175">
      <w:pPr>
        <w:numPr>
          <w:ilvl w:val="0"/>
          <w:numId w:val="1"/>
        </w:numPr>
        <w:ind w:right="0" w:hanging="360"/>
        <w:rPr>
          <w:color w:val="auto"/>
        </w:rPr>
      </w:pPr>
      <w:r w:rsidRPr="00A81C4E">
        <w:rPr>
          <w:color w:val="auto"/>
        </w:rPr>
        <w:t xml:space="preserve">Antes de cambiar el estado de un proyecto a cerrado financieramente, el Oficial de Programa y el Jefe de Finanzas deben completar la lista de verificación electrónica del </w:t>
      </w:r>
      <w:r w:rsidR="002D2C86" w:rsidRPr="002D2C86">
        <w:rPr>
          <w:color w:val="auto"/>
        </w:rPr>
        <w:t>Quantum Project Closure Workbench (Quantum Home&gt;Projects&gt; Project Result and Project Closure workbench&gt;Project Closure Workbench icon)</w:t>
      </w:r>
      <w:r w:rsidR="002D2C86">
        <w:t>,</w:t>
      </w:r>
      <w:r w:rsidRPr="00A81C4E">
        <w:rPr>
          <w:color w:val="auto"/>
        </w:rPr>
        <w:t xml:space="preserve">y deben verificar que los proyectos financiados con acuerdos de </w:t>
      </w:r>
      <w:r w:rsidR="1D092D94" w:rsidRPr="00A81C4E">
        <w:rPr>
          <w:color w:val="auto"/>
        </w:rPr>
        <w:t>costos compartidos</w:t>
      </w:r>
      <w:r w:rsidRPr="00A81C4E">
        <w:rPr>
          <w:color w:val="auto"/>
        </w:rPr>
        <w:t xml:space="preserve"> tengan saldo cero. La lista de verificación debe ser firmada por el Representante Residente/Jefe de Oficina o un oficial senior designado por </w:t>
      </w:r>
      <w:r w:rsidR="00D41158" w:rsidRPr="00A81C4E">
        <w:rPr>
          <w:color w:val="auto"/>
        </w:rPr>
        <w:t>el Representante Residente/Jefe</w:t>
      </w:r>
      <w:r w:rsidRPr="00A81C4E">
        <w:rPr>
          <w:color w:val="auto"/>
        </w:rPr>
        <w:t xml:space="preserve">de Oficina. </w:t>
      </w:r>
    </w:p>
    <w:p w14:paraId="3EFDFEAF" w14:textId="437BA9B4" w:rsidR="00534C17" w:rsidRPr="00A81C4E" w:rsidRDefault="00535A47" w:rsidP="00133175">
      <w:pPr>
        <w:pStyle w:val="ListParagraph"/>
        <w:numPr>
          <w:ilvl w:val="0"/>
          <w:numId w:val="5"/>
        </w:numPr>
        <w:ind w:right="0"/>
        <w:rPr>
          <w:color w:val="auto"/>
        </w:rPr>
      </w:pPr>
      <w:r w:rsidRPr="00A81C4E">
        <w:rPr>
          <w:color w:val="auto"/>
        </w:rPr>
        <w:t xml:space="preserve">Los proyectos plenamente financiados con </w:t>
      </w:r>
      <w:r w:rsidRPr="00A81C4E">
        <w:rPr>
          <w:b/>
          <w:bCs/>
          <w:color w:val="auto"/>
        </w:rPr>
        <w:t>fondos básicos</w:t>
      </w:r>
      <w:r w:rsidR="7C923689" w:rsidRPr="00A81C4E">
        <w:rPr>
          <w:b/>
          <w:bCs/>
          <w:color w:val="auto"/>
        </w:rPr>
        <w:t xml:space="preserve"> (CORE, por sus siglas en inglés)</w:t>
      </w:r>
      <w:r w:rsidRPr="00A81C4E">
        <w:rPr>
          <w:b/>
          <w:bCs/>
          <w:color w:val="auto"/>
        </w:rPr>
        <w:t xml:space="preserve"> o fiduciarios</w:t>
      </w:r>
      <w:r w:rsidR="65AD4B6F" w:rsidRPr="00A81C4E">
        <w:rPr>
          <w:b/>
          <w:bCs/>
          <w:color w:val="auto"/>
        </w:rPr>
        <w:t xml:space="preserve"> (trust funds, por sus siglas en inglés)</w:t>
      </w:r>
      <w:r w:rsidRPr="00A81C4E">
        <w:rPr>
          <w:color w:val="auto"/>
        </w:rPr>
        <w:t xml:space="preserve"> deben ser designados formalmente como «cerrados financieramente» en </w:t>
      </w:r>
      <w:r w:rsidR="007A5E13">
        <w:rPr>
          <w:color w:val="auto"/>
        </w:rPr>
        <w:t>Quantum</w:t>
      </w:r>
      <w:r w:rsidRPr="00A81C4E">
        <w:rPr>
          <w:color w:val="auto"/>
        </w:rPr>
        <w:t xml:space="preserve">.  </w:t>
      </w:r>
    </w:p>
    <w:p w14:paraId="31205A8A" w14:textId="170EA097" w:rsidR="00534C17" w:rsidRPr="00A81C4E" w:rsidRDefault="00535A47" w:rsidP="00133175">
      <w:pPr>
        <w:pStyle w:val="ListParagraph"/>
        <w:numPr>
          <w:ilvl w:val="0"/>
          <w:numId w:val="5"/>
        </w:numPr>
        <w:ind w:right="0"/>
        <w:rPr>
          <w:color w:val="auto"/>
        </w:rPr>
      </w:pPr>
      <w:r w:rsidRPr="00A81C4E">
        <w:rPr>
          <w:color w:val="auto"/>
        </w:rPr>
        <w:t xml:space="preserve">Para los proyectos que están plena o parcialmente financiados mediante </w:t>
      </w:r>
      <w:r w:rsidR="00A10DB5" w:rsidRPr="00A81C4E">
        <w:rPr>
          <w:b/>
          <w:bCs/>
          <w:color w:val="auto"/>
        </w:rPr>
        <w:t>acuerdos de costos compartidos</w:t>
      </w:r>
      <w:r w:rsidRPr="00A81C4E">
        <w:rPr>
          <w:color w:val="auto"/>
        </w:rPr>
        <w:t xml:space="preserve">, el paso final es revisar el saldo restante de </w:t>
      </w:r>
      <w:r w:rsidR="3672F7EB" w:rsidRPr="00A81C4E">
        <w:rPr>
          <w:color w:val="auto"/>
        </w:rPr>
        <w:t>costos compartidos</w:t>
      </w:r>
      <w:r w:rsidRPr="00A81C4E">
        <w:rPr>
          <w:color w:val="auto"/>
        </w:rPr>
        <w:t xml:space="preserve">.  </w:t>
      </w:r>
    </w:p>
    <w:p w14:paraId="413E273D" w14:textId="77777777" w:rsidR="00534C17" w:rsidRPr="00A81C4E" w:rsidRDefault="00535A47">
      <w:pPr>
        <w:spacing w:after="0" w:line="259" w:lineRule="auto"/>
        <w:ind w:left="0" w:right="0" w:firstLine="0"/>
        <w:jc w:val="left"/>
        <w:rPr>
          <w:color w:val="auto"/>
        </w:rPr>
      </w:pPr>
      <w:r w:rsidRPr="00A81C4E">
        <w:rPr>
          <w:color w:val="auto"/>
        </w:rPr>
        <w:t xml:space="preserve">  </w:t>
      </w:r>
    </w:p>
    <w:p w14:paraId="08743777" w14:textId="3F635C19" w:rsidR="00534C17" w:rsidRPr="00A81C4E" w:rsidRDefault="00535A47">
      <w:pPr>
        <w:numPr>
          <w:ilvl w:val="0"/>
          <w:numId w:val="1"/>
        </w:numPr>
        <w:ind w:right="0" w:hanging="360"/>
        <w:rPr>
          <w:color w:val="auto"/>
        </w:rPr>
      </w:pPr>
      <w:r w:rsidRPr="00A81C4E">
        <w:rPr>
          <w:color w:val="auto"/>
        </w:rPr>
        <w:t xml:space="preserve">El saldo de </w:t>
      </w:r>
      <w:r w:rsidR="6E8EDFF1" w:rsidRPr="00A81C4E">
        <w:rPr>
          <w:color w:val="auto"/>
        </w:rPr>
        <w:t>costos compartidos</w:t>
      </w:r>
      <w:r w:rsidRPr="00A81C4E">
        <w:rPr>
          <w:color w:val="auto"/>
        </w:rPr>
        <w:t xml:space="preserve">, según el libro mayor, se muestra en el informe de prorrateo de </w:t>
      </w:r>
      <w:r w:rsidR="7DCA5D0C" w:rsidRPr="00A81C4E">
        <w:rPr>
          <w:color w:val="auto"/>
        </w:rPr>
        <w:t xml:space="preserve"> costos compartidos</w:t>
      </w:r>
      <w:r w:rsidRPr="00A81C4E">
        <w:rPr>
          <w:color w:val="auto"/>
        </w:rPr>
        <w:t xml:space="preserve"> (Informes de las Naciones Unidas&gt;Informes de gestión de proyectos&gt;Análisis de cartera</w:t>
      </w:r>
      <w:r w:rsidR="6B8F37E4" w:rsidRPr="00A81C4E">
        <w:rPr>
          <w:color w:val="auto"/>
        </w:rPr>
        <w:t xml:space="preserve"> – UN Reports&gt;Project Management R</w:t>
      </w:r>
      <w:r w:rsidR="6D064067" w:rsidRPr="00A81C4E">
        <w:rPr>
          <w:color w:val="auto"/>
        </w:rPr>
        <w:t>e</w:t>
      </w:r>
      <w:r w:rsidR="6B8F37E4" w:rsidRPr="00A81C4E">
        <w:rPr>
          <w:color w:val="auto"/>
        </w:rPr>
        <w:t>ports&gt;Portfolio Analysis</w:t>
      </w:r>
      <w:r w:rsidRPr="00A81C4E">
        <w:rPr>
          <w:color w:val="auto"/>
        </w:rPr>
        <w:t>) o en el informe UN_FUND_STATUS (Informes de las Naciones Unidas&gt;Informes de gestión financiera&gt;Informes de gestión de presupuesto</w:t>
      </w:r>
      <w:r w:rsidR="5492D9EE" w:rsidRPr="00A81C4E">
        <w:rPr>
          <w:color w:val="auto"/>
        </w:rPr>
        <w:t xml:space="preserve"> – UN Reports&gt;Fina</w:t>
      </w:r>
      <w:r w:rsidR="05B2D2E6" w:rsidRPr="00A81C4E">
        <w:rPr>
          <w:color w:val="auto"/>
        </w:rPr>
        <w:t>n</w:t>
      </w:r>
      <w:r w:rsidR="5492D9EE" w:rsidRPr="00A81C4E">
        <w:rPr>
          <w:color w:val="auto"/>
        </w:rPr>
        <w:t>cial Management Reports&gt;Budget Management Reports</w:t>
      </w:r>
      <w:r w:rsidRPr="00A81C4E">
        <w:rPr>
          <w:color w:val="auto"/>
        </w:rPr>
        <w:t xml:space="preserve">). Los saldos restantes deben revisarse a nivel de fondo-proyecto-donante. </w:t>
      </w:r>
    </w:p>
    <w:p w14:paraId="6D807DB6" w14:textId="77777777" w:rsidR="00534C17" w:rsidRPr="00A81C4E" w:rsidRDefault="00535A47">
      <w:pPr>
        <w:spacing w:after="0" w:line="259" w:lineRule="auto"/>
        <w:ind w:left="0" w:right="0" w:firstLine="0"/>
        <w:jc w:val="left"/>
        <w:rPr>
          <w:color w:val="auto"/>
        </w:rPr>
      </w:pPr>
      <w:r w:rsidRPr="00A81C4E">
        <w:rPr>
          <w:color w:val="auto"/>
        </w:rPr>
        <w:t xml:space="preserve">  </w:t>
      </w:r>
    </w:p>
    <w:p w14:paraId="756392C5" w14:textId="77777777" w:rsidR="00534C17" w:rsidRPr="00A81C4E" w:rsidRDefault="00535A47">
      <w:pPr>
        <w:numPr>
          <w:ilvl w:val="0"/>
          <w:numId w:val="1"/>
        </w:numPr>
        <w:ind w:right="0" w:hanging="360"/>
        <w:rPr>
          <w:color w:val="auto"/>
        </w:rPr>
      </w:pPr>
      <w:r w:rsidRPr="00A81C4E">
        <w:rPr>
          <w:color w:val="auto"/>
        </w:rPr>
        <w:t xml:space="preserve">Cuando haya una combinación de déficits y excedentes a nivel del donante, los gastos de transferencia de los déficits a los excedentes deben reducirse a cero, en la medida de lo posible. </w:t>
      </w:r>
    </w:p>
    <w:p w14:paraId="08027FE3" w14:textId="77777777" w:rsidR="00534C17" w:rsidRPr="00A81C4E" w:rsidRDefault="00535A47">
      <w:pPr>
        <w:spacing w:after="0" w:line="259" w:lineRule="auto"/>
        <w:ind w:left="0" w:right="0" w:firstLine="0"/>
        <w:jc w:val="left"/>
        <w:rPr>
          <w:color w:val="auto"/>
        </w:rPr>
      </w:pPr>
      <w:r w:rsidRPr="00A81C4E">
        <w:rPr>
          <w:color w:val="auto"/>
        </w:rPr>
        <w:t xml:space="preserve">  </w:t>
      </w:r>
    </w:p>
    <w:p w14:paraId="62F0E5BA" w14:textId="77777777" w:rsidR="00534C17" w:rsidRPr="00A81C4E" w:rsidRDefault="00535A47">
      <w:pPr>
        <w:numPr>
          <w:ilvl w:val="0"/>
          <w:numId w:val="1"/>
        </w:numPr>
        <w:ind w:right="0" w:hanging="360"/>
        <w:rPr>
          <w:color w:val="auto"/>
        </w:rPr>
      </w:pPr>
      <w:r w:rsidRPr="00A81C4E">
        <w:rPr>
          <w:color w:val="auto"/>
        </w:rPr>
        <w:t xml:space="preserve">Si persisten los déficits a nivel del proyecto o del donante, se deben seguir los siguientes pasos: </w:t>
      </w:r>
    </w:p>
    <w:p w14:paraId="6CFEF159" w14:textId="77777777" w:rsidR="00534C17" w:rsidRPr="00A81C4E" w:rsidRDefault="00535A47" w:rsidP="00B83EBC">
      <w:pPr>
        <w:pStyle w:val="ListParagraph"/>
        <w:numPr>
          <w:ilvl w:val="0"/>
          <w:numId w:val="7"/>
        </w:numPr>
        <w:ind w:right="0"/>
        <w:rPr>
          <w:color w:val="auto"/>
        </w:rPr>
      </w:pPr>
      <w:r w:rsidRPr="00A81C4E">
        <w:rPr>
          <w:color w:val="auto"/>
        </w:rPr>
        <w:t xml:space="preserve">Transferir otros fondos del programa (otro donante) al proyecto. </w:t>
      </w:r>
    </w:p>
    <w:p w14:paraId="78272996" w14:textId="77777777" w:rsidR="00534C17" w:rsidRPr="00A81C4E" w:rsidRDefault="00535A47" w:rsidP="00B83EBC">
      <w:pPr>
        <w:pStyle w:val="ListParagraph"/>
        <w:numPr>
          <w:ilvl w:val="0"/>
          <w:numId w:val="7"/>
        </w:numPr>
        <w:ind w:right="0"/>
        <w:rPr>
          <w:color w:val="auto"/>
        </w:rPr>
      </w:pPr>
      <w:r w:rsidRPr="00A81C4E">
        <w:rPr>
          <w:color w:val="auto"/>
        </w:rPr>
        <w:t xml:space="preserve">Transferir fondos extrapresupuestarios al proyecto. </w:t>
      </w:r>
    </w:p>
    <w:p w14:paraId="0E1D502D" w14:textId="59DAEB7D" w:rsidR="00534C17" w:rsidRPr="00A81C4E" w:rsidRDefault="00535A47" w:rsidP="00B83EBC">
      <w:pPr>
        <w:pStyle w:val="ListParagraph"/>
        <w:numPr>
          <w:ilvl w:val="0"/>
          <w:numId w:val="7"/>
        </w:numPr>
        <w:ind w:right="0"/>
        <w:rPr>
          <w:color w:val="auto"/>
        </w:rPr>
      </w:pPr>
      <w:r w:rsidRPr="00A81C4E">
        <w:rPr>
          <w:color w:val="auto"/>
        </w:rPr>
        <w:lastRenderedPageBreak/>
        <w:t xml:space="preserve">Si persisten los déficits, deben iniciarse los procedimientos para cargar a los fondos básicos (TRAC, </w:t>
      </w:r>
      <w:r w:rsidRPr="00A81C4E">
        <w:rPr>
          <w:i/>
          <w:iCs/>
          <w:color w:val="auto"/>
        </w:rPr>
        <w:t>Target for Resource Assignment from the Core</w:t>
      </w:r>
      <w:r w:rsidRPr="00A81C4E">
        <w:rPr>
          <w:color w:val="auto"/>
        </w:rPr>
        <w:t>, por sus siglas en inglés) actual o futuro, o el fondo 11888</w:t>
      </w:r>
      <w:r w:rsidR="00E76F95">
        <w:rPr>
          <w:color w:val="auto"/>
        </w:rPr>
        <w:t xml:space="preserve"> y el fondo 11890</w:t>
      </w:r>
      <w:r w:rsidRPr="00A81C4E">
        <w:rPr>
          <w:color w:val="auto"/>
        </w:rPr>
        <w:t xml:space="preserve">. Este paso solo se puede tomar después de una consulta completa con el Gobierno del país en que se ejecuta un programa. Contactar a la Oficina de Gestión de Recursos Financieros (OFM, </w:t>
      </w:r>
      <w:r w:rsidRPr="00A81C4E">
        <w:rPr>
          <w:i/>
          <w:iCs/>
          <w:color w:val="auto"/>
        </w:rPr>
        <w:t>Office of Financial</w:t>
      </w:r>
      <w:r w:rsidR="00490508">
        <w:rPr>
          <w:i/>
          <w:iCs/>
          <w:color w:val="auto"/>
        </w:rPr>
        <w:t xml:space="preserve"> </w:t>
      </w:r>
      <w:r w:rsidRPr="00A81C4E">
        <w:rPr>
          <w:i/>
          <w:iCs/>
          <w:color w:val="auto"/>
        </w:rPr>
        <w:t>Management</w:t>
      </w:r>
      <w:r w:rsidRPr="00A81C4E">
        <w:rPr>
          <w:color w:val="auto"/>
        </w:rPr>
        <w:t xml:space="preserve">, por sus siglas en inglés) para obtener asesoramiento según sea necesario. </w:t>
      </w:r>
    </w:p>
    <w:p w14:paraId="159986D9" w14:textId="77777777" w:rsidR="00534C17" w:rsidRPr="00A81C4E" w:rsidRDefault="00535A47">
      <w:pPr>
        <w:spacing w:after="0" w:line="259" w:lineRule="auto"/>
        <w:ind w:left="0" w:right="0" w:firstLine="0"/>
        <w:jc w:val="left"/>
        <w:rPr>
          <w:color w:val="auto"/>
        </w:rPr>
      </w:pPr>
      <w:r w:rsidRPr="00A81C4E">
        <w:rPr>
          <w:color w:val="auto"/>
        </w:rPr>
        <w:t xml:space="preserve">  </w:t>
      </w:r>
    </w:p>
    <w:p w14:paraId="5D209567" w14:textId="0E50C33A" w:rsidR="00884AD5" w:rsidRPr="00884AD5" w:rsidRDefault="00535A47" w:rsidP="00884AD5">
      <w:pPr>
        <w:numPr>
          <w:ilvl w:val="0"/>
          <w:numId w:val="1"/>
        </w:numPr>
        <w:ind w:right="0" w:hanging="360"/>
      </w:pPr>
      <w:r w:rsidRPr="00A81C4E">
        <w:rPr>
          <w:color w:val="auto"/>
        </w:rPr>
        <w:t xml:space="preserve">Cuando quede un excedente, deberá reembolsarse a los donantes, o transferirse a otro proyecto con el permiso del donante. El acuerdo de contribución con el donante dictará la acción requerida, incluso cuando los donantes le permitan al PNUD retener montos inferiores a un umbral establecido. </w:t>
      </w:r>
      <w:r w:rsidR="00884AD5">
        <w:rPr>
          <w:color w:val="auto"/>
        </w:rPr>
        <w:t>Véase</w:t>
      </w:r>
    </w:p>
    <w:p w14:paraId="3DD6E4A9" w14:textId="72043988" w:rsidR="00534C17" w:rsidRPr="002361A0" w:rsidRDefault="00000000" w:rsidP="00884AD5">
      <w:pPr>
        <w:ind w:left="270" w:right="0" w:firstLine="0"/>
        <w:jc w:val="left"/>
      </w:pPr>
      <w:hyperlink r:id="rId16" w:history="1">
        <w:r w:rsidR="00535A47" w:rsidRPr="00713CF5">
          <w:rPr>
            <w:rStyle w:val="Hyperlink"/>
          </w:rPr>
          <w:t>reembolso a donantes</w:t>
        </w:r>
      </w:hyperlink>
      <w:hyperlink r:id="rId17">
        <w:r w:rsidR="00535A47">
          <w:rPr>
            <w:color w:val="0070C0"/>
          </w:rPr>
          <w:t xml:space="preserve"> </w:t>
        </w:r>
      </w:hyperlink>
      <w:r w:rsidR="00535A47">
        <w:t>o</w:t>
      </w:r>
      <w:hyperlink r:id="rId18">
        <w:r w:rsidR="00535A47">
          <w:rPr>
            <w:color w:val="000000"/>
          </w:rPr>
          <w:t xml:space="preserve"> </w:t>
        </w:r>
      </w:hyperlink>
      <w:hyperlink r:id="rId19" w:history="1">
        <w:r w:rsidR="00535A47">
          <w:rPr>
            <w:rStyle w:val="Hyperlink"/>
          </w:rPr>
          <w:t>transferencia</w:t>
        </w:r>
        <w:r w:rsidR="00D41158">
          <w:rPr>
            <w:rStyle w:val="Hyperlink"/>
          </w:rPr>
          <w:t>s donde no se reembolsan saldos</w:t>
        </w:r>
        <w:r w:rsidR="00884AD5">
          <w:rPr>
            <w:rStyle w:val="Hyperlink"/>
          </w:rPr>
          <w:t xml:space="preserve"> no utilizados</w:t>
        </w:r>
        <w:r w:rsidR="003A2145">
          <w:rPr>
            <w:rStyle w:val="Hyperlink"/>
          </w:rPr>
          <w:t xml:space="preserve">. </w:t>
        </w:r>
      </w:hyperlink>
      <w:r w:rsidR="00535A47">
        <w:t xml:space="preserve">  </w:t>
      </w:r>
    </w:p>
    <w:p w14:paraId="780EF937" w14:textId="77777777" w:rsidR="00534C17" w:rsidRPr="002361A0" w:rsidRDefault="00535A47">
      <w:pPr>
        <w:spacing w:after="0" w:line="259" w:lineRule="auto"/>
        <w:ind w:left="0" w:right="0" w:firstLine="0"/>
        <w:jc w:val="left"/>
      </w:pPr>
      <w:r>
        <w:t xml:space="preserve">  </w:t>
      </w:r>
    </w:p>
    <w:p w14:paraId="717B9A4E" w14:textId="7B9AC585" w:rsidR="00534C17" w:rsidRPr="00F52DB1" w:rsidRDefault="00535A47">
      <w:pPr>
        <w:numPr>
          <w:ilvl w:val="0"/>
          <w:numId w:val="1"/>
        </w:numPr>
        <w:ind w:right="0" w:hanging="360"/>
        <w:rPr>
          <w:color w:val="auto"/>
        </w:rPr>
      </w:pPr>
      <w:r w:rsidRPr="00F52DB1">
        <w:rPr>
          <w:color w:val="auto"/>
        </w:rPr>
        <w:t xml:space="preserve">Cuando el saldo de </w:t>
      </w:r>
      <w:r w:rsidR="3C48DD45" w:rsidRPr="00F52DB1">
        <w:rPr>
          <w:color w:val="auto"/>
        </w:rPr>
        <w:t>costos compartidos</w:t>
      </w:r>
      <w:r w:rsidRPr="00F52DB1">
        <w:rPr>
          <w:color w:val="auto"/>
        </w:rPr>
        <w:t xml:space="preserve"> para el proyecto es cero, el proyecto debe ser designado formalmente como «cerrado financieramente» en </w:t>
      </w:r>
      <w:r w:rsidR="003A2145">
        <w:rPr>
          <w:color w:val="auto"/>
        </w:rPr>
        <w:t>Quantum</w:t>
      </w:r>
      <w:r w:rsidRPr="00F52DB1">
        <w:rPr>
          <w:color w:val="auto"/>
        </w:rPr>
        <w:t xml:space="preserve">. </w:t>
      </w:r>
    </w:p>
    <w:p w14:paraId="2DDB8EC2" w14:textId="77777777" w:rsidR="00534C17" w:rsidRPr="00A81C4E" w:rsidRDefault="00535A47">
      <w:pPr>
        <w:spacing w:after="0" w:line="259" w:lineRule="auto"/>
        <w:ind w:left="0" w:right="0" w:firstLine="0"/>
        <w:jc w:val="left"/>
        <w:rPr>
          <w:color w:val="auto"/>
        </w:rPr>
      </w:pPr>
      <w:r w:rsidRPr="00A81C4E">
        <w:rPr>
          <w:color w:val="auto"/>
        </w:rPr>
        <w:t xml:space="preserve"> </w:t>
      </w:r>
    </w:p>
    <w:p w14:paraId="5B007C05" w14:textId="137E6968" w:rsidR="00534C17" w:rsidRPr="002361A0" w:rsidRDefault="00535A47">
      <w:pPr>
        <w:numPr>
          <w:ilvl w:val="0"/>
          <w:numId w:val="1"/>
        </w:numPr>
        <w:ind w:right="0" w:hanging="360"/>
      </w:pPr>
      <w:r w:rsidRPr="00A81C4E">
        <w:rPr>
          <w:color w:val="auto"/>
        </w:rPr>
        <w:t xml:space="preserve">Haga clic en este </w:t>
      </w:r>
      <w:hyperlink r:id="rId20" w:history="1">
        <w:r w:rsidRPr="00CA26CE">
          <w:rPr>
            <w:rStyle w:val="Hyperlink"/>
          </w:rPr>
          <w:t>enlace</w:t>
        </w:r>
      </w:hyperlink>
      <w:r w:rsidR="00CA26CE">
        <w:t xml:space="preserve"> </w:t>
      </w:r>
      <w:r w:rsidR="00CA26CE" w:rsidRPr="00A81C4E">
        <w:rPr>
          <w:color w:val="auto"/>
        </w:rPr>
        <w:t>p</w:t>
      </w:r>
      <w:r w:rsidRPr="00A81C4E">
        <w:rPr>
          <w:color w:val="auto"/>
        </w:rPr>
        <w:t xml:space="preserve">ara consultar las instrucciones específicas de la Oficina del Fondo Fiduciario de Asociados Múltiples (MPTFO, </w:t>
      </w:r>
      <w:r w:rsidRPr="00A81C4E">
        <w:rPr>
          <w:i/>
          <w:iCs/>
          <w:color w:val="auto"/>
        </w:rPr>
        <w:t>Multi-Partner Trust Fund Office Partners</w:t>
      </w:r>
      <w:r w:rsidRPr="00A81C4E">
        <w:rPr>
          <w:color w:val="auto"/>
        </w:rPr>
        <w:t xml:space="preserve">, por sus siglas en inglés).  </w:t>
      </w:r>
      <w:r w:rsidR="00704561" w:rsidRPr="00A81C4E">
        <w:rPr>
          <w:color w:val="auto"/>
        </w:rPr>
        <w:t xml:space="preserve">Las directrices de funcionamiento de los proyectos del MPTF se pueden encontrar en este </w:t>
      </w:r>
      <w:hyperlink r:id="rId21" w:history="1">
        <w:r w:rsidR="00704561" w:rsidRPr="00704561">
          <w:rPr>
            <w:rStyle w:val="Hyperlink"/>
          </w:rPr>
          <w:t>en</w:t>
        </w:r>
        <w:r w:rsidR="00704561" w:rsidRPr="00704561">
          <w:rPr>
            <w:rStyle w:val="Hyperlink"/>
          </w:rPr>
          <w:t>l</w:t>
        </w:r>
        <w:r w:rsidR="00704561" w:rsidRPr="00704561">
          <w:rPr>
            <w:rStyle w:val="Hyperlink"/>
          </w:rPr>
          <w:t>ace</w:t>
        </w:r>
      </w:hyperlink>
      <w:r w:rsidR="00704561" w:rsidRPr="00704561">
        <w:t xml:space="preserve">.  </w:t>
      </w:r>
    </w:p>
    <w:p w14:paraId="3CA2B9F6" w14:textId="77777777" w:rsidR="00534C17" w:rsidRPr="002361A0" w:rsidRDefault="00535A47">
      <w:pPr>
        <w:spacing w:after="0" w:line="259" w:lineRule="auto"/>
        <w:ind w:left="0" w:right="0" w:firstLine="0"/>
        <w:jc w:val="left"/>
      </w:pPr>
      <w:r>
        <w:t xml:space="preserve"> </w:t>
      </w:r>
      <w:r>
        <w:tab/>
        <w:t xml:space="preserve"> </w:t>
      </w:r>
    </w:p>
    <w:p w14:paraId="22B7BE27" w14:textId="0979BB9B" w:rsidR="00534C17" w:rsidRPr="00A81C4E" w:rsidRDefault="00A661E9">
      <w:pPr>
        <w:spacing w:after="0" w:line="259" w:lineRule="auto"/>
        <w:ind w:left="-5" w:right="0" w:hanging="10"/>
        <w:jc w:val="left"/>
        <w:rPr>
          <w:color w:val="auto"/>
        </w:rPr>
      </w:pPr>
      <w:r w:rsidRPr="00A81C4E">
        <w:rPr>
          <w:b/>
          <w:color w:val="auto"/>
        </w:rPr>
        <w:t xml:space="preserve">Para revertir el cierre financiero del proyecto en </w:t>
      </w:r>
      <w:r w:rsidR="003A2145">
        <w:rPr>
          <w:b/>
          <w:color w:val="auto"/>
        </w:rPr>
        <w:t>Quantum</w:t>
      </w:r>
      <w:r w:rsidRPr="00A81C4E">
        <w:rPr>
          <w:color w:val="auto"/>
        </w:rPr>
        <w:t xml:space="preserve"> </w:t>
      </w:r>
    </w:p>
    <w:p w14:paraId="7E069ED4" w14:textId="77777777" w:rsidR="00534C17" w:rsidRPr="00A81C4E" w:rsidRDefault="00535A47">
      <w:pPr>
        <w:spacing w:after="0" w:line="259" w:lineRule="auto"/>
        <w:ind w:left="0" w:right="0" w:firstLine="0"/>
        <w:jc w:val="left"/>
        <w:rPr>
          <w:color w:val="auto"/>
        </w:rPr>
      </w:pPr>
      <w:r w:rsidRPr="00A81C4E">
        <w:rPr>
          <w:color w:val="auto"/>
        </w:rPr>
        <w:t xml:space="preserve">  </w:t>
      </w:r>
    </w:p>
    <w:p w14:paraId="5F0821DA" w14:textId="6201684A" w:rsidR="00534C17" w:rsidRPr="00A81C4E" w:rsidRDefault="00535A47">
      <w:pPr>
        <w:numPr>
          <w:ilvl w:val="0"/>
          <w:numId w:val="1"/>
        </w:numPr>
        <w:ind w:right="0" w:hanging="360"/>
        <w:rPr>
          <w:color w:val="auto"/>
        </w:rPr>
      </w:pPr>
      <w:r w:rsidRPr="00A81C4E">
        <w:rPr>
          <w:color w:val="auto"/>
        </w:rPr>
        <w:t xml:space="preserve">Las solicitudes para revertir el estado de un proyecto cerrado financieramente en Atlas deben dirigirse al </w:t>
      </w:r>
      <w:hyperlink r:id="rId22" w:history="1">
        <w:r w:rsidR="00CD1971" w:rsidRPr="003A74F6">
          <w:rPr>
            <w:rStyle w:val="Hyperlink"/>
            <w:shd w:val="clear" w:color="auto" w:fill="FFFFFF"/>
          </w:rPr>
          <w:t>UNAll</w:t>
        </w:r>
      </w:hyperlink>
      <w:r>
        <w:t xml:space="preserve">. </w:t>
      </w:r>
      <w:r w:rsidR="00CD1971" w:rsidRPr="00CD1971">
        <w:t>Para el soporte de TI a través de UNAll, por favor utilice el servicio "</w:t>
      </w:r>
      <w:hyperlink r:id="rId23" w:history="1">
        <w:r w:rsidR="00CD1971" w:rsidRPr="00CD1971">
          <w:rPr>
            <w:rStyle w:val="Hyperlink"/>
          </w:rPr>
          <w:t>Crear Incidente</w:t>
        </w:r>
      </w:hyperlink>
      <w:r w:rsidR="00CD1971" w:rsidRPr="00CD1971">
        <w:t xml:space="preserve">" </w:t>
      </w:r>
      <w:r w:rsidR="00E31D4E">
        <w:t xml:space="preserve">(“Create Incident”, en inglés) </w:t>
      </w:r>
      <w:r w:rsidR="00CD1971" w:rsidRPr="00CD1971">
        <w:t xml:space="preserve">en </w:t>
      </w:r>
      <w:hyperlink r:id="rId24" w:history="1">
        <w:r w:rsidR="00CD1971" w:rsidRPr="00CD1971">
          <w:rPr>
            <w:rStyle w:val="Hyperlink"/>
          </w:rPr>
          <w:t>el portal de gestión de servicios UNall</w:t>
        </w:r>
      </w:hyperlink>
      <w:r w:rsidR="00CD1971" w:rsidRPr="00CD1971">
        <w:t>.</w:t>
      </w:r>
      <w:r w:rsidR="00CD1971">
        <w:t xml:space="preserve"> </w:t>
      </w:r>
      <w:r w:rsidRPr="00A81C4E">
        <w:rPr>
          <w:color w:val="auto"/>
        </w:rPr>
        <w:t xml:space="preserve">La oficina deberá proporcionar una explicación de por qué el proyecto se cerró prematuramente y por qué se debe revertir el estado del proyecto.  </w:t>
      </w:r>
    </w:p>
    <w:p w14:paraId="56078555" w14:textId="77777777" w:rsidR="00534C17" w:rsidRPr="00A81C4E" w:rsidRDefault="00535A47">
      <w:pPr>
        <w:spacing w:after="0" w:line="259" w:lineRule="auto"/>
        <w:ind w:left="0" w:right="0" w:firstLine="0"/>
        <w:jc w:val="left"/>
        <w:rPr>
          <w:color w:val="auto"/>
        </w:rPr>
      </w:pPr>
      <w:r w:rsidRPr="00A81C4E">
        <w:rPr>
          <w:color w:val="auto"/>
        </w:rPr>
        <w:t xml:space="preserve">  </w:t>
      </w:r>
    </w:p>
    <w:p w14:paraId="7992DF3F" w14:textId="29A8803E" w:rsidR="00534C17" w:rsidRPr="00A81C4E" w:rsidRDefault="00535A47">
      <w:pPr>
        <w:numPr>
          <w:ilvl w:val="0"/>
          <w:numId w:val="1"/>
        </w:numPr>
        <w:ind w:right="0" w:hanging="360"/>
        <w:rPr>
          <w:color w:val="auto"/>
        </w:rPr>
      </w:pPr>
      <w:r w:rsidRPr="00A81C4E">
        <w:rPr>
          <w:color w:val="auto"/>
        </w:rPr>
        <w:t>Si ya se informó al donante, no se debe aprobar su reapertura a menos que el Jefe de la División de Cuentas decida que el proyecto debe rea</w:t>
      </w:r>
      <w:r w:rsidR="00D41158" w:rsidRPr="00A81C4E">
        <w:rPr>
          <w:color w:val="auto"/>
        </w:rPr>
        <w:t>brirse dado que el ajuste es lo</w:t>
      </w:r>
      <w:r w:rsidR="00D41158" w:rsidRPr="00A81C4E">
        <w:rPr>
          <w:color w:val="auto"/>
        </w:rPr>
        <w:br/>
      </w:r>
      <w:r w:rsidRPr="00A81C4E">
        <w:rPr>
          <w:color w:val="auto"/>
        </w:rPr>
        <w:t xml:space="preserve">suficientemente significativo.  </w:t>
      </w:r>
    </w:p>
    <w:p w14:paraId="128B7E22" w14:textId="77777777" w:rsidR="00534C17" w:rsidRPr="002361A0" w:rsidRDefault="00535A47">
      <w:pPr>
        <w:spacing w:after="0" w:line="259" w:lineRule="auto"/>
        <w:ind w:left="0" w:right="0" w:firstLine="0"/>
        <w:jc w:val="left"/>
      </w:pPr>
      <w:r>
        <w:t xml:space="preserve">  </w:t>
      </w:r>
    </w:p>
    <w:p w14:paraId="35112FC1" w14:textId="3AD1C160" w:rsidR="00704561" w:rsidRPr="00704561" w:rsidRDefault="00535A47" w:rsidP="00704561">
      <w:pPr>
        <w:pStyle w:val="ListParagraph"/>
        <w:numPr>
          <w:ilvl w:val="0"/>
          <w:numId w:val="1"/>
        </w:numPr>
        <w:ind w:right="0"/>
        <w:rPr>
          <w:b/>
          <w:bCs/>
        </w:rPr>
      </w:pPr>
      <w:r w:rsidRPr="00A81C4E">
        <w:rPr>
          <w:color w:val="auto"/>
        </w:rPr>
        <w:t xml:space="preserve">Los proyectos cerrados financieramente deben reabrirse solo en circunstancias excepcionales. Como regla general, el proyecto debe volver a abrirse si el estado se modificó en </w:t>
      </w:r>
      <w:r w:rsidR="00DE4E1F">
        <w:rPr>
          <w:color w:val="auto"/>
        </w:rPr>
        <w:t>Quantum</w:t>
      </w:r>
      <w:r w:rsidRPr="00A81C4E">
        <w:rPr>
          <w:color w:val="auto"/>
        </w:rPr>
        <w:t xml:space="preserve"> sin un CDR firmado final y si el cargo pendiente es significativo. Sin embargo, si el CDR final está firmado por todas las partes, confirmando las cuentas y los gastos financieros finales del proyecto, entonces los cargos/créditos adicionales se deben contabilizar en la cuenta de partidas varias (véase la reglamentación financiera 126.10) y no en el proyecto. </w:t>
      </w:r>
      <w:r>
        <w:t>Cualquier cargo/crédito a la cuenta de partidas varias debe estar debidamente justificado y aprobado por el Jefe de la División de Cuentas</w:t>
      </w:r>
      <w:r w:rsidR="00C760D3">
        <w:t>.</w:t>
      </w:r>
      <w:r w:rsidR="00704561">
        <w:t xml:space="preserve"> </w:t>
      </w:r>
      <w:r w:rsidR="00704561" w:rsidRPr="00704561">
        <w:t xml:space="preserve">Las preguntas más frecuentes (FAQ, “Frequently Asked Questions”, por sus siglas en inglés) relacionadas con el motivo de la reapertura de los proyectos cerrados financieramente, el importe del saldo correcto y otra información útil se pueden encontrar en </w:t>
      </w:r>
      <w:hyperlink r:id="rId25" w:history="1">
        <w:r w:rsidR="00704561" w:rsidRPr="00704561">
          <w:rPr>
            <w:rStyle w:val="Hyperlink"/>
          </w:rPr>
          <w:t>Cierre del Proyecto SharePoint</w:t>
        </w:r>
      </w:hyperlink>
      <w:r w:rsidR="00704561" w:rsidRPr="00704561">
        <w:t>.</w:t>
      </w:r>
    </w:p>
    <w:p w14:paraId="04CC84D9" w14:textId="77777777" w:rsidR="00704561" w:rsidRDefault="00704561" w:rsidP="00C760D3">
      <w:pPr>
        <w:ind w:left="705" w:right="0" w:firstLine="0"/>
      </w:pPr>
    </w:p>
    <w:p w14:paraId="6924EF74" w14:textId="182C98A6" w:rsidR="000D3F94" w:rsidRPr="00C760D3" w:rsidRDefault="00535A47" w:rsidP="00704561">
      <w:pPr>
        <w:pStyle w:val="ListParagraph"/>
        <w:numPr>
          <w:ilvl w:val="0"/>
          <w:numId w:val="1"/>
        </w:numPr>
        <w:ind w:right="0"/>
      </w:pPr>
      <w:r>
        <w:t xml:space="preserve">La responsabilidad general del cierre del proyecto es del Gerente del Proyecto. </w:t>
      </w:r>
    </w:p>
    <w:p w14:paraId="7436725E" w14:textId="77777777" w:rsidR="00D80167" w:rsidRPr="000D3F94" w:rsidRDefault="00D80167" w:rsidP="00D80167">
      <w:pPr>
        <w:shd w:val="clear" w:color="auto" w:fill="FFFFFF"/>
        <w:spacing w:after="0" w:line="259" w:lineRule="auto"/>
        <w:ind w:left="0" w:right="0" w:firstLine="0"/>
        <w:jc w:val="left"/>
        <w:rPr>
          <w:rFonts w:eastAsia="Times New Roman" w:cs="Times New Roman"/>
          <w:color w:val="201F1E"/>
          <w:sz w:val="23"/>
          <w:szCs w:val="23"/>
        </w:rPr>
      </w:pPr>
    </w:p>
    <w:p w14:paraId="1A3F2CDC" w14:textId="77777777" w:rsidR="000D3F94" w:rsidRPr="00D80167" w:rsidRDefault="000D3F94" w:rsidP="000D3F94">
      <w:pPr>
        <w:shd w:val="clear" w:color="auto" w:fill="FFFFFF"/>
        <w:spacing w:after="0" w:line="259" w:lineRule="auto"/>
        <w:ind w:left="0" w:right="0" w:firstLine="0"/>
        <w:jc w:val="center"/>
        <w:rPr>
          <w:color w:val="262626" w:themeColor="text1" w:themeTint="D9"/>
        </w:rPr>
      </w:pPr>
    </w:p>
    <w:p w14:paraId="35E4EDB9" w14:textId="49032F6C" w:rsidR="000D3F94" w:rsidRPr="00CA26CE" w:rsidRDefault="000D3F94" w:rsidP="000D3F94">
      <w:pPr>
        <w:shd w:val="clear" w:color="auto" w:fill="FFFFFF"/>
        <w:spacing w:after="0" w:line="259" w:lineRule="auto"/>
        <w:ind w:left="0" w:right="0" w:firstLine="0"/>
        <w:jc w:val="center"/>
        <w:rPr>
          <w:rFonts w:eastAsia="Times New Roman" w:cs="Times New Roman"/>
          <w:color w:val="262626" w:themeColor="text1" w:themeTint="D9"/>
          <w:sz w:val="23"/>
          <w:szCs w:val="23"/>
          <w:lang w:val="en-US"/>
        </w:rPr>
      </w:pPr>
      <w:r w:rsidRPr="00D80167">
        <w:rPr>
          <w:i/>
          <w:iCs/>
          <w:color w:val="262626" w:themeColor="text1" w:themeTint="D9"/>
          <w:bdr w:val="none" w:sz="0" w:space="0" w:color="auto" w:frame="1"/>
          <w:lang w:val="en-US"/>
        </w:rPr>
        <w:lastRenderedPageBreak/>
        <w:t xml:space="preserve">Disclaimer: This document was translated from English into Spanish. </w:t>
      </w:r>
      <w:r w:rsidRPr="00CA26CE">
        <w:rPr>
          <w:i/>
          <w:iCs/>
          <w:color w:val="262626" w:themeColor="text1" w:themeTint="D9"/>
          <w:bdr w:val="none" w:sz="0" w:space="0" w:color="auto" w:frame="1"/>
          <w:lang w:val="en-US"/>
        </w:rPr>
        <w:t>In the event of any discrepancy between this translation and the original English document, the original English document shall prevail.</w:t>
      </w:r>
    </w:p>
    <w:p w14:paraId="2A809E90" w14:textId="77777777" w:rsidR="000D3F94" w:rsidRPr="00D80167" w:rsidRDefault="000D3F94" w:rsidP="000D3F94">
      <w:pPr>
        <w:pStyle w:val="NormalWeb"/>
        <w:shd w:val="clear" w:color="auto" w:fill="FFFFFF"/>
        <w:spacing w:before="0" w:beforeAutospacing="0" w:after="0" w:afterAutospacing="0"/>
        <w:jc w:val="center"/>
        <w:rPr>
          <w:rFonts w:ascii="Calibri" w:hAnsi="Calibri"/>
          <w:color w:val="262626" w:themeColor="text1" w:themeTint="D9"/>
          <w:sz w:val="23"/>
          <w:szCs w:val="23"/>
        </w:rPr>
      </w:pPr>
      <w:r w:rsidRPr="00D80167">
        <w:rPr>
          <w:rFonts w:ascii="Calibri" w:hAnsi="Calibri"/>
          <w:i/>
          <w:iCs/>
          <w:color w:val="262626" w:themeColor="text1" w:themeTint="D9"/>
          <w:bdr w:val="none" w:sz="0" w:space="0" w:color="auto" w:frame="1"/>
        </w:rPr>
        <w:t> </w:t>
      </w:r>
    </w:p>
    <w:p w14:paraId="234FB150" w14:textId="77777777" w:rsidR="000D3F94" w:rsidRPr="00D80167" w:rsidRDefault="000D3F94" w:rsidP="000D3F94">
      <w:pPr>
        <w:pStyle w:val="NormalWeb"/>
        <w:shd w:val="clear" w:color="auto" w:fill="FFFFFF"/>
        <w:spacing w:before="0" w:beforeAutospacing="0" w:after="0" w:afterAutospacing="0"/>
        <w:jc w:val="center"/>
        <w:rPr>
          <w:rFonts w:ascii="Calibri" w:hAnsi="Calibri"/>
          <w:color w:val="262626" w:themeColor="text1" w:themeTint="D9"/>
          <w:sz w:val="23"/>
          <w:szCs w:val="23"/>
          <w:lang w:val="es-ES_tradnl"/>
        </w:rPr>
      </w:pPr>
      <w:r w:rsidRPr="00D80167">
        <w:rPr>
          <w:rFonts w:ascii="Calibri" w:hAnsi="Calibri"/>
          <w:i/>
          <w:iCs/>
          <w:color w:val="262626" w:themeColor="text1" w:themeTint="D9"/>
          <w:bdr w:val="none" w:sz="0" w:space="0" w:color="auto" w:frame="1"/>
          <w:shd w:val="clear" w:color="auto" w:fill="FFFFFF"/>
          <w:lang w:val="es-ES_tradnl"/>
        </w:rPr>
        <w:t>Descargo de responsabilidad: esta es una traducción de un documento original en inglés. </w:t>
      </w:r>
      <w:r w:rsidRPr="00D80167">
        <w:rPr>
          <w:rFonts w:ascii="Calibri" w:hAnsi="Calibri"/>
          <w:i/>
          <w:iCs/>
          <w:color w:val="262626" w:themeColor="text1" w:themeTint="D9"/>
          <w:bdr w:val="none" w:sz="0" w:space="0" w:color="auto" w:frame="1"/>
          <w:shd w:val="clear" w:color="auto" w:fill="FFFFFF"/>
          <w:lang w:val="es-UY"/>
        </w:rPr>
        <w:t>En caso de discrepancias entre esta traducción y el documento original en inglés, prevalecerá el documento original en inglés.</w:t>
      </w:r>
    </w:p>
    <w:p w14:paraId="18B49922" w14:textId="77777777" w:rsidR="000D3F94" w:rsidRPr="000D3F94" w:rsidRDefault="000D3F94" w:rsidP="006B752C">
      <w:pPr>
        <w:spacing w:after="11509" w:line="259" w:lineRule="auto"/>
        <w:ind w:left="0" w:right="0" w:firstLine="0"/>
        <w:jc w:val="left"/>
        <w:rPr>
          <w:lang w:val="es-ES_tradnl"/>
        </w:rPr>
      </w:pPr>
    </w:p>
    <w:sectPr w:rsidR="000D3F94" w:rsidRPr="000D3F94">
      <w:headerReference w:type="even" r:id="rId26"/>
      <w:headerReference w:type="default" r:id="rId27"/>
      <w:footerReference w:type="even" r:id="rId28"/>
      <w:footerReference w:type="default" r:id="rId29"/>
      <w:headerReference w:type="first" r:id="rId30"/>
      <w:footerReference w:type="first" r:id="rId31"/>
      <w:pgSz w:w="12240" w:h="15840"/>
      <w:pgMar w:top="1483" w:right="1435" w:bottom="72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9A664" w14:textId="77777777" w:rsidR="00D67D11" w:rsidRDefault="00D67D11" w:rsidP="006B752C">
      <w:pPr>
        <w:spacing w:after="0" w:line="240" w:lineRule="auto"/>
      </w:pPr>
      <w:r>
        <w:separator/>
      </w:r>
    </w:p>
  </w:endnote>
  <w:endnote w:type="continuationSeparator" w:id="0">
    <w:p w14:paraId="61902AA2" w14:textId="77777777" w:rsidR="00D67D11" w:rsidRDefault="00D67D11" w:rsidP="006B7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roximaNova">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048D" w14:textId="77777777" w:rsidR="005B2F67" w:rsidRDefault="005B2F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0E730" w14:textId="18BB4CB5" w:rsidR="002361A0" w:rsidRDefault="002361A0">
    <w:pPr>
      <w:pStyle w:val="Footer"/>
    </w:pPr>
    <w:r>
      <w:t xml:space="preserve">Página </w:t>
    </w:r>
    <w:r>
      <w:rPr>
        <w:b/>
      </w:rPr>
      <w:fldChar w:fldCharType="begin"/>
    </w:r>
    <w:r>
      <w:rPr>
        <w:b/>
      </w:rPr>
      <w:instrText xml:space="preserve"> PAGE  \* Arabic  \* MERGEFORMAT </w:instrText>
    </w:r>
    <w:r>
      <w:rPr>
        <w:b/>
      </w:rPr>
      <w:fldChar w:fldCharType="separate"/>
    </w:r>
    <w:r w:rsidR="00A10DB5">
      <w:rPr>
        <w:b/>
        <w:noProof/>
      </w:rPr>
      <w:t>3</w:t>
    </w:r>
    <w:r>
      <w:rPr>
        <w:b/>
      </w:rPr>
      <w:fldChar w:fldCharType="end"/>
    </w:r>
    <w:r>
      <w:t xml:space="preserve"> de </w:t>
    </w:r>
    <w:r>
      <w:rPr>
        <w:b/>
      </w:rPr>
      <w:fldChar w:fldCharType="begin"/>
    </w:r>
    <w:r>
      <w:rPr>
        <w:b/>
      </w:rPr>
      <w:instrText xml:space="preserve"> NUMPAGES  \* Arabic  \* MERGEFORMAT </w:instrText>
    </w:r>
    <w:r>
      <w:rPr>
        <w:b/>
      </w:rPr>
      <w:fldChar w:fldCharType="separate"/>
    </w:r>
    <w:r w:rsidR="00A10DB5">
      <w:rPr>
        <w:b/>
        <w:noProof/>
      </w:rPr>
      <w:t>3</w:t>
    </w:r>
    <w:r>
      <w:rPr>
        <w:b/>
      </w:rPr>
      <w:fldChar w:fldCharType="end"/>
    </w:r>
    <w:r>
      <w:ptab w:relativeTo="margin" w:alignment="center" w:leader="none"/>
    </w:r>
    <w:r>
      <w:t xml:space="preserve">Fecha de entrada en vigor: </w:t>
    </w:r>
    <w:r w:rsidR="005B2F67">
      <w:rPr>
        <w:rFonts w:ascii="ProximaNova" w:hAnsi="ProximaNova"/>
        <w:color w:val="000000"/>
      </w:rPr>
      <w:t>25/07/2016</w:t>
    </w:r>
    <w:r>
      <w:ptab w:relativeTo="margin" w:alignment="right" w:leader="none"/>
    </w:r>
    <w:r>
      <w:t xml:space="preserve">Versión #: </w:t>
    </w:r>
    <w:sdt>
      <w:sdtPr>
        <w:alias w:val="POPPRefItemVersion"/>
        <w:tag w:val="UNDP_POPP_REFITEM_VERSION"/>
        <w:id w:val="-678350975"/>
        <w:placeholder>
          <w:docPart w:val="082CFBDD1EE94CA5B56083A373FA90E9"/>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29E3F7AE-19AE-4643-9FAE-4FA1C7782439}"/>
        <w:text/>
      </w:sdtPr>
      <w:sdtContent>
        <w:r w:rsidR="00BB439B">
          <w:t>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174C2" w14:textId="77777777" w:rsidR="005B2F67" w:rsidRDefault="005B2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72E74" w14:textId="77777777" w:rsidR="00D67D11" w:rsidRDefault="00D67D11" w:rsidP="006B752C">
      <w:pPr>
        <w:spacing w:after="0" w:line="240" w:lineRule="auto"/>
      </w:pPr>
      <w:r>
        <w:separator/>
      </w:r>
    </w:p>
  </w:footnote>
  <w:footnote w:type="continuationSeparator" w:id="0">
    <w:p w14:paraId="74B114AF" w14:textId="77777777" w:rsidR="00D67D11" w:rsidRDefault="00D67D11" w:rsidP="006B7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63D3A" w14:textId="77777777" w:rsidR="005B2F67" w:rsidRDefault="005B2F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C4D61" w14:textId="77CA25BA" w:rsidR="006B752C" w:rsidRDefault="00E568A1" w:rsidP="006B752C">
    <w:pPr>
      <w:pStyle w:val="Header"/>
      <w:jc w:val="right"/>
    </w:pPr>
    <w:r>
      <w:rPr>
        <w:noProof/>
      </w:rPr>
      <w:drawing>
        <wp:inline distT="0" distB="0" distL="0" distR="0" wp14:anchorId="07232023" wp14:editId="69948274">
          <wp:extent cx="293370" cy="578485"/>
          <wp:effectExtent l="0" t="0" r="0" b="0"/>
          <wp:docPr id="28897184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97184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554" b="17704"/>
                  <a:stretch/>
                </pic:blipFill>
                <pic:spPr bwMode="auto">
                  <a:xfrm>
                    <a:off x="0" y="0"/>
                    <a:ext cx="293370" cy="57848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0430A" w14:textId="77777777" w:rsidR="005B2F67" w:rsidRDefault="005B2F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65B3B"/>
    <w:multiLevelType w:val="hybridMultilevel"/>
    <w:tmpl w:val="684E0864"/>
    <w:lvl w:ilvl="0" w:tplc="25467B82">
      <w:start w:val="1"/>
      <w:numFmt w:val="decimal"/>
      <w:lvlText w:val="%1."/>
      <w:lvlJc w:val="left"/>
      <w:pPr>
        <w:ind w:left="270"/>
      </w:pPr>
      <w:rPr>
        <w:rFonts w:ascii="Calibri" w:eastAsia="Calibri" w:hAnsi="Calibri" w:cs="Calibri"/>
        <w:b w:val="0"/>
        <w:i w:val="0"/>
        <w:strike w:val="0"/>
        <w:dstrike w:val="0"/>
        <w:color w:val="auto"/>
        <w:sz w:val="22"/>
        <w:szCs w:val="22"/>
        <w:u w:val="none" w:color="000000"/>
        <w:bdr w:val="none" w:sz="0" w:space="0" w:color="auto"/>
        <w:shd w:val="clear" w:color="auto" w:fill="auto"/>
        <w:vertAlign w:val="baseline"/>
        <w:lang w:val="es-AR"/>
      </w:rPr>
    </w:lvl>
    <w:lvl w:ilvl="1" w:tplc="97FE96AC">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DFEC1C48">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6D84CA62">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920ECE40">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FE06CC78">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C652BE20">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76366798">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B4467782">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 w15:restartNumberingAfterBreak="0">
    <w:nsid w:val="15E64528"/>
    <w:multiLevelType w:val="hybridMultilevel"/>
    <w:tmpl w:val="A89255F6"/>
    <w:lvl w:ilvl="0" w:tplc="269CA232">
      <w:start w:val="1"/>
      <w:numFmt w:val="decimal"/>
      <w:lvlText w:val="%1"/>
      <w:lvlJc w:val="left"/>
      <w:pPr>
        <w:ind w:left="3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04A6B490">
      <w:start w:val="1"/>
      <w:numFmt w:val="lowerLetter"/>
      <w:lvlRestart w:val="0"/>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87346D66">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576C4B84">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84E6EDE2">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A1D04E28">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B2D8B3DE">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ED3E0146">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1EDAEE80">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2" w15:restartNumberingAfterBreak="0">
    <w:nsid w:val="1F937B9D"/>
    <w:multiLevelType w:val="hybridMultilevel"/>
    <w:tmpl w:val="F71CB38C"/>
    <w:lvl w:ilvl="0" w:tplc="269CA232">
      <w:start w:val="1"/>
      <w:numFmt w:val="decimal"/>
      <w:lvlText w:val="%1"/>
      <w:lvlJc w:val="left"/>
      <w:pPr>
        <w:ind w:left="106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04090019">
      <w:start w:val="1"/>
      <w:numFmt w:val="lowerLetter"/>
      <w:lvlText w:val="%2."/>
      <w:lvlJc w:val="left"/>
      <w:pPr>
        <w:ind w:left="2145"/>
      </w:pPr>
      <w:rPr>
        <w:b w:val="0"/>
        <w:i w:val="0"/>
        <w:strike w:val="0"/>
        <w:dstrike w:val="0"/>
        <w:color w:val="333333"/>
        <w:sz w:val="22"/>
        <w:szCs w:val="22"/>
        <w:u w:val="none" w:color="000000"/>
        <w:bdr w:val="none" w:sz="0" w:space="0" w:color="auto"/>
        <w:shd w:val="clear" w:color="auto" w:fill="auto"/>
        <w:vertAlign w:val="baseline"/>
      </w:rPr>
    </w:lvl>
    <w:lvl w:ilvl="2" w:tplc="87346D66">
      <w:start w:val="1"/>
      <w:numFmt w:val="lowerRoman"/>
      <w:lvlText w:val="%3"/>
      <w:lvlJc w:val="left"/>
      <w:pPr>
        <w:ind w:left="286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576C4B84">
      <w:start w:val="1"/>
      <w:numFmt w:val="decimal"/>
      <w:lvlText w:val="%4"/>
      <w:lvlJc w:val="left"/>
      <w:pPr>
        <w:ind w:left="358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84E6EDE2">
      <w:start w:val="1"/>
      <w:numFmt w:val="lowerLetter"/>
      <w:lvlText w:val="%5"/>
      <w:lvlJc w:val="left"/>
      <w:pPr>
        <w:ind w:left="43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A1D04E28">
      <w:start w:val="1"/>
      <w:numFmt w:val="lowerRoman"/>
      <w:lvlText w:val="%6"/>
      <w:lvlJc w:val="left"/>
      <w:pPr>
        <w:ind w:left="502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B2D8B3DE">
      <w:start w:val="1"/>
      <w:numFmt w:val="decimal"/>
      <w:lvlText w:val="%7"/>
      <w:lvlJc w:val="left"/>
      <w:pPr>
        <w:ind w:left="574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ED3E0146">
      <w:start w:val="1"/>
      <w:numFmt w:val="lowerLetter"/>
      <w:lvlText w:val="%8"/>
      <w:lvlJc w:val="left"/>
      <w:pPr>
        <w:ind w:left="646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1EDAEE80">
      <w:start w:val="1"/>
      <w:numFmt w:val="lowerRoman"/>
      <w:lvlText w:val="%9"/>
      <w:lvlJc w:val="left"/>
      <w:pPr>
        <w:ind w:left="718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3" w15:restartNumberingAfterBreak="0">
    <w:nsid w:val="26206200"/>
    <w:multiLevelType w:val="hybridMultilevel"/>
    <w:tmpl w:val="BD283F1E"/>
    <w:lvl w:ilvl="0" w:tplc="F704FE12">
      <w:start w:val="1"/>
      <w:numFmt w:val="decimal"/>
      <w:lvlText w:val="%1"/>
      <w:lvlJc w:val="left"/>
      <w:pPr>
        <w:ind w:left="3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81D085A6">
      <w:start w:val="1"/>
      <w:numFmt w:val="lowerLetter"/>
      <w:lvlRestart w:val="0"/>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CCAC9A56">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4268EF9C">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B544A45A">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B1AE0108">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EBFE11B8">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305A5BAA">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E87A3BEC">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4" w15:restartNumberingAfterBreak="0">
    <w:nsid w:val="30091324"/>
    <w:multiLevelType w:val="hybridMultilevel"/>
    <w:tmpl w:val="E31C34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4F7333"/>
    <w:multiLevelType w:val="hybridMultilevel"/>
    <w:tmpl w:val="72824ED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3131B5C"/>
    <w:multiLevelType w:val="hybridMultilevel"/>
    <w:tmpl w:val="790431AC"/>
    <w:lvl w:ilvl="0" w:tplc="F704FE12">
      <w:start w:val="1"/>
      <w:numFmt w:val="decimal"/>
      <w:lvlText w:val="%1"/>
      <w:lvlJc w:val="left"/>
      <w:pPr>
        <w:ind w:left="3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04090019">
      <w:start w:val="1"/>
      <w:numFmt w:val="lowerLetter"/>
      <w:lvlText w:val="%2."/>
      <w:lvlJc w:val="left"/>
      <w:pPr>
        <w:ind w:left="1440"/>
      </w:pPr>
      <w:rPr>
        <w:b w:val="0"/>
        <w:i w:val="0"/>
        <w:strike w:val="0"/>
        <w:dstrike w:val="0"/>
        <w:color w:val="333333"/>
        <w:sz w:val="22"/>
        <w:szCs w:val="22"/>
        <w:u w:val="none" w:color="000000"/>
        <w:bdr w:val="none" w:sz="0" w:space="0" w:color="auto"/>
        <w:shd w:val="clear" w:color="auto" w:fill="auto"/>
        <w:vertAlign w:val="baseline"/>
      </w:rPr>
    </w:lvl>
    <w:lvl w:ilvl="2" w:tplc="CCAC9A56">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4268EF9C">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B544A45A">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B1AE0108">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EBFE11B8">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305A5BAA">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E87A3BEC">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num w:numId="1" w16cid:durableId="76176178">
    <w:abstractNumId w:val="0"/>
  </w:num>
  <w:num w:numId="2" w16cid:durableId="2065132053">
    <w:abstractNumId w:val="1"/>
  </w:num>
  <w:num w:numId="3" w16cid:durableId="933321277">
    <w:abstractNumId w:val="3"/>
  </w:num>
  <w:num w:numId="4" w16cid:durableId="2058971564">
    <w:abstractNumId w:val="6"/>
  </w:num>
  <w:num w:numId="5" w16cid:durableId="2026590915">
    <w:abstractNumId w:val="5"/>
  </w:num>
  <w:num w:numId="6" w16cid:durableId="497578529">
    <w:abstractNumId w:val="2"/>
  </w:num>
  <w:num w:numId="7" w16cid:durableId="4254223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17"/>
    <w:rsid w:val="00022623"/>
    <w:rsid w:val="00034199"/>
    <w:rsid w:val="00035C09"/>
    <w:rsid w:val="00076976"/>
    <w:rsid w:val="0008125E"/>
    <w:rsid w:val="000B57C4"/>
    <w:rsid w:val="000D3F94"/>
    <w:rsid w:val="00133175"/>
    <w:rsid w:val="001441EC"/>
    <w:rsid w:val="00156B8B"/>
    <w:rsid w:val="001B486C"/>
    <w:rsid w:val="00223952"/>
    <w:rsid w:val="002361A0"/>
    <w:rsid w:val="002D2C86"/>
    <w:rsid w:val="003A2145"/>
    <w:rsid w:val="0044086F"/>
    <w:rsid w:val="00474117"/>
    <w:rsid w:val="0048188D"/>
    <w:rsid w:val="00490508"/>
    <w:rsid w:val="004C0823"/>
    <w:rsid w:val="004D0EB2"/>
    <w:rsid w:val="004E017C"/>
    <w:rsid w:val="004E2076"/>
    <w:rsid w:val="004E4F64"/>
    <w:rsid w:val="004E562A"/>
    <w:rsid w:val="00534C17"/>
    <w:rsid w:val="00535A47"/>
    <w:rsid w:val="005479C2"/>
    <w:rsid w:val="005570B5"/>
    <w:rsid w:val="00591E89"/>
    <w:rsid w:val="005B2F67"/>
    <w:rsid w:val="005D1903"/>
    <w:rsid w:val="005E26D6"/>
    <w:rsid w:val="005F2030"/>
    <w:rsid w:val="006137FA"/>
    <w:rsid w:val="006B752C"/>
    <w:rsid w:val="006C3E4D"/>
    <w:rsid w:val="00704561"/>
    <w:rsid w:val="00706A83"/>
    <w:rsid w:val="00713CF5"/>
    <w:rsid w:val="0079498A"/>
    <w:rsid w:val="007A5E13"/>
    <w:rsid w:val="007F6954"/>
    <w:rsid w:val="008470D8"/>
    <w:rsid w:val="008726F9"/>
    <w:rsid w:val="00884AD5"/>
    <w:rsid w:val="008B1BB1"/>
    <w:rsid w:val="008E6167"/>
    <w:rsid w:val="008F1389"/>
    <w:rsid w:val="00913744"/>
    <w:rsid w:val="009D5B48"/>
    <w:rsid w:val="00A10DB5"/>
    <w:rsid w:val="00A14758"/>
    <w:rsid w:val="00A22EBB"/>
    <w:rsid w:val="00A661E9"/>
    <w:rsid w:val="00A81C4E"/>
    <w:rsid w:val="00AE08ED"/>
    <w:rsid w:val="00B83EBC"/>
    <w:rsid w:val="00B84DDE"/>
    <w:rsid w:val="00BB439B"/>
    <w:rsid w:val="00BD2E59"/>
    <w:rsid w:val="00C36297"/>
    <w:rsid w:val="00C45BE9"/>
    <w:rsid w:val="00C760D3"/>
    <w:rsid w:val="00CA26CE"/>
    <w:rsid w:val="00CD1971"/>
    <w:rsid w:val="00D20069"/>
    <w:rsid w:val="00D41158"/>
    <w:rsid w:val="00D57CF2"/>
    <w:rsid w:val="00D67D11"/>
    <w:rsid w:val="00D80167"/>
    <w:rsid w:val="00D9126C"/>
    <w:rsid w:val="00DE4E1F"/>
    <w:rsid w:val="00DF183F"/>
    <w:rsid w:val="00E11C6A"/>
    <w:rsid w:val="00E31D4E"/>
    <w:rsid w:val="00E33D64"/>
    <w:rsid w:val="00E54090"/>
    <w:rsid w:val="00E568A1"/>
    <w:rsid w:val="00E76F95"/>
    <w:rsid w:val="00EA4962"/>
    <w:rsid w:val="00F17166"/>
    <w:rsid w:val="00F4472E"/>
    <w:rsid w:val="00F51247"/>
    <w:rsid w:val="00F52DB1"/>
    <w:rsid w:val="00F77401"/>
    <w:rsid w:val="00F80DF7"/>
    <w:rsid w:val="00FE63CB"/>
    <w:rsid w:val="00FF7A84"/>
    <w:rsid w:val="05552B77"/>
    <w:rsid w:val="05B2D2E6"/>
    <w:rsid w:val="068DD5A9"/>
    <w:rsid w:val="0D52FF6B"/>
    <w:rsid w:val="0E125E47"/>
    <w:rsid w:val="0E446470"/>
    <w:rsid w:val="172195AF"/>
    <w:rsid w:val="1A850964"/>
    <w:rsid w:val="1C6D563A"/>
    <w:rsid w:val="1D092D94"/>
    <w:rsid w:val="2364487F"/>
    <w:rsid w:val="25103FE8"/>
    <w:rsid w:val="275405EF"/>
    <w:rsid w:val="2BB286B8"/>
    <w:rsid w:val="34C2C019"/>
    <w:rsid w:val="3672F7EB"/>
    <w:rsid w:val="36EE5F34"/>
    <w:rsid w:val="3B5770C0"/>
    <w:rsid w:val="3C48DD45"/>
    <w:rsid w:val="3EC062A4"/>
    <w:rsid w:val="3EDB1EB8"/>
    <w:rsid w:val="402D6086"/>
    <w:rsid w:val="404C94BE"/>
    <w:rsid w:val="4188AD46"/>
    <w:rsid w:val="423B0E0B"/>
    <w:rsid w:val="440A8E06"/>
    <w:rsid w:val="492C87F7"/>
    <w:rsid w:val="4B2C59E3"/>
    <w:rsid w:val="516F6D54"/>
    <w:rsid w:val="5204EB12"/>
    <w:rsid w:val="5492D9EE"/>
    <w:rsid w:val="56BEF252"/>
    <w:rsid w:val="585277FC"/>
    <w:rsid w:val="5963EE62"/>
    <w:rsid w:val="5ACB7AE3"/>
    <w:rsid w:val="5CC5E145"/>
    <w:rsid w:val="5DECB993"/>
    <w:rsid w:val="5EF50532"/>
    <w:rsid w:val="6494E287"/>
    <w:rsid w:val="65AD4B6F"/>
    <w:rsid w:val="6600764E"/>
    <w:rsid w:val="67024411"/>
    <w:rsid w:val="6A0CBD59"/>
    <w:rsid w:val="6B8F37E4"/>
    <w:rsid w:val="6D064067"/>
    <w:rsid w:val="6E3E5C96"/>
    <w:rsid w:val="6E8EDFF1"/>
    <w:rsid w:val="74266693"/>
    <w:rsid w:val="77291D48"/>
    <w:rsid w:val="7C923689"/>
    <w:rsid w:val="7CDD6DE8"/>
    <w:rsid w:val="7DCA5D0C"/>
    <w:rsid w:val="7E10637C"/>
    <w:rsid w:val="7ECFC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847DF"/>
  <w15:docId w15:val="{A6D564F8-CC87-4E10-B894-7A692441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right="2" w:hanging="370"/>
      <w:jc w:val="both"/>
    </w:pPr>
    <w:rPr>
      <w:rFonts w:ascii="Calibri" w:eastAsia="Calibri" w:hAnsi="Calibri" w:cs="Calibri"/>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5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52C"/>
    <w:rPr>
      <w:rFonts w:ascii="Calibri" w:eastAsia="Calibri" w:hAnsi="Calibri" w:cs="Calibri"/>
      <w:color w:val="333333"/>
    </w:rPr>
  </w:style>
  <w:style w:type="paragraph" w:styleId="Footer">
    <w:name w:val="footer"/>
    <w:basedOn w:val="Normal"/>
    <w:link w:val="FooterChar"/>
    <w:uiPriority w:val="99"/>
    <w:unhideWhenUsed/>
    <w:rsid w:val="006B75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52C"/>
    <w:rPr>
      <w:rFonts w:ascii="Calibri" w:eastAsia="Calibri" w:hAnsi="Calibri" w:cs="Calibri"/>
      <w:color w:val="333333"/>
    </w:rPr>
  </w:style>
  <w:style w:type="character" w:styleId="PlaceholderText">
    <w:name w:val="Placeholder Text"/>
    <w:basedOn w:val="DefaultParagraphFont"/>
    <w:uiPriority w:val="99"/>
    <w:semiHidden/>
    <w:rsid w:val="006B752C"/>
    <w:rPr>
      <w:color w:val="808080"/>
    </w:rPr>
  </w:style>
  <w:style w:type="paragraph" w:styleId="ListParagraph">
    <w:name w:val="List Paragraph"/>
    <w:basedOn w:val="Normal"/>
    <w:uiPriority w:val="34"/>
    <w:qFormat/>
    <w:rsid w:val="008B1BB1"/>
    <w:pPr>
      <w:ind w:left="720"/>
      <w:contextualSpacing/>
    </w:pPr>
  </w:style>
  <w:style w:type="paragraph" w:styleId="BalloonText">
    <w:name w:val="Balloon Text"/>
    <w:basedOn w:val="Normal"/>
    <w:link w:val="BalloonTextChar"/>
    <w:uiPriority w:val="99"/>
    <w:semiHidden/>
    <w:unhideWhenUsed/>
    <w:rsid w:val="00236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1A0"/>
    <w:rPr>
      <w:rFonts w:ascii="Tahoma" w:eastAsia="Calibri" w:hAnsi="Tahoma" w:cs="Tahoma"/>
      <w:color w:val="333333"/>
      <w:sz w:val="16"/>
      <w:szCs w:val="16"/>
    </w:rPr>
  </w:style>
  <w:style w:type="character" w:styleId="Hyperlink">
    <w:name w:val="Hyperlink"/>
    <w:basedOn w:val="DefaultParagraphFont"/>
    <w:uiPriority w:val="99"/>
    <w:unhideWhenUsed/>
    <w:rsid w:val="00FF7A84"/>
    <w:rPr>
      <w:color w:val="0563C1" w:themeColor="hyperlink"/>
      <w:u w:val="single"/>
    </w:rPr>
  </w:style>
  <w:style w:type="character" w:styleId="FollowedHyperlink">
    <w:name w:val="FollowedHyperlink"/>
    <w:basedOn w:val="DefaultParagraphFont"/>
    <w:uiPriority w:val="99"/>
    <w:semiHidden/>
    <w:unhideWhenUsed/>
    <w:rsid w:val="00FF7A84"/>
    <w:rPr>
      <w:color w:val="954F72" w:themeColor="followedHyperlink"/>
      <w:u w:val="single"/>
    </w:rPr>
  </w:style>
  <w:style w:type="paragraph" w:styleId="NormalWeb">
    <w:name w:val="Normal (Web)"/>
    <w:basedOn w:val="Normal"/>
    <w:uiPriority w:val="99"/>
    <w:semiHidden/>
    <w:unhideWhenUsed/>
    <w:rsid w:val="000D3F94"/>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eastAsia="en-US"/>
    </w:rPr>
  </w:style>
  <w:style w:type="character" w:styleId="CommentReference">
    <w:name w:val="annotation reference"/>
    <w:basedOn w:val="DefaultParagraphFont"/>
    <w:uiPriority w:val="99"/>
    <w:semiHidden/>
    <w:unhideWhenUsed/>
    <w:rsid w:val="004D0EB2"/>
    <w:rPr>
      <w:sz w:val="16"/>
      <w:szCs w:val="16"/>
    </w:rPr>
  </w:style>
  <w:style w:type="paragraph" w:styleId="CommentText">
    <w:name w:val="annotation text"/>
    <w:basedOn w:val="Normal"/>
    <w:link w:val="CommentTextChar"/>
    <w:uiPriority w:val="99"/>
    <w:semiHidden/>
    <w:unhideWhenUsed/>
    <w:rsid w:val="004D0EB2"/>
    <w:pPr>
      <w:spacing w:line="240" w:lineRule="auto"/>
    </w:pPr>
    <w:rPr>
      <w:sz w:val="20"/>
      <w:szCs w:val="20"/>
    </w:rPr>
  </w:style>
  <w:style w:type="character" w:customStyle="1" w:styleId="CommentTextChar">
    <w:name w:val="Comment Text Char"/>
    <w:basedOn w:val="DefaultParagraphFont"/>
    <w:link w:val="CommentText"/>
    <w:uiPriority w:val="99"/>
    <w:semiHidden/>
    <w:rsid w:val="004D0EB2"/>
    <w:rPr>
      <w:rFonts w:ascii="Calibri" w:eastAsia="Calibri" w:hAnsi="Calibri" w:cs="Calibri"/>
      <w:color w:val="333333"/>
      <w:sz w:val="20"/>
      <w:szCs w:val="20"/>
    </w:rPr>
  </w:style>
  <w:style w:type="paragraph" w:styleId="CommentSubject">
    <w:name w:val="annotation subject"/>
    <w:basedOn w:val="CommentText"/>
    <w:next w:val="CommentText"/>
    <w:link w:val="CommentSubjectChar"/>
    <w:uiPriority w:val="99"/>
    <w:semiHidden/>
    <w:unhideWhenUsed/>
    <w:rsid w:val="004D0EB2"/>
    <w:rPr>
      <w:b/>
      <w:bCs/>
    </w:rPr>
  </w:style>
  <w:style w:type="character" w:customStyle="1" w:styleId="CommentSubjectChar">
    <w:name w:val="Comment Subject Char"/>
    <w:basedOn w:val="CommentTextChar"/>
    <w:link w:val="CommentSubject"/>
    <w:uiPriority w:val="99"/>
    <w:semiHidden/>
    <w:rsid w:val="004D0EB2"/>
    <w:rPr>
      <w:rFonts w:ascii="Calibri" w:eastAsia="Calibri" w:hAnsi="Calibri" w:cs="Calibri"/>
      <w:b/>
      <w:bCs/>
      <w:color w:val="333333"/>
      <w:sz w:val="20"/>
      <w:szCs w:val="20"/>
    </w:rPr>
  </w:style>
  <w:style w:type="character" w:styleId="UnresolvedMention">
    <w:name w:val="Unresolved Mention"/>
    <w:basedOn w:val="DefaultParagraphFont"/>
    <w:uiPriority w:val="99"/>
    <w:semiHidden/>
    <w:unhideWhenUsed/>
    <w:rsid w:val="00704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389812">
      <w:bodyDiv w:val="1"/>
      <w:marLeft w:val="0"/>
      <w:marRight w:val="0"/>
      <w:marTop w:val="0"/>
      <w:marBottom w:val="0"/>
      <w:divBdr>
        <w:top w:val="none" w:sz="0" w:space="0" w:color="auto"/>
        <w:left w:val="none" w:sz="0" w:space="0" w:color="auto"/>
        <w:bottom w:val="none" w:sz="0" w:space="0" w:color="auto"/>
        <w:right w:val="none" w:sz="0" w:space="0" w:color="auto"/>
      </w:divBdr>
    </w:div>
    <w:div w:id="1195773268">
      <w:bodyDiv w:val="1"/>
      <w:marLeft w:val="0"/>
      <w:marRight w:val="0"/>
      <w:marTop w:val="0"/>
      <w:marBottom w:val="0"/>
      <w:divBdr>
        <w:top w:val="none" w:sz="0" w:space="0" w:color="auto"/>
        <w:left w:val="none" w:sz="0" w:space="0" w:color="auto"/>
        <w:bottom w:val="none" w:sz="0" w:space="0" w:color="auto"/>
        <w:right w:val="none" w:sz="0" w:space="0" w:color="auto"/>
      </w:divBdr>
    </w:div>
    <w:div w:id="1708018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opp.undp.org/es/taxonomy/term/36" TargetMode="External"/><Relationship Id="rId18" Type="http://schemas.openxmlformats.org/officeDocument/2006/relationships/hyperlink" Target="https://popp.undp.org/node/11156"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popp.undp.org/document/operating-guidelines-mptf-projects-implemented-undp-country-offices"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popp.undp.org/es/pagina-de-politica/cierre-y-transicion" TargetMode="External"/><Relationship Id="rId17" Type="http://schemas.openxmlformats.org/officeDocument/2006/relationships/hyperlink" Target="https://popp.undp.org/SitePages/POPPSubject.aspx?SBJID=127&amp;Menu=BusinessUnit" TargetMode="External"/><Relationship Id="rId25" Type="http://schemas.openxmlformats.org/officeDocument/2006/relationships/hyperlink" Target="https://undp.sharepoint.com/teams/OFRM_Archive/fbp/fbat/SitePages/ProjectClosure.aspx"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popp.undp.org/es/node/11431" TargetMode="External"/><Relationship Id="rId20" Type="http://schemas.openxmlformats.org/officeDocument/2006/relationships/hyperlink" Target="https://popp.undp.org/es/pagina-de-politica/gestion-intermediada-de-los-fondos-el-pnud-como-organizacion-de-las-nacione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undp.service-now.com/unall"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popp.undp.org/node/3551" TargetMode="External"/><Relationship Id="rId23" Type="http://schemas.openxmlformats.org/officeDocument/2006/relationships/hyperlink" Target="http://undp.service-now.com/unall"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popp.undp.org/node/11156"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SitePages/POPPBSUnit.aspx?TermID=dea4c69a-7909-43f6-8de1-50c95d5a9f3f&amp;Menu=BusinessUnit" TargetMode="External"/><Relationship Id="rId22" Type="http://schemas.openxmlformats.org/officeDocument/2006/relationships/hyperlink" Target="http://undp.service-now.com/unall"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2CFBDD1EE94CA5B56083A373FA90E9"/>
        <w:category>
          <w:name w:val="General"/>
          <w:gallery w:val="placeholder"/>
        </w:category>
        <w:types>
          <w:type w:val="bbPlcHdr"/>
        </w:types>
        <w:behaviors>
          <w:behavior w:val="content"/>
        </w:behaviors>
        <w:guid w:val="{B27BFC97-C032-4553-81AD-942EBAF8E6BF}"/>
      </w:docPartPr>
      <w:docPartBody>
        <w:p w:rsidR="00CD5D02" w:rsidRDefault="00E54090">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roximaNova">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151D"/>
    <w:rsid w:val="00125B43"/>
    <w:rsid w:val="001C1316"/>
    <w:rsid w:val="001C4BDB"/>
    <w:rsid w:val="002210D0"/>
    <w:rsid w:val="0042747B"/>
    <w:rsid w:val="006C709E"/>
    <w:rsid w:val="006D2E4D"/>
    <w:rsid w:val="00704E87"/>
    <w:rsid w:val="00BF5D3C"/>
    <w:rsid w:val="00C116E1"/>
    <w:rsid w:val="00C706B2"/>
    <w:rsid w:val="00CA301B"/>
    <w:rsid w:val="00CD5D02"/>
    <w:rsid w:val="00D60FCF"/>
    <w:rsid w:val="00D729A8"/>
    <w:rsid w:val="00DB6751"/>
    <w:rsid w:val="00E5151D"/>
    <w:rsid w:val="00E54090"/>
    <w:rsid w:val="00E93F3C"/>
    <w:rsid w:val="00F76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BAD5A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409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ocation xmlns="e560140e-7b2f-4392-90df-e7567e3021a3">Public</Location>
    <UNDP_POPP_NOTE xmlns="8264c5cc-ec60-4b56-8111-ce635d3d139a" xsi:nil="true"/>
    <TaxCatchAll xmlns="8264c5cc-ec60-4b56-8111-ce635d3d139a">
      <Value>350</Value>
    </TaxCatchAll>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2020-09-30T22:00:00+00:00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Cierre financiero de proyectos de desarrollo</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1536</UNDP_POPP_FILEVERSION>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POPP-11-3160</_dlc_DocId>
    <_dlc_DocIdUrl xmlns="8264c5cc-ec60-4b56-8111-ce635d3d139a">
      <Url>https://popp.undp.org/_layouts/15/DocIdRedir.aspx?ID=POPP-11-3160</Url>
      <Description>POPP-11-3160</Description>
    </_dlc_DocIdUrl>
    <UNDP_POPP_REFITEM_VERSION xmlns="8264c5cc-ec60-4b56-8111-ce635d3d139a">4</UNDP_POPP_REFITEM_VERSION>
    <DLCPolicyLabelLock xmlns="e560140e-7b2f-4392-90df-e7567e3021a3" xsi:nil="true"/>
    <DLCPolicyLabelClientValue xmlns="e560140e-7b2f-4392-90df-e7567e3021a3">Effective Date: 01/10/2020                                                Version #: 4.0</DLCPolicyLabelClientValue>
    <UNDP_POPP_LASTMODIFIED xmlns="8264c5cc-ec60-4b56-8111-ce635d3d139a" xsi:nil="true"/>
    <DLCPolicyLabelValue xmlns="e560140e-7b2f-4392-90df-e7567e3021a3">Effective Date: 01/10/2020                                                Version #: 4.0</DLCPolicyLabelValue>
    <UNDP_POPP_REJECT_COMMENTS xmlns="8264c5cc-ec60-4b56-8111-ce635d3d139a" xsi:nil="true"/>
    <POPPIsArchived xmlns="e560140e-7b2f-4392-90df-e7567e3021a3">false</POPPIsArchived>
  </documentManagement>
</p:properties>
</file>

<file path=customXml/itemProps1.xml><?xml version="1.0" encoding="utf-8"?>
<ds:datastoreItem xmlns:ds="http://schemas.openxmlformats.org/officeDocument/2006/customXml" ds:itemID="{13659578-6468-40AD-9528-2F65ED950F6E}">
  <ds:schemaRefs>
    <ds:schemaRef ds:uri="http://schemas.microsoft.com/sharepoint/v3/contenttype/forms"/>
  </ds:schemaRefs>
</ds:datastoreItem>
</file>

<file path=customXml/itemProps2.xml><?xml version="1.0" encoding="utf-8"?>
<ds:datastoreItem xmlns:ds="http://schemas.openxmlformats.org/officeDocument/2006/customXml" ds:itemID="{C564CD59-E0F2-4CF1-ACF1-F4049A0B178F}">
  <ds:schemaRefs>
    <ds:schemaRef ds:uri="office.server.policy"/>
  </ds:schemaRefs>
</ds:datastoreItem>
</file>

<file path=customXml/itemProps3.xml><?xml version="1.0" encoding="utf-8"?>
<ds:datastoreItem xmlns:ds="http://schemas.openxmlformats.org/officeDocument/2006/customXml" ds:itemID="{8EFC05CB-DD9D-4381-A219-DBB7FA331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9A9382-AFD3-4C55-848C-82F446A6873D}">
  <ds:schemaRefs>
    <ds:schemaRef ds:uri="http://schemas.microsoft.com/sharepoint/events"/>
  </ds:schemaRefs>
</ds:datastoreItem>
</file>

<file path=customXml/itemProps5.xml><?xml version="1.0" encoding="utf-8"?>
<ds:datastoreItem xmlns:ds="http://schemas.openxmlformats.org/officeDocument/2006/customXml" ds:itemID="{29E3F7AE-19AE-4643-9FAE-4FA1C7782439}">
  <ds:schemaRefs>
    <ds:schemaRef ds:uri="http://schemas.microsoft.com/office/2006/metadata/properties"/>
    <ds:schemaRef ds:uri="http://schemas.microsoft.com/office/infopath/2007/PartnerControls"/>
    <ds:schemaRef ds:uri="e560140e-7b2f-4392-90df-e7567e3021a3"/>
    <ds:schemaRef ds:uri="8264c5cc-ec60-4b56-8111-ce635d3d139a"/>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4</Pages>
  <Words>1617</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Hideko Hadzialic</dc:creator>
  <cp:keywords/>
  <cp:lastModifiedBy>Pablo Morete</cp:lastModifiedBy>
  <cp:revision>24</cp:revision>
  <dcterms:created xsi:type="dcterms:W3CDTF">2023-08-10T12:44:00Z</dcterms:created>
  <dcterms:modified xsi:type="dcterms:W3CDTF">2023-11-07T15:29:00Z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0f41fb18-7541-4f8a-90f5-248a1a60b7c2</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ies>
</file>