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2615E" w14:textId="77777777" w:rsidR="00EA3D75" w:rsidRPr="00F12C3C" w:rsidRDefault="00EA3D75" w:rsidP="00EA3D75">
      <w:pPr>
        <w:shd w:val="clear" w:color="auto" w:fill="FFFFFF"/>
        <w:spacing w:line="240" w:lineRule="auto"/>
        <w:textAlignment w:val="top"/>
        <w:rPr>
          <w:rFonts w:eastAsia="Times New Roman" w:cstheme="minorHAnsi"/>
          <w:b/>
          <w:bCs/>
          <w:sz w:val="28"/>
          <w:szCs w:val="28"/>
        </w:rPr>
      </w:pPr>
      <w:bookmarkStart w:id="0" w:name="RecordRetentionDataSecurityandContingenc"/>
      <w:r>
        <w:rPr>
          <w:rFonts w:cstheme="minorHAnsi"/>
          <w:b/>
          <w:sz w:val="28"/>
        </w:rPr>
        <w:t xml:space="preserve">Conservación de Documentos, Protección de Datos e Imprevistos </w:t>
      </w:r>
      <w:bookmarkEnd w:id="0"/>
    </w:p>
    <w:p w14:paraId="125E3562" w14:textId="77777777" w:rsidR="000235C0" w:rsidRPr="00F12C3C" w:rsidRDefault="000235C0" w:rsidP="000235C0">
      <w:pPr>
        <w:pStyle w:val="ListParagraph"/>
        <w:numPr>
          <w:ilvl w:val="0"/>
          <w:numId w:val="7"/>
        </w:numPr>
      </w:pPr>
      <w:r>
        <w:t xml:space="preserve">Los </w:t>
      </w:r>
      <w:r>
        <w:rPr>
          <w:b/>
        </w:rPr>
        <w:t>archivos</w:t>
      </w:r>
      <w:r>
        <w:t xml:space="preserve"> contienen registros originados en la organización —o recibidos por esta— de forma escrita o impresa, así como documentos generados por computadora y formularios electrónicos. </w:t>
      </w:r>
    </w:p>
    <w:p w14:paraId="4332A919" w14:textId="77777777" w:rsidR="000235C0" w:rsidRPr="00F12C3C" w:rsidRDefault="000235C0" w:rsidP="00B5651D">
      <w:pPr>
        <w:pStyle w:val="ListParagraph"/>
        <w:jc w:val="both"/>
      </w:pPr>
    </w:p>
    <w:p w14:paraId="098DFC47" w14:textId="77777777" w:rsidR="00CD62C7" w:rsidRPr="00F12C3C" w:rsidRDefault="00B431B6" w:rsidP="00B5651D">
      <w:pPr>
        <w:pStyle w:val="ListParagraph"/>
        <w:numPr>
          <w:ilvl w:val="0"/>
          <w:numId w:val="7"/>
        </w:numPr>
        <w:jc w:val="both"/>
      </w:pPr>
      <w:r>
        <w:t xml:space="preserve">Los </w:t>
      </w:r>
      <w:r>
        <w:rPr>
          <w:b/>
        </w:rPr>
        <w:t>registros</w:t>
      </w:r>
      <w:r>
        <w:t xml:space="preserve"> incluyen toda la información, independientemente de su forma física o sus características, que se origina en el PNUD —o es recibida por este— dentro del marco de sus actividades oficiales. </w:t>
      </w:r>
    </w:p>
    <w:p w14:paraId="2713DB41" w14:textId="77777777" w:rsidR="00B5651D" w:rsidRPr="00F12C3C" w:rsidRDefault="00B5651D" w:rsidP="00B5651D">
      <w:pPr>
        <w:pStyle w:val="ListParagraph"/>
        <w:jc w:val="both"/>
      </w:pPr>
    </w:p>
    <w:p w14:paraId="3FCF0D94" w14:textId="77777777" w:rsidR="00CD62C7" w:rsidRPr="00F12C3C" w:rsidRDefault="00B431B6" w:rsidP="00CD62C7">
      <w:pPr>
        <w:pStyle w:val="ListParagraph"/>
        <w:numPr>
          <w:ilvl w:val="0"/>
          <w:numId w:val="7"/>
        </w:numPr>
        <w:jc w:val="both"/>
      </w:pPr>
      <w:r>
        <w:t xml:space="preserve">La </w:t>
      </w:r>
      <w:r>
        <w:rPr>
          <w:b/>
        </w:rPr>
        <w:t>gestión de registros</w:t>
      </w:r>
      <w:r>
        <w:t xml:space="preserve"> está relacionada con la creación, el uso y el mantenimiento de los registros corrientes de manera sistemática. </w:t>
      </w:r>
    </w:p>
    <w:p w14:paraId="0548ACC1" w14:textId="77777777" w:rsidR="00CD62C7" w:rsidRPr="00F12C3C" w:rsidRDefault="00CD62C7" w:rsidP="00CD62C7">
      <w:pPr>
        <w:pStyle w:val="ListParagraph"/>
      </w:pPr>
    </w:p>
    <w:p w14:paraId="50180E40" w14:textId="77777777" w:rsidR="0007030D" w:rsidRPr="00F12C3C" w:rsidRDefault="00B431B6" w:rsidP="0007030D">
      <w:pPr>
        <w:pStyle w:val="ListParagraph"/>
        <w:numPr>
          <w:ilvl w:val="0"/>
          <w:numId w:val="7"/>
        </w:numPr>
        <w:jc w:val="both"/>
        <w:rPr>
          <w:rFonts w:eastAsia="Times New Roman" w:cstheme="minorHAnsi"/>
        </w:rPr>
      </w:pPr>
      <w:r>
        <w:t xml:space="preserve">El </w:t>
      </w:r>
      <w:r>
        <w:rPr>
          <w:b/>
        </w:rPr>
        <w:t>archivo o almacenamiento</w:t>
      </w:r>
      <w:r>
        <w:t xml:space="preserve"> se encarga de la preservación y el mantenimiento de los registros no corrientes de forma provisional o permanente/indefinida de acuerdo con un calendario de conservación establecido. Cuando sea posible, el registro público del PNUD debe ser electrónico y debe estar almacenado en los sistemas oficiales del PNUD. </w:t>
      </w:r>
    </w:p>
    <w:p w14:paraId="45E7988C" w14:textId="77777777" w:rsidR="0007030D" w:rsidRPr="00F12C3C" w:rsidRDefault="0007030D" w:rsidP="0007030D">
      <w:pPr>
        <w:pStyle w:val="ListParagraph"/>
        <w:rPr>
          <w:rFonts w:eastAsia="Times New Roman" w:cstheme="minorHAnsi"/>
        </w:rPr>
      </w:pPr>
    </w:p>
    <w:p w14:paraId="60D410E5" w14:textId="203DD05B" w:rsidR="00B431B6" w:rsidRPr="00F12C3C" w:rsidRDefault="00B431B6" w:rsidP="0007030D">
      <w:pPr>
        <w:pStyle w:val="ListParagraph"/>
        <w:numPr>
          <w:ilvl w:val="0"/>
          <w:numId w:val="7"/>
        </w:numPr>
        <w:jc w:val="both"/>
        <w:rPr>
          <w:rFonts w:eastAsia="Times New Roman" w:cstheme="minorHAnsi"/>
        </w:rPr>
      </w:pPr>
      <w:r>
        <w:t>Un</w:t>
      </w:r>
      <w:r w:rsidR="004B7D8B">
        <w:t xml:space="preserve"> registro</w:t>
      </w:r>
      <w:r>
        <w:rPr>
          <w:b/>
        </w:rPr>
        <w:t xml:space="preserve"> contable</w:t>
      </w:r>
      <w:r>
        <w:t xml:space="preserve"> es un documento físico o electrónico que crea lo siguiente:</w:t>
      </w:r>
    </w:p>
    <w:p w14:paraId="4298F975"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rPr>
      </w:pPr>
      <w:r>
        <w:t>Pasivos y su liquidación</w:t>
      </w:r>
    </w:p>
    <w:p w14:paraId="01A6D64C"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rPr>
      </w:pPr>
      <w:r>
        <w:t>Activos y su liquidación</w:t>
      </w:r>
    </w:p>
    <w:p w14:paraId="7877DE73"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rPr>
      </w:pPr>
      <w:r>
        <w:t>Cuentas por cobrar</w:t>
      </w:r>
    </w:p>
    <w:p w14:paraId="299DCE80"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rPr>
      </w:pPr>
      <w:r>
        <w:t>Pago</w:t>
      </w:r>
    </w:p>
    <w:p w14:paraId="2607D919"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rPr>
      </w:pPr>
      <w:r>
        <w:t>Registro de un depósito</w:t>
      </w:r>
    </w:p>
    <w:p w14:paraId="16204A55" w14:textId="77777777" w:rsidR="00B431B6" w:rsidRPr="00F12C3C" w:rsidRDefault="00B431B6" w:rsidP="00B431B6">
      <w:pPr>
        <w:shd w:val="clear" w:color="auto" w:fill="FFFFFF"/>
        <w:spacing w:after="0" w:line="312" w:lineRule="auto"/>
        <w:jc w:val="both"/>
        <w:textAlignment w:val="top"/>
        <w:rPr>
          <w:rFonts w:eastAsia="Times New Roman" w:cstheme="minorHAnsi"/>
        </w:rPr>
      </w:pPr>
      <w:r>
        <w:t> </w:t>
      </w:r>
    </w:p>
    <w:p w14:paraId="6FD065D5" w14:textId="7E6EF8F7" w:rsidR="00B431B6" w:rsidRPr="00F12C3C" w:rsidRDefault="00B431B6" w:rsidP="00C816F4">
      <w:pPr>
        <w:pStyle w:val="ListParagraph"/>
        <w:shd w:val="clear" w:color="auto" w:fill="FFFFFF"/>
        <w:spacing w:after="0" w:line="312" w:lineRule="auto"/>
        <w:jc w:val="both"/>
        <w:textAlignment w:val="top"/>
        <w:rPr>
          <w:rFonts w:eastAsia="Times New Roman" w:cstheme="minorHAnsi"/>
        </w:rPr>
      </w:pPr>
      <w:r>
        <w:t xml:space="preserve">Los siguientes también son </w:t>
      </w:r>
      <w:r w:rsidR="004B7D8B">
        <w:t xml:space="preserve">registros </w:t>
      </w:r>
      <w:r>
        <w:t xml:space="preserve">contables: </w:t>
      </w:r>
    </w:p>
    <w:p w14:paraId="28DF9D1C" w14:textId="77777777" w:rsidR="00B431B6" w:rsidRPr="00F12C3C" w:rsidRDefault="00B431B6" w:rsidP="00843D70">
      <w:pPr>
        <w:pStyle w:val="ListParagraph"/>
        <w:numPr>
          <w:ilvl w:val="1"/>
          <w:numId w:val="13"/>
        </w:numPr>
        <w:shd w:val="clear" w:color="auto" w:fill="FFFFFF"/>
        <w:spacing w:after="0" w:line="240" w:lineRule="auto"/>
        <w:jc w:val="both"/>
        <w:textAlignment w:val="top"/>
        <w:rPr>
          <w:rFonts w:eastAsia="Times New Roman" w:cstheme="minorHAnsi"/>
        </w:rPr>
      </w:pPr>
      <w:r>
        <w:t>Contratos con terceros</w:t>
      </w:r>
    </w:p>
    <w:p w14:paraId="259AF10C" w14:textId="77777777" w:rsidR="00B431B6" w:rsidRPr="00F12C3C" w:rsidRDefault="00B431B6" w:rsidP="00843D70">
      <w:pPr>
        <w:pStyle w:val="ListParagraph"/>
        <w:numPr>
          <w:ilvl w:val="1"/>
          <w:numId w:val="13"/>
        </w:numPr>
        <w:shd w:val="clear" w:color="auto" w:fill="FFFFFF"/>
        <w:spacing w:after="0" w:line="240" w:lineRule="auto"/>
        <w:jc w:val="both"/>
        <w:textAlignment w:val="top"/>
        <w:rPr>
          <w:rFonts w:eastAsia="Times New Roman" w:cstheme="minorHAnsi"/>
        </w:rPr>
      </w:pPr>
      <w:r>
        <w:t>Documentos del proyecto o Planes de Trabajo Anuales (AWP)</w:t>
      </w:r>
    </w:p>
    <w:p w14:paraId="441E23D7" w14:textId="77777777" w:rsidR="00B431B6" w:rsidRPr="00F12C3C" w:rsidRDefault="00B431B6" w:rsidP="00843D70">
      <w:pPr>
        <w:pStyle w:val="ListParagraph"/>
        <w:numPr>
          <w:ilvl w:val="1"/>
          <w:numId w:val="13"/>
        </w:numPr>
        <w:shd w:val="clear" w:color="auto" w:fill="FFFFFF"/>
        <w:spacing w:after="0" w:line="240" w:lineRule="auto"/>
        <w:jc w:val="both"/>
        <w:textAlignment w:val="top"/>
        <w:rPr>
          <w:rFonts w:eastAsia="Times New Roman" w:cstheme="minorHAnsi"/>
        </w:rPr>
      </w:pPr>
      <w:r>
        <w:t>Estados de cuenta bancarios</w:t>
      </w:r>
    </w:p>
    <w:p w14:paraId="5351B7B6" w14:textId="77777777" w:rsidR="00B431B6" w:rsidRPr="00F12C3C" w:rsidRDefault="00B431B6" w:rsidP="00B431B6">
      <w:pPr>
        <w:shd w:val="clear" w:color="auto" w:fill="FFFFFF"/>
        <w:spacing w:after="0" w:line="240" w:lineRule="auto"/>
        <w:jc w:val="both"/>
        <w:textAlignment w:val="top"/>
        <w:rPr>
          <w:rFonts w:eastAsia="Times New Roman" w:cstheme="minorHAnsi"/>
        </w:rPr>
      </w:pPr>
      <w:r>
        <w:t> </w:t>
      </w:r>
    </w:p>
    <w:p w14:paraId="01019B56" w14:textId="77777777" w:rsidR="00B431B6" w:rsidRPr="00F12C3C" w:rsidRDefault="00B431B6" w:rsidP="0007030D">
      <w:pPr>
        <w:pStyle w:val="ListParagraph"/>
        <w:numPr>
          <w:ilvl w:val="0"/>
          <w:numId w:val="7"/>
        </w:numPr>
        <w:shd w:val="clear" w:color="auto" w:fill="FFFFFF"/>
        <w:spacing w:after="0" w:line="240" w:lineRule="auto"/>
        <w:jc w:val="both"/>
        <w:textAlignment w:val="top"/>
        <w:rPr>
          <w:rFonts w:eastAsia="Times New Roman" w:cstheme="minorHAnsi"/>
        </w:rPr>
      </w:pPr>
      <w:r>
        <w:t>Los siguientes miembros del personal tienen responsabilidades de gestión de archivos:</w:t>
      </w:r>
    </w:p>
    <w:p w14:paraId="35B0DA08" w14:textId="77777777" w:rsidR="00B431B6" w:rsidRPr="00F12C3C" w:rsidRDefault="00B431B6" w:rsidP="00B431B6">
      <w:pPr>
        <w:shd w:val="clear" w:color="auto" w:fill="FFFFFF"/>
        <w:spacing w:after="0" w:line="240" w:lineRule="auto"/>
        <w:jc w:val="both"/>
        <w:textAlignment w:val="top"/>
        <w:rPr>
          <w:rFonts w:eastAsia="Times New Roman" w:cstheme="minorHAnsi"/>
        </w:rPr>
      </w:pPr>
      <w:r>
        <w:t> </w:t>
      </w:r>
    </w:p>
    <w:p w14:paraId="5CA929B1" w14:textId="77777777" w:rsidR="00B431B6" w:rsidRPr="00F12C3C" w:rsidRDefault="00B431B6" w:rsidP="00B431B6">
      <w:pPr>
        <w:shd w:val="clear" w:color="auto" w:fill="FFFFFF"/>
        <w:spacing w:after="0" w:line="240" w:lineRule="auto"/>
        <w:ind w:firstLine="708"/>
        <w:jc w:val="both"/>
        <w:textAlignment w:val="top"/>
        <w:rPr>
          <w:rFonts w:eastAsia="Times New Roman" w:cstheme="minorHAnsi"/>
          <w:u w:val="single"/>
        </w:rPr>
      </w:pPr>
      <w:r>
        <w:rPr>
          <w:rFonts w:cstheme="minorHAnsi"/>
          <w:u w:val="single"/>
        </w:rPr>
        <w:t xml:space="preserve">Personal de Finanzas: </w:t>
      </w:r>
    </w:p>
    <w:p w14:paraId="540EB175" w14:textId="77777777" w:rsidR="00843D70" w:rsidRPr="00F12C3C" w:rsidRDefault="00843D70" w:rsidP="00B431B6">
      <w:pPr>
        <w:shd w:val="clear" w:color="auto" w:fill="FFFFFF"/>
        <w:spacing w:after="0" w:line="240" w:lineRule="auto"/>
        <w:ind w:firstLine="708"/>
        <w:jc w:val="both"/>
        <w:textAlignment w:val="top"/>
        <w:rPr>
          <w:rFonts w:eastAsia="Times New Roman" w:cstheme="minorHAnsi"/>
        </w:rPr>
      </w:pPr>
    </w:p>
    <w:p w14:paraId="60B146DD" w14:textId="2C6A3B93"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rPr>
      </w:pPr>
      <w:r>
        <w:t xml:space="preserve">Crear registros en </w:t>
      </w:r>
      <w:r w:rsidR="00734FFF">
        <w:t>Quantum</w:t>
      </w:r>
    </w:p>
    <w:p w14:paraId="0BF864C7" w14:textId="77777777"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rPr>
      </w:pPr>
      <w:r>
        <w:t>Mantener registros</w:t>
      </w:r>
    </w:p>
    <w:p w14:paraId="533EEDA0" w14:textId="77777777"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rPr>
      </w:pPr>
      <w:r>
        <w:t>Almacenar registros por siete años</w:t>
      </w:r>
    </w:p>
    <w:p w14:paraId="302EE9F8" w14:textId="06D69980"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rPr>
      </w:pPr>
      <w:r>
        <w:t>Desechar los registros después de siete años si se trata de pagos no relacionados con el personal, si se acuerda con el Representante Residente (personal superior de finanzas del Cuadro de Servicios Generales)</w:t>
      </w:r>
    </w:p>
    <w:p w14:paraId="2E29435C" w14:textId="4B0EF90F"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rPr>
      </w:pPr>
      <w:r>
        <w:t>Mantener los registros indefinidamente si se trata de pagos al personal</w:t>
      </w:r>
    </w:p>
    <w:p w14:paraId="6FA05F9C" w14:textId="77777777" w:rsidR="00843D70" w:rsidRPr="00F12C3C" w:rsidRDefault="00843D70" w:rsidP="00843D70">
      <w:pPr>
        <w:pStyle w:val="ListParagraph"/>
        <w:shd w:val="clear" w:color="auto" w:fill="FFFFFF"/>
        <w:spacing w:after="0" w:line="240" w:lineRule="auto"/>
        <w:ind w:left="1545"/>
        <w:jc w:val="both"/>
        <w:textAlignment w:val="top"/>
        <w:rPr>
          <w:rFonts w:eastAsia="Times New Roman" w:cstheme="minorHAnsi"/>
        </w:rPr>
      </w:pPr>
    </w:p>
    <w:p w14:paraId="0009F82B" w14:textId="3B09E369" w:rsidR="00B431B6" w:rsidRPr="00F12C3C" w:rsidRDefault="3B09E369" w:rsidP="006E26C2">
      <w:pPr>
        <w:shd w:val="clear" w:color="auto" w:fill="FFFFFF"/>
        <w:spacing w:after="0" w:line="240" w:lineRule="auto"/>
        <w:ind w:left="360"/>
        <w:jc w:val="both"/>
        <w:textAlignment w:val="top"/>
        <w:rPr>
          <w:rFonts w:eastAsia="Times New Roman" w:cstheme="minorHAnsi"/>
        </w:rPr>
      </w:pPr>
      <w:r>
        <w:t>7</w:t>
      </w:r>
      <w:r w:rsidR="006E26C2">
        <w:t>. Los registros de la oficina en el país del PNUD son propiedad de la organización. No deben ser destruidos ni extraídos de las dependencias de origen, excepto si hacerlo está de acuerdo con las directrices establecidas, o con la aprobación de la oficina de origen y en colaboración con esta.</w:t>
      </w:r>
    </w:p>
    <w:p w14:paraId="198231A3" w14:textId="77777777" w:rsidR="00B431B6" w:rsidRPr="00F12C3C" w:rsidRDefault="00B431B6" w:rsidP="00216667">
      <w:pPr>
        <w:shd w:val="clear" w:color="auto" w:fill="FFFFFF"/>
        <w:spacing w:after="0" w:line="240" w:lineRule="auto"/>
        <w:ind w:firstLine="45"/>
        <w:jc w:val="both"/>
        <w:textAlignment w:val="top"/>
        <w:rPr>
          <w:rFonts w:eastAsia="Times New Roman" w:cstheme="minorHAnsi"/>
        </w:rPr>
      </w:pPr>
    </w:p>
    <w:p w14:paraId="32B6ED8B" w14:textId="209E1C83" w:rsidR="00B431B6" w:rsidRPr="00F12C3C" w:rsidRDefault="3B09E369" w:rsidP="00216667">
      <w:pPr>
        <w:shd w:val="clear" w:color="auto" w:fill="FFFFFF"/>
        <w:spacing w:after="0" w:line="240" w:lineRule="auto"/>
        <w:ind w:left="360"/>
        <w:jc w:val="both"/>
        <w:textAlignment w:val="top"/>
        <w:rPr>
          <w:rFonts w:eastAsia="Times New Roman" w:cstheme="minorHAnsi"/>
        </w:rPr>
      </w:pPr>
      <w:r>
        <w:t>8</w:t>
      </w:r>
      <w:r w:rsidR="00216667">
        <w:t>. El contralor ha delegado la autoridad sobre el mantenimiento y la conservación de las anotaciones contables a los representantes residentes de las oficinas en el país, excepto en los países en situación de crisis.</w:t>
      </w:r>
    </w:p>
    <w:p w14:paraId="2EC3BEE3" w14:textId="77777777" w:rsidR="00B431B6" w:rsidRPr="00F12C3C" w:rsidRDefault="00B431B6" w:rsidP="00B431B6">
      <w:pPr>
        <w:shd w:val="clear" w:color="auto" w:fill="FFFFFF"/>
        <w:spacing w:after="0" w:line="240" w:lineRule="auto"/>
        <w:jc w:val="both"/>
        <w:textAlignment w:val="top"/>
        <w:rPr>
          <w:rFonts w:eastAsia="Times New Roman" w:cstheme="minorHAnsi"/>
        </w:rPr>
      </w:pPr>
      <w:r>
        <w:t> </w:t>
      </w:r>
    </w:p>
    <w:p w14:paraId="267EE67B" w14:textId="77777777" w:rsidR="00B431B6" w:rsidRPr="00F12C3C" w:rsidRDefault="00B431B6" w:rsidP="00B431B6">
      <w:pPr>
        <w:shd w:val="clear" w:color="auto" w:fill="FFFFFF"/>
        <w:spacing w:after="0" w:line="240" w:lineRule="auto"/>
        <w:jc w:val="both"/>
        <w:textAlignment w:val="top"/>
        <w:rPr>
          <w:rFonts w:eastAsia="Times New Roman" w:cstheme="minorHAnsi"/>
          <w:u w:val="single"/>
        </w:rPr>
      </w:pPr>
    </w:p>
    <w:p w14:paraId="6D5CB241" w14:textId="77777777" w:rsidR="00B431B6" w:rsidRPr="00F12C3C" w:rsidRDefault="00B431B6" w:rsidP="00B431B6">
      <w:pPr>
        <w:shd w:val="clear" w:color="auto" w:fill="FFFFFF"/>
        <w:spacing w:after="0" w:line="240" w:lineRule="auto"/>
        <w:ind w:firstLine="708"/>
        <w:jc w:val="both"/>
        <w:textAlignment w:val="top"/>
        <w:rPr>
          <w:rFonts w:eastAsia="Times New Roman" w:cstheme="minorHAnsi"/>
        </w:rPr>
      </w:pPr>
      <w:r>
        <w:rPr>
          <w:rFonts w:cstheme="minorHAnsi"/>
          <w:u w:val="single"/>
        </w:rPr>
        <w:lastRenderedPageBreak/>
        <w:t>Calendario de conservación</w:t>
      </w:r>
    </w:p>
    <w:p w14:paraId="182F62F3" w14:textId="77777777" w:rsidR="00B431B6" w:rsidRPr="00F12C3C" w:rsidRDefault="00B431B6" w:rsidP="00B431B6">
      <w:pPr>
        <w:shd w:val="clear" w:color="auto" w:fill="FFFFFF"/>
        <w:spacing w:after="0" w:line="240" w:lineRule="auto"/>
        <w:jc w:val="both"/>
        <w:textAlignment w:val="top"/>
        <w:rPr>
          <w:rFonts w:eastAsia="Times New Roman" w:cstheme="minorHAnsi"/>
        </w:rPr>
      </w:pPr>
      <w:r>
        <w:t> </w:t>
      </w:r>
    </w:p>
    <w:p w14:paraId="6CF3B727" w14:textId="025207A2" w:rsidR="00B431B6" w:rsidRPr="00F12C3C" w:rsidRDefault="3B09E369" w:rsidP="00216667">
      <w:pPr>
        <w:shd w:val="clear" w:color="auto" w:fill="FFFFFF"/>
        <w:spacing w:after="0" w:line="240" w:lineRule="auto"/>
        <w:ind w:left="360"/>
        <w:jc w:val="both"/>
        <w:textAlignment w:val="top"/>
        <w:rPr>
          <w:rFonts w:eastAsia="Times New Roman" w:cstheme="minorHAnsi"/>
        </w:rPr>
      </w:pPr>
      <w:r>
        <w:t>9</w:t>
      </w:r>
      <w:r w:rsidR="00216667">
        <w:t>. L</w:t>
      </w:r>
      <w:r w:rsidR="004B7D8B">
        <w:t>os registros</w:t>
      </w:r>
      <w:r w:rsidR="00216667">
        <w:t xml:space="preserve"> contables deben conservarse localmente de acuerdo con el calendario de conservación que se detalla a continuación. Este calendario indica qué registros deben guardarse indefinidamente y qué registros deben guardarse por un período temporal (siete años). El período de conservación de siete años que se analiza en esta política se ha acordado con la Junta de Auditores de acuerdo con la Reglamentación Financiera 126.02, que le otorga autoridad al Contralor para que prescriba y mantenga anotaciones contables. </w:t>
      </w:r>
      <w:r w:rsidR="00216667">
        <w:rPr>
          <w:rFonts w:cstheme="minorHAnsi"/>
          <w:b/>
        </w:rPr>
        <w:t>Consultar en las directrices adjuntas el calendario de conservación.</w:t>
      </w:r>
      <w:r w:rsidR="00216667">
        <w:t xml:space="preserve"> </w:t>
      </w:r>
    </w:p>
    <w:p w14:paraId="4434D87D" w14:textId="77777777" w:rsidR="00B431B6" w:rsidRPr="00F12C3C" w:rsidRDefault="00B431B6" w:rsidP="00B431B6">
      <w:pPr>
        <w:shd w:val="clear" w:color="auto" w:fill="FFFFFF"/>
        <w:spacing w:after="0" w:line="240" w:lineRule="auto"/>
        <w:jc w:val="both"/>
        <w:textAlignment w:val="top"/>
        <w:rPr>
          <w:rFonts w:eastAsia="Times New Roman" w:cstheme="minorHAnsi"/>
        </w:rPr>
      </w:pPr>
      <w:r>
        <w:t> </w:t>
      </w:r>
    </w:p>
    <w:p w14:paraId="3A621318" w14:textId="1FFB748C" w:rsidR="00B431B6" w:rsidRPr="00F12C3C" w:rsidRDefault="00B431B6" w:rsidP="00B431B6">
      <w:pPr>
        <w:shd w:val="clear" w:color="auto" w:fill="FFFFFF"/>
        <w:spacing w:after="0" w:line="240" w:lineRule="auto"/>
        <w:ind w:firstLine="708"/>
        <w:jc w:val="both"/>
        <w:textAlignment w:val="top"/>
        <w:rPr>
          <w:rFonts w:eastAsia="Times New Roman" w:cstheme="minorHAnsi"/>
        </w:rPr>
      </w:pPr>
      <w:r>
        <w:rPr>
          <w:rFonts w:cstheme="minorHAnsi"/>
          <w:u w:val="single"/>
        </w:rPr>
        <w:t xml:space="preserve">Eliminación de </w:t>
      </w:r>
      <w:r w:rsidR="004B7D8B">
        <w:rPr>
          <w:rFonts w:cstheme="minorHAnsi"/>
          <w:u w:val="single"/>
        </w:rPr>
        <w:t xml:space="preserve">registros </w:t>
      </w:r>
      <w:r>
        <w:rPr>
          <w:rFonts w:cstheme="minorHAnsi"/>
          <w:u w:val="single"/>
        </w:rPr>
        <w:t>contables</w:t>
      </w:r>
      <w:r>
        <w:t xml:space="preserve"> </w:t>
      </w:r>
    </w:p>
    <w:p w14:paraId="0171EDAC" w14:textId="32337E73" w:rsidR="00B431B6" w:rsidRPr="00F12C3C" w:rsidRDefault="00B431B6" w:rsidP="00B431B6">
      <w:pPr>
        <w:shd w:val="clear" w:color="auto" w:fill="FFFFFF"/>
        <w:tabs>
          <w:tab w:val="left" w:pos="7200"/>
        </w:tabs>
        <w:spacing w:after="0" w:line="240" w:lineRule="auto"/>
        <w:jc w:val="both"/>
        <w:textAlignment w:val="top"/>
        <w:rPr>
          <w:rFonts w:eastAsia="Times New Roman" w:cstheme="minorHAnsi"/>
        </w:rPr>
      </w:pPr>
      <w:r>
        <w:tab/>
      </w:r>
    </w:p>
    <w:p w14:paraId="0AB77EBC" w14:textId="43CEAF52" w:rsidR="00B431B6" w:rsidRPr="00F12C3C" w:rsidRDefault="00216667" w:rsidP="00216667">
      <w:pPr>
        <w:shd w:val="clear" w:color="auto" w:fill="FFFFFF"/>
        <w:spacing w:after="0" w:line="240" w:lineRule="auto"/>
        <w:ind w:left="360"/>
        <w:jc w:val="both"/>
        <w:textAlignment w:val="top"/>
        <w:rPr>
          <w:rFonts w:eastAsia="Times New Roman" w:cstheme="minorHAnsi"/>
        </w:rPr>
      </w:pPr>
      <w:r>
        <w:t>1</w:t>
      </w:r>
      <w:r w:rsidR="3B09E369">
        <w:t>0</w:t>
      </w:r>
      <w:r>
        <w:t>. Para l</w:t>
      </w:r>
      <w:r w:rsidR="004B7D8B">
        <w:t>o</w:t>
      </w:r>
      <w:r>
        <w:t xml:space="preserve">s </w:t>
      </w:r>
      <w:r w:rsidR="004B7D8B">
        <w:t>registros</w:t>
      </w:r>
      <w:r>
        <w:t xml:space="preserve"> contables con el período de conservación exigido del mínimo de siete años, la oficina en el país decidirá si eliminará o no estos registros después de la finalización del período exigido.</w:t>
      </w:r>
    </w:p>
    <w:p w14:paraId="3C859BF5" w14:textId="77777777" w:rsidR="00B431B6" w:rsidRPr="00F12C3C" w:rsidRDefault="00B431B6" w:rsidP="00B431B6">
      <w:pPr>
        <w:shd w:val="clear" w:color="auto" w:fill="FFFFFF"/>
        <w:spacing w:after="0" w:line="240" w:lineRule="auto"/>
        <w:jc w:val="both"/>
        <w:textAlignment w:val="top"/>
        <w:rPr>
          <w:rFonts w:eastAsia="Times New Roman" w:cstheme="minorHAnsi"/>
        </w:rPr>
      </w:pPr>
      <w:r>
        <w:t> </w:t>
      </w:r>
    </w:p>
    <w:p w14:paraId="6CBCEB0B" w14:textId="77777777" w:rsidR="00B431B6" w:rsidRPr="00F12C3C" w:rsidRDefault="00B431B6" w:rsidP="00B431B6">
      <w:pPr>
        <w:shd w:val="clear" w:color="auto" w:fill="FFFFFF"/>
        <w:spacing w:after="0" w:line="240" w:lineRule="auto"/>
        <w:ind w:firstLine="708"/>
        <w:jc w:val="both"/>
        <w:textAlignment w:val="top"/>
        <w:rPr>
          <w:rFonts w:eastAsia="Times New Roman" w:cstheme="minorHAnsi"/>
        </w:rPr>
      </w:pPr>
      <w:r>
        <w:rPr>
          <w:rFonts w:cstheme="minorHAnsi"/>
          <w:u w:val="single"/>
        </w:rPr>
        <w:t>Seguridad de los archivos permanentes tras el cierre de las oficinas del PNUD o en caso de emergencias</w:t>
      </w:r>
    </w:p>
    <w:p w14:paraId="2691EFD9" w14:textId="77777777" w:rsidR="00B431B6" w:rsidRPr="00F12C3C" w:rsidRDefault="00B431B6" w:rsidP="00B431B6">
      <w:pPr>
        <w:shd w:val="clear" w:color="auto" w:fill="FFFFFF"/>
        <w:spacing w:after="0" w:line="240" w:lineRule="auto"/>
        <w:jc w:val="both"/>
        <w:textAlignment w:val="top"/>
        <w:rPr>
          <w:rFonts w:eastAsia="Times New Roman" w:cstheme="minorHAnsi"/>
        </w:rPr>
      </w:pPr>
      <w:r>
        <w:t> </w:t>
      </w:r>
    </w:p>
    <w:p w14:paraId="47AB0C35" w14:textId="36B9BE0C" w:rsidR="00C96BAB" w:rsidRPr="00F12C3C" w:rsidRDefault="3B09E369" w:rsidP="003D468B">
      <w:pPr>
        <w:shd w:val="clear" w:color="auto" w:fill="FFFFFF"/>
        <w:spacing w:after="0" w:line="240" w:lineRule="auto"/>
        <w:ind w:left="360"/>
        <w:jc w:val="both"/>
        <w:textAlignment w:val="top"/>
        <w:rPr>
          <w:rFonts w:eastAsia="Times New Roman" w:cstheme="minorHAnsi"/>
        </w:rPr>
      </w:pPr>
      <w:r>
        <w:t>1</w:t>
      </w:r>
      <w:r w:rsidR="00216667">
        <w:t>1. Tras el cierre de las oficinas del PNUD o en caso de emergencias, la Oficina de Servicios de Operaciones, Jurídicos y Tecnológicos (OOLTS), Dirección de Servicios de Gestión, coordinará la seguridad de los archivos permanentes. La Oficina de Recursos Humanos, la Oficina de Recursos Financieros y Gestión y la Oficina adecuada recomendarán a la oficina en el país que envíe los archivos/registros a la sede o que se destruyan de acuerdo con la reglamentación financiera 126.02.</w:t>
      </w:r>
    </w:p>
    <w:p w14:paraId="080025D3" w14:textId="77777777" w:rsidR="00C96BAB" w:rsidRPr="00F12C3C" w:rsidRDefault="00C96BAB" w:rsidP="00C96BAB">
      <w:pPr>
        <w:shd w:val="clear" w:color="auto" w:fill="FFFFFF"/>
        <w:spacing w:after="0" w:line="240" w:lineRule="auto"/>
        <w:ind w:left="360"/>
        <w:jc w:val="both"/>
        <w:textAlignment w:val="top"/>
        <w:rPr>
          <w:rFonts w:eastAsia="Times New Roman" w:cstheme="minorHAnsi"/>
        </w:rPr>
      </w:pPr>
    </w:p>
    <w:p w14:paraId="08B7B798" w14:textId="77777777" w:rsidR="00816D34" w:rsidRDefault="00816D34" w:rsidP="00C96BAB">
      <w:pPr>
        <w:shd w:val="clear" w:color="auto" w:fill="FFFFFF"/>
        <w:spacing w:after="0" w:line="240" w:lineRule="auto"/>
        <w:ind w:left="360"/>
        <w:jc w:val="both"/>
        <w:textAlignment w:val="top"/>
        <w:rPr>
          <w:rFonts w:eastAsia="Times New Roman" w:cstheme="minorHAnsi"/>
        </w:rPr>
      </w:pPr>
    </w:p>
    <w:p w14:paraId="3E055B2A" w14:textId="77777777" w:rsidR="00084CBB" w:rsidRPr="00271585" w:rsidRDefault="00084CBB" w:rsidP="00084CBB">
      <w:pPr>
        <w:pStyle w:val="NormalWeb"/>
        <w:shd w:val="clear" w:color="auto" w:fill="FFFFFF"/>
        <w:spacing w:before="0" w:beforeAutospacing="0" w:after="0" w:afterAutospacing="0"/>
        <w:jc w:val="center"/>
        <w:rPr>
          <w:rFonts w:ascii="Calibri" w:hAnsi="Calibri"/>
          <w:color w:val="000000"/>
          <w:lang w:val="en-US"/>
        </w:rPr>
      </w:pPr>
      <w:r w:rsidRPr="00271585">
        <w:rPr>
          <w:rFonts w:ascii="Calibri" w:hAnsi="Calibri"/>
          <w:i/>
          <w:iCs/>
          <w:color w:val="212121"/>
          <w:lang w:val="en-US"/>
        </w:rPr>
        <w:t>Disclaimer: This document was translated from English into Spanish. In the event of any discrepancy between this translation and the original English document, the original English document shall prevail.</w:t>
      </w:r>
    </w:p>
    <w:p w14:paraId="6E872170" w14:textId="77777777" w:rsidR="00084CBB" w:rsidRPr="00271585" w:rsidRDefault="00084CBB" w:rsidP="00084CBB">
      <w:pPr>
        <w:pStyle w:val="NormalWeb"/>
        <w:shd w:val="clear" w:color="auto" w:fill="FFFFFF"/>
        <w:spacing w:before="0" w:beforeAutospacing="0" w:after="0" w:afterAutospacing="0"/>
        <w:jc w:val="center"/>
        <w:rPr>
          <w:rFonts w:ascii="Calibri" w:hAnsi="Calibri"/>
          <w:color w:val="000000"/>
          <w:lang w:val="en-US"/>
        </w:rPr>
      </w:pPr>
      <w:r w:rsidRPr="00271585">
        <w:rPr>
          <w:rFonts w:ascii="Calibri" w:hAnsi="Calibri"/>
          <w:i/>
          <w:iCs/>
          <w:color w:val="212121"/>
          <w:lang w:val="en-US"/>
        </w:rPr>
        <w:t> </w:t>
      </w:r>
    </w:p>
    <w:p w14:paraId="511AB4F5" w14:textId="77777777" w:rsidR="00084CBB" w:rsidRPr="00F834A0" w:rsidRDefault="00084CBB" w:rsidP="00084CBB">
      <w:pPr>
        <w:pStyle w:val="NormalWeb"/>
        <w:shd w:val="clear" w:color="auto" w:fill="FFFFFF"/>
        <w:spacing w:before="0" w:beforeAutospacing="0" w:after="0" w:afterAutospacing="0"/>
        <w:jc w:val="center"/>
        <w:rPr>
          <w:rFonts w:ascii="Calibri" w:hAnsi="Calibri"/>
          <w:color w:val="000000"/>
          <w:lang w:val="es-ES_tradnl"/>
        </w:rPr>
      </w:pPr>
      <w:r w:rsidRPr="00F834A0">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577BA8BE" w14:textId="77777777" w:rsidR="00084CBB" w:rsidRPr="00271585" w:rsidRDefault="00084CBB" w:rsidP="00C96BAB">
      <w:pPr>
        <w:shd w:val="clear" w:color="auto" w:fill="FFFFFF"/>
        <w:spacing w:after="0" w:line="240" w:lineRule="auto"/>
        <w:ind w:left="360"/>
        <w:jc w:val="both"/>
        <w:textAlignment w:val="top"/>
        <w:rPr>
          <w:rFonts w:eastAsia="Times New Roman" w:cstheme="minorHAnsi"/>
          <w:lang w:val="es-ES_tradnl"/>
        </w:rPr>
      </w:pPr>
    </w:p>
    <w:sectPr w:rsidR="00084CBB" w:rsidRPr="00271585">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C6989" w14:textId="77777777" w:rsidR="00412930" w:rsidRDefault="00412930" w:rsidP="00B431B6">
      <w:pPr>
        <w:spacing w:after="0" w:line="240" w:lineRule="auto"/>
      </w:pPr>
      <w:r>
        <w:separator/>
      </w:r>
    </w:p>
  </w:endnote>
  <w:endnote w:type="continuationSeparator" w:id="0">
    <w:p w14:paraId="26E0396F" w14:textId="77777777" w:rsidR="00412930" w:rsidRDefault="00412930" w:rsidP="00B4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B7AD" w14:textId="77777777" w:rsidR="00D16218" w:rsidRDefault="00D16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9E42A" w14:textId="758B6226" w:rsidR="00B431B6" w:rsidRDefault="00F12C3C">
    <w:pPr>
      <w:pStyle w:val="Footer"/>
    </w:pPr>
    <w:r>
      <w:t xml:space="preserve">Página </w:t>
    </w:r>
    <w:r>
      <w:rPr>
        <w:b/>
      </w:rPr>
      <w:fldChar w:fldCharType="begin"/>
    </w:r>
    <w:r>
      <w:rPr>
        <w:b/>
      </w:rPr>
      <w:instrText xml:space="preserve"> PAGE  \* Arabic  \* MERGEFORMAT </w:instrText>
    </w:r>
    <w:r>
      <w:rPr>
        <w:b/>
      </w:rPr>
      <w:fldChar w:fldCharType="separate"/>
    </w:r>
    <w:r w:rsidR="00271585">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271585">
      <w:rPr>
        <w:b/>
        <w:noProof/>
      </w:rPr>
      <w:t>2</w:t>
    </w:r>
    <w:r>
      <w:rPr>
        <w:b/>
      </w:rPr>
      <w:fldChar w:fldCharType="end"/>
    </w:r>
    <w:r>
      <w:ptab w:relativeTo="margin" w:alignment="center" w:leader="none"/>
    </w:r>
    <w:r>
      <w:t xml:space="preserve">Fecha de entrada en vigor: </w:t>
    </w:r>
    <w:r w:rsidR="00A15A04" w:rsidRPr="00A15A04">
      <w:t>26/07/2016</w:t>
    </w:r>
    <w:r w:rsidR="00A15A04" w:rsidRPr="00A15A04">
      <w:t xml:space="preserve"> </w:t>
    </w:r>
    <w:r>
      <w:ptab w:relativeTo="margin" w:alignment="right" w:leader="none"/>
    </w:r>
    <w:r>
      <w:t xml:space="preserve">Versión </w:t>
    </w:r>
    <w:proofErr w:type="spellStart"/>
    <w:r>
      <w:t>n.°</w:t>
    </w:r>
    <w:proofErr w:type="spellEnd"/>
    <w:r>
      <w:t xml:space="preserve">: </w:t>
    </w:r>
    <w:sdt>
      <w:sdtPr>
        <w:alias w:val="POPPRefItemVersion"/>
        <w:tag w:val="UNDP_POPP_REFITEM_VERSION"/>
        <w:id w:val="-1779014789"/>
        <w:placeholder>
          <w:docPart w:val="5BAB2F90DF2E47A5A35378016E9C7AE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0668229-3FE4-42E4-90C9-4F27211FDEBB}"/>
        <w:text/>
      </w:sdtPr>
      <w:sdtContent>
        <w:r w:rsidR="00A15A04">
          <w:t>15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27BA" w14:textId="77777777" w:rsidR="00D16218" w:rsidRDefault="00D1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84A08" w14:textId="77777777" w:rsidR="00412930" w:rsidRDefault="00412930" w:rsidP="00B431B6">
      <w:pPr>
        <w:spacing w:after="0" w:line="240" w:lineRule="auto"/>
      </w:pPr>
      <w:r>
        <w:separator/>
      </w:r>
    </w:p>
  </w:footnote>
  <w:footnote w:type="continuationSeparator" w:id="0">
    <w:p w14:paraId="1EF28ADE" w14:textId="77777777" w:rsidR="00412930" w:rsidRDefault="00412930" w:rsidP="00B43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1EC6" w14:textId="77777777" w:rsidR="00D16218" w:rsidRDefault="00D16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DF8F" w14:textId="3BF56D55" w:rsidR="00843D70" w:rsidRDefault="00D16218" w:rsidP="00D16218">
    <w:pPr>
      <w:pStyle w:val="Header"/>
      <w:jc w:val="right"/>
    </w:pPr>
    <w:r>
      <w:rPr>
        <w:noProof/>
      </w:rPr>
      <w:drawing>
        <wp:inline distT="0" distB="0" distL="0" distR="0" wp14:anchorId="2F047742" wp14:editId="595FFC00">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0B7DA" w14:textId="77777777" w:rsidR="00D16218" w:rsidRDefault="00D16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72FE"/>
    <w:multiLevelType w:val="multilevel"/>
    <w:tmpl w:val="8B98D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31432"/>
    <w:multiLevelType w:val="hybridMultilevel"/>
    <w:tmpl w:val="D24E9064"/>
    <w:lvl w:ilvl="0" w:tplc="04090001">
      <w:start w:val="1"/>
      <w:numFmt w:val="bullet"/>
      <w:lvlText w:val=""/>
      <w:lvlJc w:val="left"/>
      <w:pPr>
        <w:ind w:left="825" w:hanging="360"/>
      </w:pPr>
      <w:rPr>
        <w:rFonts w:ascii="Symbol" w:hAnsi="Symbol" w:hint="default"/>
      </w:rPr>
    </w:lvl>
    <w:lvl w:ilvl="1" w:tplc="04090019">
      <w:start w:val="1"/>
      <w:numFmt w:val="lowerLetter"/>
      <w:lvlText w:val="%2."/>
      <w:lvlJc w:val="left"/>
      <w:pPr>
        <w:ind w:left="1545" w:hanging="360"/>
      </w:pPr>
      <w:rPr>
        <w:rFont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1F815B3C"/>
    <w:multiLevelType w:val="hybridMultilevel"/>
    <w:tmpl w:val="9638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E43EA"/>
    <w:multiLevelType w:val="hybridMultilevel"/>
    <w:tmpl w:val="9EBE6E2E"/>
    <w:lvl w:ilvl="0" w:tplc="821622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F508C"/>
    <w:multiLevelType w:val="hybridMultilevel"/>
    <w:tmpl w:val="A7A8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C6464"/>
    <w:multiLevelType w:val="hybridMultilevel"/>
    <w:tmpl w:val="1CF2CA3C"/>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15:restartNumberingAfterBreak="0">
    <w:nsid w:val="296A024B"/>
    <w:multiLevelType w:val="multilevel"/>
    <w:tmpl w:val="699C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A62D9"/>
    <w:multiLevelType w:val="hybridMultilevel"/>
    <w:tmpl w:val="B32AE15E"/>
    <w:lvl w:ilvl="0" w:tplc="74960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52BB7"/>
    <w:multiLevelType w:val="hybridMultilevel"/>
    <w:tmpl w:val="6F0EF8A6"/>
    <w:lvl w:ilvl="0" w:tplc="96E8B582">
      <w:start w:val="1"/>
      <w:numFmt w:val="bullet"/>
      <w:lvlText w:val=""/>
      <w:lvlJc w:val="left"/>
      <w:pPr>
        <w:tabs>
          <w:tab w:val="num" w:pos="720"/>
        </w:tabs>
        <w:ind w:left="720" w:hanging="360"/>
      </w:pPr>
      <w:rPr>
        <w:rFonts w:ascii="Symbol" w:hAnsi="Symbol" w:hint="default"/>
        <w:sz w:val="20"/>
      </w:rPr>
    </w:lvl>
    <w:lvl w:ilvl="1" w:tplc="EB20D094">
      <w:start w:val="1"/>
      <w:numFmt w:val="bullet"/>
      <w:lvlText w:val="o"/>
      <w:lvlJc w:val="left"/>
      <w:pPr>
        <w:tabs>
          <w:tab w:val="num" w:pos="1440"/>
        </w:tabs>
        <w:ind w:left="1440" w:hanging="360"/>
      </w:pPr>
      <w:rPr>
        <w:rFonts w:ascii="Courier New" w:hAnsi="Courier New" w:hint="default"/>
        <w:sz w:val="20"/>
      </w:rPr>
    </w:lvl>
    <w:lvl w:ilvl="2" w:tplc="4AB6B16A" w:tentative="1">
      <w:start w:val="1"/>
      <w:numFmt w:val="bullet"/>
      <w:lvlText w:val=""/>
      <w:lvlJc w:val="left"/>
      <w:pPr>
        <w:tabs>
          <w:tab w:val="num" w:pos="2160"/>
        </w:tabs>
        <w:ind w:left="2160" w:hanging="360"/>
      </w:pPr>
      <w:rPr>
        <w:rFonts w:ascii="Wingdings" w:hAnsi="Wingdings" w:hint="default"/>
        <w:sz w:val="20"/>
      </w:rPr>
    </w:lvl>
    <w:lvl w:ilvl="3" w:tplc="DE9CA78A" w:tentative="1">
      <w:start w:val="1"/>
      <w:numFmt w:val="bullet"/>
      <w:lvlText w:val=""/>
      <w:lvlJc w:val="left"/>
      <w:pPr>
        <w:tabs>
          <w:tab w:val="num" w:pos="2880"/>
        </w:tabs>
        <w:ind w:left="2880" w:hanging="360"/>
      </w:pPr>
      <w:rPr>
        <w:rFonts w:ascii="Wingdings" w:hAnsi="Wingdings" w:hint="default"/>
        <w:sz w:val="20"/>
      </w:rPr>
    </w:lvl>
    <w:lvl w:ilvl="4" w:tplc="C86EB9E4" w:tentative="1">
      <w:start w:val="1"/>
      <w:numFmt w:val="bullet"/>
      <w:lvlText w:val=""/>
      <w:lvlJc w:val="left"/>
      <w:pPr>
        <w:tabs>
          <w:tab w:val="num" w:pos="3600"/>
        </w:tabs>
        <w:ind w:left="3600" w:hanging="360"/>
      </w:pPr>
      <w:rPr>
        <w:rFonts w:ascii="Wingdings" w:hAnsi="Wingdings" w:hint="default"/>
        <w:sz w:val="20"/>
      </w:rPr>
    </w:lvl>
    <w:lvl w:ilvl="5" w:tplc="DE748EA0" w:tentative="1">
      <w:start w:val="1"/>
      <w:numFmt w:val="bullet"/>
      <w:lvlText w:val=""/>
      <w:lvlJc w:val="left"/>
      <w:pPr>
        <w:tabs>
          <w:tab w:val="num" w:pos="4320"/>
        </w:tabs>
        <w:ind w:left="4320" w:hanging="360"/>
      </w:pPr>
      <w:rPr>
        <w:rFonts w:ascii="Wingdings" w:hAnsi="Wingdings" w:hint="default"/>
        <w:sz w:val="20"/>
      </w:rPr>
    </w:lvl>
    <w:lvl w:ilvl="6" w:tplc="F752B6FA" w:tentative="1">
      <w:start w:val="1"/>
      <w:numFmt w:val="bullet"/>
      <w:lvlText w:val=""/>
      <w:lvlJc w:val="left"/>
      <w:pPr>
        <w:tabs>
          <w:tab w:val="num" w:pos="5040"/>
        </w:tabs>
        <w:ind w:left="5040" w:hanging="360"/>
      </w:pPr>
      <w:rPr>
        <w:rFonts w:ascii="Wingdings" w:hAnsi="Wingdings" w:hint="default"/>
        <w:sz w:val="20"/>
      </w:rPr>
    </w:lvl>
    <w:lvl w:ilvl="7" w:tplc="4ACCC738" w:tentative="1">
      <w:start w:val="1"/>
      <w:numFmt w:val="bullet"/>
      <w:lvlText w:val=""/>
      <w:lvlJc w:val="left"/>
      <w:pPr>
        <w:tabs>
          <w:tab w:val="num" w:pos="5760"/>
        </w:tabs>
        <w:ind w:left="5760" w:hanging="360"/>
      </w:pPr>
      <w:rPr>
        <w:rFonts w:ascii="Wingdings" w:hAnsi="Wingdings" w:hint="default"/>
        <w:sz w:val="20"/>
      </w:rPr>
    </w:lvl>
    <w:lvl w:ilvl="8" w:tplc="4E7674E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928FC"/>
    <w:multiLevelType w:val="hybridMultilevel"/>
    <w:tmpl w:val="B492EF22"/>
    <w:lvl w:ilvl="0" w:tplc="CC009C8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CA1E17"/>
    <w:multiLevelType w:val="multilevel"/>
    <w:tmpl w:val="07D24318"/>
    <w:lvl w:ilvl="0">
      <w:start w:val="1"/>
      <w:numFmt w:val="lowerLetter"/>
      <w:lvlText w:val="%1."/>
      <w:lvlJc w:val="left"/>
      <w:pPr>
        <w:tabs>
          <w:tab w:val="num" w:pos="1428"/>
        </w:tabs>
        <w:ind w:left="1428" w:hanging="360"/>
      </w:pPr>
      <w:rPr>
        <w:rFont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1" w15:restartNumberingAfterBreak="0">
    <w:nsid w:val="375B6B08"/>
    <w:multiLevelType w:val="multilevel"/>
    <w:tmpl w:val="A5367D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F7239"/>
    <w:multiLevelType w:val="hybridMultilevel"/>
    <w:tmpl w:val="18F021A4"/>
    <w:lvl w:ilvl="0" w:tplc="51CC755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D516CB"/>
    <w:multiLevelType w:val="hybridMultilevel"/>
    <w:tmpl w:val="633ECF1A"/>
    <w:lvl w:ilvl="0" w:tplc="04090001">
      <w:start w:val="1"/>
      <w:numFmt w:val="bullet"/>
      <w:lvlText w:val=""/>
      <w:lvlJc w:val="left"/>
      <w:pPr>
        <w:ind w:left="825" w:hanging="360"/>
      </w:pPr>
      <w:rPr>
        <w:rFonts w:ascii="Symbol" w:hAnsi="Symbol" w:hint="default"/>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F823BE8"/>
    <w:multiLevelType w:val="hybridMultilevel"/>
    <w:tmpl w:val="E454FA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15542034">
    <w:abstractNumId w:val="6"/>
  </w:num>
  <w:num w:numId="2" w16cid:durableId="2088724148">
    <w:abstractNumId w:val="0"/>
  </w:num>
  <w:num w:numId="3" w16cid:durableId="295844008">
    <w:abstractNumId w:val="13"/>
  </w:num>
  <w:num w:numId="4" w16cid:durableId="1761946874">
    <w:abstractNumId w:val="3"/>
  </w:num>
  <w:num w:numId="5" w16cid:durableId="1872451355">
    <w:abstractNumId w:val="12"/>
  </w:num>
  <w:num w:numId="6" w16cid:durableId="871186981">
    <w:abstractNumId w:val="9"/>
  </w:num>
  <w:num w:numId="7" w16cid:durableId="681861794">
    <w:abstractNumId w:val="7"/>
  </w:num>
  <w:num w:numId="8" w16cid:durableId="1649360564">
    <w:abstractNumId w:val="4"/>
  </w:num>
  <w:num w:numId="9" w16cid:durableId="1958640157">
    <w:abstractNumId w:val="2"/>
  </w:num>
  <w:num w:numId="10" w16cid:durableId="2143961747">
    <w:abstractNumId w:val="14"/>
  </w:num>
  <w:num w:numId="11" w16cid:durableId="2139298481">
    <w:abstractNumId w:val="8"/>
  </w:num>
  <w:num w:numId="12" w16cid:durableId="1270965654">
    <w:abstractNumId w:val="11"/>
  </w:num>
  <w:num w:numId="13" w16cid:durableId="1013458381">
    <w:abstractNumId w:val="1"/>
  </w:num>
  <w:num w:numId="14" w16cid:durableId="1200507995">
    <w:abstractNumId w:val="10"/>
  </w:num>
  <w:num w:numId="15" w16cid:durableId="269972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C2"/>
    <w:rsid w:val="000235C0"/>
    <w:rsid w:val="00056B78"/>
    <w:rsid w:val="0007030D"/>
    <w:rsid w:val="00084CBB"/>
    <w:rsid w:val="000A5D05"/>
    <w:rsid w:val="000D70D6"/>
    <w:rsid w:val="00157507"/>
    <w:rsid w:val="00171766"/>
    <w:rsid w:val="001D367C"/>
    <w:rsid w:val="001D3D43"/>
    <w:rsid w:val="001E0035"/>
    <w:rsid w:val="001F224B"/>
    <w:rsid w:val="00207989"/>
    <w:rsid w:val="00216667"/>
    <w:rsid w:val="002620F9"/>
    <w:rsid w:val="00271585"/>
    <w:rsid w:val="0035408B"/>
    <w:rsid w:val="003B30E9"/>
    <w:rsid w:val="003D468B"/>
    <w:rsid w:val="003E6491"/>
    <w:rsid w:val="00412930"/>
    <w:rsid w:val="004A3963"/>
    <w:rsid w:val="004B7D8B"/>
    <w:rsid w:val="004C7B02"/>
    <w:rsid w:val="00551ACF"/>
    <w:rsid w:val="005A1A8F"/>
    <w:rsid w:val="005B27C2"/>
    <w:rsid w:val="005E322D"/>
    <w:rsid w:val="00604044"/>
    <w:rsid w:val="00650762"/>
    <w:rsid w:val="0068111A"/>
    <w:rsid w:val="006E26C2"/>
    <w:rsid w:val="00734FFF"/>
    <w:rsid w:val="0076474A"/>
    <w:rsid w:val="007C23C9"/>
    <w:rsid w:val="00816D34"/>
    <w:rsid w:val="00843D70"/>
    <w:rsid w:val="008A5583"/>
    <w:rsid w:val="008C2D6F"/>
    <w:rsid w:val="00905AEA"/>
    <w:rsid w:val="00933FE5"/>
    <w:rsid w:val="00950E3B"/>
    <w:rsid w:val="009B7611"/>
    <w:rsid w:val="009F1AB1"/>
    <w:rsid w:val="009F7D82"/>
    <w:rsid w:val="00A15A04"/>
    <w:rsid w:val="00A53D9D"/>
    <w:rsid w:val="00A674E4"/>
    <w:rsid w:val="00A8408F"/>
    <w:rsid w:val="00B431B6"/>
    <w:rsid w:val="00B508DA"/>
    <w:rsid w:val="00B5651D"/>
    <w:rsid w:val="00B72E21"/>
    <w:rsid w:val="00C56A12"/>
    <w:rsid w:val="00C57173"/>
    <w:rsid w:val="00C73F7D"/>
    <w:rsid w:val="00C816F4"/>
    <w:rsid w:val="00C96BAB"/>
    <w:rsid w:val="00CD4368"/>
    <w:rsid w:val="00CD62C7"/>
    <w:rsid w:val="00CE50C4"/>
    <w:rsid w:val="00D16218"/>
    <w:rsid w:val="00D41262"/>
    <w:rsid w:val="00D930C5"/>
    <w:rsid w:val="00DE15A2"/>
    <w:rsid w:val="00E23D19"/>
    <w:rsid w:val="00E87FDE"/>
    <w:rsid w:val="00EA3D75"/>
    <w:rsid w:val="00F0254B"/>
    <w:rsid w:val="00F12C3C"/>
    <w:rsid w:val="00F21A83"/>
    <w:rsid w:val="00F5286E"/>
    <w:rsid w:val="00F87199"/>
    <w:rsid w:val="3B09E36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6936D"/>
  <w15:docId w15:val="{378EAEC4-97DD-466B-8873-FE4B69E9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C2"/>
    <w:pPr>
      <w:spacing w:after="160" w:line="259" w:lineRule="auto"/>
    </w:pPr>
    <w:rPr>
      <w:rFonts w:eastAsiaTheme="minorEastAsia"/>
    </w:rPr>
  </w:style>
  <w:style w:type="paragraph" w:styleId="Heading2">
    <w:name w:val="heading 2"/>
    <w:basedOn w:val="Normal"/>
    <w:next w:val="Normal"/>
    <w:link w:val="Heading2Char"/>
    <w:qFormat/>
    <w:rsid w:val="00A53D9D"/>
    <w:pPr>
      <w:keepNext/>
      <w:spacing w:before="240" w:after="60" w:line="240" w:lineRule="auto"/>
      <w:outlineLvl w:val="1"/>
    </w:pPr>
    <w:rPr>
      <w:rFonts w:ascii="Times New (W1)" w:eastAsia="Times New Roman" w:hAnsi="Times New (W1)" w:cs="Arial"/>
      <w:b/>
      <w:bCs/>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1B6"/>
    <w:rPr>
      <w:color w:val="0000FF" w:themeColor="hyperlink"/>
      <w:u w:val="single"/>
    </w:rPr>
  </w:style>
  <w:style w:type="character" w:styleId="CommentReference">
    <w:name w:val="annotation reference"/>
    <w:basedOn w:val="DefaultParagraphFont"/>
    <w:uiPriority w:val="99"/>
    <w:semiHidden/>
    <w:unhideWhenUsed/>
    <w:rsid w:val="00B431B6"/>
    <w:rPr>
      <w:sz w:val="16"/>
      <w:szCs w:val="16"/>
    </w:rPr>
  </w:style>
  <w:style w:type="paragraph" w:styleId="CommentText">
    <w:name w:val="annotation text"/>
    <w:basedOn w:val="Normal"/>
    <w:link w:val="CommentTextChar"/>
    <w:uiPriority w:val="99"/>
    <w:semiHidden/>
    <w:unhideWhenUsed/>
    <w:rsid w:val="00B431B6"/>
    <w:pPr>
      <w:spacing w:line="240" w:lineRule="auto"/>
    </w:pPr>
    <w:rPr>
      <w:sz w:val="20"/>
      <w:szCs w:val="20"/>
    </w:rPr>
  </w:style>
  <w:style w:type="character" w:customStyle="1" w:styleId="CommentTextChar">
    <w:name w:val="Comment Text Char"/>
    <w:basedOn w:val="DefaultParagraphFont"/>
    <w:link w:val="CommentText"/>
    <w:uiPriority w:val="99"/>
    <w:semiHidden/>
    <w:rsid w:val="00B431B6"/>
    <w:rPr>
      <w:rFonts w:eastAsiaTheme="minorEastAsia"/>
      <w:sz w:val="20"/>
      <w:szCs w:val="20"/>
      <w:lang w:val="es-ES" w:eastAsia="es-ES"/>
    </w:rPr>
  </w:style>
  <w:style w:type="paragraph" w:styleId="ListParagraph">
    <w:name w:val="List Paragraph"/>
    <w:basedOn w:val="Normal"/>
    <w:uiPriority w:val="34"/>
    <w:qFormat/>
    <w:rsid w:val="00B431B6"/>
    <w:pPr>
      <w:ind w:left="720"/>
      <w:contextualSpacing/>
    </w:pPr>
  </w:style>
  <w:style w:type="paragraph" w:styleId="BalloonText">
    <w:name w:val="Balloon Text"/>
    <w:basedOn w:val="Normal"/>
    <w:link w:val="BalloonTextChar"/>
    <w:uiPriority w:val="99"/>
    <w:semiHidden/>
    <w:unhideWhenUsed/>
    <w:rsid w:val="00B4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B6"/>
    <w:rPr>
      <w:rFonts w:ascii="Tahoma" w:eastAsiaTheme="minorEastAsia" w:hAnsi="Tahoma" w:cs="Tahoma"/>
      <w:sz w:val="16"/>
      <w:szCs w:val="16"/>
      <w:lang w:val="es-ES" w:eastAsia="es-ES"/>
    </w:rPr>
  </w:style>
  <w:style w:type="paragraph" w:styleId="Header">
    <w:name w:val="header"/>
    <w:basedOn w:val="Normal"/>
    <w:link w:val="HeaderChar"/>
    <w:uiPriority w:val="99"/>
    <w:unhideWhenUsed/>
    <w:rsid w:val="00B431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31B6"/>
    <w:rPr>
      <w:rFonts w:eastAsiaTheme="minorEastAsia"/>
      <w:lang w:val="es-ES" w:eastAsia="es-ES"/>
    </w:rPr>
  </w:style>
  <w:style w:type="paragraph" w:styleId="Footer">
    <w:name w:val="footer"/>
    <w:basedOn w:val="Normal"/>
    <w:link w:val="FooterChar"/>
    <w:uiPriority w:val="99"/>
    <w:unhideWhenUsed/>
    <w:rsid w:val="00B431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B431B6"/>
    <w:rPr>
      <w:rFonts w:eastAsiaTheme="minorEastAsia"/>
      <w:lang w:val="es-ES" w:eastAsia="es-ES"/>
    </w:rPr>
  </w:style>
  <w:style w:type="character" w:customStyle="1" w:styleId="Heading2Char">
    <w:name w:val="Heading 2 Char"/>
    <w:basedOn w:val="DefaultParagraphFont"/>
    <w:link w:val="Heading2"/>
    <w:rsid w:val="00A53D9D"/>
    <w:rPr>
      <w:rFonts w:ascii="Times New (W1)" w:eastAsia="Times New Roman" w:hAnsi="Times New (W1)" w:cs="Arial"/>
      <w:b/>
      <w:bCs/>
      <w:iCs/>
      <w:sz w:val="28"/>
      <w:szCs w:val="28"/>
      <w:u w:val="single"/>
      <w:lang w:val="es-ES"/>
    </w:rPr>
  </w:style>
  <w:style w:type="paragraph" w:styleId="NormalWeb">
    <w:name w:val="Normal (Web)"/>
    <w:basedOn w:val="Normal"/>
    <w:uiPriority w:val="99"/>
    <w:rsid w:val="00A53D9D"/>
    <w:pPr>
      <w:spacing w:before="100" w:beforeAutospacing="1" w:after="100" w:afterAutospacing="1" w:line="240" w:lineRule="auto"/>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unhideWhenUsed/>
    <w:rsid w:val="00D41262"/>
    <w:rPr>
      <w:b/>
      <w:bCs/>
    </w:rPr>
  </w:style>
  <w:style w:type="character" w:customStyle="1" w:styleId="CommentSubjectChar">
    <w:name w:val="Comment Subject Char"/>
    <w:basedOn w:val="CommentTextChar"/>
    <w:link w:val="CommentSubject"/>
    <w:uiPriority w:val="99"/>
    <w:semiHidden/>
    <w:rsid w:val="00D41262"/>
    <w:rPr>
      <w:rFonts w:eastAsiaTheme="minorEastAsia"/>
      <w:b/>
      <w:bCs/>
      <w:sz w:val="20"/>
      <w:szCs w:val="20"/>
      <w:lang w:val="es-ES" w:eastAsia="es-ES"/>
    </w:rPr>
  </w:style>
  <w:style w:type="character" w:styleId="PlaceholderText">
    <w:name w:val="Placeholder Text"/>
    <w:basedOn w:val="DefaultParagraphFont"/>
    <w:uiPriority w:val="99"/>
    <w:semiHidden/>
    <w:rsid w:val="00843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AB2F90DF2E47A5A35378016E9C7AEE"/>
        <w:category>
          <w:name w:val="General"/>
          <w:gallery w:val="placeholder"/>
        </w:category>
        <w:types>
          <w:type w:val="bbPlcHdr"/>
        </w:types>
        <w:behaviors>
          <w:behavior w:val="content"/>
        </w:behaviors>
        <w:guid w:val="{03A4676A-D51F-44E3-A69E-802B1D47AE94}"/>
      </w:docPartPr>
      <w:docPartBody>
        <w:p w:rsidR="004E694A" w:rsidRDefault="00A97FD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E50"/>
    <w:rsid w:val="000A5D05"/>
    <w:rsid w:val="004E694A"/>
    <w:rsid w:val="00555BB0"/>
    <w:rsid w:val="00A1127B"/>
    <w:rsid w:val="00A97FD7"/>
    <w:rsid w:val="00B35317"/>
    <w:rsid w:val="00F746A9"/>
    <w:rsid w:val="00F7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728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UNITBMS-1904581467-143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15</UNDP_POPP_REFITEM_VERSION>
    <UNDP_POPP_ISACTIVE xmlns="8264c5cc-ec60-4b56-8111-ce635d3d139a">true</UNDP_POPP_ISACTIVE>
    <UNDP_POPP_TITLE_EN xmlns="8264c5cc-ec60-4b56-8111-ce635d3d139a">Conservación de Documentos, Protección de Datos e Imprevistos</UNDP_POPP_TITLE_EN>
    <_dlc_DocIdUrl xmlns="8264c5cc-ec60-4b56-8111-ce635d3d139a">
      <Url>https://intranet.undp.org/unit/bms/dir/internal/init_popp/_layouts/15/DocIdRedir.aspx?ID=UNITBMS-1904581467-143</Url>
      <Description>UNITBMS-1904581467-143</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668229-3FE4-42E4-90C9-4F27211FDEB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1F333DC6-4BD2-4986-8520-354F2F5045D5}">
  <ds:schemaRefs>
    <ds:schemaRef ds:uri="office.server.policy"/>
  </ds:schemaRefs>
</ds:datastoreItem>
</file>

<file path=customXml/itemProps3.xml><?xml version="1.0" encoding="utf-8"?>
<ds:datastoreItem xmlns:ds="http://schemas.openxmlformats.org/officeDocument/2006/customXml" ds:itemID="{E503B21D-C523-4E23-93A7-CF89C6EFE623}">
  <ds:schemaRefs>
    <ds:schemaRef ds:uri="http://schemas.microsoft.com/sharepoint/v3/contenttype/forms"/>
  </ds:schemaRefs>
</ds:datastoreItem>
</file>

<file path=customXml/itemProps4.xml><?xml version="1.0" encoding="utf-8"?>
<ds:datastoreItem xmlns:ds="http://schemas.openxmlformats.org/officeDocument/2006/customXml" ds:itemID="{0A06E1FA-66CB-4065-8DF2-180178A8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471BF-201B-4B70-A2CA-FFEE5BBB62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Pablo Morete</cp:lastModifiedBy>
  <cp:revision>3</cp:revision>
  <cp:lastPrinted>2016-06-24T19:38:00Z</cp:lastPrinted>
  <dcterms:created xsi:type="dcterms:W3CDTF">2023-01-07T12:10:00Z</dcterms:created>
  <dcterms:modified xsi:type="dcterms:W3CDTF">2024-06-04T10:13:00Z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0860ca55-b358-47f9-9896-5eda6496eda5</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