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01DBD" w14:textId="6F2D927B" w:rsidR="00164138" w:rsidRPr="004A3461" w:rsidRDefault="00164138" w:rsidP="00164138">
      <w:pPr>
        <w:jc w:val="both"/>
        <w:rPr>
          <w:b/>
          <w:sz w:val="28"/>
        </w:rPr>
      </w:pPr>
      <w:r w:rsidRPr="004A3461">
        <w:rPr>
          <w:b/>
          <w:sz w:val="28"/>
        </w:rPr>
        <w:t xml:space="preserve">Apertura y cierre de cuentas bancarias </w:t>
      </w:r>
    </w:p>
    <w:p w14:paraId="79E01DBF" w14:textId="32E381A0" w:rsidR="00164138" w:rsidRPr="004A3461" w:rsidRDefault="00164138" w:rsidP="005A6397">
      <w:pPr>
        <w:pStyle w:val="ListParagraph"/>
        <w:numPr>
          <w:ilvl w:val="0"/>
          <w:numId w:val="3"/>
        </w:numPr>
        <w:shd w:val="clear" w:color="auto" w:fill="FFFFFF"/>
        <w:spacing w:after="240" w:line="240" w:lineRule="auto"/>
        <w:jc w:val="both"/>
        <w:textAlignment w:val="top"/>
        <w:rPr>
          <w:rFonts w:eastAsia="Times New Roman" w:cs="Arial"/>
        </w:rPr>
      </w:pPr>
      <w:r w:rsidRPr="004A3461">
        <w:t>De conformidad con la Reglamentación Financiera 125 del Programa de las Naciones Unidas para el Desarrollo (PNUD), el Administrador ha delegado al Tesorero la autoridad para gestionar y operar las cuentas bancarias del PNUD. En consecuencia, solo el Tesorero tiene la autoridad para abrir y cerrar cuentas bancarias del PNUD, ya sea en la sede o en las oficinas de país, excepto en casos de emergencias locales, en los cuales un Representante puede tener la autoridad para abrir o cerrar una cuenta bancaria.</w:t>
      </w:r>
    </w:p>
    <w:p w14:paraId="42362984" w14:textId="77777777" w:rsidR="004C344A" w:rsidRPr="004A3461" w:rsidRDefault="004C344A" w:rsidP="005A6397">
      <w:pPr>
        <w:pStyle w:val="ListParagraph"/>
        <w:shd w:val="clear" w:color="auto" w:fill="FFFFFF"/>
        <w:spacing w:after="240" w:line="240" w:lineRule="auto"/>
        <w:jc w:val="both"/>
        <w:textAlignment w:val="top"/>
        <w:rPr>
          <w:rFonts w:eastAsia="Times New Roman" w:cs="Arial"/>
          <w:lang w:val="es-AR"/>
        </w:rPr>
      </w:pPr>
    </w:p>
    <w:p w14:paraId="79E01DC0" w14:textId="40EC3EE8" w:rsidR="00164138" w:rsidRPr="004A3461" w:rsidRDefault="00164138" w:rsidP="005A6397">
      <w:pPr>
        <w:pStyle w:val="ListParagraph"/>
        <w:numPr>
          <w:ilvl w:val="0"/>
          <w:numId w:val="3"/>
        </w:numPr>
        <w:shd w:val="clear" w:color="auto" w:fill="FFFFFF"/>
        <w:spacing w:after="240" w:line="240" w:lineRule="auto"/>
        <w:jc w:val="both"/>
        <w:textAlignment w:val="top"/>
        <w:rPr>
          <w:rFonts w:eastAsia="Times New Roman" w:cs="Arial"/>
        </w:rPr>
      </w:pPr>
      <w:r w:rsidRPr="004A3461">
        <w:t>Hay dos tipos de cuentas bancarias: cuentas de moneda convertible y cuentas de moneda no convertible. Las monedas convertibles son aquellas que se pueden convertir libremente a otras monedas. Las monedas no convertibles son aquellas que no son intercambiables libremente debido a las regulaciones gubernamentales o de los bancos centrales.</w:t>
      </w:r>
    </w:p>
    <w:p w14:paraId="53B64C9B" w14:textId="77777777" w:rsidR="00A075E3" w:rsidRPr="004A3461" w:rsidRDefault="00A075E3" w:rsidP="00A075E3">
      <w:pPr>
        <w:pStyle w:val="ListParagraph"/>
        <w:shd w:val="clear" w:color="auto" w:fill="FFFFFF"/>
        <w:spacing w:after="240" w:line="240" w:lineRule="auto"/>
        <w:jc w:val="both"/>
        <w:textAlignment w:val="top"/>
        <w:rPr>
          <w:rFonts w:eastAsia="Times New Roman" w:cs="Arial"/>
          <w:lang w:val="es-AR"/>
        </w:rPr>
      </w:pPr>
    </w:p>
    <w:p w14:paraId="79E01DC3" w14:textId="5EC9134E" w:rsidR="00191115" w:rsidRPr="004A3461" w:rsidRDefault="00191115" w:rsidP="00A075E3">
      <w:pPr>
        <w:pStyle w:val="ListParagraph"/>
        <w:numPr>
          <w:ilvl w:val="0"/>
          <w:numId w:val="3"/>
        </w:numPr>
        <w:shd w:val="clear" w:color="auto" w:fill="FFFFFF"/>
        <w:spacing w:after="240" w:line="240" w:lineRule="auto"/>
        <w:jc w:val="both"/>
        <w:textAlignment w:val="top"/>
        <w:rPr>
          <w:rFonts w:eastAsia="Times New Roman" w:cs="Arial"/>
        </w:rPr>
      </w:pPr>
      <w:r w:rsidRPr="004A3461">
        <w:t>Se deben observar los siguientes puntos, en función de la Reglamentación Financiera 125.01 y la Reglamentación 125.02</w:t>
      </w:r>
      <w:r w:rsidR="008451B4" w:rsidRPr="004A3461">
        <w:rPr>
          <w:rStyle w:val="FootnoteReference"/>
          <w:rFonts w:eastAsia="Times New Roman" w:cs="Arial"/>
          <w:lang w:val="en-GB"/>
        </w:rPr>
        <w:footnoteReference w:id="1"/>
      </w:r>
      <w:r w:rsidRPr="004A3461">
        <w:t xml:space="preserve">: </w:t>
      </w:r>
    </w:p>
    <w:p w14:paraId="79E01DC4" w14:textId="64155AD8" w:rsidR="00191115" w:rsidRPr="004A3461" w:rsidRDefault="00164138" w:rsidP="00A075E3">
      <w:pPr>
        <w:pStyle w:val="ListParagraph"/>
        <w:numPr>
          <w:ilvl w:val="0"/>
          <w:numId w:val="4"/>
        </w:numPr>
        <w:shd w:val="clear" w:color="auto" w:fill="FFFFFF"/>
        <w:spacing w:after="0" w:line="240" w:lineRule="auto"/>
        <w:jc w:val="both"/>
        <w:textAlignment w:val="top"/>
        <w:rPr>
          <w:rFonts w:eastAsia="Times New Roman" w:cs="Arial"/>
        </w:rPr>
      </w:pPr>
      <w:r w:rsidRPr="004A3461">
        <w:t xml:space="preserve">La Tesorería creará y conservará toda la información de las cuentas bancarias del PNUD (cuentas bancarias de la sede y de las oficinas de país) en </w:t>
      </w:r>
      <w:r w:rsidR="00892B9A">
        <w:t>Quantum</w:t>
      </w:r>
      <w:r w:rsidRPr="004A3461">
        <w:t>.</w:t>
      </w:r>
    </w:p>
    <w:p w14:paraId="79E01DC5" w14:textId="7B667B71" w:rsidR="00191115" w:rsidRPr="004A3461" w:rsidRDefault="00164138" w:rsidP="61E6A4E1">
      <w:pPr>
        <w:pStyle w:val="ListParagraph"/>
        <w:numPr>
          <w:ilvl w:val="0"/>
          <w:numId w:val="4"/>
        </w:numPr>
        <w:shd w:val="clear" w:color="auto" w:fill="FFFFFF" w:themeFill="background1"/>
        <w:spacing w:after="0" w:line="240" w:lineRule="auto"/>
        <w:jc w:val="both"/>
        <w:textAlignment w:val="top"/>
        <w:rPr>
          <w:rFonts w:eastAsia="Times New Roman" w:cs="Arial"/>
        </w:rPr>
      </w:pPr>
      <w:r>
        <w:t>Lo ideal es que las oficinas de país operen solo dos cuentas bancarias</w:t>
      </w:r>
      <w:r w:rsidR="13A4BA2C">
        <w:t>.</w:t>
      </w:r>
      <w:r>
        <w:t xml:space="preserve"> </w:t>
      </w:r>
    </w:p>
    <w:p w14:paraId="79E01DC6" w14:textId="07F59C85" w:rsidR="00191115" w:rsidRPr="004A3461" w:rsidRDefault="00E20F6A" w:rsidP="00A075E3">
      <w:pPr>
        <w:pStyle w:val="ListParagraph"/>
        <w:numPr>
          <w:ilvl w:val="0"/>
          <w:numId w:val="4"/>
        </w:numPr>
        <w:shd w:val="clear" w:color="auto" w:fill="FFFFFF"/>
        <w:spacing w:after="0" w:line="240" w:lineRule="auto"/>
        <w:jc w:val="both"/>
        <w:textAlignment w:val="top"/>
        <w:rPr>
          <w:rFonts w:eastAsia="Times New Roman" w:cs="Arial"/>
        </w:rPr>
      </w:pPr>
      <w:r w:rsidRPr="004A3461">
        <w:t>Una cuenta en moneda local que puede ser convertible o no convertible, y una cuenta en moneda convertible externa (por ejemplo, cuentas de saldo cero en dólares estadounidenses o euros).</w:t>
      </w:r>
    </w:p>
    <w:p w14:paraId="79E01DC7" w14:textId="77777777" w:rsidR="00191115" w:rsidRPr="004A3461" w:rsidRDefault="00164138" w:rsidP="00A075E3">
      <w:pPr>
        <w:pStyle w:val="ListParagraph"/>
        <w:numPr>
          <w:ilvl w:val="0"/>
          <w:numId w:val="4"/>
        </w:numPr>
        <w:shd w:val="clear" w:color="auto" w:fill="FFFFFF"/>
        <w:spacing w:after="0" w:line="240" w:lineRule="auto"/>
        <w:jc w:val="both"/>
        <w:textAlignment w:val="top"/>
        <w:rPr>
          <w:rFonts w:eastAsia="Times New Roman" w:cs="Arial"/>
        </w:rPr>
      </w:pPr>
      <w:r w:rsidRPr="004A3461">
        <w:t xml:space="preserve">Debido a los acuerdos especiales entre el PNUD y sus donantes, las normas locales de control cambiario o las prácticas comerciales locales, puede ser necesario que algunas oficinas de país operen una cuenta local en dólares estadounidenses o euros, así como cuentas en moneda local adicionales. Estas cuentas solo se abrirán y mantendrán si fuese necesario para el buen funcionamiento de la oficina. Las cuentas locales especiales del Banco Interamericano de Desarrollo (BID) en algunas oficinas de América Latina son ejemplos de cuentas abiertas debido a acuerdos con donantes. Estos tipos de cuentas son excepciones a la reglamentación del punto C anterior. </w:t>
      </w:r>
    </w:p>
    <w:p w14:paraId="79E01DC8" w14:textId="259AA526" w:rsidR="00E20F6A" w:rsidRPr="004A3461" w:rsidRDefault="00164138" w:rsidP="61E6A4E1">
      <w:pPr>
        <w:pStyle w:val="ListParagraph"/>
        <w:numPr>
          <w:ilvl w:val="0"/>
          <w:numId w:val="4"/>
        </w:numPr>
        <w:shd w:val="clear" w:color="auto" w:fill="FFFFFF" w:themeFill="background1"/>
        <w:spacing w:after="0" w:line="240" w:lineRule="auto"/>
        <w:jc w:val="both"/>
        <w:textAlignment w:val="top"/>
        <w:rPr>
          <w:rFonts w:eastAsia="Times New Roman" w:cs="Arial"/>
        </w:rPr>
      </w:pPr>
      <w:r>
        <w:t xml:space="preserve">NO se permiten cuentas bancarias separadas para la modalidad de implementación nacional (NIM, </w:t>
      </w:r>
      <w:r w:rsidRPr="61E6A4E1">
        <w:rPr>
          <w:i/>
          <w:iCs/>
        </w:rPr>
        <w:t>national implementation modality</w:t>
      </w:r>
      <w:r>
        <w:t xml:space="preserve">, por sus siglas en inglés). Cuando los asociados de la NIM requieren cuentas bancarias, estas cuentas deben ser abiertas y operadas por estos asociados y no por el PNUD. El personal del PNUD no debe actuar como signatario de estas cuentas bancarias, ni debe proporcionar cartas de apertura o cierre de cuentas al banco </w:t>
      </w:r>
      <w:r w:rsidR="420CF111">
        <w:t xml:space="preserve">en nombre </w:t>
      </w:r>
      <w:r>
        <w:t>del proyecto.</w:t>
      </w:r>
    </w:p>
    <w:p w14:paraId="79E01DC9" w14:textId="38BE6976" w:rsidR="00E20F6A" w:rsidRPr="004A3461" w:rsidRDefault="00164138" w:rsidP="61E6A4E1">
      <w:pPr>
        <w:pStyle w:val="ListParagraph"/>
        <w:numPr>
          <w:ilvl w:val="0"/>
          <w:numId w:val="4"/>
        </w:numPr>
        <w:shd w:val="clear" w:color="auto" w:fill="FFFFFF" w:themeFill="background1"/>
        <w:spacing w:after="0" w:line="240" w:lineRule="auto"/>
        <w:jc w:val="both"/>
        <w:textAlignment w:val="top"/>
        <w:rPr>
          <w:rFonts w:eastAsia="Times New Roman" w:cs="Arial"/>
        </w:rPr>
      </w:pPr>
      <w:r>
        <w:t xml:space="preserve">La Tesorería puede autorizar excepcionalmente una cuenta bancaria para los requisitos de proyectos de modalidad de implementación directa (DIM, </w:t>
      </w:r>
      <w:r w:rsidRPr="61E6A4E1">
        <w:rPr>
          <w:i/>
          <w:iCs/>
        </w:rPr>
        <w:t>direct implementation modality</w:t>
      </w:r>
      <w:r>
        <w:t xml:space="preserve">, por sus siglas en inglés). Las cuentas de proyectos de DIM se gestionan de la misma manera </w:t>
      </w:r>
      <w:r>
        <w:lastRenderedPageBreak/>
        <w:t>que las cuentas bancarias de PNUD. Para obtener más información o para solicitar una cuenta bancaria de proyecto de DIM, comuníquese con Tesorería.</w:t>
      </w:r>
    </w:p>
    <w:p w14:paraId="79E01DCB" w14:textId="7404EFAD" w:rsidR="00164138" w:rsidRPr="004A3461" w:rsidRDefault="00164138" w:rsidP="00164138">
      <w:pPr>
        <w:pStyle w:val="ListParagraph"/>
        <w:numPr>
          <w:ilvl w:val="0"/>
          <w:numId w:val="4"/>
        </w:numPr>
        <w:shd w:val="clear" w:color="auto" w:fill="FFFFFF"/>
        <w:spacing w:after="0" w:line="240" w:lineRule="auto"/>
        <w:jc w:val="both"/>
        <w:textAlignment w:val="top"/>
        <w:rPr>
          <w:rFonts w:eastAsia="Times New Roman" w:cs="Arial"/>
        </w:rPr>
      </w:pPr>
      <w:r w:rsidRPr="004A3461">
        <w:t xml:space="preserve">En casos de emergencias locales (por ejemplo, en caso de cierre repentino del banco donde la oficina del PNUD tiene su cuenta), el Representante puede abrir una nueva cuenta bancaria con otro banco local para evitar interrupciones importantes en las operaciones locales y salvaguardar los activos financieros del PNUD. En estos casos, el Tesorero debe ser informado de esta acción tan pronto como sea posible luego de la apertura de la cuenta. </w:t>
      </w:r>
    </w:p>
    <w:p w14:paraId="7C6BC165" w14:textId="77777777" w:rsidR="0027290C" w:rsidRPr="004A3461" w:rsidRDefault="0027290C" w:rsidP="0027290C">
      <w:pPr>
        <w:pStyle w:val="ListParagraph"/>
        <w:shd w:val="clear" w:color="auto" w:fill="FFFFFF"/>
        <w:spacing w:after="0" w:line="240" w:lineRule="auto"/>
        <w:ind w:left="1080"/>
        <w:jc w:val="both"/>
        <w:textAlignment w:val="top"/>
        <w:rPr>
          <w:rFonts w:eastAsia="Times New Roman" w:cs="Arial"/>
          <w:lang w:val="es-AR"/>
        </w:rPr>
      </w:pPr>
    </w:p>
    <w:p w14:paraId="1E4C8EE1" w14:textId="77777777" w:rsidR="003233E8" w:rsidRPr="004A3461" w:rsidRDefault="003233E8" w:rsidP="003233E8">
      <w:pPr>
        <w:pStyle w:val="ListParagraph"/>
        <w:numPr>
          <w:ilvl w:val="0"/>
          <w:numId w:val="3"/>
        </w:numPr>
        <w:shd w:val="clear" w:color="auto" w:fill="FFFFFF"/>
        <w:spacing w:after="0" w:line="240" w:lineRule="auto"/>
        <w:jc w:val="both"/>
        <w:textAlignment w:val="top"/>
        <w:rPr>
          <w:rFonts w:eastAsia="Times New Roman" w:cs="Arial"/>
        </w:rPr>
      </w:pPr>
      <w:r w:rsidRPr="004A3461">
        <w:t xml:space="preserve">Las cuentas bancarias que no registren actividad de recibos y/o desembolsos, además de la contabilización de cargos por servicio y/o intereses, durante un período de 6 meses deberán revisarse semestralmente en junio y diciembre y deberán cerrarse.  La decisión de mantener una cuenta abierta y activa a pesar de la inactividad durante 6 meses debe documentarse y enviarse al Tesorero.  El Tesorero tomará la decisión final sobre el cierre de la cuenta. </w:t>
      </w:r>
    </w:p>
    <w:p w14:paraId="244618CB" w14:textId="77777777" w:rsidR="003233E8" w:rsidRPr="004A3461" w:rsidRDefault="003233E8" w:rsidP="004A3461">
      <w:pPr>
        <w:pStyle w:val="ListParagraph"/>
        <w:shd w:val="clear" w:color="auto" w:fill="FFFFFF"/>
        <w:spacing w:after="0" w:line="240" w:lineRule="auto"/>
        <w:jc w:val="both"/>
        <w:textAlignment w:val="top"/>
        <w:rPr>
          <w:rFonts w:eastAsia="Times New Roman" w:cs="Arial"/>
          <w:lang w:val="es-AR"/>
        </w:rPr>
      </w:pPr>
    </w:p>
    <w:p w14:paraId="2631B671" w14:textId="27221979" w:rsidR="001B4AEF" w:rsidRPr="005C1366" w:rsidRDefault="003233E8" w:rsidP="003233E8">
      <w:pPr>
        <w:pStyle w:val="ListParagraph"/>
        <w:numPr>
          <w:ilvl w:val="0"/>
          <w:numId w:val="3"/>
        </w:numPr>
        <w:shd w:val="clear" w:color="auto" w:fill="FFFFFF"/>
        <w:spacing w:after="0" w:line="240" w:lineRule="auto"/>
        <w:jc w:val="both"/>
        <w:textAlignment w:val="top"/>
        <w:rPr>
          <w:rFonts w:eastAsia="Times New Roman" w:cs="Arial"/>
        </w:rPr>
      </w:pPr>
      <w:r w:rsidRPr="004A3461">
        <w:t xml:space="preserve">Luego de tomar la decisión de cerrar una cuenta activa, se la mantendrá abierta durante 3 a 6 meses a fin de registrar cualquier transacción no contabilizada.  </w:t>
      </w:r>
    </w:p>
    <w:p w14:paraId="623804F5" w14:textId="77777777" w:rsidR="005C1366" w:rsidRDefault="005C1366" w:rsidP="005C1366">
      <w:pPr>
        <w:shd w:val="clear" w:color="auto" w:fill="FFFFFF"/>
        <w:spacing w:after="0" w:line="240" w:lineRule="auto"/>
        <w:jc w:val="both"/>
        <w:textAlignment w:val="top"/>
        <w:rPr>
          <w:rFonts w:eastAsia="Times New Roman" w:cs="Arial"/>
        </w:rPr>
      </w:pPr>
    </w:p>
    <w:p w14:paraId="03055EE8" w14:textId="77777777" w:rsidR="005C1366" w:rsidRDefault="005C1366" w:rsidP="005C1366">
      <w:pPr>
        <w:shd w:val="clear" w:color="auto" w:fill="FFFFFF"/>
        <w:spacing w:after="0" w:line="240" w:lineRule="auto"/>
        <w:jc w:val="both"/>
        <w:textAlignment w:val="top"/>
        <w:rPr>
          <w:rFonts w:eastAsia="Times New Roman" w:cs="Arial"/>
        </w:rPr>
      </w:pPr>
    </w:p>
    <w:p w14:paraId="1213C8F0" w14:textId="77777777" w:rsidR="005C1366" w:rsidRDefault="005C1366" w:rsidP="005C1366">
      <w:pPr>
        <w:pStyle w:val="NormalWeb"/>
        <w:shd w:val="clear" w:color="auto" w:fill="FFFFFF"/>
        <w:spacing w:before="0" w:beforeAutospacing="0" w:after="0" w:afterAutospacing="0"/>
        <w:jc w:val="center"/>
        <w:rPr>
          <w:rFonts w:ascii="Calibri" w:hAnsi="Calibri"/>
          <w:color w:val="000000"/>
        </w:rPr>
      </w:pPr>
      <w:r>
        <w:rPr>
          <w:rFonts w:ascii="Calibri" w:hAnsi="Calibri"/>
          <w:i/>
          <w:iCs/>
          <w:color w:val="212121"/>
          <w:bdr w:val="none" w:sz="0" w:space="0" w:color="auto" w:frame="1"/>
        </w:rPr>
        <w:t>Disclaimer: This document was translated from English into Spanish. In the event of any discrepancy between this translation and the original English document, the original English document shall prevail.</w:t>
      </w:r>
    </w:p>
    <w:p w14:paraId="1C106AA5" w14:textId="77777777" w:rsidR="005C1366" w:rsidRDefault="005C1366" w:rsidP="005C1366">
      <w:pPr>
        <w:pStyle w:val="NormalWeb"/>
        <w:shd w:val="clear" w:color="auto" w:fill="FFFFFF"/>
        <w:spacing w:before="0" w:beforeAutospacing="0" w:after="0" w:afterAutospacing="0"/>
        <w:jc w:val="center"/>
        <w:rPr>
          <w:rFonts w:ascii="Calibri" w:hAnsi="Calibri"/>
          <w:color w:val="000000"/>
        </w:rPr>
      </w:pPr>
      <w:r>
        <w:rPr>
          <w:rFonts w:ascii="Calibri" w:hAnsi="Calibri"/>
          <w:i/>
          <w:iCs/>
          <w:color w:val="212121"/>
          <w:bdr w:val="none" w:sz="0" w:space="0" w:color="auto" w:frame="1"/>
        </w:rPr>
        <w:t> </w:t>
      </w:r>
    </w:p>
    <w:p w14:paraId="3CD7EC0C" w14:textId="77777777" w:rsidR="005C1366" w:rsidRPr="005C1366" w:rsidRDefault="005C1366" w:rsidP="005C1366">
      <w:pPr>
        <w:pStyle w:val="NormalWeb"/>
        <w:shd w:val="clear" w:color="auto" w:fill="FFFFFF"/>
        <w:spacing w:before="0" w:beforeAutospacing="0" w:after="0" w:afterAutospacing="0"/>
        <w:jc w:val="center"/>
        <w:rPr>
          <w:rFonts w:ascii="Calibri" w:hAnsi="Calibri"/>
          <w:color w:val="000000"/>
          <w:lang w:val="es-ES_tradnl"/>
        </w:rPr>
      </w:pPr>
      <w:r>
        <w:rPr>
          <w:rFonts w:ascii="Calibri" w:hAnsi="Calibri"/>
          <w:i/>
          <w:iCs/>
          <w:color w:val="212121"/>
          <w:bdr w:val="none" w:sz="0" w:space="0" w:color="auto" w:frame="1"/>
          <w:shd w:val="clear" w:color="auto" w:fill="FFFFFF"/>
          <w:lang w:val="es-ES_tradnl"/>
        </w:rPr>
        <w:t>Descargo de responsabilidad: esta es una traducción de un documento original en inglés. </w:t>
      </w:r>
      <w:r>
        <w:rPr>
          <w:rFonts w:ascii="Calibri" w:hAnsi="Calibri"/>
          <w:i/>
          <w:iCs/>
          <w:color w:val="212121"/>
          <w:bdr w:val="none" w:sz="0" w:space="0" w:color="auto" w:frame="1"/>
          <w:shd w:val="clear" w:color="auto" w:fill="FFFFFF"/>
          <w:lang w:val="es-UY"/>
        </w:rPr>
        <w:t>En caso de discrepancias entre esta traducción y el documento original en inglés, prevalecerá el documento original en inglés.</w:t>
      </w:r>
    </w:p>
    <w:p w14:paraId="00169239" w14:textId="77777777" w:rsidR="005C1366" w:rsidRPr="005C1366" w:rsidRDefault="005C1366" w:rsidP="005C1366">
      <w:pPr>
        <w:shd w:val="clear" w:color="auto" w:fill="FFFFFF"/>
        <w:spacing w:after="0" w:line="240" w:lineRule="auto"/>
        <w:jc w:val="both"/>
        <w:textAlignment w:val="top"/>
        <w:rPr>
          <w:rFonts w:eastAsia="Times New Roman" w:cs="Arial"/>
          <w:lang w:val="es-ES_tradnl"/>
        </w:rPr>
      </w:pPr>
    </w:p>
    <w:sectPr w:rsidR="005C1366" w:rsidRPr="005C136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C876B" w14:textId="77777777" w:rsidR="0014627C" w:rsidRDefault="0014627C" w:rsidP="008451B4">
      <w:pPr>
        <w:spacing w:after="0" w:line="240" w:lineRule="auto"/>
      </w:pPr>
      <w:r>
        <w:separator/>
      </w:r>
    </w:p>
  </w:endnote>
  <w:endnote w:type="continuationSeparator" w:id="0">
    <w:p w14:paraId="4E24B287" w14:textId="77777777" w:rsidR="0014627C" w:rsidRDefault="0014627C" w:rsidP="00845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606C" w14:textId="77777777" w:rsidR="00076FA4" w:rsidRDefault="00076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1DD1" w14:textId="59E5B8FB" w:rsidR="008451B4" w:rsidRDefault="006630B0">
    <w:pPr>
      <w:pStyle w:val="Footer"/>
    </w:pPr>
    <w:r>
      <w:t xml:space="preserve">Página </w:t>
    </w:r>
    <w:r>
      <w:rPr>
        <w:b/>
      </w:rPr>
      <w:fldChar w:fldCharType="begin"/>
    </w:r>
    <w:r>
      <w:rPr>
        <w:b/>
      </w:rPr>
      <w:instrText xml:space="preserve"> PAGE  \* Arabic  \* MERGEFORMAT </w:instrText>
    </w:r>
    <w:r>
      <w:rPr>
        <w:b/>
      </w:rPr>
      <w:fldChar w:fldCharType="separate"/>
    </w:r>
    <w:r w:rsidR="000E124C">
      <w:rPr>
        <w:b/>
        <w:noProof/>
      </w:rPr>
      <w:t>1</w:t>
    </w:r>
    <w:r>
      <w:rPr>
        <w:b/>
      </w:rPr>
      <w:fldChar w:fldCharType="end"/>
    </w:r>
    <w:r>
      <w:t xml:space="preserve"> de </w:t>
    </w:r>
    <w:r>
      <w:rPr>
        <w:b/>
      </w:rPr>
      <w:fldChar w:fldCharType="begin"/>
    </w:r>
    <w:r>
      <w:rPr>
        <w:b/>
      </w:rPr>
      <w:instrText xml:space="preserve"> NUMPAGES  \* Arabic  \* MERGEFORMAT </w:instrText>
    </w:r>
    <w:r>
      <w:rPr>
        <w:b/>
      </w:rPr>
      <w:fldChar w:fldCharType="separate"/>
    </w:r>
    <w:r w:rsidR="000E124C">
      <w:rPr>
        <w:b/>
        <w:noProof/>
      </w:rPr>
      <w:t>2</w:t>
    </w:r>
    <w:r>
      <w:rPr>
        <w:b/>
      </w:rPr>
      <w:fldChar w:fldCharType="end"/>
    </w:r>
    <w:r>
      <w:ptab w:relativeTo="margin" w:alignment="center" w:leader="none"/>
    </w:r>
    <w:r>
      <w:t xml:space="preserve">Fecha de entrada en vigor: </w:t>
    </w:r>
    <w:r w:rsidR="00463141" w:rsidRPr="00463141">
      <w:t>1</w:t>
    </w:r>
    <w:r w:rsidR="00463141">
      <w:t>8</w:t>
    </w:r>
    <w:r w:rsidR="00463141" w:rsidRPr="00463141">
      <w:t>/07/2019</w:t>
    </w:r>
    <w:r w:rsidR="00463141" w:rsidRPr="00463141">
      <w:t xml:space="preserve"> </w:t>
    </w:r>
    <w:r>
      <w:ptab w:relativeTo="margin" w:alignment="right" w:leader="none"/>
    </w:r>
    <w:r>
      <w:t xml:space="preserve">Versión n.º: </w:t>
    </w:r>
    <w:sdt>
      <w:sdtPr>
        <w:alias w:val="POPPRefItemVersion"/>
        <w:tag w:val="UNDP_POPP_REFITEM_VERSION"/>
        <w:id w:val="2132823057"/>
        <w:placeholder>
          <w:docPart w:val="F6F5084B563146BC9645DDB3D2DC84D1"/>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02FA2DFC-B7DF-453E-9044-9E40595BEA32}"/>
        <w:text/>
      </w:sdtPr>
      <w:sdtContent>
        <w:r w:rsidR="00463141">
          <w:t>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10BE3" w14:textId="77777777" w:rsidR="00076FA4" w:rsidRDefault="00076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0BC66" w14:textId="77777777" w:rsidR="0014627C" w:rsidRDefault="0014627C" w:rsidP="008451B4">
      <w:pPr>
        <w:spacing w:after="0" w:line="240" w:lineRule="auto"/>
      </w:pPr>
      <w:r>
        <w:separator/>
      </w:r>
    </w:p>
  </w:footnote>
  <w:footnote w:type="continuationSeparator" w:id="0">
    <w:p w14:paraId="0AEB58F5" w14:textId="77777777" w:rsidR="0014627C" w:rsidRDefault="0014627C" w:rsidP="008451B4">
      <w:pPr>
        <w:spacing w:after="0" w:line="240" w:lineRule="auto"/>
      </w:pPr>
      <w:r>
        <w:continuationSeparator/>
      </w:r>
    </w:p>
  </w:footnote>
  <w:footnote w:id="1">
    <w:p w14:paraId="79E01DD2" w14:textId="56790626" w:rsidR="008451B4" w:rsidRDefault="008451B4" w:rsidP="008451B4">
      <w:pPr>
        <w:pStyle w:val="FootnoteText"/>
      </w:pPr>
      <w:r>
        <w:rPr>
          <w:rStyle w:val="FootnoteReference"/>
        </w:rPr>
        <w:footnoteRef/>
      </w:r>
      <w:r>
        <w:t xml:space="preserve"> Reglamentación 125.01: el Tesorero, del Buró de Gestión de Servicios, está autorizado para designar el banco o los bancos en los cuales se depositarán y mantendrán los fondos del PNUD y los fondos gestionados por el PNUD. La designación de un banco debe cubrir todas las sucursales de dicho banco. El Tesorero deberá promulgar los criterios para la calificación de dichos bancos.</w:t>
      </w:r>
    </w:p>
    <w:p w14:paraId="79E01DD3" w14:textId="77777777" w:rsidR="008451B4" w:rsidRDefault="008451B4" w:rsidP="008451B4">
      <w:pPr>
        <w:pStyle w:val="FootnoteText"/>
      </w:pPr>
    </w:p>
    <w:p w14:paraId="79E01DD4" w14:textId="77777777" w:rsidR="008451B4" w:rsidRDefault="008451B4" w:rsidP="008451B4">
      <w:pPr>
        <w:pStyle w:val="FootnoteText"/>
      </w:pPr>
      <w:r>
        <w:t>Reglamentación 125.02: el Tesorero establecerá criterios para la apertura de cuentas bancarias en situaciones de emergencia.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B3431" w14:textId="77777777" w:rsidR="00076FA4" w:rsidRDefault="00076F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515FD" w14:textId="2E4B2539" w:rsidR="00FB0951" w:rsidRDefault="61E6A4E1" w:rsidP="00076FA4">
    <w:pPr>
      <w:pStyle w:val="Header"/>
      <w:ind w:left="9360" w:right="43"/>
      <w:jc w:val="right"/>
    </w:pPr>
    <w:r>
      <w:rPr>
        <w:noProof/>
        <w:lang w:val="en-US" w:eastAsia="en-US"/>
      </w:rPr>
      <w:drawing>
        <wp:inline distT="0" distB="0" distL="0" distR="0" wp14:anchorId="46F68783" wp14:editId="223A368B">
          <wp:extent cx="304800" cy="601824"/>
          <wp:effectExtent l="0" t="0" r="0" b="8255"/>
          <wp:docPr id="3899183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1">
                  <a:blip r:embed="rId1">
                    <a:extLst>
                      <a:ext uri="{28A0092B-C50C-407E-A947-70E740481C1C}">
                        <a14:useLocalDpi xmlns:a14="http://schemas.microsoft.com/office/drawing/2010/main" val="0"/>
                      </a:ext>
                    </a:extLst>
                  </a:blip>
                  <a:srcRect r="-18" b="14385"/>
                  <a:stretch/>
                </pic:blipFill>
                <pic:spPr bwMode="auto">
                  <a:xfrm>
                    <a:off x="0" y="0"/>
                    <a:ext cx="304855" cy="60193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F5D06" w14:textId="77777777" w:rsidR="00076FA4" w:rsidRDefault="00076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C5455"/>
    <w:multiLevelType w:val="hybridMultilevel"/>
    <w:tmpl w:val="36049FAC"/>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D8F4F85"/>
    <w:multiLevelType w:val="multilevel"/>
    <w:tmpl w:val="E4B8E6BE"/>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80"/>
        </w:tabs>
        <w:ind w:left="-180" w:hanging="360"/>
      </w:pPr>
      <w:rPr>
        <w:rFonts w:ascii="Courier New" w:hAnsi="Courier New" w:hint="default"/>
        <w:sz w:val="20"/>
      </w:rPr>
    </w:lvl>
    <w:lvl w:ilvl="2" w:tentative="1">
      <w:start w:val="1"/>
      <w:numFmt w:val="bullet"/>
      <w:lvlText w:val=""/>
      <w:lvlJc w:val="left"/>
      <w:pPr>
        <w:tabs>
          <w:tab w:val="num" w:pos="540"/>
        </w:tabs>
        <w:ind w:left="540" w:hanging="360"/>
      </w:pPr>
      <w:rPr>
        <w:rFonts w:ascii="Wingdings" w:hAnsi="Wingdings" w:hint="default"/>
        <w:sz w:val="20"/>
      </w:rPr>
    </w:lvl>
    <w:lvl w:ilvl="3" w:tentative="1">
      <w:start w:val="1"/>
      <w:numFmt w:val="bullet"/>
      <w:lvlText w:val=""/>
      <w:lvlJc w:val="left"/>
      <w:pPr>
        <w:tabs>
          <w:tab w:val="num" w:pos="1260"/>
        </w:tabs>
        <w:ind w:left="1260" w:hanging="360"/>
      </w:pPr>
      <w:rPr>
        <w:rFonts w:ascii="Wingdings" w:hAnsi="Wingdings" w:hint="default"/>
        <w:sz w:val="20"/>
      </w:rPr>
    </w:lvl>
    <w:lvl w:ilvl="4" w:tentative="1">
      <w:start w:val="1"/>
      <w:numFmt w:val="bullet"/>
      <w:lvlText w:val=""/>
      <w:lvlJc w:val="left"/>
      <w:pPr>
        <w:tabs>
          <w:tab w:val="num" w:pos="1980"/>
        </w:tabs>
        <w:ind w:left="1980" w:hanging="360"/>
      </w:pPr>
      <w:rPr>
        <w:rFonts w:ascii="Wingdings" w:hAnsi="Wingdings" w:hint="default"/>
        <w:sz w:val="20"/>
      </w:rPr>
    </w:lvl>
    <w:lvl w:ilvl="5" w:tentative="1">
      <w:start w:val="1"/>
      <w:numFmt w:val="bullet"/>
      <w:lvlText w:val=""/>
      <w:lvlJc w:val="left"/>
      <w:pPr>
        <w:tabs>
          <w:tab w:val="num" w:pos="2700"/>
        </w:tabs>
        <w:ind w:left="2700" w:hanging="360"/>
      </w:pPr>
      <w:rPr>
        <w:rFonts w:ascii="Wingdings" w:hAnsi="Wingdings" w:hint="default"/>
        <w:sz w:val="20"/>
      </w:rPr>
    </w:lvl>
    <w:lvl w:ilvl="6" w:tentative="1">
      <w:start w:val="1"/>
      <w:numFmt w:val="bullet"/>
      <w:lvlText w:val=""/>
      <w:lvlJc w:val="left"/>
      <w:pPr>
        <w:tabs>
          <w:tab w:val="num" w:pos="3420"/>
        </w:tabs>
        <w:ind w:left="3420" w:hanging="360"/>
      </w:pPr>
      <w:rPr>
        <w:rFonts w:ascii="Wingdings" w:hAnsi="Wingdings" w:hint="default"/>
        <w:sz w:val="20"/>
      </w:rPr>
    </w:lvl>
    <w:lvl w:ilvl="7" w:tentative="1">
      <w:start w:val="1"/>
      <w:numFmt w:val="bullet"/>
      <w:lvlText w:val=""/>
      <w:lvlJc w:val="left"/>
      <w:pPr>
        <w:tabs>
          <w:tab w:val="num" w:pos="4140"/>
        </w:tabs>
        <w:ind w:left="4140" w:hanging="360"/>
      </w:pPr>
      <w:rPr>
        <w:rFonts w:ascii="Wingdings" w:hAnsi="Wingdings" w:hint="default"/>
        <w:sz w:val="20"/>
      </w:rPr>
    </w:lvl>
    <w:lvl w:ilvl="8" w:tentative="1">
      <w:start w:val="1"/>
      <w:numFmt w:val="bullet"/>
      <w:lvlText w:val=""/>
      <w:lvlJc w:val="left"/>
      <w:pPr>
        <w:tabs>
          <w:tab w:val="num" w:pos="4860"/>
        </w:tabs>
        <w:ind w:left="4860" w:hanging="360"/>
      </w:pPr>
      <w:rPr>
        <w:rFonts w:ascii="Wingdings" w:hAnsi="Wingdings" w:hint="default"/>
        <w:sz w:val="20"/>
      </w:rPr>
    </w:lvl>
  </w:abstractNum>
  <w:abstractNum w:abstractNumId="2" w15:restartNumberingAfterBreak="0">
    <w:nsid w:val="4F4E2651"/>
    <w:multiLevelType w:val="multilevel"/>
    <w:tmpl w:val="FA2AE7DA"/>
    <w:lvl w:ilvl="0">
      <w:start w:val="1"/>
      <w:numFmt w:val="decimal"/>
      <w:lvlText w:val="%1."/>
      <w:lvlJc w:val="left"/>
      <w:pPr>
        <w:ind w:left="720" w:hanging="360"/>
      </w:pPr>
    </w:lvl>
    <w:lvl w:ilv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79A50B51"/>
    <w:multiLevelType w:val="hybridMultilevel"/>
    <w:tmpl w:val="8A4E6D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48000938">
    <w:abstractNumId w:val="1"/>
  </w:num>
  <w:num w:numId="2" w16cid:durableId="1757239208">
    <w:abstractNumId w:val="3"/>
  </w:num>
  <w:num w:numId="3" w16cid:durableId="754016486">
    <w:abstractNumId w:val="2"/>
  </w:num>
  <w:num w:numId="4" w16cid:durableId="1218012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138"/>
    <w:rsid w:val="00004D36"/>
    <w:rsid w:val="00021E1B"/>
    <w:rsid w:val="000227CC"/>
    <w:rsid w:val="00057989"/>
    <w:rsid w:val="00073531"/>
    <w:rsid w:val="00073859"/>
    <w:rsid w:val="0007391C"/>
    <w:rsid w:val="00076FA4"/>
    <w:rsid w:val="00082B1C"/>
    <w:rsid w:val="000839EB"/>
    <w:rsid w:val="000D4FF6"/>
    <w:rsid w:val="000E124C"/>
    <w:rsid w:val="00135F53"/>
    <w:rsid w:val="00137C19"/>
    <w:rsid w:val="0014627C"/>
    <w:rsid w:val="00164138"/>
    <w:rsid w:val="00171132"/>
    <w:rsid w:val="00191115"/>
    <w:rsid w:val="001B4AEF"/>
    <w:rsid w:val="001E021D"/>
    <w:rsid w:val="001E106F"/>
    <w:rsid w:val="001E6A2B"/>
    <w:rsid w:val="00202E9C"/>
    <w:rsid w:val="00206287"/>
    <w:rsid w:val="00241E62"/>
    <w:rsid w:val="0027290C"/>
    <w:rsid w:val="00292F75"/>
    <w:rsid w:val="003178BE"/>
    <w:rsid w:val="003233E8"/>
    <w:rsid w:val="003303DD"/>
    <w:rsid w:val="00346CEA"/>
    <w:rsid w:val="00363A4C"/>
    <w:rsid w:val="00375B01"/>
    <w:rsid w:val="003762CA"/>
    <w:rsid w:val="0038702B"/>
    <w:rsid w:val="00393003"/>
    <w:rsid w:val="003B3297"/>
    <w:rsid w:val="003C2CE1"/>
    <w:rsid w:val="003D0840"/>
    <w:rsid w:val="003D6435"/>
    <w:rsid w:val="003E011B"/>
    <w:rsid w:val="00411E84"/>
    <w:rsid w:val="00411F3A"/>
    <w:rsid w:val="0041260A"/>
    <w:rsid w:val="00417A55"/>
    <w:rsid w:val="00463141"/>
    <w:rsid w:val="00474154"/>
    <w:rsid w:val="00497BC9"/>
    <w:rsid w:val="004A3461"/>
    <w:rsid w:val="004C344A"/>
    <w:rsid w:val="00510A81"/>
    <w:rsid w:val="0053686A"/>
    <w:rsid w:val="00542DE9"/>
    <w:rsid w:val="00547871"/>
    <w:rsid w:val="00556564"/>
    <w:rsid w:val="0057384D"/>
    <w:rsid w:val="00575429"/>
    <w:rsid w:val="0058427A"/>
    <w:rsid w:val="005A6397"/>
    <w:rsid w:val="005C1366"/>
    <w:rsid w:val="005D1539"/>
    <w:rsid w:val="005E0061"/>
    <w:rsid w:val="005E1708"/>
    <w:rsid w:val="005E3922"/>
    <w:rsid w:val="006116EB"/>
    <w:rsid w:val="006177E6"/>
    <w:rsid w:val="00633286"/>
    <w:rsid w:val="006453C5"/>
    <w:rsid w:val="006630B0"/>
    <w:rsid w:val="00670834"/>
    <w:rsid w:val="006854FE"/>
    <w:rsid w:val="00695EEE"/>
    <w:rsid w:val="006A1605"/>
    <w:rsid w:val="006C4C08"/>
    <w:rsid w:val="006E299B"/>
    <w:rsid w:val="006E5871"/>
    <w:rsid w:val="00726FC7"/>
    <w:rsid w:val="0074381E"/>
    <w:rsid w:val="00745870"/>
    <w:rsid w:val="007847A2"/>
    <w:rsid w:val="007A41BE"/>
    <w:rsid w:val="007A59A1"/>
    <w:rsid w:val="007A7ABF"/>
    <w:rsid w:val="007E5F1A"/>
    <w:rsid w:val="007F4BCB"/>
    <w:rsid w:val="00801C15"/>
    <w:rsid w:val="00823352"/>
    <w:rsid w:val="00841519"/>
    <w:rsid w:val="0084480F"/>
    <w:rsid w:val="008451B4"/>
    <w:rsid w:val="008720A0"/>
    <w:rsid w:val="00882A9D"/>
    <w:rsid w:val="0089194C"/>
    <w:rsid w:val="00892B9A"/>
    <w:rsid w:val="008A00C1"/>
    <w:rsid w:val="008A511E"/>
    <w:rsid w:val="008E7C34"/>
    <w:rsid w:val="00927D3E"/>
    <w:rsid w:val="00942C0E"/>
    <w:rsid w:val="009442FF"/>
    <w:rsid w:val="00954430"/>
    <w:rsid w:val="00972115"/>
    <w:rsid w:val="0097223F"/>
    <w:rsid w:val="00994ACD"/>
    <w:rsid w:val="00A075E3"/>
    <w:rsid w:val="00A164BC"/>
    <w:rsid w:val="00A2358F"/>
    <w:rsid w:val="00A46094"/>
    <w:rsid w:val="00A55038"/>
    <w:rsid w:val="00A8123D"/>
    <w:rsid w:val="00AA6954"/>
    <w:rsid w:val="00AB4605"/>
    <w:rsid w:val="00AD169A"/>
    <w:rsid w:val="00AD55CA"/>
    <w:rsid w:val="00AE359D"/>
    <w:rsid w:val="00B017A2"/>
    <w:rsid w:val="00B32A40"/>
    <w:rsid w:val="00B40692"/>
    <w:rsid w:val="00B85C37"/>
    <w:rsid w:val="00C06C8D"/>
    <w:rsid w:val="00C1031C"/>
    <w:rsid w:val="00C264AC"/>
    <w:rsid w:val="00C43F9E"/>
    <w:rsid w:val="00C4576B"/>
    <w:rsid w:val="00C46AB1"/>
    <w:rsid w:val="00C46AF7"/>
    <w:rsid w:val="00C64135"/>
    <w:rsid w:val="00C74FCC"/>
    <w:rsid w:val="00C86C11"/>
    <w:rsid w:val="00C9566C"/>
    <w:rsid w:val="00CE23DA"/>
    <w:rsid w:val="00D11343"/>
    <w:rsid w:val="00D26DC4"/>
    <w:rsid w:val="00D52F7B"/>
    <w:rsid w:val="00D61367"/>
    <w:rsid w:val="00D91E45"/>
    <w:rsid w:val="00DF31EF"/>
    <w:rsid w:val="00E20F6A"/>
    <w:rsid w:val="00E27EA0"/>
    <w:rsid w:val="00E36FF6"/>
    <w:rsid w:val="00E577D5"/>
    <w:rsid w:val="00E60A5E"/>
    <w:rsid w:val="00E8287D"/>
    <w:rsid w:val="00E93C20"/>
    <w:rsid w:val="00EF6321"/>
    <w:rsid w:val="00F11AAF"/>
    <w:rsid w:val="00F12249"/>
    <w:rsid w:val="00F1317C"/>
    <w:rsid w:val="00F623FC"/>
    <w:rsid w:val="00F63248"/>
    <w:rsid w:val="00F66FA3"/>
    <w:rsid w:val="00FB0951"/>
    <w:rsid w:val="00FB3276"/>
    <w:rsid w:val="00FB7AA2"/>
    <w:rsid w:val="00FD7382"/>
    <w:rsid w:val="00FE03D3"/>
    <w:rsid w:val="00FE28D9"/>
    <w:rsid w:val="04D3C9DB"/>
    <w:rsid w:val="13A4BA2C"/>
    <w:rsid w:val="222ED465"/>
    <w:rsid w:val="33F76B43"/>
    <w:rsid w:val="420CF111"/>
    <w:rsid w:val="4746A998"/>
    <w:rsid w:val="5314D366"/>
    <w:rsid w:val="606C91C9"/>
    <w:rsid w:val="61E6A4E1"/>
    <w:rsid w:val="6B889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01DBC"/>
  <w15:docId w15:val="{83CE33E6-2F5D-4268-B721-ACF04F66E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115"/>
    <w:pPr>
      <w:ind w:left="720"/>
      <w:contextualSpacing/>
    </w:pPr>
  </w:style>
  <w:style w:type="paragraph" w:styleId="FootnoteText">
    <w:name w:val="footnote text"/>
    <w:basedOn w:val="Normal"/>
    <w:link w:val="FootnoteTextChar"/>
    <w:uiPriority w:val="99"/>
    <w:semiHidden/>
    <w:unhideWhenUsed/>
    <w:rsid w:val="008451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51B4"/>
    <w:rPr>
      <w:sz w:val="20"/>
      <w:szCs w:val="20"/>
    </w:rPr>
  </w:style>
  <w:style w:type="character" w:styleId="FootnoteReference">
    <w:name w:val="footnote reference"/>
    <w:basedOn w:val="DefaultParagraphFont"/>
    <w:uiPriority w:val="99"/>
    <w:semiHidden/>
    <w:unhideWhenUsed/>
    <w:rsid w:val="008451B4"/>
    <w:rPr>
      <w:vertAlign w:val="superscript"/>
    </w:rPr>
  </w:style>
  <w:style w:type="paragraph" w:styleId="Header">
    <w:name w:val="header"/>
    <w:basedOn w:val="Normal"/>
    <w:link w:val="HeaderChar"/>
    <w:uiPriority w:val="99"/>
    <w:unhideWhenUsed/>
    <w:rsid w:val="00845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1B4"/>
  </w:style>
  <w:style w:type="paragraph" w:styleId="Footer">
    <w:name w:val="footer"/>
    <w:basedOn w:val="Normal"/>
    <w:link w:val="FooterChar"/>
    <w:uiPriority w:val="99"/>
    <w:unhideWhenUsed/>
    <w:rsid w:val="00845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1B4"/>
  </w:style>
  <w:style w:type="character" w:styleId="PlaceholderText">
    <w:name w:val="Placeholder Text"/>
    <w:basedOn w:val="DefaultParagraphFont"/>
    <w:uiPriority w:val="99"/>
    <w:semiHidden/>
    <w:rsid w:val="00942C0E"/>
    <w:rPr>
      <w:color w:val="808080"/>
    </w:rPr>
  </w:style>
  <w:style w:type="paragraph" w:styleId="BalloonText">
    <w:name w:val="Balloon Text"/>
    <w:basedOn w:val="Normal"/>
    <w:link w:val="BalloonTextChar"/>
    <w:uiPriority w:val="99"/>
    <w:semiHidden/>
    <w:unhideWhenUsed/>
    <w:rsid w:val="00663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0B0"/>
    <w:rPr>
      <w:rFonts w:ascii="Tahoma" w:hAnsi="Tahoma" w:cs="Tahoma"/>
      <w:sz w:val="16"/>
      <w:szCs w:val="16"/>
    </w:rPr>
  </w:style>
  <w:style w:type="paragraph" w:styleId="NormalWeb">
    <w:name w:val="Normal (Web)"/>
    <w:basedOn w:val="Normal"/>
    <w:uiPriority w:val="99"/>
    <w:semiHidden/>
    <w:unhideWhenUsed/>
    <w:rsid w:val="005C1366"/>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05076">
      <w:bodyDiv w:val="1"/>
      <w:marLeft w:val="0"/>
      <w:marRight w:val="0"/>
      <w:marTop w:val="0"/>
      <w:marBottom w:val="0"/>
      <w:divBdr>
        <w:top w:val="none" w:sz="0" w:space="0" w:color="auto"/>
        <w:left w:val="none" w:sz="0" w:space="0" w:color="auto"/>
        <w:bottom w:val="none" w:sz="0" w:space="0" w:color="auto"/>
        <w:right w:val="none" w:sz="0" w:space="0" w:color="auto"/>
      </w:divBdr>
      <w:divsChild>
        <w:div w:id="1809781178">
          <w:marLeft w:val="0"/>
          <w:marRight w:val="0"/>
          <w:marTop w:val="0"/>
          <w:marBottom w:val="0"/>
          <w:divBdr>
            <w:top w:val="none" w:sz="0" w:space="0" w:color="auto"/>
            <w:left w:val="none" w:sz="0" w:space="0" w:color="auto"/>
            <w:bottom w:val="none" w:sz="0" w:space="0" w:color="auto"/>
            <w:right w:val="none" w:sz="0" w:space="0" w:color="auto"/>
          </w:divBdr>
          <w:divsChild>
            <w:div w:id="256988642">
              <w:marLeft w:val="0"/>
              <w:marRight w:val="0"/>
              <w:marTop w:val="0"/>
              <w:marBottom w:val="0"/>
              <w:divBdr>
                <w:top w:val="none" w:sz="0" w:space="0" w:color="auto"/>
                <w:left w:val="none" w:sz="0" w:space="0" w:color="auto"/>
                <w:bottom w:val="none" w:sz="0" w:space="0" w:color="auto"/>
                <w:right w:val="none" w:sz="0" w:space="0" w:color="auto"/>
              </w:divBdr>
              <w:divsChild>
                <w:div w:id="1812943371">
                  <w:marLeft w:val="0"/>
                  <w:marRight w:val="0"/>
                  <w:marTop w:val="0"/>
                  <w:marBottom w:val="0"/>
                  <w:divBdr>
                    <w:top w:val="none" w:sz="0" w:space="0" w:color="auto"/>
                    <w:left w:val="none" w:sz="0" w:space="0" w:color="auto"/>
                    <w:bottom w:val="none" w:sz="0" w:space="0" w:color="auto"/>
                    <w:right w:val="none" w:sz="0" w:space="0" w:color="auto"/>
                  </w:divBdr>
                  <w:divsChild>
                    <w:div w:id="1015618054">
                      <w:marLeft w:val="0"/>
                      <w:marRight w:val="0"/>
                      <w:marTop w:val="0"/>
                      <w:marBottom w:val="0"/>
                      <w:divBdr>
                        <w:top w:val="none" w:sz="0" w:space="0" w:color="auto"/>
                        <w:left w:val="none" w:sz="0" w:space="0" w:color="auto"/>
                        <w:bottom w:val="none" w:sz="0" w:space="0" w:color="auto"/>
                        <w:right w:val="none" w:sz="0" w:space="0" w:color="auto"/>
                      </w:divBdr>
                      <w:divsChild>
                        <w:div w:id="2110732137">
                          <w:marLeft w:val="0"/>
                          <w:marRight w:val="0"/>
                          <w:marTop w:val="0"/>
                          <w:marBottom w:val="0"/>
                          <w:divBdr>
                            <w:top w:val="none" w:sz="0" w:space="0" w:color="auto"/>
                            <w:left w:val="none" w:sz="0" w:space="0" w:color="auto"/>
                            <w:bottom w:val="none" w:sz="0" w:space="0" w:color="auto"/>
                            <w:right w:val="none" w:sz="0" w:space="0" w:color="auto"/>
                          </w:divBdr>
                          <w:divsChild>
                            <w:div w:id="217015185">
                              <w:marLeft w:val="0"/>
                              <w:marRight w:val="0"/>
                              <w:marTop w:val="0"/>
                              <w:marBottom w:val="0"/>
                              <w:divBdr>
                                <w:top w:val="none" w:sz="0" w:space="0" w:color="auto"/>
                                <w:left w:val="none" w:sz="0" w:space="0" w:color="auto"/>
                                <w:bottom w:val="none" w:sz="0" w:space="0" w:color="auto"/>
                                <w:right w:val="none" w:sz="0" w:space="0" w:color="auto"/>
                              </w:divBdr>
                              <w:divsChild>
                                <w:div w:id="596863033">
                                  <w:marLeft w:val="0"/>
                                  <w:marRight w:val="0"/>
                                  <w:marTop w:val="0"/>
                                  <w:marBottom w:val="0"/>
                                  <w:divBdr>
                                    <w:top w:val="none" w:sz="0" w:space="0" w:color="auto"/>
                                    <w:left w:val="none" w:sz="0" w:space="0" w:color="auto"/>
                                    <w:bottom w:val="none" w:sz="0" w:space="0" w:color="auto"/>
                                    <w:right w:val="none" w:sz="0" w:space="0" w:color="auto"/>
                                  </w:divBdr>
                                  <w:divsChild>
                                    <w:div w:id="568157272">
                                      <w:marLeft w:val="0"/>
                                      <w:marRight w:val="0"/>
                                      <w:marTop w:val="0"/>
                                      <w:marBottom w:val="0"/>
                                      <w:divBdr>
                                        <w:top w:val="none" w:sz="0" w:space="0" w:color="auto"/>
                                        <w:left w:val="none" w:sz="0" w:space="0" w:color="auto"/>
                                        <w:bottom w:val="none" w:sz="0" w:space="0" w:color="auto"/>
                                        <w:right w:val="none" w:sz="0" w:space="0" w:color="auto"/>
                                      </w:divBdr>
                                      <w:divsChild>
                                        <w:div w:id="1628857782">
                                          <w:marLeft w:val="0"/>
                                          <w:marRight w:val="0"/>
                                          <w:marTop w:val="0"/>
                                          <w:marBottom w:val="0"/>
                                          <w:divBdr>
                                            <w:top w:val="none" w:sz="0" w:space="0" w:color="auto"/>
                                            <w:left w:val="none" w:sz="0" w:space="0" w:color="auto"/>
                                            <w:bottom w:val="none" w:sz="0" w:space="0" w:color="auto"/>
                                            <w:right w:val="none" w:sz="0" w:space="0" w:color="auto"/>
                                          </w:divBdr>
                                          <w:divsChild>
                                            <w:div w:id="84112925">
                                              <w:marLeft w:val="0"/>
                                              <w:marRight w:val="0"/>
                                              <w:marTop w:val="0"/>
                                              <w:marBottom w:val="0"/>
                                              <w:divBdr>
                                                <w:top w:val="none" w:sz="0" w:space="0" w:color="auto"/>
                                                <w:left w:val="none" w:sz="0" w:space="0" w:color="auto"/>
                                                <w:bottom w:val="none" w:sz="0" w:space="0" w:color="auto"/>
                                                <w:right w:val="none" w:sz="0" w:space="0" w:color="auto"/>
                                              </w:divBdr>
                                              <w:divsChild>
                                                <w:div w:id="1654991631">
                                                  <w:marLeft w:val="0"/>
                                                  <w:marRight w:val="0"/>
                                                  <w:marTop w:val="0"/>
                                                  <w:marBottom w:val="0"/>
                                                  <w:divBdr>
                                                    <w:top w:val="none" w:sz="0" w:space="0" w:color="auto"/>
                                                    <w:left w:val="none" w:sz="0" w:space="0" w:color="auto"/>
                                                    <w:bottom w:val="none" w:sz="0" w:space="0" w:color="auto"/>
                                                    <w:right w:val="none" w:sz="0" w:space="0" w:color="auto"/>
                                                  </w:divBdr>
                                                  <w:divsChild>
                                                    <w:div w:id="212461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162675">
      <w:bodyDiv w:val="1"/>
      <w:marLeft w:val="0"/>
      <w:marRight w:val="0"/>
      <w:marTop w:val="0"/>
      <w:marBottom w:val="0"/>
      <w:divBdr>
        <w:top w:val="none" w:sz="0" w:space="0" w:color="auto"/>
        <w:left w:val="none" w:sz="0" w:space="0" w:color="auto"/>
        <w:bottom w:val="none" w:sz="0" w:space="0" w:color="auto"/>
        <w:right w:val="none" w:sz="0" w:space="0" w:color="auto"/>
      </w:divBdr>
      <w:divsChild>
        <w:div w:id="361908057">
          <w:marLeft w:val="0"/>
          <w:marRight w:val="0"/>
          <w:marTop w:val="0"/>
          <w:marBottom w:val="0"/>
          <w:divBdr>
            <w:top w:val="none" w:sz="0" w:space="0" w:color="auto"/>
            <w:left w:val="none" w:sz="0" w:space="0" w:color="auto"/>
            <w:bottom w:val="none" w:sz="0" w:space="0" w:color="auto"/>
            <w:right w:val="none" w:sz="0" w:space="0" w:color="auto"/>
          </w:divBdr>
          <w:divsChild>
            <w:div w:id="551623816">
              <w:marLeft w:val="0"/>
              <w:marRight w:val="0"/>
              <w:marTop w:val="0"/>
              <w:marBottom w:val="0"/>
              <w:divBdr>
                <w:top w:val="none" w:sz="0" w:space="0" w:color="auto"/>
                <w:left w:val="none" w:sz="0" w:space="0" w:color="auto"/>
                <w:bottom w:val="none" w:sz="0" w:space="0" w:color="auto"/>
                <w:right w:val="none" w:sz="0" w:space="0" w:color="auto"/>
              </w:divBdr>
              <w:divsChild>
                <w:div w:id="1295793657">
                  <w:marLeft w:val="0"/>
                  <w:marRight w:val="0"/>
                  <w:marTop w:val="0"/>
                  <w:marBottom w:val="300"/>
                  <w:divBdr>
                    <w:top w:val="none" w:sz="0" w:space="0" w:color="auto"/>
                    <w:left w:val="none" w:sz="0" w:space="0" w:color="auto"/>
                    <w:bottom w:val="none" w:sz="0" w:space="0" w:color="auto"/>
                    <w:right w:val="none" w:sz="0" w:space="0" w:color="auto"/>
                  </w:divBdr>
                  <w:divsChild>
                    <w:div w:id="1962609143">
                      <w:marLeft w:val="2325"/>
                      <w:marRight w:val="0"/>
                      <w:marTop w:val="0"/>
                      <w:marBottom w:val="0"/>
                      <w:divBdr>
                        <w:top w:val="none" w:sz="0" w:space="0" w:color="auto"/>
                        <w:left w:val="none" w:sz="0" w:space="0" w:color="auto"/>
                        <w:bottom w:val="none" w:sz="0" w:space="0" w:color="auto"/>
                        <w:right w:val="none" w:sz="0" w:space="0" w:color="auto"/>
                      </w:divBdr>
                      <w:divsChild>
                        <w:div w:id="712117695">
                          <w:marLeft w:val="0"/>
                          <w:marRight w:val="0"/>
                          <w:marTop w:val="0"/>
                          <w:marBottom w:val="0"/>
                          <w:divBdr>
                            <w:top w:val="none" w:sz="0" w:space="0" w:color="auto"/>
                            <w:left w:val="none" w:sz="0" w:space="0" w:color="auto"/>
                            <w:bottom w:val="none" w:sz="0" w:space="0" w:color="auto"/>
                            <w:right w:val="none" w:sz="0" w:space="0" w:color="auto"/>
                          </w:divBdr>
                          <w:divsChild>
                            <w:div w:id="527527775">
                              <w:marLeft w:val="0"/>
                              <w:marRight w:val="0"/>
                              <w:marTop w:val="0"/>
                              <w:marBottom w:val="0"/>
                              <w:divBdr>
                                <w:top w:val="none" w:sz="0" w:space="0" w:color="auto"/>
                                <w:left w:val="none" w:sz="0" w:space="0" w:color="auto"/>
                                <w:bottom w:val="none" w:sz="0" w:space="0" w:color="auto"/>
                                <w:right w:val="none" w:sz="0" w:space="0" w:color="auto"/>
                              </w:divBdr>
                              <w:divsChild>
                                <w:div w:id="1011295709">
                                  <w:marLeft w:val="0"/>
                                  <w:marRight w:val="0"/>
                                  <w:marTop w:val="0"/>
                                  <w:marBottom w:val="0"/>
                                  <w:divBdr>
                                    <w:top w:val="none" w:sz="0" w:space="0" w:color="auto"/>
                                    <w:left w:val="none" w:sz="0" w:space="0" w:color="auto"/>
                                    <w:bottom w:val="none" w:sz="0" w:space="0" w:color="auto"/>
                                    <w:right w:val="none" w:sz="0" w:space="0" w:color="auto"/>
                                  </w:divBdr>
                                  <w:divsChild>
                                    <w:div w:id="120421703">
                                      <w:marLeft w:val="0"/>
                                      <w:marRight w:val="0"/>
                                      <w:marTop w:val="0"/>
                                      <w:marBottom w:val="0"/>
                                      <w:divBdr>
                                        <w:top w:val="none" w:sz="0" w:space="0" w:color="auto"/>
                                        <w:left w:val="none" w:sz="0" w:space="0" w:color="auto"/>
                                        <w:bottom w:val="none" w:sz="0" w:space="0" w:color="auto"/>
                                        <w:right w:val="none" w:sz="0" w:space="0" w:color="auto"/>
                                      </w:divBdr>
                                      <w:divsChild>
                                        <w:div w:id="1702315356">
                                          <w:marLeft w:val="0"/>
                                          <w:marRight w:val="-3525"/>
                                          <w:marTop w:val="0"/>
                                          <w:marBottom w:val="0"/>
                                          <w:divBdr>
                                            <w:top w:val="none" w:sz="0" w:space="0" w:color="auto"/>
                                            <w:left w:val="none" w:sz="0" w:space="0" w:color="auto"/>
                                            <w:bottom w:val="none" w:sz="0" w:space="0" w:color="auto"/>
                                            <w:right w:val="none" w:sz="0" w:space="0" w:color="auto"/>
                                          </w:divBdr>
                                          <w:divsChild>
                                            <w:div w:id="1439443740">
                                              <w:marLeft w:val="0"/>
                                              <w:marRight w:val="3225"/>
                                              <w:marTop w:val="0"/>
                                              <w:marBottom w:val="0"/>
                                              <w:divBdr>
                                                <w:top w:val="none" w:sz="0" w:space="0" w:color="auto"/>
                                                <w:left w:val="none" w:sz="0" w:space="0" w:color="auto"/>
                                                <w:bottom w:val="none" w:sz="0" w:space="0" w:color="auto"/>
                                                <w:right w:val="none" w:sz="0" w:space="0" w:color="auto"/>
                                              </w:divBdr>
                                              <w:divsChild>
                                                <w:div w:id="1792481754">
                                                  <w:marLeft w:val="15"/>
                                                  <w:marRight w:val="15"/>
                                                  <w:marTop w:val="15"/>
                                                  <w:marBottom w:val="15"/>
                                                  <w:divBdr>
                                                    <w:top w:val="none" w:sz="0" w:space="0" w:color="auto"/>
                                                    <w:left w:val="none" w:sz="0" w:space="0" w:color="auto"/>
                                                    <w:bottom w:val="none" w:sz="0" w:space="0" w:color="auto"/>
                                                    <w:right w:val="none" w:sz="0" w:space="0" w:color="auto"/>
                                                  </w:divBdr>
                                                  <w:divsChild>
                                                    <w:div w:id="752973103">
                                                      <w:marLeft w:val="0"/>
                                                      <w:marRight w:val="0"/>
                                                      <w:marTop w:val="0"/>
                                                      <w:marBottom w:val="0"/>
                                                      <w:divBdr>
                                                        <w:top w:val="none" w:sz="0" w:space="0" w:color="auto"/>
                                                        <w:left w:val="none" w:sz="0" w:space="0" w:color="auto"/>
                                                        <w:bottom w:val="none" w:sz="0" w:space="0" w:color="auto"/>
                                                        <w:right w:val="none" w:sz="0" w:space="0" w:color="auto"/>
                                                      </w:divBdr>
                                                      <w:divsChild>
                                                        <w:div w:id="2097745570">
                                                          <w:marLeft w:val="0"/>
                                                          <w:marRight w:val="0"/>
                                                          <w:marTop w:val="0"/>
                                                          <w:marBottom w:val="0"/>
                                                          <w:divBdr>
                                                            <w:top w:val="none" w:sz="0" w:space="0" w:color="auto"/>
                                                            <w:left w:val="none" w:sz="0" w:space="0" w:color="auto"/>
                                                            <w:bottom w:val="none" w:sz="0" w:space="0" w:color="auto"/>
                                                            <w:right w:val="none" w:sz="0" w:space="0" w:color="auto"/>
                                                          </w:divBdr>
                                                        </w:div>
                                                        <w:div w:id="1962150507">
                                                          <w:marLeft w:val="0"/>
                                                          <w:marRight w:val="0"/>
                                                          <w:marTop w:val="0"/>
                                                          <w:marBottom w:val="0"/>
                                                          <w:divBdr>
                                                            <w:top w:val="none" w:sz="0" w:space="0" w:color="auto"/>
                                                            <w:left w:val="none" w:sz="0" w:space="0" w:color="auto"/>
                                                            <w:bottom w:val="none" w:sz="0" w:space="0" w:color="auto"/>
                                                            <w:right w:val="none" w:sz="0" w:space="0" w:color="auto"/>
                                                          </w:divBdr>
                                                        </w:div>
                                                      </w:divsChild>
                                                    </w:div>
                                                    <w:div w:id="811753862">
                                                      <w:marLeft w:val="0"/>
                                                      <w:marRight w:val="0"/>
                                                      <w:marTop w:val="0"/>
                                                      <w:marBottom w:val="0"/>
                                                      <w:divBdr>
                                                        <w:top w:val="none" w:sz="0" w:space="0" w:color="auto"/>
                                                        <w:left w:val="none" w:sz="0" w:space="0" w:color="auto"/>
                                                        <w:bottom w:val="none" w:sz="0" w:space="0" w:color="auto"/>
                                                        <w:right w:val="none" w:sz="0" w:space="0" w:color="auto"/>
                                                      </w:divBdr>
                                                    </w:div>
                                                    <w:div w:id="1827627117">
                                                      <w:marLeft w:val="0"/>
                                                      <w:marRight w:val="0"/>
                                                      <w:marTop w:val="0"/>
                                                      <w:marBottom w:val="0"/>
                                                      <w:divBdr>
                                                        <w:top w:val="none" w:sz="0" w:space="0" w:color="auto"/>
                                                        <w:left w:val="none" w:sz="0" w:space="0" w:color="auto"/>
                                                        <w:bottom w:val="none" w:sz="0" w:space="0" w:color="auto"/>
                                                        <w:right w:val="none" w:sz="0" w:space="0" w:color="auto"/>
                                                      </w:divBdr>
                                                    </w:div>
                                                    <w:div w:id="1476485533">
                                                      <w:marLeft w:val="0"/>
                                                      <w:marRight w:val="0"/>
                                                      <w:marTop w:val="0"/>
                                                      <w:marBottom w:val="0"/>
                                                      <w:divBdr>
                                                        <w:top w:val="none" w:sz="0" w:space="0" w:color="auto"/>
                                                        <w:left w:val="none" w:sz="0" w:space="0" w:color="auto"/>
                                                        <w:bottom w:val="none" w:sz="0" w:space="0" w:color="auto"/>
                                                        <w:right w:val="none" w:sz="0" w:space="0" w:color="auto"/>
                                                      </w:divBdr>
                                                    </w:div>
                                                    <w:div w:id="1475100699">
                                                      <w:marLeft w:val="0"/>
                                                      <w:marRight w:val="0"/>
                                                      <w:marTop w:val="0"/>
                                                      <w:marBottom w:val="0"/>
                                                      <w:divBdr>
                                                        <w:top w:val="none" w:sz="0" w:space="0" w:color="auto"/>
                                                        <w:left w:val="none" w:sz="0" w:space="0" w:color="auto"/>
                                                        <w:bottom w:val="none" w:sz="0" w:space="0" w:color="auto"/>
                                                        <w:right w:val="none" w:sz="0" w:space="0" w:color="auto"/>
                                                      </w:divBdr>
                                                      <w:divsChild>
                                                        <w:div w:id="1759400224">
                                                          <w:marLeft w:val="0"/>
                                                          <w:marRight w:val="0"/>
                                                          <w:marTop w:val="0"/>
                                                          <w:marBottom w:val="0"/>
                                                          <w:divBdr>
                                                            <w:top w:val="none" w:sz="0" w:space="0" w:color="auto"/>
                                                            <w:left w:val="none" w:sz="0" w:space="0" w:color="auto"/>
                                                            <w:bottom w:val="none" w:sz="0" w:space="0" w:color="auto"/>
                                                            <w:right w:val="none" w:sz="0" w:space="0" w:color="auto"/>
                                                          </w:divBdr>
                                                        </w:div>
                                                        <w:div w:id="1472554677">
                                                          <w:marLeft w:val="0"/>
                                                          <w:marRight w:val="0"/>
                                                          <w:marTop w:val="0"/>
                                                          <w:marBottom w:val="0"/>
                                                          <w:divBdr>
                                                            <w:top w:val="none" w:sz="0" w:space="0" w:color="auto"/>
                                                            <w:left w:val="none" w:sz="0" w:space="0" w:color="auto"/>
                                                            <w:bottom w:val="none" w:sz="0" w:space="0" w:color="auto"/>
                                                            <w:right w:val="none" w:sz="0" w:space="0" w:color="auto"/>
                                                          </w:divBdr>
                                                        </w:div>
                                                        <w:div w:id="111274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5238024">
      <w:bodyDiv w:val="1"/>
      <w:marLeft w:val="0"/>
      <w:marRight w:val="0"/>
      <w:marTop w:val="0"/>
      <w:marBottom w:val="0"/>
      <w:divBdr>
        <w:top w:val="none" w:sz="0" w:space="0" w:color="auto"/>
        <w:left w:val="none" w:sz="0" w:space="0" w:color="auto"/>
        <w:bottom w:val="none" w:sz="0" w:space="0" w:color="auto"/>
        <w:right w:val="none" w:sz="0" w:space="0" w:color="auto"/>
      </w:divBdr>
    </w:div>
    <w:div w:id="1484202613">
      <w:bodyDiv w:val="1"/>
      <w:marLeft w:val="0"/>
      <w:marRight w:val="0"/>
      <w:marTop w:val="0"/>
      <w:marBottom w:val="0"/>
      <w:divBdr>
        <w:top w:val="none" w:sz="0" w:space="0" w:color="auto"/>
        <w:left w:val="none" w:sz="0" w:space="0" w:color="auto"/>
        <w:bottom w:val="none" w:sz="0" w:space="0" w:color="auto"/>
        <w:right w:val="none" w:sz="0" w:space="0" w:color="auto"/>
      </w:divBdr>
      <w:divsChild>
        <w:div w:id="463041296">
          <w:marLeft w:val="0"/>
          <w:marRight w:val="0"/>
          <w:marTop w:val="0"/>
          <w:marBottom w:val="0"/>
          <w:divBdr>
            <w:top w:val="none" w:sz="0" w:space="0" w:color="auto"/>
            <w:left w:val="none" w:sz="0" w:space="0" w:color="auto"/>
            <w:bottom w:val="none" w:sz="0" w:space="0" w:color="auto"/>
            <w:right w:val="none" w:sz="0" w:space="0" w:color="auto"/>
          </w:divBdr>
          <w:divsChild>
            <w:div w:id="816841459">
              <w:marLeft w:val="0"/>
              <w:marRight w:val="0"/>
              <w:marTop w:val="0"/>
              <w:marBottom w:val="0"/>
              <w:divBdr>
                <w:top w:val="none" w:sz="0" w:space="0" w:color="auto"/>
                <w:left w:val="none" w:sz="0" w:space="0" w:color="auto"/>
                <w:bottom w:val="none" w:sz="0" w:space="0" w:color="auto"/>
                <w:right w:val="none" w:sz="0" w:space="0" w:color="auto"/>
              </w:divBdr>
              <w:divsChild>
                <w:div w:id="557977826">
                  <w:marLeft w:val="0"/>
                  <w:marRight w:val="0"/>
                  <w:marTop w:val="0"/>
                  <w:marBottom w:val="0"/>
                  <w:divBdr>
                    <w:top w:val="none" w:sz="0" w:space="0" w:color="auto"/>
                    <w:left w:val="none" w:sz="0" w:space="0" w:color="auto"/>
                    <w:bottom w:val="none" w:sz="0" w:space="0" w:color="auto"/>
                    <w:right w:val="none" w:sz="0" w:space="0" w:color="auto"/>
                  </w:divBdr>
                  <w:divsChild>
                    <w:div w:id="1211530490">
                      <w:marLeft w:val="0"/>
                      <w:marRight w:val="0"/>
                      <w:marTop w:val="0"/>
                      <w:marBottom w:val="0"/>
                      <w:divBdr>
                        <w:top w:val="none" w:sz="0" w:space="0" w:color="auto"/>
                        <w:left w:val="none" w:sz="0" w:space="0" w:color="auto"/>
                        <w:bottom w:val="none" w:sz="0" w:space="0" w:color="auto"/>
                        <w:right w:val="none" w:sz="0" w:space="0" w:color="auto"/>
                      </w:divBdr>
                      <w:divsChild>
                        <w:div w:id="1293555205">
                          <w:marLeft w:val="0"/>
                          <w:marRight w:val="0"/>
                          <w:marTop w:val="0"/>
                          <w:marBottom w:val="0"/>
                          <w:divBdr>
                            <w:top w:val="none" w:sz="0" w:space="0" w:color="auto"/>
                            <w:left w:val="none" w:sz="0" w:space="0" w:color="auto"/>
                            <w:bottom w:val="none" w:sz="0" w:space="0" w:color="auto"/>
                            <w:right w:val="none" w:sz="0" w:space="0" w:color="auto"/>
                          </w:divBdr>
                          <w:divsChild>
                            <w:div w:id="1001080189">
                              <w:marLeft w:val="0"/>
                              <w:marRight w:val="0"/>
                              <w:marTop w:val="0"/>
                              <w:marBottom w:val="0"/>
                              <w:divBdr>
                                <w:top w:val="none" w:sz="0" w:space="0" w:color="auto"/>
                                <w:left w:val="none" w:sz="0" w:space="0" w:color="auto"/>
                                <w:bottom w:val="none" w:sz="0" w:space="0" w:color="auto"/>
                                <w:right w:val="none" w:sz="0" w:space="0" w:color="auto"/>
                              </w:divBdr>
                              <w:divsChild>
                                <w:div w:id="915094977">
                                  <w:marLeft w:val="0"/>
                                  <w:marRight w:val="0"/>
                                  <w:marTop w:val="0"/>
                                  <w:marBottom w:val="0"/>
                                  <w:divBdr>
                                    <w:top w:val="none" w:sz="0" w:space="0" w:color="auto"/>
                                    <w:left w:val="none" w:sz="0" w:space="0" w:color="auto"/>
                                    <w:bottom w:val="none" w:sz="0" w:space="0" w:color="auto"/>
                                    <w:right w:val="none" w:sz="0" w:space="0" w:color="auto"/>
                                  </w:divBdr>
                                  <w:divsChild>
                                    <w:div w:id="1868906035">
                                      <w:marLeft w:val="0"/>
                                      <w:marRight w:val="0"/>
                                      <w:marTop w:val="0"/>
                                      <w:marBottom w:val="0"/>
                                      <w:divBdr>
                                        <w:top w:val="none" w:sz="0" w:space="0" w:color="auto"/>
                                        <w:left w:val="none" w:sz="0" w:space="0" w:color="auto"/>
                                        <w:bottom w:val="none" w:sz="0" w:space="0" w:color="auto"/>
                                        <w:right w:val="none" w:sz="0" w:space="0" w:color="auto"/>
                                      </w:divBdr>
                                      <w:divsChild>
                                        <w:div w:id="1040785219">
                                          <w:marLeft w:val="0"/>
                                          <w:marRight w:val="0"/>
                                          <w:marTop w:val="0"/>
                                          <w:marBottom w:val="0"/>
                                          <w:divBdr>
                                            <w:top w:val="none" w:sz="0" w:space="0" w:color="auto"/>
                                            <w:left w:val="none" w:sz="0" w:space="0" w:color="auto"/>
                                            <w:bottom w:val="none" w:sz="0" w:space="0" w:color="auto"/>
                                            <w:right w:val="none" w:sz="0" w:space="0" w:color="auto"/>
                                          </w:divBdr>
                                          <w:divsChild>
                                            <w:div w:id="895705503">
                                              <w:marLeft w:val="0"/>
                                              <w:marRight w:val="0"/>
                                              <w:marTop w:val="0"/>
                                              <w:marBottom w:val="0"/>
                                              <w:divBdr>
                                                <w:top w:val="none" w:sz="0" w:space="0" w:color="auto"/>
                                                <w:left w:val="none" w:sz="0" w:space="0" w:color="auto"/>
                                                <w:bottom w:val="none" w:sz="0" w:space="0" w:color="auto"/>
                                                <w:right w:val="none" w:sz="0" w:space="0" w:color="auto"/>
                                              </w:divBdr>
                                              <w:divsChild>
                                                <w:div w:id="1777408174">
                                                  <w:marLeft w:val="0"/>
                                                  <w:marRight w:val="0"/>
                                                  <w:marTop w:val="0"/>
                                                  <w:marBottom w:val="0"/>
                                                  <w:divBdr>
                                                    <w:top w:val="none" w:sz="0" w:space="0" w:color="auto"/>
                                                    <w:left w:val="none" w:sz="0" w:space="0" w:color="auto"/>
                                                    <w:bottom w:val="none" w:sz="0" w:space="0" w:color="auto"/>
                                                    <w:right w:val="none" w:sz="0" w:space="0" w:color="auto"/>
                                                  </w:divBdr>
                                                  <w:divsChild>
                                                    <w:div w:id="160033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257936">
      <w:bodyDiv w:val="1"/>
      <w:marLeft w:val="0"/>
      <w:marRight w:val="0"/>
      <w:marTop w:val="0"/>
      <w:marBottom w:val="0"/>
      <w:divBdr>
        <w:top w:val="none" w:sz="0" w:space="0" w:color="auto"/>
        <w:left w:val="none" w:sz="0" w:space="0" w:color="auto"/>
        <w:bottom w:val="none" w:sz="0" w:space="0" w:color="auto"/>
        <w:right w:val="none" w:sz="0" w:space="0" w:color="auto"/>
      </w:divBdr>
      <w:divsChild>
        <w:div w:id="1767385287">
          <w:marLeft w:val="0"/>
          <w:marRight w:val="0"/>
          <w:marTop w:val="0"/>
          <w:marBottom w:val="0"/>
          <w:divBdr>
            <w:top w:val="none" w:sz="0" w:space="0" w:color="auto"/>
            <w:left w:val="none" w:sz="0" w:space="0" w:color="auto"/>
            <w:bottom w:val="none" w:sz="0" w:space="0" w:color="auto"/>
            <w:right w:val="none" w:sz="0" w:space="0" w:color="auto"/>
          </w:divBdr>
          <w:divsChild>
            <w:div w:id="1678387936">
              <w:marLeft w:val="0"/>
              <w:marRight w:val="0"/>
              <w:marTop w:val="0"/>
              <w:marBottom w:val="0"/>
              <w:divBdr>
                <w:top w:val="none" w:sz="0" w:space="0" w:color="auto"/>
                <w:left w:val="none" w:sz="0" w:space="0" w:color="auto"/>
                <w:bottom w:val="none" w:sz="0" w:space="0" w:color="auto"/>
                <w:right w:val="none" w:sz="0" w:space="0" w:color="auto"/>
              </w:divBdr>
              <w:divsChild>
                <w:div w:id="1683161961">
                  <w:marLeft w:val="0"/>
                  <w:marRight w:val="0"/>
                  <w:marTop w:val="0"/>
                  <w:marBottom w:val="0"/>
                  <w:divBdr>
                    <w:top w:val="none" w:sz="0" w:space="0" w:color="auto"/>
                    <w:left w:val="none" w:sz="0" w:space="0" w:color="auto"/>
                    <w:bottom w:val="none" w:sz="0" w:space="0" w:color="auto"/>
                    <w:right w:val="none" w:sz="0" w:space="0" w:color="auto"/>
                  </w:divBdr>
                  <w:divsChild>
                    <w:div w:id="605889020">
                      <w:marLeft w:val="0"/>
                      <w:marRight w:val="0"/>
                      <w:marTop w:val="0"/>
                      <w:marBottom w:val="0"/>
                      <w:divBdr>
                        <w:top w:val="none" w:sz="0" w:space="0" w:color="auto"/>
                        <w:left w:val="none" w:sz="0" w:space="0" w:color="auto"/>
                        <w:bottom w:val="none" w:sz="0" w:space="0" w:color="auto"/>
                        <w:right w:val="none" w:sz="0" w:space="0" w:color="auto"/>
                      </w:divBdr>
                      <w:divsChild>
                        <w:div w:id="1969386762">
                          <w:marLeft w:val="0"/>
                          <w:marRight w:val="0"/>
                          <w:marTop w:val="0"/>
                          <w:marBottom w:val="0"/>
                          <w:divBdr>
                            <w:top w:val="none" w:sz="0" w:space="0" w:color="auto"/>
                            <w:left w:val="none" w:sz="0" w:space="0" w:color="auto"/>
                            <w:bottom w:val="none" w:sz="0" w:space="0" w:color="auto"/>
                            <w:right w:val="none" w:sz="0" w:space="0" w:color="auto"/>
                          </w:divBdr>
                          <w:divsChild>
                            <w:div w:id="14040591">
                              <w:marLeft w:val="0"/>
                              <w:marRight w:val="0"/>
                              <w:marTop w:val="0"/>
                              <w:marBottom w:val="0"/>
                              <w:divBdr>
                                <w:top w:val="none" w:sz="0" w:space="0" w:color="auto"/>
                                <w:left w:val="none" w:sz="0" w:space="0" w:color="auto"/>
                                <w:bottom w:val="none" w:sz="0" w:space="0" w:color="auto"/>
                                <w:right w:val="none" w:sz="0" w:space="0" w:color="auto"/>
                              </w:divBdr>
                              <w:divsChild>
                                <w:div w:id="1969965368">
                                  <w:marLeft w:val="0"/>
                                  <w:marRight w:val="0"/>
                                  <w:marTop w:val="0"/>
                                  <w:marBottom w:val="0"/>
                                  <w:divBdr>
                                    <w:top w:val="none" w:sz="0" w:space="0" w:color="auto"/>
                                    <w:left w:val="none" w:sz="0" w:space="0" w:color="auto"/>
                                    <w:bottom w:val="none" w:sz="0" w:space="0" w:color="auto"/>
                                    <w:right w:val="none" w:sz="0" w:space="0" w:color="auto"/>
                                  </w:divBdr>
                                  <w:divsChild>
                                    <w:div w:id="1831289707">
                                      <w:marLeft w:val="0"/>
                                      <w:marRight w:val="0"/>
                                      <w:marTop w:val="0"/>
                                      <w:marBottom w:val="0"/>
                                      <w:divBdr>
                                        <w:top w:val="none" w:sz="0" w:space="0" w:color="auto"/>
                                        <w:left w:val="none" w:sz="0" w:space="0" w:color="auto"/>
                                        <w:bottom w:val="none" w:sz="0" w:space="0" w:color="auto"/>
                                        <w:right w:val="none" w:sz="0" w:space="0" w:color="auto"/>
                                      </w:divBdr>
                                      <w:divsChild>
                                        <w:div w:id="413359820">
                                          <w:marLeft w:val="0"/>
                                          <w:marRight w:val="0"/>
                                          <w:marTop w:val="0"/>
                                          <w:marBottom w:val="0"/>
                                          <w:divBdr>
                                            <w:top w:val="none" w:sz="0" w:space="0" w:color="auto"/>
                                            <w:left w:val="none" w:sz="0" w:space="0" w:color="auto"/>
                                            <w:bottom w:val="none" w:sz="0" w:space="0" w:color="auto"/>
                                            <w:right w:val="none" w:sz="0" w:space="0" w:color="auto"/>
                                          </w:divBdr>
                                          <w:divsChild>
                                            <w:div w:id="980305268">
                                              <w:marLeft w:val="0"/>
                                              <w:marRight w:val="0"/>
                                              <w:marTop w:val="0"/>
                                              <w:marBottom w:val="0"/>
                                              <w:divBdr>
                                                <w:top w:val="none" w:sz="0" w:space="0" w:color="auto"/>
                                                <w:left w:val="none" w:sz="0" w:space="0" w:color="auto"/>
                                                <w:bottom w:val="none" w:sz="0" w:space="0" w:color="auto"/>
                                                <w:right w:val="none" w:sz="0" w:space="0" w:color="auto"/>
                                              </w:divBdr>
                                              <w:divsChild>
                                                <w:div w:id="1078868992">
                                                  <w:marLeft w:val="0"/>
                                                  <w:marRight w:val="0"/>
                                                  <w:marTop w:val="0"/>
                                                  <w:marBottom w:val="0"/>
                                                  <w:divBdr>
                                                    <w:top w:val="none" w:sz="0" w:space="0" w:color="auto"/>
                                                    <w:left w:val="none" w:sz="0" w:space="0" w:color="auto"/>
                                                    <w:bottom w:val="none" w:sz="0" w:space="0" w:color="auto"/>
                                                    <w:right w:val="none" w:sz="0" w:space="0" w:color="auto"/>
                                                  </w:divBdr>
                                                  <w:divsChild>
                                                    <w:div w:id="175593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6F5084B563146BC9645DDB3D2DC84D1"/>
        <w:category>
          <w:name w:val="General"/>
          <w:gallery w:val="placeholder"/>
        </w:category>
        <w:types>
          <w:type w:val="bbPlcHdr"/>
        </w:types>
        <w:behaviors>
          <w:behavior w:val="content"/>
        </w:behaviors>
        <w:guid w:val="{D19EB2AF-092A-4A79-B9B9-435A6958D66B}"/>
      </w:docPartPr>
      <w:docPartBody>
        <w:p w:rsidR="00D53731" w:rsidRDefault="00E8287D">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C88"/>
    <w:rsid w:val="002618B8"/>
    <w:rsid w:val="00323795"/>
    <w:rsid w:val="004A2B0E"/>
    <w:rsid w:val="004F70BC"/>
    <w:rsid w:val="005C4086"/>
    <w:rsid w:val="005E0061"/>
    <w:rsid w:val="00680C88"/>
    <w:rsid w:val="00832907"/>
    <w:rsid w:val="00D53731"/>
    <w:rsid w:val="00DB234E"/>
    <w:rsid w:val="00E34F00"/>
    <w:rsid w:val="00E8287D"/>
    <w:rsid w:val="00F60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F13B9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287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ocation xmlns="e560140e-7b2f-4392-90df-e7567e3021a3">Public</Location>
    <UNDP_POPP_NOTE xmlns="8264c5cc-ec60-4b56-8111-ce635d3d139a" xsi:nil="true"/>
    <TaxCatchAll xmlns="8264c5cc-ec60-4b56-8111-ce635d3d139a">
      <Value>350</Value>
    </TaxCatchAll>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2019-07-16T22:00:00+00:00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Conservación de Documentos, Protección de Datos e Imprevistos</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POPP-11-3146</_dlc_DocId>
    <_dlc_DocIdUrl xmlns="8264c5cc-ec60-4b56-8111-ce635d3d139a">
      <Url>https://popp.undp.org/_layouts/15/DocIdRedir.aspx?ID=POPP-11-3146</Url>
      <Description>POPP-11-3146</Description>
    </_dlc_DocIdUrl>
    <UNDP_POPP_REFITEM_VERSION xmlns="8264c5cc-ec60-4b56-8111-ce635d3d139a">2</UNDP_POPP_REFITEM_VERSION>
    <DLCPolicyLabelLock xmlns="e560140e-7b2f-4392-90df-e7567e3021a3" xsi:nil="true"/>
    <DLCPolicyLabelClientValue xmlns="e560140e-7b2f-4392-90df-e7567e3021a3">Effective Date: 17/07/2019                                                Version #: 3.0</DLCPolicyLabelClientValue>
    <UNDP_POPP_LASTMODIFIED xmlns="8264c5cc-ec60-4b56-8111-ce635d3d139a" xsi:nil="true"/>
    <DLCPolicyLabelValue xmlns="e560140e-7b2f-4392-90df-e7567e3021a3">Effective Date: 17/07/2019                                                Version #: 3</DLCPolicyLabelValue>
    <UNDP_POPP_REJECT_COMMENTS xmlns="8264c5cc-ec60-4b56-8111-ce635d3d139a" xsi:nil="true"/>
    <POPPIsArchived xmlns="e560140e-7b2f-4392-90df-e7567e3021a3">false</POPPIsArchived>
  </documentManagement>
</p:propertie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5A7316BB-65C3-4EB7-97B9-7BD3367A90D9}">
  <ds:schemaRefs>
    <ds:schemaRef ds:uri="http://schemas.openxmlformats.org/officeDocument/2006/bibliography"/>
  </ds:schemaRefs>
</ds:datastoreItem>
</file>

<file path=customXml/itemProps2.xml><?xml version="1.0" encoding="utf-8"?>
<ds:datastoreItem xmlns:ds="http://schemas.openxmlformats.org/officeDocument/2006/customXml" ds:itemID="{0CE091C6-49A5-436B-87F0-18C05A5E9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7C7515-ADFC-4F8A-8635-C8D27A9CB3AE}">
  <ds:schemaRefs>
    <ds:schemaRef ds:uri="http://schemas.microsoft.com/sharepoint/events"/>
  </ds:schemaRefs>
</ds:datastoreItem>
</file>

<file path=customXml/itemProps4.xml><?xml version="1.0" encoding="utf-8"?>
<ds:datastoreItem xmlns:ds="http://schemas.openxmlformats.org/officeDocument/2006/customXml" ds:itemID="{3882F50D-6032-4F00-B4ED-CCDC4774C571}">
  <ds:schemaRefs>
    <ds:schemaRef ds:uri="http://schemas.microsoft.com/sharepoint/v3/contenttype/forms"/>
  </ds:schemaRefs>
</ds:datastoreItem>
</file>

<file path=customXml/itemProps5.xml><?xml version="1.0" encoding="utf-8"?>
<ds:datastoreItem xmlns:ds="http://schemas.openxmlformats.org/officeDocument/2006/customXml" ds:itemID="{02FA2DFC-B7DF-453E-9044-9E40595BEA32}">
  <ds:schemaRefs>
    <ds:schemaRef ds:uri="http://schemas.microsoft.com/office/2006/metadata/properties"/>
    <ds:schemaRef ds:uri="http://schemas.microsoft.com/office/infopath/2007/PartnerControls"/>
    <ds:schemaRef ds:uri="e560140e-7b2f-4392-90df-e7567e3021a3"/>
    <ds:schemaRef ds:uri="8264c5cc-ec60-4b56-8111-ce635d3d139a"/>
  </ds:schemaRefs>
</ds:datastoreItem>
</file>

<file path=customXml/itemProps6.xml><?xml version="1.0" encoding="utf-8"?>
<ds:datastoreItem xmlns:ds="http://schemas.openxmlformats.org/officeDocument/2006/customXml" ds:itemID="{BF114858-4246-4C45-A7CD-FD6B78B5C2D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dc:description/>
  <cp:lastModifiedBy>Pablo Morete</cp:lastModifiedBy>
  <cp:revision>7</cp:revision>
  <dcterms:created xsi:type="dcterms:W3CDTF">2020-02-18T19:32:00Z</dcterms:created>
  <dcterms:modified xsi:type="dcterms:W3CDTF">2024-05-24T11:34:00Z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f5940a16-a888-44c2-a3ee-54c01132fa9f</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