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0F74" w14:textId="77777777" w:rsidR="00DD3E98" w:rsidRPr="0008326F" w:rsidRDefault="00DD3E98" w:rsidP="0077038C">
      <w:pPr>
        <w:spacing w:after="0" w:line="240" w:lineRule="auto"/>
        <w:rPr>
          <w:b/>
          <w:sz w:val="28"/>
          <w:szCs w:val="28"/>
        </w:rPr>
      </w:pPr>
      <w:r>
        <w:rPr>
          <w:b/>
          <w:sz w:val="28"/>
          <w:szCs w:val="28"/>
        </w:rPr>
        <w:t xml:space="preserve">Efectivo en caja del proyecto (PCH) para proyectos de DIM </w:t>
      </w:r>
    </w:p>
    <w:p w14:paraId="08EDDA9E" w14:textId="77777777" w:rsidR="00DD3E98" w:rsidRPr="0008326F" w:rsidRDefault="00DD3E98" w:rsidP="0077038C">
      <w:pPr>
        <w:spacing w:after="0" w:line="240" w:lineRule="auto"/>
      </w:pPr>
      <w:r>
        <w:t xml:space="preserve"> </w:t>
      </w:r>
    </w:p>
    <w:p w14:paraId="2F8A2C0E" w14:textId="77777777" w:rsidR="0078166C" w:rsidRPr="0078166C" w:rsidRDefault="005821CD" w:rsidP="0078166C">
      <w:pPr>
        <w:pStyle w:val="ListParagraph"/>
        <w:numPr>
          <w:ilvl w:val="2"/>
          <w:numId w:val="23"/>
        </w:numPr>
        <w:spacing w:before="100" w:beforeAutospacing="1" w:after="100" w:afterAutospacing="1" w:line="240" w:lineRule="auto"/>
        <w:ind w:left="360"/>
        <w:jc w:val="both"/>
        <w:rPr>
          <w:rFonts w:eastAsia="Times New Roman" w:cs="Arial"/>
        </w:rPr>
      </w:pPr>
      <w:r>
        <w:t xml:space="preserve">El efectivo en caja del proyecto (PCH, </w:t>
      </w:r>
      <w:r>
        <w:rPr>
          <w:i/>
        </w:rPr>
        <w:t xml:space="preserve">Project Cash </w:t>
      </w:r>
      <w:proofErr w:type="spellStart"/>
      <w:r>
        <w:rPr>
          <w:i/>
        </w:rPr>
        <w:t>on</w:t>
      </w:r>
      <w:proofErr w:type="spellEnd"/>
      <w:r>
        <w:rPr>
          <w:i/>
        </w:rPr>
        <w:t xml:space="preserve"> Hand</w:t>
      </w:r>
      <w:r>
        <w:t xml:space="preserve">, por sus siglas en inglés) es un adelanto de efectivo perpetuo a una oficina/sitio de un proyecto de modalidad de implementación directa (DIM, </w:t>
      </w:r>
      <w:r>
        <w:rPr>
          <w:i/>
        </w:rPr>
        <w:t xml:space="preserve">Direct </w:t>
      </w:r>
      <w:proofErr w:type="spellStart"/>
      <w:r>
        <w:rPr>
          <w:i/>
        </w:rPr>
        <w:t>Implementation</w:t>
      </w:r>
      <w:proofErr w:type="spellEnd"/>
      <w:r>
        <w:rPr>
          <w:i/>
        </w:rPr>
        <w:t xml:space="preserve"> </w:t>
      </w:r>
      <w:proofErr w:type="spellStart"/>
      <w:r>
        <w:rPr>
          <w:i/>
        </w:rPr>
        <w:t>Modality</w:t>
      </w:r>
      <w:proofErr w:type="spellEnd"/>
      <w:r>
        <w:t xml:space="preserve">, por sus siglas en inglés) que se encuentra en una región remota y que requiere desembolsos de proyecto que la oficina principal de la oficina de país (CO, </w:t>
      </w:r>
      <w:r>
        <w:rPr>
          <w:i/>
        </w:rPr>
        <w:t>Country Office</w:t>
      </w:r>
      <w:r>
        <w:t xml:space="preserve">, por sus siglas en inglés) no puede satisfacer a través de cheques, transferencia electrónica de fondos (TEF), fondo de caja chica del proyecto (PPCF, </w:t>
      </w:r>
      <w:r>
        <w:rPr>
          <w:i/>
        </w:rPr>
        <w:t xml:space="preserve">Project Petty Cash </w:t>
      </w:r>
      <w:proofErr w:type="spellStart"/>
      <w:r>
        <w:rPr>
          <w:i/>
        </w:rPr>
        <w:t>Fund</w:t>
      </w:r>
      <w:proofErr w:type="spellEnd"/>
      <w:r>
        <w:t xml:space="preserve">, por sus siglas en inglés) ni ningún acuerdo bancario complementario. Una oficina de proyecto de DIM que cumple con ciertos criterios y tiene un requerimiento mensual de efectivo para un proyecto que supere los USD 2500 puede elegir un acuerdo de PCH. </w:t>
      </w:r>
    </w:p>
    <w:p w14:paraId="4D021FA1" w14:textId="77777777" w:rsidR="0078166C" w:rsidRDefault="0078166C" w:rsidP="0078166C">
      <w:pPr>
        <w:pStyle w:val="ListParagraph"/>
        <w:spacing w:before="100" w:beforeAutospacing="1" w:after="100" w:afterAutospacing="1" w:line="240" w:lineRule="auto"/>
        <w:ind w:left="360"/>
        <w:jc w:val="both"/>
      </w:pPr>
    </w:p>
    <w:p w14:paraId="7F8C8DA7" w14:textId="390B8261" w:rsidR="0078166C" w:rsidRPr="0078166C" w:rsidRDefault="0078166C" w:rsidP="0078166C">
      <w:pPr>
        <w:pStyle w:val="ListParagraph"/>
        <w:spacing w:before="100" w:beforeAutospacing="1" w:after="100" w:afterAutospacing="1" w:line="240" w:lineRule="auto"/>
        <w:ind w:left="360"/>
        <w:jc w:val="both"/>
        <w:rPr>
          <w:rFonts w:eastAsia="Times New Roman" w:cs="Arial"/>
        </w:rPr>
      </w:pPr>
      <w:r w:rsidRPr="0078166C">
        <w:rPr>
          <w:rFonts w:eastAsia="Times New Roman" w:cs="Arial"/>
        </w:rPr>
        <w:t>Nota: Esta disposición también es aplicable al "Apoyo a la Implementación Nacional" donde las modalidades de implementación se establecen de acuerdo con la política de "</w:t>
      </w:r>
      <w:hyperlink r:id="rId12" w:history="1">
        <w:r w:rsidRPr="0078166C">
          <w:rPr>
            <w:rStyle w:val="Hyperlink"/>
            <w:rFonts w:eastAsia="Times New Roman" w:cs="Arial"/>
          </w:rPr>
          <w:t>Servicios de Apoyo del PNUD para la Implementación Nacional</w:t>
        </w:r>
      </w:hyperlink>
      <w:r w:rsidRPr="0078166C">
        <w:rPr>
          <w:rFonts w:eastAsia="Times New Roman" w:cs="Arial"/>
        </w:rPr>
        <w:t>".</w:t>
      </w:r>
    </w:p>
    <w:p w14:paraId="54DDA47F"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55FC8ABB" w14:textId="27263C87" w:rsidR="005821CD" w:rsidRPr="0008326F" w:rsidRDefault="005821CD" w:rsidP="70ED36F6">
      <w:pPr>
        <w:pStyle w:val="ListParagraph"/>
        <w:numPr>
          <w:ilvl w:val="2"/>
          <w:numId w:val="23"/>
        </w:numPr>
        <w:spacing w:before="100" w:beforeAutospacing="1" w:after="100" w:afterAutospacing="1" w:line="240" w:lineRule="auto"/>
        <w:ind w:left="360"/>
        <w:jc w:val="both"/>
        <w:rPr>
          <w:rFonts w:eastAsia="Times New Roman" w:cs="Arial"/>
        </w:rPr>
      </w:pPr>
      <w:r>
        <w:t xml:space="preserve">El saldo máximo de PCH es de USD 5000 (o su equivalente en moneda local) por proyecto de DIM.  Sin embargo, esto no garantiza ni el establecimiento automático del PCH ni su nivel de saldo máximo cuando existen medios alternativos para pagar gastos menores sin utilizar efectivo. La </w:t>
      </w:r>
      <w:r w:rsidR="3D805670">
        <w:t>Gerencia</w:t>
      </w:r>
      <w:r>
        <w:t xml:space="preserve"> de la CO debe determinar la necesidad y el nivel basándose en los requisitos de </w:t>
      </w:r>
      <w:proofErr w:type="spellStart"/>
      <w:r w:rsidR="13FDF6D6">
        <w:t>de</w:t>
      </w:r>
      <w:proofErr w:type="spellEnd"/>
      <w:r w:rsidR="13FDF6D6">
        <w:t xml:space="preserve"> operación del proyecto</w:t>
      </w:r>
      <w:r>
        <w:t xml:space="preserve">. La regla general para elegir el nivel apropiado es la cantidad necesaria para cubrir los requisitos de PCH de un mes. </w:t>
      </w:r>
    </w:p>
    <w:p w14:paraId="546305AB" w14:textId="77777777" w:rsidR="005821CD" w:rsidRPr="0008326F" w:rsidRDefault="005821CD" w:rsidP="005821CD">
      <w:pPr>
        <w:pStyle w:val="ListParagraph"/>
        <w:rPr>
          <w:rFonts w:eastAsia="Times New Roman" w:cs="Arial"/>
        </w:rPr>
      </w:pPr>
    </w:p>
    <w:p w14:paraId="75DD53E0" w14:textId="00ECBD12" w:rsidR="005821CD" w:rsidRPr="0008326F" w:rsidRDefault="005821CD" w:rsidP="70ED36F6">
      <w:pPr>
        <w:pStyle w:val="ListParagraph"/>
        <w:numPr>
          <w:ilvl w:val="2"/>
          <w:numId w:val="23"/>
        </w:numPr>
        <w:spacing w:before="100" w:beforeAutospacing="1" w:after="100" w:afterAutospacing="1" w:line="240" w:lineRule="auto"/>
        <w:ind w:left="360"/>
        <w:jc w:val="both"/>
        <w:rPr>
          <w:rFonts w:eastAsia="Times New Roman" w:cs="Arial"/>
        </w:rPr>
      </w:pPr>
      <w:r>
        <w:t xml:space="preserve">En circunstancias específicas, en las cuales la necesidad mensual del proyecto supere los USD 5000, solo el Representante Residente (RR, </w:t>
      </w:r>
      <w:proofErr w:type="spellStart"/>
      <w:r w:rsidRPr="70ED36F6">
        <w:rPr>
          <w:i/>
          <w:iCs/>
        </w:rPr>
        <w:t>Resident</w:t>
      </w:r>
      <w:proofErr w:type="spellEnd"/>
      <w:r w:rsidRPr="70ED36F6">
        <w:rPr>
          <w:i/>
          <w:iCs/>
        </w:rPr>
        <w:t xml:space="preserve"> Representative</w:t>
      </w:r>
      <w:r>
        <w:t xml:space="preserve">, por sus siglas en inglés) (no puede extenderse la delegación) puede aprobar el límite de PCH hasta USD 25 000.  El RR debe documentar </w:t>
      </w:r>
      <w:r w:rsidR="3F67C3B1">
        <w:t xml:space="preserve">tanto </w:t>
      </w:r>
      <w:r>
        <w:t>la necesidad de esta circunstancia especial</w:t>
      </w:r>
      <w:r w:rsidR="55DF43D5">
        <w:t xml:space="preserve">, como </w:t>
      </w:r>
      <w:r>
        <w:t>las medidas adecuadas para la protección y la seguridad del efectivo.</w:t>
      </w:r>
    </w:p>
    <w:p w14:paraId="46E7A1A6" w14:textId="77777777" w:rsidR="005821CD" w:rsidRPr="0008326F" w:rsidRDefault="005821CD" w:rsidP="005821CD">
      <w:pPr>
        <w:pStyle w:val="ListParagraph"/>
        <w:rPr>
          <w:rFonts w:eastAsia="Times New Roman" w:cs="Arial"/>
        </w:rPr>
      </w:pPr>
    </w:p>
    <w:p w14:paraId="3F313F16"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La determinación del nivel apropiado para el PCH se basa en el plan de trabajo anual, el pronóstico de gastos del proyecto, la capacidad del personal, la cantidad de personal con un contrato de plazo fijo (FT, </w:t>
      </w:r>
      <w:proofErr w:type="spellStart"/>
      <w:r>
        <w:rPr>
          <w:i/>
        </w:rPr>
        <w:t>Fixed</w:t>
      </w:r>
      <w:proofErr w:type="spellEnd"/>
      <w:r>
        <w:rPr>
          <w:i/>
        </w:rPr>
        <w:t xml:space="preserve"> </w:t>
      </w:r>
      <w:proofErr w:type="spellStart"/>
      <w:r>
        <w:rPr>
          <w:i/>
        </w:rPr>
        <w:t>Term</w:t>
      </w:r>
      <w:proofErr w:type="spellEnd"/>
      <w:r>
        <w:t xml:space="preserve">, por sus siglas en inglés) que trabaja en la oficina del proyecto, el control interno y los riesgos de seguridad. </w:t>
      </w:r>
    </w:p>
    <w:p w14:paraId="5F4E0A67" w14:textId="77777777" w:rsidR="005821CD" w:rsidRPr="0008326F" w:rsidRDefault="005821CD" w:rsidP="005821CD">
      <w:pPr>
        <w:pStyle w:val="ListParagraph"/>
        <w:rPr>
          <w:rFonts w:eastAsia="Times New Roman" w:cs="Arial"/>
        </w:rPr>
      </w:pPr>
    </w:p>
    <w:p w14:paraId="4FF20256" w14:textId="77777777" w:rsidR="005821CD" w:rsidRPr="0008326F" w:rsidRDefault="005821CD" w:rsidP="005821CD">
      <w:pPr>
        <w:pStyle w:val="ListParagraph"/>
        <w:numPr>
          <w:ilvl w:val="2"/>
          <w:numId w:val="23"/>
        </w:numPr>
        <w:spacing w:before="100" w:beforeAutospacing="1" w:after="100" w:afterAutospacing="1" w:line="240" w:lineRule="auto"/>
        <w:ind w:left="360"/>
        <w:rPr>
          <w:rFonts w:eastAsia="Times New Roman" w:cs="Arial"/>
        </w:rPr>
      </w:pPr>
      <w:r>
        <w:t xml:space="preserve">La gestión del PCH es la misma que se implementa para el PPCF, excepto por las siguientes diferencias: </w:t>
      </w:r>
    </w:p>
    <w:p w14:paraId="12506CD2" w14:textId="77777777" w:rsidR="005821CD" w:rsidRPr="0008326F" w:rsidRDefault="005821CD" w:rsidP="005821CD">
      <w:pPr>
        <w:pStyle w:val="ListParagraph"/>
        <w:rPr>
          <w:rFonts w:eastAsia="Times New Roman" w:cs="Arial"/>
        </w:rPr>
      </w:pPr>
    </w:p>
    <w:p w14:paraId="326B6405" w14:textId="77777777" w:rsidR="005821CD" w:rsidRPr="0008326F" w:rsidRDefault="005821CD" w:rsidP="005821CD">
      <w:pPr>
        <w:pStyle w:val="ListParagraph"/>
        <w:numPr>
          <w:ilvl w:val="1"/>
          <w:numId w:val="22"/>
        </w:numPr>
        <w:spacing w:before="100" w:beforeAutospacing="1" w:after="100" w:afterAutospacing="1" w:line="240" w:lineRule="auto"/>
        <w:ind w:left="1080"/>
        <w:jc w:val="both"/>
        <w:rPr>
          <w:rFonts w:eastAsia="Times New Roman" w:cs="Arial"/>
        </w:rPr>
      </w:pPr>
      <w:r>
        <w:t xml:space="preserve">La oficina de país debe documentar el acuerdo de PCH para la oficina/sitio remoto del proyecto de DIM con un nivel de PCH específico y la justificación para la cantidad identificada. </w:t>
      </w:r>
    </w:p>
    <w:p w14:paraId="5CE8E257" w14:textId="77777777" w:rsidR="005821CD" w:rsidRPr="0008326F" w:rsidRDefault="005821CD" w:rsidP="005821CD">
      <w:pPr>
        <w:pStyle w:val="ListParagraph"/>
        <w:numPr>
          <w:ilvl w:val="1"/>
          <w:numId w:val="22"/>
        </w:numPr>
        <w:spacing w:before="100" w:beforeAutospacing="1" w:after="100" w:afterAutospacing="1" w:line="240" w:lineRule="auto"/>
        <w:ind w:left="1080"/>
        <w:jc w:val="both"/>
        <w:rPr>
          <w:rFonts w:eastAsia="Times New Roman" w:cs="Arial"/>
        </w:rPr>
      </w:pPr>
      <w:r>
        <w:t xml:space="preserve">El PCH NO exime a la CO o la oficina del proyecto de respetar todas las normas y procesos de adquisición aplicables. Esto significa que incluso si el efectivo se utiliza para pagar bienes y servicios, la selección del proveedor debe estar sujeta a todas las normas y procesos de adquisición aplicables. </w:t>
      </w:r>
    </w:p>
    <w:p w14:paraId="6D400B3B" w14:textId="77777777" w:rsidR="005821CD" w:rsidRPr="0008326F" w:rsidRDefault="005821CD" w:rsidP="005821CD">
      <w:pPr>
        <w:pStyle w:val="ListParagraph"/>
        <w:numPr>
          <w:ilvl w:val="1"/>
          <w:numId w:val="22"/>
        </w:numPr>
        <w:spacing w:before="100" w:beforeAutospacing="1" w:after="100" w:afterAutospacing="1" w:line="240" w:lineRule="auto"/>
        <w:ind w:left="1080"/>
        <w:jc w:val="both"/>
        <w:rPr>
          <w:rFonts w:eastAsia="Times New Roman" w:cs="Arial"/>
        </w:rPr>
      </w:pPr>
      <w:r>
        <w:lastRenderedPageBreak/>
        <w:t xml:space="preserve">El Gerente del Proyecto (con contrato de FT) en el sitio del proyecto remoto, actuando como la primera autoridad, puede solicitar la reposición del PCH, sujeto a que se cumplan ciertas condiciones de control interno (véase Control interno para PCH). </w:t>
      </w:r>
    </w:p>
    <w:p w14:paraId="0D3D5902" w14:textId="151E0D98" w:rsidR="005821CD" w:rsidRPr="0008326F" w:rsidRDefault="47B17C82" w:rsidP="70ED36F6">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Para la oficina de proyecto de DIM con un requisito de liquidez mensual superior a USD 25 000, la CO debe utilizar el sistema bancario u otras alternativas en lugar de conservar una gran cantidad de efectivo en la oficina del proyecto. Esto requiere una consulta con la Tesorería para abrir una cuenta bancaria del proyecto, o garantizar que el proveedor de servicios local o el transportista de dinero se encarguen de satisfacer las necesidades de efectivo.</w:t>
      </w:r>
    </w:p>
    <w:p w14:paraId="6FD9D169"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Autoridad para establecer el PCH y el nivel </w:t>
      </w:r>
    </w:p>
    <w:p w14:paraId="1243A3E1" w14:textId="34467A98" w:rsidR="005821CD" w:rsidRPr="0008326F" w:rsidRDefault="005821CD" w:rsidP="70ED36F6">
      <w:pPr>
        <w:pStyle w:val="ListParagraph"/>
        <w:numPr>
          <w:ilvl w:val="2"/>
          <w:numId w:val="23"/>
        </w:numPr>
        <w:spacing w:before="100" w:beforeAutospacing="1" w:after="100" w:afterAutospacing="1" w:line="240" w:lineRule="auto"/>
        <w:ind w:left="360"/>
        <w:jc w:val="both"/>
        <w:rPr>
          <w:rFonts w:eastAsia="Times New Roman" w:cs="Arial"/>
        </w:rPr>
      </w:pPr>
      <w:r>
        <w:t xml:space="preserve">El Tesorero delega su autoridad para establecer el PCH al Representante Residente, hasta el nivel máximo de PCH para actividades normales.  </w:t>
      </w:r>
    </w:p>
    <w:p w14:paraId="47F2B69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4553C67A"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Cualquier CO con un requisito de PCH superior a USD 25 000 para un proyecto de DIM debe solicitar la aprobación del Tesorero por adelantado enviando el Anexo 5 con las justificaciones detalladas. El Tesorero evaluará dicha solicitud, además de examinar las necesidades de las actividades del proyecto, el historial de cumplimiento de la CO con el marco de control interno (ICF, </w:t>
      </w:r>
      <w:proofErr w:type="spellStart"/>
      <w:r w:rsidRPr="70ED36F6">
        <w:rPr>
          <w:i/>
          <w:iCs/>
        </w:rPr>
        <w:t>Internal</w:t>
      </w:r>
      <w:proofErr w:type="spellEnd"/>
      <w:r w:rsidRPr="70ED36F6">
        <w:rPr>
          <w:i/>
          <w:iCs/>
        </w:rPr>
        <w:t xml:space="preserve"> Control Framework</w:t>
      </w:r>
      <w:r>
        <w:t xml:space="preserve">, por sus siglas en inglés) y con las directrices de las Políticas y Procedimientos de Operaciones y Programas (POPP, </w:t>
      </w:r>
      <w:proofErr w:type="spellStart"/>
      <w:r w:rsidRPr="70ED36F6">
        <w:rPr>
          <w:i/>
          <w:iCs/>
        </w:rPr>
        <w:t>Programme</w:t>
      </w:r>
      <w:proofErr w:type="spellEnd"/>
      <w:r w:rsidRPr="70ED36F6">
        <w:rPr>
          <w:i/>
          <w:iCs/>
        </w:rPr>
        <w:t xml:space="preserve"> and </w:t>
      </w:r>
      <w:proofErr w:type="spellStart"/>
      <w:r w:rsidRPr="70ED36F6">
        <w:rPr>
          <w:i/>
          <w:iCs/>
        </w:rPr>
        <w:t>Operations</w:t>
      </w:r>
      <w:proofErr w:type="spellEnd"/>
      <w:r w:rsidRPr="70ED36F6">
        <w:rPr>
          <w:i/>
          <w:iCs/>
        </w:rPr>
        <w:t xml:space="preserve"> </w:t>
      </w:r>
      <w:proofErr w:type="spellStart"/>
      <w:r w:rsidRPr="70ED36F6">
        <w:rPr>
          <w:i/>
          <w:iCs/>
        </w:rPr>
        <w:t>Policies</w:t>
      </w:r>
      <w:proofErr w:type="spellEnd"/>
      <w:r w:rsidRPr="70ED36F6">
        <w:rPr>
          <w:i/>
          <w:iCs/>
        </w:rPr>
        <w:t xml:space="preserve"> and </w:t>
      </w:r>
      <w:proofErr w:type="spellStart"/>
      <w:r w:rsidRPr="70ED36F6">
        <w:rPr>
          <w:i/>
          <w:iCs/>
        </w:rPr>
        <w:t>Procedures</w:t>
      </w:r>
      <w:proofErr w:type="spellEnd"/>
      <w:r>
        <w:t xml:space="preserve">, por sus siglas en inglés), especialmente en las áreas de cumplimiento contable, conciliación y procedimientos de cierre de ejercicio para fondo de caja chica (PCF, </w:t>
      </w:r>
      <w:r w:rsidRPr="70ED36F6">
        <w:rPr>
          <w:i/>
          <w:iCs/>
        </w:rPr>
        <w:t xml:space="preserve">Petty Cash </w:t>
      </w:r>
      <w:proofErr w:type="spellStart"/>
      <w:r w:rsidRPr="70ED36F6">
        <w:rPr>
          <w:i/>
          <w:iCs/>
        </w:rPr>
        <w:t>Fund</w:t>
      </w:r>
      <w:proofErr w:type="spellEnd"/>
      <w:r>
        <w:t xml:space="preserve">, por sus siglas en inglés) , y tomará la decisión de autorizar el nivel superior solicitado. </w:t>
      </w:r>
    </w:p>
    <w:p w14:paraId="39F20752" w14:textId="0ED9EEF1" w:rsidR="005821CD" w:rsidRPr="0008326F" w:rsidRDefault="66C039A2" w:rsidP="70ED36F6">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xml:space="preserve">: Si los gastos de PCH no se registran de forma oportuna y precisa, y la cuenta del libro mayor (GL, General </w:t>
      </w:r>
      <w:proofErr w:type="spellStart"/>
      <w:r w:rsidR="005821CD" w:rsidRPr="70ED36F6">
        <w:rPr>
          <w:b/>
          <w:bCs/>
          <w:i/>
          <w:iCs/>
        </w:rPr>
        <w:t>Ledger</w:t>
      </w:r>
      <w:proofErr w:type="spellEnd"/>
      <w:r w:rsidR="005821CD" w:rsidRPr="70ED36F6">
        <w:rPr>
          <w:b/>
          <w:bCs/>
          <w:i/>
          <w:iCs/>
        </w:rPr>
        <w:t xml:space="preserve">, por sus siglas en inglés) 16107 para PCH no se concilia, se puede generar un retraso o un rechazo de la solicitud hasta que se resuelvan los problemas de control interno. </w:t>
      </w:r>
    </w:p>
    <w:p w14:paraId="150F95D4"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El Representante Residente debe documentar los siguientes detalles para el acuerdo de PCH de la oficina/sitio del proyecto de DIM remoto. </w:t>
      </w:r>
    </w:p>
    <w:p w14:paraId="11F3B2F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4D259C79" w14:textId="59B03F3C" w:rsidR="005821CD" w:rsidRPr="0008326F" w:rsidRDefault="005821CD" w:rsidP="70ED36F6">
      <w:pPr>
        <w:pStyle w:val="ListParagraph"/>
        <w:numPr>
          <w:ilvl w:val="0"/>
          <w:numId w:val="24"/>
        </w:numPr>
        <w:spacing w:before="100" w:beforeAutospacing="1" w:after="100" w:afterAutospacing="1" w:line="240" w:lineRule="auto"/>
        <w:ind w:left="1080"/>
        <w:jc w:val="both"/>
        <w:rPr>
          <w:rFonts w:eastAsia="Times New Roman" w:cs="Arial"/>
        </w:rPr>
      </w:pPr>
      <w:r>
        <w:t>Los esfuerzos realizados por la oficina para identificar opciones y resultados alternativos, incluida la evaluación del entorno bancario local, para demostrar que no existen otras opciones viables</w:t>
      </w:r>
      <w:r w:rsidR="729E66E2">
        <w:t>.</w:t>
      </w:r>
    </w:p>
    <w:p w14:paraId="36F0B9A1" w14:textId="6AA493F4" w:rsidR="005821CD" w:rsidRPr="0008326F" w:rsidRDefault="005821CD" w:rsidP="005821CD">
      <w:pPr>
        <w:pStyle w:val="ListParagraph"/>
        <w:numPr>
          <w:ilvl w:val="0"/>
          <w:numId w:val="24"/>
        </w:numPr>
        <w:spacing w:before="100" w:beforeAutospacing="1" w:after="100" w:afterAutospacing="1" w:line="240" w:lineRule="auto"/>
        <w:ind w:left="1080"/>
        <w:rPr>
          <w:rFonts w:eastAsia="Times New Roman" w:cs="Arial"/>
        </w:rPr>
      </w:pPr>
      <w:r>
        <w:t xml:space="preserve">La capacidad del personal y la disponibilidad de </w:t>
      </w:r>
      <w:r w:rsidR="009D593C">
        <w:t>Quantum</w:t>
      </w:r>
      <w:r>
        <w:t xml:space="preserve"> en el sitio del proyecto para registrar los desembolsos del proyecto mensualmente. </w:t>
      </w:r>
    </w:p>
    <w:p w14:paraId="4C0E3000" w14:textId="77777777" w:rsidR="005821CD" w:rsidRPr="0008326F" w:rsidRDefault="005821CD" w:rsidP="005821CD">
      <w:pPr>
        <w:pStyle w:val="ListParagraph"/>
        <w:numPr>
          <w:ilvl w:val="0"/>
          <w:numId w:val="24"/>
        </w:numPr>
        <w:spacing w:before="100" w:beforeAutospacing="1" w:after="100" w:afterAutospacing="1" w:line="240" w:lineRule="auto"/>
        <w:ind w:left="1080"/>
        <w:rPr>
          <w:rFonts w:eastAsia="Times New Roman" w:cs="Arial"/>
        </w:rPr>
      </w:pPr>
      <w:r>
        <w:t xml:space="preserve">Las disposiciones de control interno propuestas para garantizar la separación de tareas. </w:t>
      </w:r>
    </w:p>
    <w:p w14:paraId="57545A06" w14:textId="77777777" w:rsidR="005821CD" w:rsidRPr="0008326F" w:rsidRDefault="005821CD" w:rsidP="005821CD">
      <w:pPr>
        <w:pStyle w:val="ListParagraph"/>
        <w:numPr>
          <w:ilvl w:val="0"/>
          <w:numId w:val="24"/>
        </w:numPr>
        <w:spacing w:before="100" w:beforeAutospacing="1" w:after="100" w:afterAutospacing="1" w:line="240" w:lineRule="auto"/>
        <w:ind w:left="1080"/>
        <w:rPr>
          <w:rFonts w:eastAsia="Times New Roman" w:cs="Arial"/>
        </w:rPr>
      </w:pPr>
      <w:r>
        <w:t xml:space="preserve">El requisito mensual de liquidez del proyecto (pronóstico de gastos) para justificar el nivel de PCH seleccionado. </w:t>
      </w:r>
    </w:p>
    <w:p w14:paraId="5A0E72D7" w14:textId="77777777" w:rsidR="005821CD" w:rsidRPr="0008326F" w:rsidRDefault="005821CD" w:rsidP="005821CD">
      <w:pPr>
        <w:pStyle w:val="ListParagraph"/>
        <w:numPr>
          <w:ilvl w:val="0"/>
          <w:numId w:val="24"/>
        </w:numPr>
        <w:spacing w:before="100" w:beforeAutospacing="1" w:after="100" w:afterAutospacing="1" w:line="240" w:lineRule="auto"/>
        <w:ind w:left="1080"/>
        <w:jc w:val="both"/>
        <w:rPr>
          <w:rFonts w:eastAsia="Times New Roman" w:cs="Arial"/>
        </w:rPr>
      </w:pPr>
      <w:r>
        <w:t xml:space="preserve">La evaluación de la seguridad de la oficina/sitio del proyecto y del recorrido de transporte para el financiamiento inicial y su reposición posterior, a fin de minimizar el riesgo personal para el Custodio del PCH y el riesgo financiero para el Programa de las Naciones Unidas para el Desarrollo (PNUD). </w:t>
      </w:r>
    </w:p>
    <w:p w14:paraId="77589A10" w14:textId="77777777" w:rsidR="005821CD" w:rsidRPr="0008326F" w:rsidRDefault="005821CD" w:rsidP="005821CD">
      <w:pPr>
        <w:pStyle w:val="ListParagraph"/>
        <w:numPr>
          <w:ilvl w:val="0"/>
          <w:numId w:val="24"/>
        </w:numPr>
        <w:spacing w:before="100" w:beforeAutospacing="1" w:after="100" w:afterAutospacing="1" w:line="240" w:lineRule="auto"/>
        <w:ind w:left="1080"/>
        <w:jc w:val="both"/>
        <w:rPr>
          <w:rFonts w:eastAsia="Times New Roman" w:cs="Arial"/>
        </w:rPr>
      </w:pPr>
      <w:r>
        <w:t xml:space="preserve">La adquisición de una caja fuerte con dispositivos de protección adecuados y disponibilidad de una habitación cerrada con protecciones de seguridad. </w:t>
      </w:r>
    </w:p>
    <w:p w14:paraId="1D1B5099" w14:textId="77777777" w:rsidR="005821CD" w:rsidRPr="0008326F" w:rsidRDefault="005821CD" w:rsidP="005821CD">
      <w:pPr>
        <w:pStyle w:val="ListParagraph"/>
        <w:spacing w:before="100" w:beforeAutospacing="1" w:after="100" w:afterAutospacing="1" w:line="240" w:lineRule="auto"/>
        <w:ind w:left="1080"/>
        <w:jc w:val="both"/>
        <w:rPr>
          <w:rFonts w:eastAsia="Times New Roman" w:cs="Arial"/>
        </w:rPr>
      </w:pPr>
    </w:p>
    <w:p w14:paraId="3BEFCFEE"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lastRenderedPageBreak/>
        <w:t xml:space="preserve">El RR evaluará dicha solicitud en función de las necesidades del proyecto, la situación bancaria en el área remota, la capacidad del personal del proyecto y la seguridad del sitio, junto con los registros de cumplimiento de la oficina en el país con el ICF y las directrices en relación con los tipos de acuerdos en efectivo existentes, si los hubiera, especialmente en las áreas de cumplimiento de los procedimientos de contabilidad, conciliación y cierre de ejercicio, y decidirá si debe o no aprobar el nivel de PCH. </w:t>
      </w:r>
    </w:p>
    <w:p w14:paraId="7A08A8D6" w14:textId="5976B6AA" w:rsidR="005821CD" w:rsidRPr="0008326F" w:rsidRDefault="031F63A2" w:rsidP="70ED36F6">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xml:space="preserve">: Si los acuerdos de efectivo no se registran de forma oportuna y precisa, y las cuentas del GL pertinentes no se concilian, se puede generar un retraso en la aprobación hasta que se resuelvan los problemas de control interno. </w:t>
      </w:r>
    </w:p>
    <w:p w14:paraId="39420F9B"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Gastos que reúnen las condiciones para un PCH </w:t>
      </w:r>
    </w:p>
    <w:p w14:paraId="365D7C82"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Gastos relacionados con el proyecto de DIM que no pueden ser pagados por la oficina principal. </w:t>
      </w:r>
    </w:p>
    <w:p w14:paraId="3B7E60D7"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No hay límite en el monto de cada pago. </w:t>
      </w:r>
    </w:p>
    <w:p w14:paraId="7A55FB3B"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 xml:space="preserve">Las normas y procesos de adquisición deben respetarse en todos los desembolsos del proyecto. </w:t>
      </w:r>
    </w:p>
    <w:p w14:paraId="4F94128D" w14:textId="3A4A77BE" w:rsidR="005821CD" w:rsidRPr="0008326F" w:rsidRDefault="08F74F66" w:rsidP="70ED36F6">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xml:space="preserve">: Los pagos de salarios y beneficios, incluidas las horas extraordinarias, los anticipos y las dietas, no pueden realizarse con el PCH, independientemente de su monto. Estos pagos deben ingresarse en la nómina global sin excepción. </w:t>
      </w:r>
    </w:p>
    <w:p w14:paraId="7E987878"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Nombramiento del Custodio del PCH </w:t>
      </w:r>
    </w:p>
    <w:p w14:paraId="3A529E36"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El Representante Residente designa al Custodio del PCH siguiendo los siguientes criterios de nombramiento:</w:t>
      </w:r>
    </w:p>
    <w:p w14:paraId="0E8C58F5"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393D7297" w14:textId="1F78D372" w:rsidR="005821CD" w:rsidRPr="0008326F" w:rsidRDefault="005821CD" w:rsidP="70ED36F6">
      <w:pPr>
        <w:pStyle w:val="ListParagraph"/>
        <w:numPr>
          <w:ilvl w:val="0"/>
          <w:numId w:val="25"/>
        </w:numPr>
        <w:spacing w:before="100" w:beforeAutospacing="1" w:after="100" w:afterAutospacing="1" w:line="240" w:lineRule="auto"/>
        <w:ind w:left="1080"/>
        <w:jc w:val="both"/>
        <w:rPr>
          <w:rFonts w:eastAsia="Times New Roman" w:cs="Arial"/>
        </w:rPr>
      </w:pPr>
      <w:r>
        <w:t>El miembro del personal posee un contrato de plazo fijo</w:t>
      </w:r>
      <w:r w:rsidR="0C3BB31D">
        <w:t xml:space="preserve"> (FTA)</w:t>
      </w:r>
      <w:r>
        <w:t xml:space="preserve"> del PNUD. Solo el RR (no puede extenderse la delegación) puede designar a un titular de un contrato de servicios</w:t>
      </w:r>
      <w:r w:rsidR="16824D4B">
        <w:t xml:space="preserve"> </w:t>
      </w:r>
      <w:r w:rsidR="009D593C">
        <w:t>de personal</w:t>
      </w:r>
      <w:r w:rsidR="16824D4B">
        <w:t>(</w:t>
      </w:r>
      <w:r w:rsidR="009D593C">
        <w:t>NPSA/IPSA</w:t>
      </w:r>
      <w:r w:rsidR="16824D4B">
        <w:t>)</w:t>
      </w:r>
      <w:r>
        <w:t xml:space="preserve"> como custodio, con un límite de USD 2500 solamente.</w:t>
      </w:r>
    </w:p>
    <w:p w14:paraId="0561DE8E" w14:textId="77777777" w:rsidR="005821CD" w:rsidRPr="0008326F" w:rsidRDefault="005821CD" w:rsidP="005821CD">
      <w:pPr>
        <w:pStyle w:val="ListParagraph"/>
        <w:numPr>
          <w:ilvl w:val="0"/>
          <w:numId w:val="25"/>
        </w:numPr>
        <w:spacing w:before="100" w:beforeAutospacing="1" w:after="100" w:afterAutospacing="1" w:line="240" w:lineRule="auto"/>
        <w:ind w:left="1080"/>
        <w:jc w:val="both"/>
        <w:rPr>
          <w:rFonts w:eastAsia="Times New Roman" w:cs="Arial"/>
        </w:rPr>
      </w:pPr>
      <w:r>
        <w:t xml:space="preserve">El miembro del personal posee las competencias necesarias para cumplir con las funciones asignadas, incluida la protección, el uso adecuado, la contabilidad, el recuento físico y el mantenimiento del registro de PCH. </w:t>
      </w:r>
    </w:p>
    <w:p w14:paraId="16A39CF2" w14:textId="77777777" w:rsidR="005821CD" w:rsidRPr="0008326F" w:rsidRDefault="005821CD" w:rsidP="005821CD">
      <w:pPr>
        <w:pStyle w:val="ListParagraph"/>
        <w:numPr>
          <w:ilvl w:val="0"/>
          <w:numId w:val="25"/>
        </w:numPr>
        <w:spacing w:before="100" w:beforeAutospacing="1" w:after="100" w:afterAutospacing="1" w:line="240" w:lineRule="auto"/>
        <w:ind w:left="1080"/>
        <w:jc w:val="both"/>
        <w:rPr>
          <w:rFonts w:eastAsia="Times New Roman" w:cs="Arial"/>
        </w:rPr>
      </w:pPr>
      <w:r>
        <w:t xml:space="preserve">El miembro del personal acepta los términos y las condiciones de la carta de declaración y nombramiento de Custodio de efectivo en caja del proyecto, y firma el documento (Anexo 1: Formulario de nombramiento de Custodio de PCH, que el usuario deberá modificar para el PCH), incluidas las cláusulas que estipulan que en caso de pérdidas en el PCH, el Custodio deberá abonarlas al PNUD, o se procederá a recuperarlas de su salario. </w:t>
      </w:r>
    </w:p>
    <w:p w14:paraId="34061273"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Responsabilidades del Custodio de PCH </w:t>
      </w:r>
    </w:p>
    <w:p w14:paraId="67FEA5C2"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Las responsabilidades de los custodios son las siguientes:</w:t>
      </w:r>
    </w:p>
    <w:p w14:paraId="2F29F77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68073664" w14:textId="77777777" w:rsidR="009D593C" w:rsidRPr="009D593C" w:rsidRDefault="009D593C" w:rsidP="005821CD">
      <w:pPr>
        <w:pStyle w:val="ListParagraph"/>
        <w:numPr>
          <w:ilvl w:val="0"/>
          <w:numId w:val="26"/>
        </w:numPr>
        <w:spacing w:before="100" w:beforeAutospacing="1" w:after="100" w:afterAutospacing="1" w:line="240" w:lineRule="auto"/>
        <w:ind w:left="1080"/>
        <w:jc w:val="both"/>
        <w:rPr>
          <w:rFonts w:eastAsia="Times New Roman" w:cs="Arial"/>
        </w:rPr>
      </w:pPr>
      <w:r>
        <w:t>D</w:t>
      </w:r>
      <w:r w:rsidR="005821CD">
        <w:t xml:space="preserve">epositar el efectivo para el financiamiento inicial del PCH y la reposición posterior en la caja fuerte de la oficina del proyecto, con la presencia de un segundo oficial. </w:t>
      </w:r>
    </w:p>
    <w:p w14:paraId="780770F6" w14:textId="250265C6"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Mantener el registro de PCH para registrar todas las actividades en el PCH (véase Anexo 2: Registro de caja del PCH). </w:t>
      </w:r>
    </w:p>
    <w:p w14:paraId="50857A50"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lastRenderedPageBreak/>
        <w:t xml:space="preserve">Mantener el saldo diario del PCH y el saldo mensual promedio en el registro del PCH para fines de seguro. </w:t>
      </w:r>
    </w:p>
    <w:p w14:paraId="2BB22D19" w14:textId="48F20B48" w:rsidR="005821CD" w:rsidRPr="0008326F" w:rsidRDefault="005821CD" w:rsidP="70ED36F6">
      <w:pPr>
        <w:pStyle w:val="ListParagraph"/>
        <w:numPr>
          <w:ilvl w:val="0"/>
          <w:numId w:val="26"/>
        </w:numPr>
        <w:spacing w:before="100" w:beforeAutospacing="1" w:after="100" w:afterAutospacing="1" w:line="240" w:lineRule="auto"/>
        <w:ind w:left="1080"/>
        <w:jc w:val="both"/>
        <w:rPr>
          <w:rFonts w:eastAsia="Times New Roman" w:cs="Arial"/>
        </w:rPr>
      </w:pPr>
      <w:r>
        <w:t xml:space="preserve">Utilizar el comprobante de PCH </w:t>
      </w:r>
      <w:proofErr w:type="spellStart"/>
      <w:r>
        <w:t>pre</w:t>
      </w:r>
      <w:r w:rsidR="1D418EE1">
        <w:t>-</w:t>
      </w:r>
      <w:r>
        <w:t>secuencialment</w:t>
      </w:r>
      <w:r w:rsidR="009746AF">
        <w:t>e</w:t>
      </w:r>
      <w:proofErr w:type="spellEnd"/>
      <w:r w:rsidR="009746AF">
        <w:t xml:space="preserve"> numerado para cada desembolso</w:t>
      </w:r>
      <w:r>
        <w:br/>
        <w:t xml:space="preserve">del PCH. </w:t>
      </w:r>
    </w:p>
    <w:p w14:paraId="6D78F058" w14:textId="3413FE35"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Verificar que dicho comprobante de PCH se complete para fines contables/presupuestarios, que esté debidamente aprobado y que tenga una factura/recibo como docum</w:t>
      </w:r>
      <w:r w:rsidR="009746AF">
        <w:t>ento</w:t>
      </w:r>
      <w:r w:rsidR="009746AF">
        <w:br/>
      </w:r>
      <w:r>
        <w:t xml:space="preserve">de respaldo. </w:t>
      </w:r>
    </w:p>
    <w:p w14:paraId="53A95F1F"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Recontar el saldo del PCH después de cada desembolso y luego de cada una de las reposiciones, a fin de asegurarse de que el monto coincida siempre con el saldo corriente en el registro del PCF. </w:t>
      </w:r>
    </w:p>
    <w:p w14:paraId="23B30B8B"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Tomar todas las precauciones posibles para evitar robos, incluido el mantenimiento del PCF en un lugar seguro (es decir, en la caja fuerte de la oficina), y la presencia de dos personas al abrir la caja fuerte. </w:t>
      </w:r>
    </w:p>
    <w:p w14:paraId="26CEA0D3" w14:textId="77777777" w:rsidR="005821CD" w:rsidRPr="0008326F" w:rsidRDefault="005821CD" w:rsidP="005821CD">
      <w:pPr>
        <w:pStyle w:val="ListParagraph"/>
        <w:numPr>
          <w:ilvl w:val="0"/>
          <w:numId w:val="26"/>
        </w:numPr>
        <w:spacing w:before="100" w:beforeAutospacing="1" w:after="100" w:afterAutospacing="1" w:line="240" w:lineRule="auto"/>
        <w:ind w:left="1080"/>
        <w:jc w:val="both"/>
        <w:rPr>
          <w:rFonts w:eastAsia="Times New Roman" w:cs="Arial"/>
        </w:rPr>
      </w:pPr>
      <w:r>
        <w:t xml:space="preserve">Solicitar una reposición a la oficina principal de la CO cuando el saldo del PCH llegue al 20 % del saldo de apertura inicial (o un nivel porcentual previamente aprobado; consulte también los párrafos del 16 al 19 «Financiamiento inicial y reposición posterior del PCH»). </w:t>
      </w:r>
    </w:p>
    <w:p w14:paraId="5FFC8383"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Seguridad física del PCH </w:t>
      </w:r>
    </w:p>
    <w:p w14:paraId="754E0FA7" w14:textId="77777777" w:rsidR="005821CD" w:rsidRPr="0008326F" w:rsidRDefault="005821CD" w:rsidP="005821CD">
      <w:pPr>
        <w:pStyle w:val="ListParagraph"/>
        <w:numPr>
          <w:ilvl w:val="2"/>
          <w:numId w:val="23"/>
        </w:numPr>
        <w:spacing w:before="100" w:beforeAutospacing="1" w:after="100" w:afterAutospacing="1" w:line="240" w:lineRule="auto"/>
        <w:ind w:left="360"/>
        <w:jc w:val="both"/>
        <w:rPr>
          <w:rFonts w:eastAsia="Times New Roman" w:cs="Arial"/>
        </w:rPr>
      </w:pPr>
      <w:r>
        <w:t>El Representante Residente Adjunto (</w:t>
      </w:r>
      <w:proofErr w:type="spellStart"/>
      <w:r>
        <w:t>RRAd</w:t>
      </w:r>
      <w:proofErr w:type="spellEnd"/>
      <w:r>
        <w:t>) de Operaciones o el Gerente de Operaciones es responsable de la seguridad física del PCH, tomando las siguientes medidas:</w:t>
      </w:r>
    </w:p>
    <w:p w14:paraId="4EBB7C6B"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09A0ED5D" w14:textId="77777777" w:rsidR="005821CD" w:rsidRPr="0008326F" w:rsidRDefault="005821CD" w:rsidP="005821CD">
      <w:pPr>
        <w:pStyle w:val="ListParagraph"/>
        <w:numPr>
          <w:ilvl w:val="0"/>
          <w:numId w:val="27"/>
        </w:numPr>
        <w:spacing w:before="100" w:beforeAutospacing="1" w:after="100" w:afterAutospacing="1" w:line="240" w:lineRule="auto"/>
        <w:ind w:left="1080"/>
        <w:jc w:val="both"/>
        <w:rPr>
          <w:rFonts w:eastAsia="Times New Roman" w:cs="Arial"/>
        </w:rPr>
      </w:pPr>
      <w:r>
        <w:t xml:space="preserve">La oficina del proyecto debe tener una caja fuerte con dispositivos de protección adecuados. </w:t>
      </w:r>
    </w:p>
    <w:p w14:paraId="7DBED01D" w14:textId="77777777" w:rsidR="005821CD" w:rsidRPr="0008326F" w:rsidRDefault="005821CD" w:rsidP="005821CD">
      <w:pPr>
        <w:pStyle w:val="ListParagraph"/>
        <w:numPr>
          <w:ilvl w:val="0"/>
          <w:numId w:val="27"/>
        </w:numPr>
        <w:spacing w:before="100" w:beforeAutospacing="1" w:after="100" w:afterAutospacing="1" w:line="240" w:lineRule="auto"/>
        <w:ind w:left="1080"/>
        <w:jc w:val="both"/>
        <w:rPr>
          <w:rFonts w:eastAsia="Times New Roman" w:cs="Arial"/>
        </w:rPr>
      </w:pPr>
      <w:r>
        <w:t xml:space="preserve">La caja fuerte debe colocarse en una habitación cerrada con protecciones de seguridad, y el acceso solo está permitido al personal autorizado. </w:t>
      </w:r>
    </w:p>
    <w:p w14:paraId="1C42E5BE" w14:textId="77777777" w:rsidR="005821CD" w:rsidRPr="0008326F" w:rsidRDefault="005821CD" w:rsidP="005821CD">
      <w:pPr>
        <w:pStyle w:val="ListParagraph"/>
        <w:numPr>
          <w:ilvl w:val="0"/>
          <w:numId w:val="27"/>
        </w:numPr>
        <w:spacing w:before="100" w:beforeAutospacing="1" w:after="100" w:afterAutospacing="1" w:line="240" w:lineRule="auto"/>
        <w:ind w:left="1080"/>
        <w:jc w:val="both"/>
        <w:rPr>
          <w:rFonts w:eastAsia="Times New Roman" w:cs="Arial"/>
        </w:rPr>
      </w:pPr>
      <w:r>
        <w:t xml:space="preserve">El efectivo debe mantenerse en la caja fuerte en todo momento. </w:t>
      </w:r>
    </w:p>
    <w:p w14:paraId="4D747194" w14:textId="2BBC57CF" w:rsidR="005821CD" w:rsidRPr="0008326F" w:rsidRDefault="005821CD" w:rsidP="70ED36F6">
      <w:pPr>
        <w:pStyle w:val="ListParagraph"/>
        <w:numPr>
          <w:ilvl w:val="0"/>
          <w:numId w:val="27"/>
        </w:numPr>
        <w:spacing w:before="100" w:beforeAutospacing="1" w:after="100" w:afterAutospacing="1" w:line="240" w:lineRule="auto"/>
        <w:ind w:left="1080"/>
        <w:jc w:val="both"/>
        <w:rPr>
          <w:rFonts w:eastAsia="Times New Roman" w:cs="Arial"/>
        </w:rPr>
      </w:pPr>
      <w:r>
        <w:t xml:space="preserve">Organizar y verificar la seguridad del trayecto de viaje para el financiamiento inicial y las reposiciones posteriores. </w:t>
      </w:r>
    </w:p>
    <w:p w14:paraId="07362684"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Financiamiento inicial y reposición posterior del PCH </w:t>
      </w:r>
    </w:p>
    <w:p w14:paraId="43705112" w14:textId="6CA808EB" w:rsidR="005821CD" w:rsidRPr="009D593C" w:rsidRDefault="009D593C" w:rsidP="005821CD">
      <w:pPr>
        <w:pStyle w:val="ListParagraph"/>
        <w:numPr>
          <w:ilvl w:val="2"/>
          <w:numId w:val="23"/>
        </w:numPr>
        <w:spacing w:before="100" w:beforeAutospacing="1" w:after="100" w:afterAutospacing="1" w:line="240" w:lineRule="auto"/>
        <w:ind w:left="360"/>
        <w:jc w:val="both"/>
        <w:rPr>
          <w:rFonts w:eastAsia="Times New Roman" w:cs="Arial"/>
        </w:rPr>
      </w:pPr>
      <w:r w:rsidRPr="009D593C">
        <w:t xml:space="preserve">La financiación inicial del PCH se realiza mediante una </w:t>
      </w:r>
      <w:r>
        <w:t>f</w:t>
      </w:r>
      <w:r w:rsidRPr="009D593C">
        <w:t xml:space="preserve">actura de </w:t>
      </w:r>
      <w:r>
        <w:t>p</w:t>
      </w:r>
      <w:r w:rsidRPr="009D593C">
        <w:t xml:space="preserve">repago </w:t>
      </w:r>
      <w:r>
        <w:t>p</w:t>
      </w:r>
      <w:r w:rsidRPr="009D593C">
        <w:t>ermanente pagadera al Custodio del PCH como "Proveedor", registrada contra</w:t>
      </w:r>
      <w:r>
        <w:t>:</w:t>
      </w:r>
    </w:p>
    <w:p w14:paraId="4DC2551D" w14:textId="77777777"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 xml:space="preserve">Cargo en cuenta de mayor: </w:t>
      </w:r>
      <w:r w:rsidRPr="009D593C">
        <w:rPr>
          <w:rFonts w:eastAsia="Times New Roman" w:cs="Arial"/>
        </w:rPr>
        <w:tab/>
        <w:t xml:space="preserve">16107 - Efectivo en caja del proyecto PCH </w:t>
      </w:r>
    </w:p>
    <w:p w14:paraId="33481D57" w14:textId="1AC8B418"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ab/>
        <w:t xml:space="preserve">Unidad operativa: </w:t>
      </w:r>
      <w:r w:rsidRPr="009D593C">
        <w:rPr>
          <w:rFonts w:eastAsia="Times New Roman" w:cs="Arial"/>
        </w:rPr>
        <w:tab/>
        <w:t xml:space="preserve">Unidad operativa de CO </w:t>
      </w:r>
    </w:p>
    <w:p w14:paraId="709A6A58" w14:textId="20B1C913"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ab/>
        <w:t xml:space="preserve">Código de fondo: </w:t>
      </w:r>
      <w:r w:rsidRPr="009D593C">
        <w:rPr>
          <w:rFonts w:eastAsia="Times New Roman" w:cs="Arial"/>
        </w:rPr>
        <w:tab/>
        <w:t xml:space="preserve">Código de fondo del proyecto correspondiente </w:t>
      </w:r>
    </w:p>
    <w:p w14:paraId="6EEEA6B4" w14:textId="77777777"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ab/>
        <w:t xml:space="preserve">Departamento: </w:t>
      </w:r>
      <w:r w:rsidRPr="009D593C">
        <w:rPr>
          <w:rFonts w:eastAsia="Times New Roman" w:cs="Arial"/>
        </w:rPr>
        <w:tab/>
      </w:r>
      <w:r w:rsidRPr="009D593C">
        <w:rPr>
          <w:rFonts w:eastAsia="Times New Roman" w:cs="Arial"/>
        </w:rPr>
        <w:tab/>
        <w:t xml:space="preserve">Departamento correspondiente </w:t>
      </w:r>
    </w:p>
    <w:p w14:paraId="547E4798" w14:textId="6C8739FE"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ab/>
        <w:t xml:space="preserve">ID del proyecto: </w:t>
      </w:r>
      <w:r w:rsidRPr="009D593C">
        <w:rPr>
          <w:rFonts w:eastAsia="Times New Roman" w:cs="Arial"/>
        </w:rPr>
        <w:tab/>
        <w:t xml:space="preserve">ID del proyecto correspondiente </w:t>
      </w:r>
    </w:p>
    <w:p w14:paraId="0B8D63F8" w14:textId="77777777"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ab/>
      </w:r>
      <w:proofErr w:type="spellStart"/>
      <w:r w:rsidRPr="009D593C">
        <w:rPr>
          <w:rFonts w:eastAsia="Times New Roman" w:cs="Arial"/>
        </w:rPr>
        <w:t>Impl</w:t>
      </w:r>
      <w:proofErr w:type="spellEnd"/>
      <w:r w:rsidRPr="009D593C">
        <w:rPr>
          <w:rFonts w:eastAsia="Times New Roman" w:cs="Arial"/>
        </w:rPr>
        <w:t xml:space="preserve">. </w:t>
      </w:r>
      <w:proofErr w:type="spellStart"/>
      <w:r w:rsidRPr="009D593C">
        <w:rPr>
          <w:rFonts w:eastAsia="Times New Roman" w:cs="Arial"/>
        </w:rPr>
        <w:t>Agent</w:t>
      </w:r>
      <w:proofErr w:type="spellEnd"/>
      <w:r w:rsidRPr="009D593C">
        <w:rPr>
          <w:rFonts w:eastAsia="Times New Roman" w:cs="Arial"/>
        </w:rPr>
        <w:t xml:space="preserve">: </w:t>
      </w:r>
      <w:r w:rsidRPr="009D593C">
        <w:rPr>
          <w:rFonts w:eastAsia="Times New Roman" w:cs="Arial"/>
        </w:rPr>
        <w:tab/>
      </w:r>
      <w:r w:rsidRPr="009D593C">
        <w:rPr>
          <w:rFonts w:eastAsia="Times New Roman" w:cs="Arial"/>
        </w:rPr>
        <w:tab/>
        <w:t xml:space="preserve">Según proceda </w:t>
      </w:r>
    </w:p>
    <w:p w14:paraId="4A40DB17" w14:textId="77777777" w:rsidR="009D593C" w:rsidRP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lastRenderedPageBreak/>
        <w:tab/>
        <w:t xml:space="preserve">Donante: </w:t>
      </w:r>
      <w:r w:rsidRPr="009D593C">
        <w:rPr>
          <w:rFonts w:eastAsia="Times New Roman" w:cs="Arial"/>
        </w:rPr>
        <w:tab/>
      </w:r>
      <w:r w:rsidRPr="009D593C">
        <w:rPr>
          <w:rFonts w:eastAsia="Times New Roman" w:cs="Arial"/>
        </w:rPr>
        <w:tab/>
      </w:r>
      <w:r w:rsidRPr="009D593C">
        <w:rPr>
          <w:rFonts w:eastAsia="Times New Roman" w:cs="Arial"/>
        </w:rPr>
        <w:tab/>
        <w:t xml:space="preserve">Según proceda </w:t>
      </w:r>
    </w:p>
    <w:p w14:paraId="056B1AB5" w14:textId="4267FEEF" w:rsidR="009D593C" w:rsidRDefault="009D593C" w:rsidP="009D593C">
      <w:pPr>
        <w:spacing w:before="100" w:beforeAutospacing="1" w:after="100" w:afterAutospacing="1" w:line="240" w:lineRule="auto"/>
        <w:jc w:val="both"/>
        <w:rPr>
          <w:rFonts w:eastAsia="Times New Roman" w:cs="Arial"/>
        </w:rPr>
      </w:pPr>
      <w:r w:rsidRPr="009D593C">
        <w:rPr>
          <w:rFonts w:eastAsia="Times New Roman" w:cs="Arial"/>
        </w:rPr>
        <w:tab/>
        <w:t xml:space="preserve">Proveedor </w:t>
      </w:r>
      <w:r w:rsidRPr="009D593C">
        <w:rPr>
          <w:rFonts w:eastAsia="Times New Roman" w:cs="Arial"/>
        </w:rPr>
        <w:tab/>
      </w:r>
      <w:r w:rsidRPr="009D593C">
        <w:rPr>
          <w:rFonts w:eastAsia="Times New Roman" w:cs="Arial"/>
        </w:rPr>
        <w:tab/>
        <w:t>Custodio de PCH Personal/Proveedor ID</w:t>
      </w:r>
    </w:p>
    <w:p w14:paraId="2AABF563" w14:textId="5B7D8618" w:rsidR="00BD5B85" w:rsidRPr="00BD5B85" w:rsidRDefault="00BD5B85" w:rsidP="00BD5B85">
      <w:pPr>
        <w:pStyle w:val="ListParagraph"/>
        <w:numPr>
          <w:ilvl w:val="0"/>
          <w:numId w:val="31"/>
        </w:numPr>
        <w:spacing w:before="100" w:beforeAutospacing="1" w:after="100" w:afterAutospacing="1" w:line="240" w:lineRule="auto"/>
        <w:jc w:val="both"/>
        <w:rPr>
          <w:rFonts w:eastAsia="Times New Roman" w:cs="Arial"/>
        </w:rPr>
      </w:pPr>
      <w:r w:rsidRPr="00BD5B85">
        <w:rPr>
          <w:rFonts w:eastAsia="Times New Roman" w:cs="Arial"/>
        </w:rPr>
        <w:t>El documento justificativo de la factura es el visto bueno del Representante Residente o del Tesorero, según proceda.</w:t>
      </w:r>
    </w:p>
    <w:p w14:paraId="46E30571"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E549B18" w14:textId="42E452CC" w:rsidR="005821CD" w:rsidRPr="0008326F" w:rsidRDefault="00BD5B85" w:rsidP="00BD5B85">
      <w:pPr>
        <w:pStyle w:val="ListParagraph"/>
        <w:numPr>
          <w:ilvl w:val="0"/>
          <w:numId w:val="32"/>
        </w:numPr>
        <w:spacing w:before="100" w:beforeAutospacing="1" w:after="100" w:afterAutospacing="1" w:line="240" w:lineRule="auto"/>
        <w:jc w:val="both"/>
        <w:rPr>
          <w:rFonts w:eastAsia="Times New Roman" w:cs="Arial"/>
        </w:rPr>
      </w:pPr>
      <w:r w:rsidRPr="00BD5B85">
        <w:t xml:space="preserve">La reposición posterior se realiza mediante un Comprobante de Pago pagadero al Custodio del PCH. El importe de la reposición posterior debe ser igual al importe de los desembolsos totales realizados durante el período anterior a la solicitud de reposición. Los comprobantes correspondientes y las facturas/recibos adjuntos sirven como documentos de </w:t>
      </w:r>
      <w:r w:rsidR="00A64B9E" w:rsidRPr="00BD5B85">
        <w:t>respaldo</w:t>
      </w:r>
      <w:r w:rsidRPr="00BD5B85">
        <w:t xml:space="preserve"> de la reposición posterior.</w:t>
      </w:r>
      <w:r w:rsidR="005821CD">
        <w:t xml:space="preserve"> </w:t>
      </w:r>
    </w:p>
    <w:p w14:paraId="5ECE8F6E" w14:textId="77777777" w:rsidR="005821CD" w:rsidRPr="0008326F" w:rsidRDefault="005821CD" w:rsidP="005821CD">
      <w:pPr>
        <w:pStyle w:val="ListParagraph"/>
        <w:rPr>
          <w:rFonts w:eastAsia="Times New Roman" w:cs="Arial"/>
        </w:rPr>
      </w:pPr>
    </w:p>
    <w:p w14:paraId="35615324" w14:textId="53F187A4"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Después de la reposición posterior, </w:t>
      </w:r>
      <w:r w:rsidR="00BD5B85" w:rsidRPr="00BD5B85">
        <w:t>el saldo del PCH guardado en la caja fuerte de la oficina debe ser igual al saldo inicial de apertura</w:t>
      </w:r>
      <w:r>
        <w:t xml:space="preserve">. </w:t>
      </w:r>
    </w:p>
    <w:p w14:paraId="71BF604B" w14:textId="77777777" w:rsidR="005821CD" w:rsidRPr="0008326F" w:rsidRDefault="005821CD" w:rsidP="005821CD">
      <w:pPr>
        <w:pStyle w:val="ListParagraph"/>
        <w:rPr>
          <w:rFonts w:eastAsia="Times New Roman" w:cs="Arial"/>
        </w:rPr>
      </w:pPr>
    </w:p>
    <w:p w14:paraId="55DE23BE"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Para la reposición posterior del PCH, el </w:t>
      </w:r>
      <w:proofErr w:type="spellStart"/>
      <w:r>
        <w:t>RRAd</w:t>
      </w:r>
      <w:proofErr w:type="spellEnd"/>
      <w:r>
        <w:t xml:space="preserve"> de Operaciones o el Gerente de Operaciones de la oficina principal de la CO (que no sea el Custodio del PCH) debe revisar, certificar y aprobar (según sea el caso):</w:t>
      </w:r>
    </w:p>
    <w:p w14:paraId="460E0BA9" w14:textId="77777777" w:rsidR="005821CD" w:rsidRPr="0008326F" w:rsidRDefault="005821CD" w:rsidP="005821CD">
      <w:pPr>
        <w:pStyle w:val="ListParagraph"/>
        <w:rPr>
          <w:rFonts w:eastAsia="Times New Roman" w:cs="Arial"/>
        </w:rPr>
      </w:pPr>
    </w:p>
    <w:p w14:paraId="23E231DB" w14:textId="458D5625" w:rsidR="005821CD" w:rsidRPr="0008326F" w:rsidRDefault="00A64B9E" w:rsidP="005821CD">
      <w:pPr>
        <w:pStyle w:val="ListParagraph"/>
        <w:numPr>
          <w:ilvl w:val="0"/>
          <w:numId w:val="28"/>
        </w:numPr>
        <w:spacing w:before="100" w:beforeAutospacing="1" w:after="100" w:afterAutospacing="1" w:line="240" w:lineRule="auto"/>
        <w:ind w:left="1080"/>
        <w:jc w:val="both"/>
        <w:rPr>
          <w:rFonts w:eastAsia="Times New Roman" w:cs="Arial"/>
        </w:rPr>
      </w:pPr>
      <w:r w:rsidRPr="00A64B9E">
        <w:t xml:space="preserve">Cargar la lista de la hoja de cálculo creada por el Depositario del PCH para registrar los desembolsos del PCH y los documentos justificativos para gastos cargados contra las cuentas de gastos 7xxxx </w:t>
      </w:r>
      <w:r>
        <w:t>relevantes</w:t>
      </w:r>
      <w:r w:rsidRPr="00A64B9E">
        <w:t>.</w:t>
      </w:r>
      <w:r w:rsidR="005821CD">
        <w:t xml:space="preserve">. </w:t>
      </w:r>
    </w:p>
    <w:p w14:paraId="379F61C5" w14:textId="77777777" w:rsidR="005821CD" w:rsidRPr="0008326F" w:rsidRDefault="005821CD" w:rsidP="005821CD">
      <w:pPr>
        <w:pStyle w:val="ListParagraph"/>
        <w:numPr>
          <w:ilvl w:val="0"/>
          <w:numId w:val="28"/>
        </w:numPr>
        <w:spacing w:before="100" w:beforeAutospacing="1" w:after="100" w:afterAutospacing="1" w:line="240" w:lineRule="auto"/>
        <w:ind w:left="1080"/>
        <w:jc w:val="both"/>
        <w:rPr>
          <w:rFonts w:eastAsia="Times New Roman" w:cs="Arial"/>
        </w:rPr>
      </w:pPr>
      <w:r>
        <w:t xml:space="preserve">El recuento físico realizado por la oficina del proyecto para garantizar que el saldo del PCH en la caja fuerte sea igual al saldo del registro del PCH. </w:t>
      </w:r>
    </w:p>
    <w:p w14:paraId="787699C8" w14:textId="77777777" w:rsidR="005821CD" w:rsidRPr="0008326F" w:rsidRDefault="005821CD" w:rsidP="005821CD">
      <w:pPr>
        <w:pStyle w:val="ListParagraph"/>
        <w:numPr>
          <w:ilvl w:val="0"/>
          <w:numId w:val="28"/>
        </w:numPr>
        <w:spacing w:before="100" w:beforeAutospacing="1" w:after="100" w:afterAutospacing="1" w:line="240" w:lineRule="auto"/>
        <w:ind w:left="1080"/>
        <w:jc w:val="both"/>
        <w:rPr>
          <w:rFonts w:eastAsia="Times New Roman" w:cs="Arial"/>
        </w:rPr>
      </w:pPr>
      <w:r>
        <w:t xml:space="preserve">La conciliación del PCH para garantizar que el saldo de la cuenta 16107 del GL para el PCH coincida con el efectivo real en la caja fuerte (después de la emisión del APJV) y en el registro del PCH. </w:t>
      </w:r>
    </w:p>
    <w:p w14:paraId="78F677FA" w14:textId="7C4788BA" w:rsidR="005821CD" w:rsidRPr="0008326F" w:rsidRDefault="00A64B9E" w:rsidP="005821CD">
      <w:pPr>
        <w:pStyle w:val="ListParagraph"/>
        <w:numPr>
          <w:ilvl w:val="0"/>
          <w:numId w:val="28"/>
        </w:numPr>
        <w:spacing w:before="100" w:beforeAutospacing="1" w:after="100" w:afterAutospacing="1" w:line="240" w:lineRule="auto"/>
        <w:ind w:left="1080"/>
        <w:jc w:val="both"/>
        <w:rPr>
          <w:rFonts w:eastAsia="Times New Roman" w:cs="Arial"/>
        </w:rPr>
      </w:pPr>
      <w:r>
        <w:t>Un c</w:t>
      </w:r>
      <w:r w:rsidRPr="00A64B9E">
        <w:t xml:space="preserve">omprobante de pago </w:t>
      </w:r>
      <w:r w:rsidR="005821CD">
        <w:t xml:space="preserve">para pagar al Custodio del PCH como reposición para el PCH. </w:t>
      </w:r>
    </w:p>
    <w:p w14:paraId="2265A86F" w14:textId="77777777" w:rsidR="005821CD" w:rsidRPr="0008326F" w:rsidRDefault="005821CD" w:rsidP="005821CD">
      <w:pPr>
        <w:spacing w:before="100" w:beforeAutospacing="1" w:after="100" w:afterAutospacing="1" w:line="240" w:lineRule="auto"/>
        <w:jc w:val="both"/>
        <w:rPr>
          <w:rFonts w:eastAsia="Times New Roman" w:cs="Arial"/>
          <w:b/>
          <w:i/>
        </w:rPr>
      </w:pPr>
      <w:r w:rsidRPr="70ED36F6">
        <w:rPr>
          <w:b/>
          <w:bCs/>
          <w:i/>
          <w:iCs/>
        </w:rPr>
        <w:t xml:space="preserve">Consejos: La reposición posterior del PCH debe solicitarse cuando el saldo del PCH llegue al 20 % del nivel original. Si el plazo requerido es mayor debido a condiciones locales específicas, el Gerente del Proyecto debe acordar con el Gerente de Operaciones elevar el porcentaje al nivel apropiado para que las actividades del proyecto no se vean afectadas negativamente. La clave no es mantener los saldos excedentes del PCH in situ, a fin de reducir el riesgo de seguridad y garantizar que se respetan estrictamente los controles internos para reducir el riesgo financiero. </w:t>
      </w:r>
    </w:p>
    <w:p w14:paraId="30FB727B" w14:textId="77777777" w:rsidR="005821CD" w:rsidRPr="0008326F" w:rsidRDefault="005821CD" w:rsidP="70ED36F6">
      <w:pPr>
        <w:spacing w:before="100" w:beforeAutospacing="1" w:after="100" w:afterAutospacing="1" w:line="240" w:lineRule="auto"/>
        <w:rPr>
          <w:rFonts w:eastAsia="Times New Roman" w:cs="Arial"/>
          <w:u w:val="single"/>
        </w:rPr>
      </w:pPr>
      <w:r w:rsidRPr="70ED36F6">
        <w:rPr>
          <w:u w:val="single"/>
        </w:rPr>
        <w:t xml:space="preserve">Controles internos para el PCH </w:t>
      </w:r>
    </w:p>
    <w:p w14:paraId="3963AF74" w14:textId="20DA9E0A"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La </w:t>
      </w:r>
      <w:r w:rsidR="4AF9C7C2">
        <w:t>separación</w:t>
      </w:r>
      <w:r>
        <w:t xml:space="preserve"> de tareas debe respetarse en todo momento.</w:t>
      </w:r>
    </w:p>
    <w:p w14:paraId="404EB5A7"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269BB092"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Los comprobantes PCH </w:t>
      </w:r>
      <w:proofErr w:type="spellStart"/>
      <w:r>
        <w:t>presecuencialmente</w:t>
      </w:r>
      <w:proofErr w:type="spellEnd"/>
      <w:r>
        <w:t xml:space="preserve"> numerados deben utilizarse para solicitar los desembolsos de PCH; asimismo debe obtenerse la aprobación apropiada, e indicarse el plan de cuentas (COA, </w:t>
      </w:r>
      <w:r>
        <w:rPr>
          <w:i/>
        </w:rPr>
        <w:t xml:space="preserve">Chart </w:t>
      </w:r>
      <w:proofErr w:type="spellStart"/>
      <w:r>
        <w:rPr>
          <w:i/>
        </w:rPr>
        <w:t>of</w:t>
      </w:r>
      <w:proofErr w:type="spellEnd"/>
      <w:r>
        <w:rPr>
          <w:i/>
        </w:rPr>
        <w:t xml:space="preserve"> </w:t>
      </w:r>
      <w:proofErr w:type="spellStart"/>
      <w:r>
        <w:rPr>
          <w:i/>
        </w:rPr>
        <w:t>Accounts</w:t>
      </w:r>
      <w:proofErr w:type="spellEnd"/>
      <w:r>
        <w:t xml:space="preserve">, por sus siglas en inglés) completo. </w:t>
      </w:r>
    </w:p>
    <w:p w14:paraId="3DD18FE8" w14:textId="77777777" w:rsidR="005821CD" w:rsidRPr="0008326F" w:rsidRDefault="005821CD" w:rsidP="005821CD">
      <w:pPr>
        <w:pStyle w:val="ListParagraph"/>
        <w:rPr>
          <w:rFonts w:eastAsia="Times New Roman" w:cs="Arial"/>
        </w:rPr>
      </w:pPr>
    </w:p>
    <w:p w14:paraId="2B8A79F8"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La factura/recibo de cualquier compra debe adjuntarse a cada comprobante de PCH. </w:t>
      </w:r>
    </w:p>
    <w:p w14:paraId="7A75EBE4"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6B27A8E"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8144CFE"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El registro del PCH debe conservarse para cada transacción y emitirse al cierre de las operaciones del último día del mes o antes de cada período de reposición sin ninguna modificación adicional. Se debe crear un nuevo registro del PCH para un nuevo mes o un nuevo período de reposición. </w:t>
      </w:r>
    </w:p>
    <w:p w14:paraId="0DDA509E"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B53748D"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El informe AAA para la cuenta 16107 del GL debe generarse al final de cada mes o en cada período de reposición a fin de comparar el saldo en el registro del PCH y en el GL. </w:t>
      </w:r>
    </w:p>
    <w:p w14:paraId="1BAAECB6"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0747D165"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El Gerente de Operaciones debe realizar un recuento físico de efectivo al final del mes o antes de cada solicitud de reposición, lo que ocurra primero, y debe firmar el formulario de recuento de PCH (véase el Anexo 3: Formulario de recuento de efectivo de PCH para el recuento físico y la conciliación mensual y de cierre de ejercicio). La firma en el formulario de recuento de PCH certifica que el saldo en la caja fuerte es igual al saldo en el registro del PCH y en la cuenta 16107 del GL. Si la oficina del proyecto no tiene un Gerente de Operaciones, el </w:t>
      </w:r>
      <w:proofErr w:type="spellStart"/>
      <w:r>
        <w:t>RRAd</w:t>
      </w:r>
      <w:proofErr w:type="spellEnd"/>
      <w:r>
        <w:t xml:space="preserve"> de Operaciones debe designar a un oficial independiente del PCH para realizar el recuento físico mensual. </w:t>
      </w:r>
    </w:p>
    <w:p w14:paraId="6938C9E9"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4607D5B0" w14:textId="1468A563" w:rsidR="005821CD" w:rsidRPr="003D074A"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Además, los recuentos físicos de efectivo sin previo aviso deben realizarse junto con el </w:t>
      </w:r>
      <w:proofErr w:type="spellStart"/>
      <w:r>
        <w:t>RRAd</w:t>
      </w:r>
      <w:proofErr w:type="spellEnd"/>
      <w:r>
        <w:t xml:space="preserve"> de Operaciones o el Gerente de Operaciones y con el personal/los oficiales designados de la oficina principal de la CO. Siempre se debe utilizar el formulario de recuento de PCH y se debe anotar la fecha del recuento de efectivo sin previo aviso. Además, el Custodio debe realizar un recuento diario de efectivo y una conciliación con un segundo oficial. Esto se</w:t>
      </w:r>
      <w:r w:rsidR="009746AF">
        <w:t xml:space="preserve"> puede registrar en el registro</w:t>
      </w:r>
      <w:r w:rsidR="009746AF">
        <w:br/>
      </w:r>
      <w:r>
        <w:t xml:space="preserve">de efectivo. </w:t>
      </w:r>
    </w:p>
    <w:p w14:paraId="359DA904"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7C69BD64" w14:textId="7B3D460B"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Cualquier discrepancia identificada en los pasos 24 a 27 debe inve</w:t>
      </w:r>
      <w:r w:rsidR="009746AF">
        <w:t>stigarse y resolverse dentro de</w:t>
      </w:r>
      <w:r w:rsidR="009746AF">
        <w:br/>
      </w:r>
      <w:r>
        <w:t xml:space="preserve">los 7 días. </w:t>
      </w:r>
    </w:p>
    <w:p w14:paraId="7F93955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5BD54016"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Los pasos 24 a 28 constituyen la conciliación mensual del PCH que debe realizarse todos los meses sin excepción. </w:t>
      </w:r>
    </w:p>
    <w:p w14:paraId="1F087438"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p>
    <w:p w14:paraId="225F5539" w14:textId="5BA23339" w:rsidR="005821CD" w:rsidRPr="0008326F" w:rsidRDefault="00A64B9E" w:rsidP="00BD5B85">
      <w:pPr>
        <w:pStyle w:val="ListParagraph"/>
        <w:numPr>
          <w:ilvl w:val="0"/>
          <w:numId w:val="32"/>
        </w:numPr>
        <w:spacing w:before="100" w:beforeAutospacing="1" w:after="100" w:afterAutospacing="1" w:line="240" w:lineRule="auto"/>
        <w:jc w:val="both"/>
        <w:rPr>
          <w:rFonts w:eastAsia="Times New Roman" w:cs="Arial"/>
        </w:rPr>
      </w:pPr>
      <w:r w:rsidRPr="00A64B9E">
        <w:t>El 31 de diciembre de cada año, o antes, la OC deberá cargar la última hoja de cálculo de los gastos registrados e ingresar en la cuenta bancaria de la OC el saldo de PCH guardado en la caja fuerte. La GSSC tomará las medidas necesarias para garantizar la liquidación del pago anticipado emitido para PCH con cargo a la cuenta GL 16107</w:t>
      </w:r>
      <w:r w:rsidR="005821CD">
        <w:t xml:space="preserve">. </w:t>
      </w:r>
    </w:p>
    <w:p w14:paraId="3E552D1F" w14:textId="7DEDAC36" w:rsidR="005821CD" w:rsidRPr="0008326F" w:rsidRDefault="65E12118" w:rsidP="70ED36F6">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Si la CO no deposita el saldo del PCH de la caja fuerte en la cuenta bancaria al cierre del ejercicio, la oficina debe notificar a la Tesorería y explicar los motivos por los cuales no se tomó esta medida. La Tesorería proporcionará directrices sobre los procedimie</w:t>
      </w:r>
      <w:r w:rsidR="009746AF" w:rsidRPr="70ED36F6">
        <w:rPr>
          <w:b/>
          <w:bCs/>
          <w:i/>
          <w:iCs/>
        </w:rPr>
        <w:t>ntos de certificación de cierre</w:t>
      </w:r>
      <w:r w:rsidR="005821CD">
        <w:br/>
      </w:r>
      <w:r w:rsidR="005821CD" w:rsidRPr="70ED36F6">
        <w:rPr>
          <w:b/>
          <w:bCs/>
          <w:i/>
          <w:iCs/>
        </w:rPr>
        <w:t xml:space="preserve">de ejercicio. </w:t>
      </w:r>
    </w:p>
    <w:p w14:paraId="3D2E964B" w14:textId="53C4A693" w:rsidR="70ED36F6" w:rsidRDefault="70ED36F6" w:rsidP="70ED36F6">
      <w:pPr>
        <w:spacing w:after="0" w:line="240" w:lineRule="auto"/>
        <w:ind w:firstLine="720"/>
      </w:pPr>
    </w:p>
    <w:p w14:paraId="7A458BF3" w14:textId="2983EA08" w:rsidR="70ED36F6" w:rsidRPr="00081A2C" w:rsidRDefault="3DC7D253" w:rsidP="00081A2C">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Todas las transacciones en PCH</w:t>
      </w:r>
      <w:r w:rsidR="00322443">
        <w:rPr>
          <w:b/>
          <w:bCs/>
          <w:i/>
          <w:iCs/>
        </w:rPr>
        <w:t xml:space="preserve"> (facturas, notas de crédito)</w:t>
      </w:r>
      <w:r w:rsidR="005821CD" w:rsidRPr="70ED36F6">
        <w:rPr>
          <w:b/>
          <w:bCs/>
          <w:i/>
          <w:iCs/>
        </w:rPr>
        <w:t xml:space="preserve"> deben registrarse en el código de moneda de </w:t>
      </w:r>
      <w:r w:rsidR="00322443">
        <w:rPr>
          <w:b/>
          <w:bCs/>
          <w:i/>
          <w:iCs/>
        </w:rPr>
        <w:t>Quantum</w:t>
      </w:r>
      <w:r w:rsidR="005821CD" w:rsidRPr="70ED36F6">
        <w:rPr>
          <w:b/>
          <w:bCs/>
          <w:i/>
          <w:iCs/>
        </w:rPr>
        <w:t xml:space="preserve"> que coincida con la moneda real utilizada por el PCH. El uso de un código de moneda incorrecto en </w:t>
      </w:r>
      <w:r w:rsidR="00322443">
        <w:rPr>
          <w:b/>
          <w:bCs/>
          <w:i/>
          <w:iCs/>
        </w:rPr>
        <w:t>Quantum</w:t>
      </w:r>
      <w:r w:rsidR="005821CD" w:rsidRPr="70ED36F6">
        <w:rPr>
          <w:b/>
          <w:bCs/>
          <w:i/>
          <w:iCs/>
        </w:rPr>
        <w:t xml:space="preserve"> dará lugar a una valoración inexacta del PCH en los estados financieros. </w:t>
      </w:r>
    </w:p>
    <w:p w14:paraId="107C3008" w14:textId="7222993C" w:rsidR="70ED36F6" w:rsidRDefault="3D4D8903" w:rsidP="70ED36F6">
      <w:pPr>
        <w:spacing w:beforeAutospacing="1" w:afterAutospacing="1" w:line="240" w:lineRule="auto"/>
        <w:jc w:val="both"/>
        <w:rPr>
          <w:b/>
          <w:bCs/>
          <w:i/>
          <w:iCs/>
        </w:rPr>
      </w:pPr>
      <w:r w:rsidRPr="70ED36F6">
        <w:rPr>
          <w:b/>
          <w:bCs/>
          <w:i/>
          <w:iCs/>
        </w:rPr>
        <w:t>Advertencia</w:t>
      </w:r>
      <w:r w:rsidR="005821CD" w:rsidRPr="70ED36F6">
        <w:rPr>
          <w:b/>
          <w:bCs/>
          <w:i/>
          <w:iCs/>
        </w:rPr>
        <w:t xml:space="preserve">: </w:t>
      </w:r>
      <w:r w:rsidR="00322443" w:rsidRPr="00322443">
        <w:rPr>
          <w:b/>
          <w:bCs/>
          <w:i/>
          <w:iCs/>
        </w:rPr>
        <w:t>El equipo de gestión de tesorería de</w:t>
      </w:r>
      <w:r w:rsidR="00322443">
        <w:rPr>
          <w:b/>
          <w:bCs/>
          <w:i/>
          <w:iCs/>
        </w:rPr>
        <w:t xml:space="preserve">l </w:t>
      </w:r>
      <w:r w:rsidR="00322443" w:rsidRPr="00322443">
        <w:rPr>
          <w:b/>
          <w:bCs/>
          <w:i/>
          <w:iCs/>
        </w:rPr>
        <w:t>CMSC supervisa mensualmente los asientos de ajuste de pérdidas y ganancias por cambio de divisas</w:t>
      </w:r>
      <w:r w:rsidR="00322443">
        <w:rPr>
          <w:b/>
          <w:bCs/>
          <w:i/>
          <w:iCs/>
        </w:rPr>
        <w:t xml:space="preserve"> (FX)</w:t>
      </w:r>
      <w:r w:rsidR="005821CD" w:rsidRPr="70ED36F6">
        <w:rPr>
          <w:b/>
          <w:bCs/>
          <w:i/>
          <w:iCs/>
        </w:rPr>
        <w:t xml:space="preserve">. </w:t>
      </w:r>
    </w:p>
    <w:p w14:paraId="2B21C6ED" w14:textId="77777777" w:rsidR="005821CD" w:rsidRPr="0008326F" w:rsidRDefault="005821CD" w:rsidP="005821CD">
      <w:pPr>
        <w:spacing w:before="100" w:beforeAutospacing="1" w:after="100" w:afterAutospacing="1" w:line="240" w:lineRule="auto"/>
        <w:rPr>
          <w:rFonts w:eastAsia="Times New Roman" w:cs="Arial"/>
          <w:u w:val="single"/>
        </w:rPr>
      </w:pPr>
      <w:r>
        <w:rPr>
          <w:u w:val="single"/>
        </w:rPr>
        <w:lastRenderedPageBreak/>
        <w:t xml:space="preserve">Conciliación de PCH y cierre de ejercicio </w:t>
      </w:r>
    </w:p>
    <w:p w14:paraId="49D947F7" w14:textId="06E3D5DE"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Los pasos 24 a 28 en la sección de controles internos para PCH constituyen la conciliación mensual del PCH que debe realizarse todos los meses sin excepción, incluido el cierre </w:t>
      </w:r>
      <w:r w:rsidR="1CE4743B">
        <w:t xml:space="preserve">anual </w:t>
      </w:r>
      <w:r>
        <w:t>de ejercicio.</w:t>
      </w:r>
    </w:p>
    <w:p w14:paraId="2FAAAEB7"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3E510B38" w14:textId="523CBA6D" w:rsidR="009746AF" w:rsidRPr="00547848"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Si la oficina principal de la CO y su oficina de proyectos respetan las directrices y los procedimientos aquí descritos, el informe de AAA para la cuenta 16107 del GL debe mostrar al 31 de diciembre que el saldo es cero en la moneda local. </w:t>
      </w:r>
    </w:p>
    <w:p w14:paraId="44CE8CE4" w14:textId="73A8EE36" w:rsidR="70ED36F6" w:rsidRPr="00081A2C" w:rsidRDefault="005821CD" w:rsidP="00BD5B85">
      <w:pPr>
        <w:pStyle w:val="ListParagraph"/>
        <w:numPr>
          <w:ilvl w:val="0"/>
          <w:numId w:val="32"/>
        </w:numPr>
        <w:spacing w:before="100" w:beforeAutospacing="1" w:after="100" w:afterAutospacing="1" w:line="240" w:lineRule="auto"/>
        <w:jc w:val="both"/>
        <w:rPr>
          <w:rFonts w:eastAsia="Times New Roman" w:cs="Arial"/>
        </w:rPr>
      </w:pPr>
      <w:r>
        <w:t xml:space="preserve">El </w:t>
      </w:r>
      <w:proofErr w:type="spellStart"/>
      <w:r>
        <w:t>RRAd</w:t>
      </w:r>
      <w:proofErr w:type="spellEnd"/>
      <w:r>
        <w:t xml:space="preserve"> de Operaciones debe revisar los resultados de conciliación del PCH, así como completar y firmar el certificado de PCH de cierre </w:t>
      </w:r>
      <w:r w:rsidR="6BF067B9">
        <w:t xml:space="preserve">anual </w:t>
      </w:r>
      <w:r>
        <w:t xml:space="preserve">de ejercicio y el formulario de recuento de PCH. Estos dos documentos se deben cargar en SharePoint el 31 de enero o antes (véase el Anexo 4: Certificación de cierre de ejercicio para acuerdos de efectivo) </w:t>
      </w:r>
    </w:p>
    <w:p w14:paraId="7D66FD1B" w14:textId="32C78DF8" w:rsidR="70ED36F6" w:rsidRPr="00081A2C" w:rsidRDefault="0161B3BE" w:rsidP="00081A2C">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Preste atención a la moneda en el GL. La conciliación se debe hacer en la moneda en la que se emite el PCH. Por lo general, esto significa la moneda local. La CO no debe concili</w:t>
      </w:r>
      <w:r w:rsidR="009746AF" w:rsidRPr="70ED36F6">
        <w:rPr>
          <w:b/>
          <w:bCs/>
          <w:i/>
          <w:iCs/>
        </w:rPr>
        <w:t>ar el saldo</w:t>
      </w:r>
      <w:r w:rsidR="005821CD">
        <w:br/>
      </w:r>
      <w:r w:rsidR="005821CD" w:rsidRPr="70ED36F6">
        <w:rPr>
          <w:b/>
          <w:bCs/>
          <w:i/>
          <w:iCs/>
        </w:rPr>
        <w:t xml:space="preserve">en USD. </w:t>
      </w:r>
    </w:p>
    <w:p w14:paraId="4C3A0A79" w14:textId="2C9E42C7" w:rsidR="70ED36F6" w:rsidRPr="00081A2C" w:rsidRDefault="690CE442" w:rsidP="00081A2C">
      <w:pPr>
        <w:spacing w:before="100" w:beforeAutospacing="1" w:after="100" w:afterAutospacing="1" w:line="240" w:lineRule="auto"/>
        <w:jc w:val="both"/>
        <w:rPr>
          <w:rFonts w:eastAsia="Times New Roman" w:cs="Arial"/>
          <w:b/>
          <w:bCs/>
          <w:i/>
          <w:iCs/>
        </w:rPr>
      </w:pPr>
      <w:r w:rsidRPr="70ED36F6">
        <w:rPr>
          <w:b/>
          <w:bCs/>
          <w:i/>
          <w:iCs/>
        </w:rPr>
        <w:t>Advertencia</w:t>
      </w:r>
      <w:r w:rsidR="005821CD" w:rsidRPr="70ED36F6">
        <w:rPr>
          <w:b/>
          <w:bCs/>
          <w:i/>
          <w:iCs/>
        </w:rPr>
        <w:t xml:space="preserve">: El </w:t>
      </w:r>
      <w:proofErr w:type="spellStart"/>
      <w:r w:rsidR="005821CD" w:rsidRPr="70ED36F6">
        <w:rPr>
          <w:b/>
          <w:bCs/>
          <w:i/>
          <w:iCs/>
        </w:rPr>
        <w:t>RRAd</w:t>
      </w:r>
      <w:proofErr w:type="spellEnd"/>
      <w:r w:rsidR="005821CD" w:rsidRPr="70ED36F6">
        <w:rPr>
          <w:b/>
          <w:bCs/>
          <w:i/>
          <w:iCs/>
        </w:rPr>
        <w:t xml:space="preserve"> de Operaciones es responsable de la precisión y la coherencia de los saldos en el informe de AAA, en el registro del PCH y en la caja fuerte. </w:t>
      </w:r>
    </w:p>
    <w:p w14:paraId="53900763" w14:textId="4E74A468" w:rsidR="70ED36F6" w:rsidRPr="00081A2C" w:rsidRDefault="005821CD" w:rsidP="00081A2C">
      <w:pPr>
        <w:spacing w:before="100" w:beforeAutospacing="1" w:after="100" w:afterAutospacing="1" w:line="240" w:lineRule="auto"/>
        <w:rPr>
          <w:rFonts w:eastAsia="Times New Roman" w:cs="Arial"/>
          <w:u w:val="single"/>
        </w:rPr>
      </w:pPr>
      <w:r w:rsidRPr="70ED36F6">
        <w:rPr>
          <w:u w:val="single"/>
        </w:rPr>
        <w:t xml:space="preserve">Supervisión del PCH </w:t>
      </w:r>
    </w:p>
    <w:p w14:paraId="54F68B0A" w14:textId="77777777" w:rsidR="005821CD" w:rsidRPr="0008326F" w:rsidRDefault="005821CD" w:rsidP="00BD5B85">
      <w:pPr>
        <w:pStyle w:val="ListParagraph"/>
        <w:numPr>
          <w:ilvl w:val="0"/>
          <w:numId w:val="32"/>
        </w:numPr>
        <w:spacing w:before="100" w:beforeAutospacing="1" w:after="100" w:afterAutospacing="1" w:line="240" w:lineRule="auto"/>
        <w:jc w:val="both"/>
        <w:rPr>
          <w:rFonts w:eastAsia="Times New Roman" w:cs="Arial"/>
        </w:rPr>
      </w:pPr>
      <w:r>
        <w:t>El Representante Residente es responsable de garantizar el seguimiento de rutina, al menos mensualmente, de la cuenta 16108 del GL para verificar la calidad de los datos y su integridad. El cumplimiento de las CO con las directrices y procedimientos debe garantizar lo siguiente:</w:t>
      </w:r>
    </w:p>
    <w:p w14:paraId="1140DCF9" w14:textId="77777777" w:rsidR="005821CD" w:rsidRPr="0008326F" w:rsidRDefault="005821CD" w:rsidP="005821CD">
      <w:pPr>
        <w:pStyle w:val="ListParagraph"/>
        <w:spacing w:before="100" w:beforeAutospacing="1" w:after="100" w:afterAutospacing="1" w:line="240" w:lineRule="auto"/>
        <w:ind w:left="360"/>
        <w:jc w:val="both"/>
        <w:rPr>
          <w:rFonts w:eastAsia="Times New Roman" w:cs="Arial"/>
        </w:rPr>
      </w:pPr>
      <w:r>
        <w:t xml:space="preserve"> </w:t>
      </w:r>
    </w:p>
    <w:p w14:paraId="0069E3E0"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Que el nivel de PCH no exceda el nivel autorizado en ningún momento. </w:t>
      </w:r>
    </w:p>
    <w:p w14:paraId="7957AA50"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Que los gastos se registren mensualmente o en cada período de reposición. </w:t>
      </w:r>
    </w:p>
    <w:p w14:paraId="332DCA22"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Que no se utilicen GLJE. </w:t>
      </w:r>
    </w:p>
    <w:p w14:paraId="7EB04101" w14:textId="77777777" w:rsidR="005821CD" w:rsidRPr="0008326F" w:rsidRDefault="005821CD" w:rsidP="005821CD">
      <w:pPr>
        <w:pStyle w:val="ListParagraph"/>
        <w:numPr>
          <w:ilvl w:val="0"/>
          <w:numId w:val="29"/>
        </w:numPr>
        <w:spacing w:before="100" w:beforeAutospacing="1" w:after="100" w:afterAutospacing="1" w:line="240" w:lineRule="auto"/>
        <w:ind w:left="1080"/>
        <w:rPr>
          <w:rFonts w:eastAsia="Times New Roman" w:cs="Arial"/>
        </w:rPr>
      </w:pPr>
      <w:r>
        <w:t xml:space="preserve">Que todas las transacciones registradas estén en la moneda en la cual se establece el saldo de PCH inicial. </w:t>
      </w:r>
    </w:p>
    <w:p w14:paraId="43EB3CB8" w14:textId="7B983E6A" w:rsidR="70ED36F6" w:rsidRPr="00081A2C" w:rsidRDefault="005821CD" w:rsidP="00081A2C">
      <w:pPr>
        <w:pStyle w:val="ListParagraph"/>
        <w:numPr>
          <w:ilvl w:val="0"/>
          <w:numId w:val="29"/>
        </w:numPr>
        <w:spacing w:beforeAutospacing="1" w:afterAutospacing="1" w:line="240" w:lineRule="auto"/>
        <w:ind w:left="1080"/>
        <w:rPr>
          <w:rFonts w:eastAsia="Times New Roman" w:cs="Arial"/>
        </w:rPr>
      </w:pPr>
      <w:r>
        <w:t xml:space="preserve">Que al 31 de diciembre, el saldo en la cuenta 16107 del GL en moneda local sea cero. </w:t>
      </w:r>
    </w:p>
    <w:p w14:paraId="7B93F07C" w14:textId="3CF43946" w:rsidR="005821CD" w:rsidRPr="0008326F" w:rsidRDefault="225EF6E6" w:rsidP="70ED36F6">
      <w:pPr>
        <w:pStyle w:val="NormalWeb"/>
        <w:jc w:val="both"/>
        <w:rPr>
          <w:rFonts w:asciiTheme="minorHAnsi" w:hAnsiTheme="minorHAnsi" w:cs="Arial"/>
          <w:b/>
          <w:bCs/>
          <w:i/>
          <w:iCs/>
          <w:sz w:val="22"/>
          <w:szCs w:val="22"/>
        </w:rPr>
      </w:pPr>
      <w:r w:rsidRPr="70ED36F6">
        <w:rPr>
          <w:rFonts w:asciiTheme="minorHAnsi" w:hAnsiTheme="minorHAnsi"/>
          <w:b/>
          <w:bCs/>
          <w:i/>
          <w:iCs/>
          <w:sz w:val="22"/>
          <w:szCs w:val="22"/>
        </w:rPr>
        <w:t>Advertencia</w:t>
      </w:r>
      <w:r w:rsidR="005821CD" w:rsidRPr="70ED36F6">
        <w:rPr>
          <w:rFonts w:asciiTheme="minorHAnsi" w:hAnsiTheme="minorHAnsi"/>
          <w:b/>
          <w:bCs/>
          <w:i/>
          <w:iCs/>
          <w:sz w:val="22"/>
          <w:szCs w:val="22"/>
        </w:rPr>
        <w:t xml:space="preserve">: Respetar estrictamente los procedimientos es de importancia crítica para garantizar que los activos en efectivo del PNUD se contabilicen de manera oportuna y precisa. </w:t>
      </w:r>
    </w:p>
    <w:p w14:paraId="771548C8" w14:textId="77777777" w:rsidR="005821CD" w:rsidRPr="009746AF" w:rsidRDefault="005821CD" w:rsidP="005821CD">
      <w:pPr>
        <w:pStyle w:val="ListParagraph"/>
        <w:spacing w:after="0" w:line="240" w:lineRule="auto"/>
        <w:rPr>
          <w:lang w:val="es-AR"/>
        </w:rPr>
      </w:pPr>
    </w:p>
    <w:p w14:paraId="1B654D04" w14:textId="77777777" w:rsidR="00D24D01" w:rsidRPr="00D24D01" w:rsidRDefault="00D24D01" w:rsidP="00D24D01">
      <w:pPr>
        <w:shd w:val="clear" w:color="auto" w:fill="FFFFFF"/>
        <w:spacing w:after="0" w:line="240" w:lineRule="auto"/>
        <w:jc w:val="center"/>
        <w:rPr>
          <w:rFonts w:ascii="Segoe UI" w:eastAsia="Times New Roman" w:hAnsi="Segoe UI" w:cs="Segoe UI"/>
          <w:color w:val="201F1E"/>
          <w:sz w:val="23"/>
          <w:szCs w:val="23"/>
          <w:lang w:val="en-US"/>
        </w:rPr>
      </w:pPr>
      <w:r w:rsidRPr="00D24D01">
        <w:rPr>
          <w:rFonts w:ascii="Calibri" w:eastAsia="Times New Roman" w:hAnsi="Calibri" w:cs="Segoe UI"/>
          <w:i/>
          <w:iCs/>
          <w:color w:val="000000"/>
          <w:sz w:val="24"/>
          <w:szCs w:val="24"/>
          <w:bdr w:val="none" w:sz="0" w:space="0" w:color="auto" w:frame="1"/>
          <w:lang w:val="en-US"/>
        </w:rPr>
        <w:t>Disclaimer: This document was translated from English into Spanish. In the event of any discrepancy between this translation and the original English document, the original English document shall prevail.</w:t>
      </w:r>
    </w:p>
    <w:p w14:paraId="18484448" w14:textId="77777777" w:rsidR="00D24D01" w:rsidRPr="00D24D01" w:rsidRDefault="00D24D01" w:rsidP="00D24D01">
      <w:pPr>
        <w:shd w:val="clear" w:color="auto" w:fill="FFFFFF"/>
        <w:spacing w:after="0" w:line="240" w:lineRule="auto"/>
        <w:jc w:val="center"/>
        <w:rPr>
          <w:rFonts w:ascii="Segoe UI" w:eastAsia="Times New Roman" w:hAnsi="Segoe UI" w:cs="Segoe UI"/>
          <w:color w:val="201F1E"/>
          <w:sz w:val="23"/>
          <w:szCs w:val="23"/>
          <w:lang w:val="en-US"/>
        </w:rPr>
      </w:pPr>
      <w:r w:rsidRPr="00D24D01">
        <w:rPr>
          <w:rFonts w:ascii="Calibri" w:eastAsia="Times New Roman" w:hAnsi="Calibri" w:cs="Segoe UI"/>
          <w:i/>
          <w:iCs/>
          <w:color w:val="000000"/>
          <w:sz w:val="24"/>
          <w:szCs w:val="24"/>
          <w:bdr w:val="none" w:sz="0" w:space="0" w:color="auto" w:frame="1"/>
          <w:lang w:val="en-US"/>
        </w:rPr>
        <w:t> </w:t>
      </w:r>
    </w:p>
    <w:p w14:paraId="27704FFB" w14:textId="77777777" w:rsidR="00D24D01" w:rsidRPr="00D24D01" w:rsidRDefault="00D24D01" w:rsidP="00D24D01">
      <w:pPr>
        <w:shd w:val="clear" w:color="auto" w:fill="FFFFFF"/>
        <w:spacing w:after="0" w:line="240" w:lineRule="auto"/>
        <w:jc w:val="center"/>
        <w:rPr>
          <w:rFonts w:ascii="Segoe UI" w:eastAsia="Times New Roman" w:hAnsi="Segoe UI" w:cs="Segoe UI"/>
          <w:color w:val="201F1E"/>
          <w:sz w:val="23"/>
          <w:szCs w:val="23"/>
          <w:lang w:val="es-ES_tradnl"/>
        </w:rPr>
      </w:pPr>
      <w:r w:rsidRPr="00D24D01">
        <w:rPr>
          <w:rFonts w:ascii="Calibri" w:eastAsia="Times New Roman" w:hAnsi="Calibri" w:cs="Segoe UI"/>
          <w:i/>
          <w:iCs/>
          <w:color w:val="000000"/>
          <w:sz w:val="24"/>
          <w:szCs w:val="24"/>
          <w:bdr w:val="none" w:sz="0" w:space="0" w:color="auto" w:frame="1"/>
          <w:shd w:val="clear" w:color="auto" w:fill="FFFFFF"/>
          <w:lang w:val="es-ES_tradnl"/>
        </w:rPr>
        <w:t>Descargo de responsabilidad: esta es una traducción de un documento original en inglés. </w:t>
      </w:r>
      <w:r w:rsidRPr="00D24D01">
        <w:rPr>
          <w:rFonts w:ascii="Calibri" w:eastAsia="Times New Roman" w:hAnsi="Calibri" w:cs="Segoe UI"/>
          <w:i/>
          <w:iCs/>
          <w:color w:val="000000"/>
          <w:sz w:val="24"/>
          <w:szCs w:val="24"/>
          <w:bdr w:val="none" w:sz="0" w:space="0" w:color="auto" w:frame="1"/>
          <w:shd w:val="clear" w:color="auto" w:fill="FFFFFF"/>
          <w:lang w:val="es-UY"/>
        </w:rPr>
        <w:t>En caso de discrepancias entre esta traducción y el documento original en inglés, prevalecerá el documento original en inglés.</w:t>
      </w:r>
    </w:p>
    <w:p w14:paraId="3AB60501" w14:textId="6E031D9A" w:rsidR="001742D0" w:rsidRPr="00D24D01" w:rsidRDefault="001742D0" w:rsidP="005821CD">
      <w:pPr>
        <w:spacing w:after="0" w:line="240" w:lineRule="auto"/>
        <w:rPr>
          <w:i/>
          <w:lang w:val="es-ES_tradnl"/>
        </w:rPr>
      </w:pPr>
    </w:p>
    <w:sectPr w:rsidR="001742D0" w:rsidRPr="00D24D0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3496" w14:textId="77777777" w:rsidR="00C4658B" w:rsidRDefault="00C4658B" w:rsidP="0077038C">
      <w:pPr>
        <w:spacing w:after="0" w:line="240" w:lineRule="auto"/>
      </w:pPr>
      <w:r>
        <w:separator/>
      </w:r>
    </w:p>
  </w:endnote>
  <w:endnote w:type="continuationSeparator" w:id="0">
    <w:p w14:paraId="4850BE47" w14:textId="77777777" w:rsidR="00C4658B" w:rsidRDefault="00C4658B" w:rsidP="0077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1981" w14:textId="77777777" w:rsidR="007A1B97" w:rsidRDefault="007A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EE1" w14:textId="6845C802" w:rsidR="0077038C" w:rsidRDefault="00BC4E64">
    <w:pPr>
      <w:pStyle w:val="Footer"/>
    </w:pPr>
    <w:r>
      <w:t xml:space="preserve">Página </w:t>
    </w:r>
    <w:r>
      <w:rPr>
        <w:b/>
      </w:rPr>
      <w:fldChar w:fldCharType="begin"/>
    </w:r>
    <w:r>
      <w:rPr>
        <w:b/>
      </w:rPr>
      <w:instrText xml:space="preserve"> PAGE  \* Arabic  \* MERGEFORMAT </w:instrText>
    </w:r>
    <w:r>
      <w:rPr>
        <w:b/>
      </w:rPr>
      <w:fldChar w:fldCharType="separate"/>
    </w:r>
    <w:r w:rsidR="00D24D01">
      <w:rPr>
        <w:b/>
        <w:noProof/>
      </w:rPr>
      <w:t>6</w:t>
    </w:r>
    <w:r>
      <w:rPr>
        <w:b/>
      </w:rPr>
      <w:fldChar w:fldCharType="end"/>
    </w:r>
    <w:r>
      <w:t xml:space="preserve"> de </w:t>
    </w:r>
    <w:r>
      <w:rPr>
        <w:b/>
      </w:rPr>
      <w:fldChar w:fldCharType="begin"/>
    </w:r>
    <w:r>
      <w:rPr>
        <w:b/>
      </w:rPr>
      <w:instrText xml:space="preserve"> NUMPAGES  \* Arabic  \* MERGEFORMAT </w:instrText>
    </w:r>
    <w:r>
      <w:rPr>
        <w:b/>
      </w:rPr>
      <w:fldChar w:fldCharType="separate"/>
    </w:r>
    <w:r w:rsidR="00D24D01">
      <w:rPr>
        <w:b/>
        <w:noProof/>
      </w:rPr>
      <w:t>8</w:t>
    </w:r>
    <w:r>
      <w:rPr>
        <w:b/>
      </w:rPr>
      <w:fldChar w:fldCharType="end"/>
    </w:r>
    <w:r>
      <w:ptab w:relativeTo="margin" w:alignment="center" w:leader="none"/>
    </w:r>
    <w:r>
      <w:t xml:space="preserve">Fecha de entrada en vigor: </w:t>
    </w:r>
    <w:r w:rsidR="00F26D3A" w:rsidRPr="00F26D3A">
      <w:t xml:space="preserve">30/04/2021 </w:t>
    </w:r>
    <w:r>
      <w:ptab w:relativeTo="margin" w:alignment="right" w:leader="none"/>
    </w:r>
    <w:r>
      <w:t xml:space="preserve">Versión #: </w:t>
    </w:r>
    <w:r w:rsidR="001834FA">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BFF6" w14:textId="77777777" w:rsidR="007A1B97" w:rsidRDefault="007A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0FE4D" w14:textId="77777777" w:rsidR="00C4658B" w:rsidRDefault="00C4658B" w:rsidP="0077038C">
      <w:pPr>
        <w:spacing w:after="0" w:line="240" w:lineRule="auto"/>
      </w:pPr>
      <w:r>
        <w:separator/>
      </w:r>
    </w:p>
  </w:footnote>
  <w:footnote w:type="continuationSeparator" w:id="0">
    <w:p w14:paraId="4F711BB6" w14:textId="77777777" w:rsidR="00C4658B" w:rsidRDefault="00C4658B" w:rsidP="0077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F9DDD" w14:textId="77777777" w:rsidR="007A1B97" w:rsidRDefault="007A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9480" w14:textId="72D8B867" w:rsidR="00030EB3" w:rsidRDefault="70ED36F6" w:rsidP="007A1B97">
    <w:pPr>
      <w:pStyle w:val="Header"/>
      <w:jc w:val="right"/>
    </w:pPr>
    <w:r>
      <w:rPr>
        <w:noProof/>
        <w:lang w:val="en-US"/>
      </w:rPr>
      <w:drawing>
        <wp:inline distT="0" distB="0" distL="0" distR="0" wp14:anchorId="5E27DE46" wp14:editId="59D8F26A">
          <wp:extent cx="304800" cy="601824"/>
          <wp:effectExtent l="0" t="0" r="0" b="8255"/>
          <wp:docPr id="120922359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4385"/>
                  <a:stretch/>
                </pic:blipFill>
                <pic:spPr bwMode="auto">
                  <a:xfrm>
                    <a:off x="0" y="0"/>
                    <a:ext cx="304855" cy="6019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16AE" w14:textId="77777777" w:rsidR="007A1B97" w:rsidRDefault="007A1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DAC"/>
    <w:multiLevelType w:val="hybridMultilevel"/>
    <w:tmpl w:val="3B2EBB30"/>
    <w:lvl w:ilvl="0" w:tplc="C774459E">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5016F6">
      <w:start w:val="1"/>
      <w:numFmt w:val="lowerLetter"/>
      <w:lvlText w:val="%2"/>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DC6DAC">
      <w:start w:val="1"/>
      <w:numFmt w:val="lowerRoman"/>
      <w:lvlText w:val="%3"/>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CEB60">
      <w:start w:val="1"/>
      <w:numFmt w:val="decimal"/>
      <w:lvlText w:val="%4"/>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28BC66">
      <w:start w:val="1"/>
      <w:numFmt w:val="lowerLetter"/>
      <w:lvlText w:val="%5"/>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3ED850">
      <w:start w:val="1"/>
      <w:numFmt w:val="lowerRoman"/>
      <w:lvlText w:val="%6"/>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2588C">
      <w:start w:val="1"/>
      <w:numFmt w:val="decimal"/>
      <w:lvlText w:val="%7"/>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A4164">
      <w:start w:val="1"/>
      <w:numFmt w:val="lowerLetter"/>
      <w:lvlText w:val="%8"/>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4E7EBA">
      <w:start w:val="1"/>
      <w:numFmt w:val="lowerRoman"/>
      <w:lvlText w:val="%9"/>
      <w:lvlJc w:val="left"/>
      <w:pPr>
        <w:ind w:left="7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573BA2"/>
    <w:multiLevelType w:val="hybridMultilevel"/>
    <w:tmpl w:val="E85A81F2"/>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9A6"/>
    <w:multiLevelType w:val="hybridMultilevel"/>
    <w:tmpl w:val="443412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41927"/>
    <w:multiLevelType w:val="hybridMultilevel"/>
    <w:tmpl w:val="4E6E35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A56AE"/>
    <w:multiLevelType w:val="hybridMultilevel"/>
    <w:tmpl w:val="D73479DC"/>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17E5"/>
    <w:multiLevelType w:val="hybridMultilevel"/>
    <w:tmpl w:val="A928F3B8"/>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86A95"/>
    <w:multiLevelType w:val="hybridMultilevel"/>
    <w:tmpl w:val="582AA2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624D91"/>
    <w:multiLevelType w:val="hybridMultilevel"/>
    <w:tmpl w:val="168EA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F475A"/>
    <w:multiLevelType w:val="hybridMultilevel"/>
    <w:tmpl w:val="0608B41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6451F"/>
    <w:multiLevelType w:val="hybridMultilevel"/>
    <w:tmpl w:val="E6DE59C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74367"/>
    <w:multiLevelType w:val="hybridMultilevel"/>
    <w:tmpl w:val="10F26416"/>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632D3"/>
    <w:multiLevelType w:val="hybridMultilevel"/>
    <w:tmpl w:val="2340BC70"/>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227AF"/>
    <w:multiLevelType w:val="hybridMultilevel"/>
    <w:tmpl w:val="256CF72A"/>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12F81"/>
    <w:multiLevelType w:val="hybridMultilevel"/>
    <w:tmpl w:val="5A666072"/>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3815"/>
    <w:multiLevelType w:val="hybridMultilevel"/>
    <w:tmpl w:val="635415D2"/>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82734"/>
    <w:multiLevelType w:val="hybridMultilevel"/>
    <w:tmpl w:val="BCD01DB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F52D1"/>
    <w:multiLevelType w:val="hybridMultilevel"/>
    <w:tmpl w:val="E93C23E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6030BED"/>
    <w:multiLevelType w:val="hybridMultilevel"/>
    <w:tmpl w:val="51AE149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C1786"/>
    <w:multiLevelType w:val="hybridMultilevel"/>
    <w:tmpl w:val="4C106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9E3916"/>
    <w:multiLevelType w:val="hybridMultilevel"/>
    <w:tmpl w:val="AEFCA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DB4BE7"/>
    <w:multiLevelType w:val="hybridMultilevel"/>
    <w:tmpl w:val="396C4474"/>
    <w:lvl w:ilvl="0" w:tplc="E3860750">
      <w:start w:val="18"/>
      <w:numFmt w:val="decimal"/>
      <w:lvlText w:val="%1."/>
      <w:lvlJc w:val="left"/>
      <w:pPr>
        <w:ind w:left="360" w:hanging="360"/>
      </w:pPr>
      <w:rPr>
        <w:rFonts w:hint="default"/>
      </w:rPr>
    </w:lvl>
    <w:lvl w:ilvl="1" w:tplc="20000019" w:tentative="1">
      <w:start w:val="1"/>
      <w:numFmt w:val="lowerLetter"/>
      <w:lvlText w:val="%2."/>
      <w:lvlJc w:val="left"/>
      <w:pPr>
        <w:ind w:left="-540" w:hanging="360"/>
      </w:pPr>
    </w:lvl>
    <w:lvl w:ilvl="2" w:tplc="2000001B" w:tentative="1">
      <w:start w:val="1"/>
      <w:numFmt w:val="lowerRoman"/>
      <w:lvlText w:val="%3."/>
      <w:lvlJc w:val="right"/>
      <w:pPr>
        <w:ind w:left="180" w:hanging="180"/>
      </w:pPr>
    </w:lvl>
    <w:lvl w:ilvl="3" w:tplc="2000000F" w:tentative="1">
      <w:start w:val="1"/>
      <w:numFmt w:val="decimal"/>
      <w:lvlText w:val="%4."/>
      <w:lvlJc w:val="left"/>
      <w:pPr>
        <w:ind w:left="900" w:hanging="360"/>
      </w:pPr>
    </w:lvl>
    <w:lvl w:ilvl="4" w:tplc="20000019" w:tentative="1">
      <w:start w:val="1"/>
      <w:numFmt w:val="lowerLetter"/>
      <w:lvlText w:val="%5."/>
      <w:lvlJc w:val="left"/>
      <w:pPr>
        <w:ind w:left="1620" w:hanging="360"/>
      </w:pPr>
    </w:lvl>
    <w:lvl w:ilvl="5" w:tplc="2000001B" w:tentative="1">
      <w:start w:val="1"/>
      <w:numFmt w:val="lowerRoman"/>
      <w:lvlText w:val="%6."/>
      <w:lvlJc w:val="right"/>
      <w:pPr>
        <w:ind w:left="2340" w:hanging="180"/>
      </w:pPr>
    </w:lvl>
    <w:lvl w:ilvl="6" w:tplc="2000000F" w:tentative="1">
      <w:start w:val="1"/>
      <w:numFmt w:val="decimal"/>
      <w:lvlText w:val="%7."/>
      <w:lvlJc w:val="left"/>
      <w:pPr>
        <w:ind w:left="3060" w:hanging="360"/>
      </w:pPr>
    </w:lvl>
    <w:lvl w:ilvl="7" w:tplc="20000019" w:tentative="1">
      <w:start w:val="1"/>
      <w:numFmt w:val="lowerLetter"/>
      <w:lvlText w:val="%8."/>
      <w:lvlJc w:val="left"/>
      <w:pPr>
        <w:ind w:left="3780" w:hanging="360"/>
      </w:pPr>
    </w:lvl>
    <w:lvl w:ilvl="8" w:tplc="2000001B" w:tentative="1">
      <w:start w:val="1"/>
      <w:numFmt w:val="lowerRoman"/>
      <w:lvlText w:val="%9."/>
      <w:lvlJc w:val="right"/>
      <w:pPr>
        <w:ind w:left="4500" w:hanging="180"/>
      </w:pPr>
    </w:lvl>
  </w:abstractNum>
  <w:abstractNum w:abstractNumId="24" w15:restartNumberingAfterBreak="0">
    <w:nsid w:val="6F9047A6"/>
    <w:multiLevelType w:val="hybridMultilevel"/>
    <w:tmpl w:val="6B2AA172"/>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C0EE8"/>
    <w:multiLevelType w:val="hybridMultilevel"/>
    <w:tmpl w:val="34146D60"/>
    <w:lvl w:ilvl="0" w:tplc="C5F02966">
      <w:start w:val="17"/>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72BC6400"/>
    <w:multiLevelType w:val="multilevel"/>
    <w:tmpl w:val="50E024A2"/>
    <w:styleLink w:val="tat"/>
    <w:lvl w:ilvl="0">
      <w:start w:val="1"/>
      <w:numFmt w:val="bullet"/>
      <w:lvlText w:val=""/>
      <w:lvlJc w:val="left"/>
      <w:pPr>
        <w:tabs>
          <w:tab w:val="num" w:pos="822"/>
        </w:tabs>
        <w:ind w:left="397" w:hanging="397"/>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7D73EA2"/>
    <w:multiLevelType w:val="hybridMultilevel"/>
    <w:tmpl w:val="28E43FCE"/>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B375C7"/>
    <w:multiLevelType w:val="hybridMultilevel"/>
    <w:tmpl w:val="F0522C0E"/>
    <w:lvl w:ilvl="0" w:tplc="AD96000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F6E46"/>
    <w:multiLevelType w:val="hybridMultilevel"/>
    <w:tmpl w:val="A8488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0155D4"/>
    <w:multiLevelType w:val="hybridMultilevel"/>
    <w:tmpl w:val="E1CCF836"/>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550056">
    <w:abstractNumId w:val="26"/>
  </w:num>
  <w:num w:numId="2" w16cid:durableId="918179214">
    <w:abstractNumId w:val="26"/>
  </w:num>
  <w:num w:numId="3" w16cid:durableId="1350713767">
    <w:abstractNumId w:val="28"/>
  </w:num>
  <w:num w:numId="4" w16cid:durableId="987394450">
    <w:abstractNumId w:val="30"/>
  </w:num>
  <w:num w:numId="5" w16cid:durableId="2102950372">
    <w:abstractNumId w:val="15"/>
  </w:num>
  <w:num w:numId="6" w16cid:durableId="1269892711">
    <w:abstractNumId w:val="12"/>
  </w:num>
  <w:num w:numId="7" w16cid:durableId="247080831">
    <w:abstractNumId w:val="27"/>
  </w:num>
  <w:num w:numId="8" w16cid:durableId="1863857696">
    <w:abstractNumId w:val="11"/>
  </w:num>
  <w:num w:numId="9" w16cid:durableId="1711226196">
    <w:abstractNumId w:val="14"/>
  </w:num>
  <w:num w:numId="10" w16cid:durableId="1277249324">
    <w:abstractNumId w:val="22"/>
  </w:num>
  <w:num w:numId="11" w16cid:durableId="1616674044">
    <w:abstractNumId w:val="0"/>
  </w:num>
  <w:num w:numId="12" w16cid:durableId="1409309991">
    <w:abstractNumId w:val="3"/>
  </w:num>
  <w:num w:numId="13" w16cid:durableId="281154182">
    <w:abstractNumId w:val="29"/>
  </w:num>
  <w:num w:numId="14" w16cid:durableId="136190904">
    <w:abstractNumId w:val="13"/>
  </w:num>
  <w:num w:numId="15" w16cid:durableId="2025010777">
    <w:abstractNumId w:val="1"/>
  </w:num>
  <w:num w:numId="16" w16cid:durableId="1800301643">
    <w:abstractNumId w:val="8"/>
  </w:num>
  <w:num w:numId="17" w16cid:durableId="1203588812">
    <w:abstractNumId w:val="21"/>
  </w:num>
  <w:num w:numId="18" w16cid:durableId="433326613">
    <w:abstractNumId w:val="7"/>
  </w:num>
  <w:num w:numId="19" w16cid:durableId="588851373">
    <w:abstractNumId w:val="5"/>
  </w:num>
  <w:num w:numId="20" w16cid:durableId="1564952640">
    <w:abstractNumId w:val="2"/>
  </w:num>
  <w:num w:numId="21" w16cid:durableId="992875874">
    <w:abstractNumId w:val="18"/>
  </w:num>
  <w:num w:numId="22" w16cid:durableId="2080859209">
    <w:abstractNumId w:val="20"/>
  </w:num>
  <w:num w:numId="23" w16cid:durableId="355883952">
    <w:abstractNumId w:val="6"/>
  </w:num>
  <w:num w:numId="24" w16cid:durableId="1646426811">
    <w:abstractNumId w:val="10"/>
  </w:num>
  <w:num w:numId="25" w16cid:durableId="802623310">
    <w:abstractNumId w:val="4"/>
  </w:num>
  <w:num w:numId="26" w16cid:durableId="1973629107">
    <w:abstractNumId w:val="9"/>
  </w:num>
  <w:num w:numId="27" w16cid:durableId="725760973">
    <w:abstractNumId w:val="19"/>
  </w:num>
  <w:num w:numId="28" w16cid:durableId="456682914">
    <w:abstractNumId w:val="16"/>
  </w:num>
  <w:num w:numId="29" w16cid:durableId="1408453001">
    <w:abstractNumId w:val="24"/>
  </w:num>
  <w:num w:numId="30" w16cid:durableId="360252294">
    <w:abstractNumId w:val="17"/>
  </w:num>
  <w:num w:numId="31" w16cid:durableId="1531261090">
    <w:abstractNumId w:val="25"/>
  </w:num>
  <w:num w:numId="32" w16cid:durableId="17289936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E98"/>
    <w:rsid w:val="00030EB3"/>
    <w:rsid w:val="00081A2C"/>
    <w:rsid w:val="0008326F"/>
    <w:rsid w:val="001742D0"/>
    <w:rsid w:val="001834FA"/>
    <w:rsid w:val="002317A7"/>
    <w:rsid w:val="00322443"/>
    <w:rsid w:val="003A73BA"/>
    <w:rsid w:val="003D074A"/>
    <w:rsid w:val="00400CE6"/>
    <w:rsid w:val="00443509"/>
    <w:rsid w:val="00542DED"/>
    <w:rsid w:val="00545D78"/>
    <w:rsid w:val="00547848"/>
    <w:rsid w:val="0055188A"/>
    <w:rsid w:val="005821CD"/>
    <w:rsid w:val="00635DA2"/>
    <w:rsid w:val="006D507F"/>
    <w:rsid w:val="0074786A"/>
    <w:rsid w:val="00763CE8"/>
    <w:rsid w:val="0077038C"/>
    <w:rsid w:val="0078166C"/>
    <w:rsid w:val="007A1B97"/>
    <w:rsid w:val="00904718"/>
    <w:rsid w:val="0097094B"/>
    <w:rsid w:val="009746AF"/>
    <w:rsid w:val="00980780"/>
    <w:rsid w:val="009D593C"/>
    <w:rsid w:val="00A64B9E"/>
    <w:rsid w:val="00B47D7D"/>
    <w:rsid w:val="00BC4E64"/>
    <w:rsid w:val="00BD5B85"/>
    <w:rsid w:val="00BE4FD3"/>
    <w:rsid w:val="00C4658B"/>
    <w:rsid w:val="00C85A8B"/>
    <w:rsid w:val="00CF5E4D"/>
    <w:rsid w:val="00D24D01"/>
    <w:rsid w:val="00D87353"/>
    <w:rsid w:val="00DD3E98"/>
    <w:rsid w:val="00E32E1C"/>
    <w:rsid w:val="00EA6112"/>
    <w:rsid w:val="00EF640A"/>
    <w:rsid w:val="00F26D3A"/>
    <w:rsid w:val="00F37AA3"/>
    <w:rsid w:val="00FFF1B1"/>
    <w:rsid w:val="0133F828"/>
    <w:rsid w:val="0161B3BE"/>
    <w:rsid w:val="01630A8E"/>
    <w:rsid w:val="01E73075"/>
    <w:rsid w:val="031F63A2"/>
    <w:rsid w:val="0337FD11"/>
    <w:rsid w:val="07787825"/>
    <w:rsid w:val="084FC5E1"/>
    <w:rsid w:val="08F74F66"/>
    <w:rsid w:val="090CA2C0"/>
    <w:rsid w:val="0B70466E"/>
    <w:rsid w:val="0B8D7B43"/>
    <w:rsid w:val="0C3BB31D"/>
    <w:rsid w:val="0D184ACF"/>
    <w:rsid w:val="13FDF6D6"/>
    <w:rsid w:val="146A530E"/>
    <w:rsid w:val="15A33BDF"/>
    <w:rsid w:val="16824D4B"/>
    <w:rsid w:val="19820838"/>
    <w:rsid w:val="1B88655F"/>
    <w:rsid w:val="1CE4743B"/>
    <w:rsid w:val="1D418EE1"/>
    <w:rsid w:val="1DCC8897"/>
    <w:rsid w:val="1E8E9DDB"/>
    <w:rsid w:val="1EB92EC8"/>
    <w:rsid w:val="2099B480"/>
    <w:rsid w:val="20E02F25"/>
    <w:rsid w:val="22062316"/>
    <w:rsid w:val="225EF6E6"/>
    <w:rsid w:val="23D85E80"/>
    <w:rsid w:val="24D53828"/>
    <w:rsid w:val="26666545"/>
    <w:rsid w:val="280E0827"/>
    <w:rsid w:val="2BB36164"/>
    <w:rsid w:val="2C6FB11D"/>
    <w:rsid w:val="2D3D4F6C"/>
    <w:rsid w:val="2D5C9E59"/>
    <w:rsid w:val="2FF837D5"/>
    <w:rsid w:val="35C15720"/>
    <w:rsid w:val="3A26B35C"/>
    <w:rsid w:val="3B25DFFA"/>
    <w:rsid w:val="3C137FEC"/>
    <w:rsid w:val="3D4D8903"/>
    <w:rsid w:val="3D805670"/>
    <w:rsid w:val="3DC7D253"/>
    <w:rsid w:val="3F67C3B1"/>
    <w:rsid w:val="4290F1BF"/>
    <w:rsid w:val="439974E3"/>
    <w:rsid w:val="442D0246"/>
    <w:rsid w:val="44EECCCC"/>
    <w:rsid w:val="47B17C82"/>
    <w:rsid w:val="48148B8F"/>
    <w:rsid w:val="48983D1F"/>
    <w:rsid w:val="48C5CCBE"/>
    <w:rsid w:val="4AF9C7C2"/>
    <w:rsid w:val="4EA7EC83"/>
    <w:rsid w:val="4F881BD7"/>
    <w:rsid w:val="5015647B"/>
    <w:rsid w:val="520F964A"/>
    <w:rsid w:val="5518A5F3"/>
    <w:rsid w:val="55DF43D5"/>
    <w:rsid w:val="599E15BF"/>
    <w:rsid w:val="6358BC80"/>
    <w:rsid w:val="63B4B054"/>
    <w:rsid w:val="65C20A5B"/>
    <w:rsid w:val="65E12118"/>
    <w:rsid w:val="6696AFEE"/>
    <w:rsid w:val="66C039A2"/>
    <w:rsid w:val="670DE74B"/>
    <w:rsid w:val="690CE442"/>
    <w:rsid w:val="6BB15842"/>
    <w:rsid w:val="6BF067B9"/>
    <w:rsid w:val="6C60EA0A"/>
    <w:rsid w:val="6DE91F51"/>
    <w:rsid w:val="70ED36F6"/>
    <w:rsid w:val="7125ED3E"/>
    <w:rsid w:val="729E66E2"/>
    <w:rsid w:val="753873F0"/>
    <w:rsid w:val="75D3F7AA"/>
    <w:rsid w:val="76E74F1C"/>
    <w:rsid w:val="77EC18C3"/>
    <w:rsid w:val="77F3A819"/>
    <w:rsid w:val="7C64821D"/>
    <w:rsid w:val="7F4B8225"/>
    <w:rsid w:val="7FE9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DFB9"/>
  <w15:docId w15:val="{4B7887CF-EC93-4501-91C3-7CC4A446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t">
    <w:name w:val="tat"/>
    <w:uiPriority w:val="99"/>
    <w:rsid w:val="0055188A"/>
    <w:pPr>
      <w:numPr>
        <w:numId w:val="1"/>
      </w:numPr>
    </w:pPr>
  </w:style>
  <w:style w:type="paragraph" w:styleId="Header">
    <w:name w:val="header"/>
    <w:basedOn w:val="Normal"/>
    <w:link w:val="HeaderChar"/>
    <w:uiPriority w:val="99"/>
    <w:unhideWhenUsed/>
    <w:rsid w:val="0077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8C"/>
  </w:style>
  <w:style w:type="paragraph" w:styleId="Footer">
    <w:name w:val="footer"/>
    <w:basedOn w:val="Normal"/>
    <w:link w:val="FooterChar"/>
    <w:uiPriority w:val="99"/>
    <w:unhideWhenUsed/>
    <w:rsid w:val="0077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8C"/>
  </w:style>
  <w:style w:type="paragraph" w:styleId="ListParagraph">
    <w:name w:val="List Paragraph"/>
    <w:basedOn w:val="Normal"/>
    <w:uiPriority w:val="34"/>
    <w:qFormat/>
    <w:rsid w:val="0077038C"/>
    <w:pPr>
      <w:ind w:left="720"/>
      <w:contextualSpacing/>
    </w:pPr>
  </w:style>
  <w:style w:type="table" w:customStyle="1" w:styleId="TableGrid1">
    <w:name w:val="Table Grid1"/>
    <w:rsid w:val="0097094B"/>
    <w:pPr>
      <w:spacing w:after="0" w:line="240" w:lineRule="auto"/>
    </w:pPr>
    <w:rPr>
      <w:rFonts w:eastAsiaTheme="minorEastAsia"/>
      <w:lang w:eastAsia="ja-JP"/>
    </w:rPr>
    <w:tblPr>
      <w:tblCellMar>
        <w:top w:w="0" w:type="dxa"/>
        <w:left w:w="0" w:type="dxa"/>
        <w:bottom w:w="0" w:type="dxa"/>
        <w:right w:w="0" w:type="dxa"/>
      </w:tblCellMar>
    </w:tblPr>
  </w:style>
  <w:style w:type="character" w:styleId="Hyperlink">
    <w:name w:val="Hyperlink"/>
    <w:basedOn w:val="DefaultParagraphFont"/>
    <w:uiPriority w:val="99"/>
    <w:unhideWhenUsed/>
    <w:rsid w:val="00400CE6"/>
    <w:rPr>
      <w:color w:val="0000FF" w:themeColor="hyperlink"/>
      <w:u w:val="single"/>
    </w:rPr>
  </w:style>
  <w:style w:type="character" w:styleId="FollowedHyperlink">
    <w:name w:val="FollowedHyperlink"/>
    <w:basedOn w:val="DefaultParagraphFont"/>
    <w:uiPriority w:val="99"/>
    <w:semiHidden/>
    <w:unhideWhenUsed/>
    <w:rsid w:val="00400CE6"/>
    <w:rPr>
      <w:color w:val="800080" w:themeColor="followedHyperlink"/>
      <w:u w:val="single"/>
    </w:rPr>
  </w:style>
  <w:style w:type="character" w:styleId="PlaceholderText">
    <w:name w:val="Placeholder Text"/>
    <w:basedOn w:val="DefaultParagraphFont"/>
    <w:uiPriority w:val="99"/>
    <w:semiHidden/>
    <w:rsid w:val="00030EB3"/>
    <w:rPr>
      <w:color w:val="808080"/>
    </w:rPr>
  </w:style>
  <w:style w:type="paragraph" w:styleId="BalloonText">
    <w:name w:val="Balloon Text"/>
    <w:basedOn w:val="Normal"/>
    <w:link w:val="BalloonTextChar"/>
    <w:uiPriority w:val="99"/>
    <w:semiHidden/>
    <w:unhideWhenUsed/>
    <w:rsid w:val="00BC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64"/>
    <w:rPr>
      <w:rFonts w:ascii="Tahoma" w:hAnsi="Tahoma" w:cs="Tahoma"/>
      <w:sz w:val="16"/>
      <w:szCs w:val="16"/>
    </w:rPr>
  </w:style>
  <w:style w:type="paragraph" w:styleId="NormalWeb">
    <w:name w:val="Normal (Web)"/>
    <w:basedOn w:val="Normal"/>
    <w:uiPriority w:val="99"/>
    <w:unhideWhenUsed/>
    <w:rsid w:val="005821C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1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6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es/node/117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EFFECTIVEDATE xmlns="8264c5cc-ec60-4b56-8111-ce635d3d139a">2021-04-29T22:00:00+00:00</UNDP_POPP_EFFECTIVEDAT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POPP-11-3157</_dlc_DocId>
    <UNDP_POPP_TITLE_EN xmlns="8264c5cc-ec60-4b56-8111-ce635d3d139a">Project Cash on Hand for DIM Projects (PCH)</UNDP_POPP_TITLE_EN>
    <UNDP_POPP_ISACTIVE xmlns="8264c5cc-ec60-4b56-8111-ce635d3d139a">true</UNDP_POPP_ISACTIVE>
    <UNDP_POPP_FILEVERSION xmlns="8264c5cc-ec60-4b56-8111-ce635d3d139a">512</UNDP_POPP_FILEVERSION>
    <TaxCatchAll xmlns="8264c5cc-ec60-4b56-8111-ce635d3d139a">
      <Value>350</Value>
    </TaxCatchAll>
    <_dlc_DocIdUrl xmlns="8264c5cc-ec60-4b56-8111-ce635d3d139a">
      <Url>https://popp.undp.org/_layouts/15/DocIdRedir.aspx?ID=POPP-11-3157</Url>
      <Description>POPP-11-3157</Description>
    </_dlc_DocIdUr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2021-04-30T22:00:00+00:00</UNDP_POPP_PLANNED_REVIEWDATE>
    <UNDP_POPP_REFITEM_VERSION xmlns="8264c5cc-ec60-4b56-8111-ce635d3d139a">6</UNDP_POPP_REFITEM_VERSION>
    <DLCPolicyLabelLock xmlns="e560140e-7b2f-4392-90df-e7567e3021a3" xsi:nil="true"/>
    <DLCPolicyLabelClientValue xmlns="e560140e-7b2f-4392-90df-e7567e3021a3">Effective Date: 30/04/2021                                                Version #: 5.0</DLCPolicyLabelClientValue>
    <UNDP_POPP_LASTMODIFIED xmlns="8264c5cc-ec60-4b56-8111-ce635d3d139a" xsi:nil="true"/>
    <DLCPolicyLabelValue xmlns="e560140e-7b2f-4392-90df-e7567e3021a3">Effective Date: 30/04/2021                                                Version #: 6</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129FFFF-EE90-4017-B69A-7ACC9DC3141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D4D98EAF-3B26-4A94-B58C-E38D3C839F19}">
  <ds:schemaRefs>
    <ds:schemaRef ds:uri="http://schemas.microsoft.com/sharepoint/events"/>
  </ds:schemaRefs>
</ds:datastoreItem>
</file>

<file path=customXml/itemProps3.xml><?xml version="1.0" encoding="utf-8"?>
<ds:datastoreItem xmlns:ds="http://schemas.openxmlformats.org/officeDocument/2006/customXml" ds:itemID="{19226BB9-F94C-4B18-A91A-E81D9A45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A8D19-6A97-4117-BA16-5ADBDCF2A739}">
  <ds:schemaRefs>
    <ds:schemaRef ds:uri="http://schemas.microsoft.com/sharepoint/v3/contenttype/forms"/>
  </ds:schemaRefs>
</ds:datastoreItem>
</file>

<file path=customXml/itemProps5.xml><?xml version="1.0" encoding="utf-8"?>
<ds:datastoreItem xmlns:ds="http://schemas.openxmlformats.org/officeDocument/2006/customXml" ds:itemID="{159C933E-D12D-499B-B86B-4D65E4BDB8E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Rybarova</dc:creator>
  <cp:lastModifiedBy>Pablo Morete</cp:lastModifiedBy>
  <cp:revision>14</cp:revision>
  <dcterms:created xsi:type="dcterms:W3CDTF">2019-08-22T22:33:00Z</dcterms:created>
  <dcterms:modified xsi:type="dcterms:W3CDTF">2024-09-16T16:07:00Z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552a039d-45e3-4e3c-b90f-b93d98c56211</vt:lpwstr>
  </property>
</Properties>
</file>