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DA0ED" w14:textId="77777777" w:rsidR="00B55A22" w:rsidRPr="0008326F" w:rsidRDefault="00B55A22" w:rsidP="00B55A22">
      <w:pPr>
        <w:spacing w:after="0" w:line="240" w:lineRule="auto"/>
        <w:rPr>
          <w:b/>
          <w:sz w:val="28"/>
          <w:szCs w:val="28"/>
          <w:lang w:val="en-GB"/>
        </w:rPr>
      </w:pPr>
      <w:r w:rsidRPr="0008326F">
        <w:rPr>
          <w:b/>
          <w:sz w:val="28"/>
          <w:szCs w:val="28"/>
          <w:lang w:val="en-GB"/>
        </w:rPr>
        <w:t xml:space="preserve">Project Cash on Hand for DIM Projects (PCH) </w:t>
      </w:r>
    </w:p>
    <w:p w14:paraId="31A3AABF" w14:textId="77777777" w:rsidR="00B55A22" w:rsidRPr="0008326F" w:rsidRDefault="00B55A22" w:rsidP="00B55A22">
      <w:pPr>
        <w:spacing w:after="0" w:line="240" w:lineRule="auto"/>
        <w:rPr>
          <w:lang w:val="en-GB"/>
        </w:rPr>
      </w:pPr>
      <w:r w:rsidRPr="0008326F">
        <w:rPr>
          <w:lang w:val="en-GB"/>
        </w:rPr>
        <w:t xml:space="preserve"> </w:t>
      </w:r>
    </w:p>
    <w:p w14:paraId="6EDA2498" w14:textId="77777777" w:rsidR="00B55A22"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PCH is a perpetual cash advance to DIM project office/site that is in remote region with project disbursement needs that cannot be met by the CO’s main office through cheque or EFT, nor by PPCF or any supplementary banking arrangements. A DIM project office that meets certain criteria and has monthly project cash requirement beyond $2,500, may elect PCH arrangement. </w:t>
      </w:r>
    </w:p>
    <w:p w14:paraId="41BAD8CC" w14:textId="77777777" w:rsidR="00B55A22" w:rsidRPr="00E07EE8" w:rsidRDefault="00B55A22" w:rsidP="00B55A22">
      <w:pPr>
        <w:spacing w:after="0" w:line="240" w:lineRule="auto"/>
        <w:ind w:left="360"/>
        <w:jc w:val="both"/>
        <w:rPr>
          <w:rFonts w:eastAsia="Times New Roman"/>
          <w:color w:val="444444"/>
          <w:sz w:val="20"/>
          <w:szCs w:val="20"/>
        </w:rPr>
      </w:pPr>
      <w:r w:rsidRPr="00B047F9">
        <w:rPr>
          <w:rFonts w:cs="Arial"/>
        </w:rPr>
        <w:t>Note:  This arrangement is also applicable to “Support to NIM” where implementation modalities are established in accordance to the policy on “</w:t>
      </w:r>
      <w:hyperlink r:id="rId12" w:history="1">
        <w:r w:rsidRPr="00E07EE8">
          <w:rPr>
            <w:rStyle w:val="Hyperlink"/>
            <w:rFonts w:eastAsia="Times New Roman"/>
          </w:rPr>
          <w:t>UNDP Support Services to National Implementation (NIM)</w:t>
        </w:r>
      </w:hyperlink>
      <w:r w:rsidRPr="00E07EE8">
        <w:rPr>
          <w:rFonts w:eastAsia="Times New Roman"/>
          <w:color w:val="444444"/>
        </w:rPr>
        <w:t>.”</w:t>
      </w:r>
    </w:p>
    <w:p w14:paraId="381BF46F"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The maximum PCH balance is $5,000 (or local currency equivalent) per DIM project.  However, this does not warrant an automatic establishment of PCH nor at the maximum level if there are alternative ways to pay project small expenses without using cash. The CO management must determine the need and level which are based on business requirements. The general rule for choosing the appropriate level is the amount sufficient for one month PCH requirement. </w:t>
      </w:r>
    </w:p>
    <w:p w14:paraId="237D1680" w14:textId="77777777" w:rsidR="00B55A22" w:rsidRPr="0008326F" w:rsidRDefault="00B55A22" w:rsidP="00B55A22">
      <w:pPr>
        <w:pStyle w:val="ListParagraph"/>
        <w:rPr>
          <w:rFonts w:eastAsia="Times New Roman" w:cs="Arial"/>
        </w:rPr>
      </w:pPr>
    </w:p>
    <w:p w14:paraId="10D4ED9E"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Under a specific circumstance where project monthly need is beyond $5,000 RR only (not to be further delegated) can approve PCH limit up to $25,000.  Need of such special circumstance and proper safeguard measure for the safety and security of the cash must be documented by the RR.</w:t>
      </w:r>
    </w:p>
    <w:p w14:paraId="53AC73F4" w14:textId="77777777" w:rsidR="00B55A22" w:rsidRPr="0008326F" w:rsidRDefault="00B55A22" w:rsidP="00B55A22">
      <w:pPr>
        <w:pStyle w:val="ListParagraph"/>
        <w:rPr>
          <w:rFonts w:eastAsia="Times New Roman" w:cs="Arial"/>
        </w:rPr>
      </w:pPr>
    </w:p>
    <w:p w14:paraId="19E94244"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The determination of the appropriate level for a PCH is based on the Annual Work Plan, the project expense forecast, staff capacity, number of FT staff working in the project office, internal control, and security risks. </w:t>
      </w:r>
    </w:p>
    <w:p w14:paraId="249FF063" w14:textId="77777777" w:rsidR="00B55A22" w:rsidRPr="0008326F" w:rsidRDefault="00B55A22" w:rsidP="00B55A22">
      <w:pPr>
        <w:pStyle w:val="ListParagraph"/>
        <w:rPr>
          <w:rFonts w:eastAsia="Times New Roman" w:cs="Arial"/>
        </w:rPr>
      </w:pPr>
    </w:p>
    <w:p w14:paraId="26D5DCF5" w14:textId="77777777" w:rsidR="00B55A22" w:rsidRPr="0008326F" w:rsidRDefault="00B55A22" w:rsidP="00B55A22">
      <w:pPr>
        <w:pStyle w:val="ListParagraph"/>
        <w:numPr>
          <w:ilvl w:val="2"/>
          <w:numId w:val="23"/>
        </w:numPr>
        <w:spacing w:before="100" w:beforeAutospacing="1" w:after="100" w:afterAutospacing="1" w:line="240" w:lineRule="auto"/>
        <w:ind w:left="360"/>
        <w:rPr>
          <w:rFonts w:eastAsia="Times New Roman" w:cs="Arial"/>
        </w:rPr>
      </w:pPr>
      <w:r w:rsidRPr="0008326F">
        <w:rPr>
          <w:rFonts w:eastAsia="Times New Roman" w:cs="Arial"/>
        </w:rPr>
        <w:t xml:space="preserve">The management of PCH follows the same as PPCF except the following differences: </w:t>
      </w:r>
    </w:p>
    <w:p w14:paraId="758A786B" w14:textId="77777777" w:rsidR="00B55A22" w:rsidRPr="0008326F" w:rsidRDefault="00B55A22" w:rsidP="00B55A22">
      <w:pPr>
        <w:pStyle w:val="ListParagraph"/>
        <w:rPr>
          <w:rFonts w:eastAsia="Times New Roman" w:cs="Arial"/>
        </w:rPr>
      </w:pPr>
    </w:p>
    <w:p w14:paraId="5C3AA3C5" w14:textId="77777777" w:rsidR="00B55A22" w:rsidRPr="0008326F" w:rsidRDefault="00B55A22" w:rsidP="00B55A22">
      <w:pPr>
        <w:pStyle w:val="ListParagraph"/>
        <w:numPr>
          <w:ilvl w:val="1"/>
          <w:numId w:val="22"/>
        </w:numPr>
        <w:spacing w:before="100" w:beforeAutospacing="1" w:after="100" w:afterAutospacing="1" w:line="240" w:lineRule="auto"/>
        <w:ind w:left="1080"/>
        <w:jc w:val="both"/>
        <w:rPr>
          <w:rFonts w:eastAsia="Times New Roman" w:cs="Arial"/>
        </w:rPr>
      </w:pPr>
      <w:r w:rsidRPr="0008326F">
        <w:rPr>
          <w:rFonts w:eastAsia="Times New Roman" w:cs="Arial"/>
        </w:rPr>
        <w:t xml:space="preserve">Country Office must document the PCH arrangement for DIM project remote office/site with a specific PCH level and rational for the identified amount. </w:t>
      </w:r>
    </w:p>
    <w:p w14:paraId="50A9A2FE" w14:textId="77777777" w:rsidR="00B55A22" w:rsidRPr="0008326F" w:rsidRDefault="00B55A22" w:rsidP="00B55A22">
      <w:pPr>
        <w:pStyle w:val="ListParagraph"/>
        <w:numPr>
          <w:ilvl w:val="1"/>
          <w:numId w:val="22"/>
        </w:numPr>
        <w:spacing w:before="100" w:beforeAutospacing="1" w:after="100" w:afterAutospacing="1" w:line="240" w:lineRule="auto"/>
        <w:ind w:left="1080"/>
        <w:jc w:val="both"/>
        <w:rPr>
          <w:rFonts w:eastAsia="Times New Roman" w:cs="Arial"/>
        </w:rPr>
      </w:pPr>
      <w:r w:rsidRPr="0008326F">
        <w:rPr>
          <w:rFonts w:eastAsia="Times New Roman" w:cs="Arial"/>
        </w:rPr>
        <w:t xml:space="preserve">PCH does NOT exempt the CO or the project office from following all applicable procurement rules and processes. This means that even if cash is used to pay for goods and services, the selection of the vendor must be subject to all applicable procurement rules and processes. </w:t>
      </w:r>
    </w:p>
    <w:p w14:paraId="16DECFBB" w14:textId="77777777" w:rsidR="00B55A22" w:rsidRPr="0008326F" w:rsidRDefault="00B55A22" w:rsidP="00B55A22">
      <w:pPr>
        <w:pStyle w:val="ListParagraph"/>
        <w:numPr>
          <w:ilvl w:val="1"/>
          <w:numId w:val="22"/>
        </w:numPr>
        <w:spacing w:before="100" w:beforeAutospacing="1" w:after="100" w:afterAutospacing="1" w:line="240" w:lineRule="auto"/>
        <w:ind w:left="1080"/>
        <w:jc w:val="both"/>
        <w:rPr>
          <w:rFonts w:eastAsia="Times New Roman" w:cs="Arial"/>
        </w:rPr>
      </w:pPr>
      <w:r w:rsidRPr="0008326F">
        <w:rPr>
          <w:rFonts w:eastAsia="Times New Roman" w:cs="Arial"/>
        </w:rPr>
        <w:t xml:space="preserve">The Project Manager (PM holding FT contract) in the remote project site, acting as the First Authority, can request the replenishment for PCH, subject to certain internal control conditions being met (see Internal Control for PCH). </w:t>
      </w:r>
    </w:p>
    <w:p w14:paraId="7CD3EA28" w14:textId="77777777" w:rsidR="00B55A22" w:rsidRPr="0008326F" w:rsidRDefault="00B55A22" w:rsidP="00B55A22">
      <w:pPr>
        <w:spacing w:before="100" w:beforeAutospacing="1" w:after="100" w:afterAutospacing="1" w:line="240" w:lineRule="auto"/>
        <w:jc w:val="both"/>
        <w:rPr>
          <w:rFonts w:eastAsia="Times New Roman" w:cs="Arial"/>
          <w:b/>
          <w:i/>
        </w:rPr>
      </w:pPr>
      <w:r w:rsidRPr="0008326F">
        <w:rPr>
          <w:rFonts w:eastAsia="Times New Roman" w:cs="Arial"/>
          <w:b/>
          <w:i/>
        </w:rPr>
        <w:t xml:space="preserve">Caution: For DIM project office with monthly liquidity requirement &gt; $25,000, the CO must use the banking system or other alternatives instead of keeping large amount of cash in the project office. This requires consultation with Treasury to open project bank account, or arrange the local service provider or cash courier to meet the cash needs. </w:t>
      </w:r>
    </w:p>
    <w:p w14:paraId="68CB0DB2" w14:textId="77777777" w:rsidR="00B55A22" w:rsidRPr="0008326F" w:rsidRDefault="00B55A22" w:rsidP="00B55A22">
      <w:pPr>
        <w:spacing w:before="100" w:beforeAutospacing="1" w:after="100" w:afterAutospacing="1" w:line="240" w:lineRule="auto"/>
        <w:rPr>
          <w:rFonts w:eastAsia="Times New Roman" w:cs="Arial"/>
          <w:u w:val="single"/>
        </w:rPr>
      </w:pPr>
      <w:r w:rsidRPr="0008326F">
        <w:rPr>
          <w:rFonts w:eastAsia="Times New Roman" w:cs="Arial"/>
          <w:u w:val="single"/>
        </w:rPr>
        <w:t xml:space="preserve">Authority to Establish the PCH and Level </w:t>
      </w:r>
    </w:p>
    <w:p w14:paraId="50D94798"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lastRenderedPageBreak/>
        <w:t>The Treasurer delegates his/her authority for establishing PCH to the Resident Representative, up to the PCH max</w:t>
      </w:r>
      <w:r>
        <w:rPr>
          <w:rFonts w:eastAsia="Times New Roman" w:cs="Arial"/>
        </w:rPr>
        <w:t>imum level for normal business.</w:t>
      </w:r>
    </w:p>
    <w:p w14:paraId="3A9C7B92"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p>
    <w:p w14:paraId="203D525A"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Any CO with PCH requirement above $25,000 for a DIM project must seek Treasurer’s approval in advance by submitting an Annex 5 with detailed justifications. The Treasurer will evaluate such request, in addition to the consideration of the project’s business needs, the CO’s track record of compliance with internal control framework (‘ICF’) and POPP Guidelines, particularly in the areas of adherence of accounting, reconciliation, and year-end procedures for PCF, and make the decision to authorize the higher level requested, </w:t>
      </w:r>
    </w:p>
    <w:p w14:paraId="6B8D1704" w14:textId="77777777" w:rsidR="00B55A22" w:rsidRPr="0008326F" w:rsidRDefault="00B55A22" w:rsidP="00B55A22">
      <w:pPr>
        <w:spacing w:before="100" w:beforeAutospacing="1" w:after="100" w:afterAutospacing="1" w:line="240" w:lineRule="auto"/>
        <w:jc w:val="both"/>
        <w:rPr>
          <w:rFonts w:eastAsia="Times New Roman" w:cs="Arial"/>
          <w:b/>
          <w:i/>
        </w:rPr>
      </w:pPr>
      <w:r w:rsidRPr="0008326F">
        <w:rPr>
          <w:rFonts w:eastAsia="Times New Roman" w:cs="Arial"/>
          <w:b/>
          <w:i/>
        </w:rPr>
        <w:t xml:space="preserve">Caution: Failure to accurately and timely record PCH expenses and reconcile GL PCH Account 16107 may lead to delay or denial of the request until the internal control issues are resolved. </w:t>
      </w:r>
    </w:p>
    <w:p w14:paraId="1EB8E9DE"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The Resident Representative must document the following details for the PCH arrangement of the remote DIM project office/site. </w:t>
      </w:r>
    </w:p>
    <w:p w14:paraId="36F0B567"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p>
    <w:p w14:paraId="4B6BFC65" w14:textId="77777777" w:rsidR="00B55A22" w:rsidRPr="0008326F" w:rsidRDefault="00B55A22" w:rsidP="00B55A22">
      <w:pPr>
        <w:pStyle w:val="ListParagraph"/>
        <w:numPr>
          <w:ilvl w:val="0"/>
          <w:numId w:val="24"/>
        </w:numPr>
        <w:spacing w:before="100" w:beforeAutospacing="1" w:after="100" w:afterAutospacing="1" w:line="240" w:lineRule="auto"/>
        <w:ind w:left="1080"/>
        <w:jc w:val="both"/>
        <w:rPr>
          <w:rFonts w:eastAsia="Times New Roman" w:cs="Arial"/>
        </w:rPr>
      </w:pPr>
      <w:r w:rsidRPr="0008326F">
        <w:rPr>
          <w:rFonts w:eastAsia="Times New Roman" w:cs="Arial"/>
        </w:rPr>
        <w:t xml:space="preserve">Efforts made by the office in identifying alternate options and outcomes including the local banking environment assessment to demonstrate there are no other viable options </w:t>
      </w:r>
    </w:p>
    <w:p w14:paraId="08BE8F94" w14:textId="534B9189" w:rsidR="00B55A22" w:rsidRPr="0008326F" w:rsidRDefault="00B55A22" w:rsidP="00B55A22">
      <w:pPr>
        <w:pStyle w:val="ListParagraph"/>
        <w:numPr>
          <w:ilvl w:val="0"/>
          <w:numId w:val="24"/>
        </w:numPr>
        <w:spacing w:before="100" w:beforeAutospacing="1" w:after="100" w:afterAutospacing="1" w:line="240" w:lineRule="auto"/>
        <w:ind w:left="1080"/>
        <w:rPr>
          <w:rFonts w:eastAsia="Times New Roman" w:cs="Arial"/>
        </w:rPr>
      </w:pPr>
      <w:r w:rsidRPr="0008326F">
        <w:rPr>
          <w:rFonts w:eastAsia="Times New Roman" w:cs="Arial"/>
        </w:rPr>
        <w:t xml:space="preserve">Staff capacity and availability of </w:t>
      </w:r>
      <w:r w:rsidR="00CC14B3">
        <w:rPr>
          <w:rFonts w:eastAsia="Times New Roman" w:cs="Arial"/>
        </w:rPr>
        <w:t>Quantum</w:t>
      </w:r>
      <w:r w:rsidRPr="0008326F">
        <w:rPr>
          <w:rFonts w:eastAsia="Times New Roman" w:cs="Arial"/>
        </w:rPr>
        <w:t xml:space="preserve"> at the project site in order to record the project disbursements on a monthly basis. </w:t>
      </w:r>
    </w:p>
    <w:p w14:paraId="1196CEED" w14:textId="77777777" w:rsidR="00B55A22" w:rsidRPr="0008326F" w:rsidRDefault="00B55A22" w:rsidP="00B55A22">
      <w:pPr>
        <w:pStyle w:val="ListParagraph"/>
        <w:numPr>
          <w:ilvl w:val="0"/>
          <w:numId w:val="24"/>
        </w:numPr>
        <w:spacing w:before="100" w:beforeAutospacing="1" w:after="100" w:afterAutospacing="1" w:line="240" w:lineRule="auto"/>
        <w:ind w:left="1080"/>
        <w:rPr>
          <w:rFonts w:eastAsia="Times New Roman" w:cs="Arial"/>
        </w:rPr>
      </w:pPr>
      <w:r w:rsidRPr="0008326F">
        <w:rPr>
          <w:rFonts w:eastAsia="Times New Roman" w:cs="Arial"/>
        </w:rPr>
        <w:t xml:space="preserve">Proposed internal control arrangements to ensure separation of duties. </w:t>
      </w:r>
    </w:p>
    <w:p w14:paraId="618D0960" w14:textId="77777777" w:rsidR="00B55A22" w:rsidRPr="0008326F" w:rsidRDefault="00B55A22" w:rsidP="00B55A22">
      <w:pPr>
        <w:pStyle w:val="ListParagraph"/>
        <w:numPr>
          <w:ilvl w:val="0"/>
          <w:numId w:val="24"/>
        </w:numPr>
        <w:spacing w:before="100" w:beforeAutospacing="1" w:after="100" w:afterAutospacing="1" w:line="240" w:lineRule="auto"/>
        <w:ind w:left="1080"/>
        <w:rPr>
          <w:rFonts w:eastAsia="Times New Roman" w:cs="Arial"/>
        </w:rPr>
      </w:pPr>
      <w:r w:rsidRPr="0008326F">
        <w:rPr>
          <w:rFonts w:eastAsia="Times New Roman" w:cs="Arial"/>
        </w:rPr>
        <w:t xml:space="preserve">Monthly project liquidity requirement (expense forecast) to substantiate the selected PCH level. </w:t>
      </w:r>
    </w:p>
    <w:p w14:paraId="7AAD9950" w14:textId="77777777" w:rsidR="00B55A22" w:rsidRPr="0008326F" w:rsidRDefault="00B55A22" w:rsidP="00B55A22">
      <w:pPr>
        <w:pStyle w:val="ListParagraph"/>
        <w:numPr>
          <w:ilvl w:val="0"/>
          <w:numId w:val="24"/>
        </w:numPr>
        <w:spacing w:before="100" w:beforeAutospacing="1" w:after="100" w:afterAutospacing="1" w:line="240" w:lineRule="auto"/>
        <w:ind w:left="1080"/>
        <w:jc w:val="both"/>
        <w:rPr>
          <w:rFonts w:eastAsia="Times New Roman" w:cs="Arial"/>
        </w:rPr>
      </w:pPr>
      <w:r w:rsidRPr="0008326F">
        <w:rPr>
          <w:rFonts w:eastAsia="Times New Roman" w:cs="Arial"/>
        </w:rPr>
        <w:t xml:space="preserve">Security assessment of the project office/site and the travel route for the initial funding and subsequent replenishment to minimize the personal risk to the PCH Custodian and financial risk to UNDP. </w:t>
      </w:r>
    </w:p>
    <w:p w14:paraId="70DF9269" w14:textId="77777777" w:rsidR="00B55A22" w:rsidRPr="0008326F" w:rsidRDefault="00B55A22" w:rsidP="00B55A22">
      <w:pPr>
        <w:pStyle w:val="ListParagraph"/>
        <w:numPr>
          <w:ilvl w:val="0"/>
          <w:numId w:val="24"/>
        </w:numPr>
        <w:spacing w:before="100" w:beforeAutospacing="1" w:after="100" w:afterAutospacing="1" w:line="240" w:lineRule="auto"/>
        <w:ind w:left="1080"/>
        <w:jc w:val="both"/>
        <w:rPr>
          <w:rFonts w:eastAsia="Times New Roman" w:cs="Arial"/>
        </w:rPr>
      </w:pPr>
      <w:r w:rsidRPr="0008326F">
        <w:rPr>
          <w:rFonts w:eastAsia="Times New Roman" w:cs="Arial"/>
        </w:rPr>
        <w:t xml:space="preserve">Procurement of the safe with strong security feature and availability of a locked room with security safeguards. </w:t>
      </w:r>
    </w:p>
    <w:p w14:paraId="4C00CC31" w14:textId="77777777" w:rsidR="00B55A22" w:rsidRPr="0008326F" w:rsidRDefault="00B55A22" w:rsidP="00B55A22">
      <w:pPr>
        <w:pStyle w:val="ListParagraph"/>
        <w:spacing w:before="100" w:beforeAutospacing="1" w:after="100" w:afterAutospacing="1" w:line="240" w:lineRule="auto"/>
        <w:ind w:left="1080"/>
        <w:jc w:val="both"/>
        <w:rPr>
          <w:rFonts w:eastAsia="Times New Roman" w:cs="Arial"/>
        </w:rPr>
      </w:pPr>
    </w:p>
    <w:p w14:paraId="55A64BFE"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The RR will evaluate such request based on the project’s needs, banking situation in the remote area, project staff capacity and site security, along with the country office’s compliance records with ICF and Guidelines for existing type of cash arrangements, if any, particularly in the areas of adherence of accounting, reconciliation, and year-end procedures, and make the decision whether to approve the PCH level. </w:t>
      </w:r>
    </w:p>
    <w:p w14:paraId="67BE2118" w14:textId="77777777" w:rsidR="00B55A22" w:rsidRPr="0008326F" w:rsidRDefault="00B55A22" w:rsidP="00B55A22">
      <w:pPr>
        <w:spacing w:before="100" w:beforeAutospacing="1" w:after="100" w:afterAutospacing="1" w:line="240" w:lineRule="auto"/>
        <w:jc w:val="both"/>
        <w:rPr>
          <w:rFonts w:eastAsia="Times New Roman" w:cs="Arial"/>
          <w:b/>
          <w:i/>
        </w:rPr>
      </w:pPr>
      <w:r w:rsidRPr="0008326F">
        <w:rPr>
          <w:rFonts w:eastAsia="Times New Roman" w:cs="Arial"/>
          <w:b/>
          <w:i/>
        </w:rPr>
        <w:t xml:space="preserve">Caution: Failure to timely and accurately record any type of cash arrangement and reconcile relevant GL accounts may lead to delay for the approval until the internal control issues are resolved. </w:t>
      </w:r>
    </w:p>
    <w:p w14:paraId="04087D0D" w14:textId="77777777" w:rsidR="00B55A22" w:rsidRPr="0008326F" w:rsidRDefault="00B55A22" w:rsidP="00B55A22">
      <w:pPr>
        <w:spacing w:before="100" w:beforeAutospacing="1" w:after="100" w:afterAutospacing="1" w:line="240" w:lineRule="auto"/>
        <w:rPr>
          <w:rFonts w:eastAsia="Times New Roman" w:cs="Arial"/>
          <w:u w:val="single"/>
        </w:rPr>
      </w:pPr>
      <w:r w:rsidRPr="0008326F">
        <w:rPr>
          <w:rFonts w:eastAsia="Times New Roman" w:cs="Arial"/>
          <w:u w:val="single"/>
        </w:rPr>
        <w:t xml:space="preserve">Qualifying Expenses for PCH </w:t>
      </w:r>
    </w:p>
    <w:p w14:paraId="54B1FB57" w14:textId="77777777" w:rsidR="00B55A22"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DIM project related expenses that cannot be paid by the main office. </w:t>
      </w:r>
    </w:p>
    <w:p w14:paraId="4B042B78"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p>
    <w:p w14:paraId="7A0485E3" w14:textId="77777777" w:rsidR="00B55A22"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No amount limit for each payment. </w:t>
      </w:r>
    </w:p>
    <w:p w14:paraId="1A9159DE"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p>
    <w:p w14:paraId="55314BA0"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Procurement rules and processes are to be followed for all project disbursements. </w:t>
      </w:r>
    </w:p>
    <w:p w14:paraId="5F2F18E2" w14:textId="77777777" w:rsidR="00B55A22" w:rsidRPr="0008326F" w:rsidRDefault="00B55A22" w:rsidP="00B55A22">
      <w:pPr>
        <w:spacing w:before="100" w:beforeAutospacing="1" w:after="100" w:afterAutospacing="1" w:line="240" w:lineRule="auto"/>
        <w:jc w:val="both"/>
        <w:rPr>
          <w:rFonts w:eastAsia="Times New Roman" w:cs="Arial"/>
          <w:b/>
          <w:i/>
        </w:rPr>
      </w:pPr>
      <w:r w:rsidRPr="0008326F">
        <w:rPr>
          <w:rFonts w:eastAsia="Times New Roman" w:cs="Arial"/>
          <w:b/>
          <w:i/>
        </w:rPr>
        <w:lastRenderedPageBreak/>
        <w:t xml:space="preserve">Caution: Salary and benefit payments including overtime, advances and allowances cannot be made from the PCH regardless of amount. These payments must be entered in Global Payroll without exception. </w:t>
      </w:r>
    </w:p>
    <w:p w14:paraId="2CDA7530" w14:textId="77777777" w:rsidR="00B55A22" w:rsidRPr="0008326F" w:rsidRDefault="00B55A22" w:rsidP="00B55A22">
      <w:pPr>
        <w:spacing w:before="100" w:beforeAutospacing="1" w:after="100" w:afterAutospacing="1" w:line="240" w:lineRule="auto"/>
        <w:rPr>
          <w:rFonts w:eastAsia="Times New Roman" w:cs="Arial"/>
          <w:u w:val="single"/>
        </w:rPr>
      </w:pPr>
      <w:r w:rsidRPr="0008326F">
        <w:rPr>
          <w:rFonts w:eastAsia="Times New Roman" w:cs="Arial"/>
          <w:u w:val="single"/>
        </w:rPr>
        <w:t xml:space="preserve">PCH Custodian Appointment </w:t>
      </w:r>
    </w:p>
    <w:p w14:paraId="53CE792B"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The Resident Representative appoints the PCH Custodian with the following Appointment criteria:</w:t>
      </w:r>
    </w:p>
    <w:p w14:paraId="330B5272"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r w:rsidRPr="0008326F">
        <w:rPr>
          <w:rFonts w:eastAsia="Times New Roman" w:cs="Arial"/>
        </w:rPr>
        <w:t xml:space="preserve"> </w:t>
      </w:r>
    </w:p>
    <w:p w14:paraId="5466A180" w14:textId="151B0C4A" w:rsidR="00B55A22" w:rsidRPr="0008326F" w:rsidRDefault="00B55A22" w:rsidP="00B55A22">
      <w:pPr>
        <w:pStyle w:val="ListParagraph"/>
        <w:numPr>
          <w:ilvl w:val="0"/>
          <w:numId w:val="25"/>
        </w:numPr>
        <w:spacing w:before="100" w:beforeAutospacing="1" w:after="100" w:afterAutospacing="1" w:line="240" w:lineRule="auto"/>
        <w:ind w:left="1080"/>
        <w:jc w:val="both"/>
        <w:rPr>
          <w:rFonts w:eastAsia="Times New Roman" w:cs="Arial"/>
        </w:rPr>
      </w:pPr>
      <w:r w:rsidRPr="0008326F">
        <w:rPr>
          <w:rFonts w:eastAsia="Times New Roman" w:cs="Arial"/>
        </w:rPr>
        <w:t xml:space="preserve">Staff holds UNDP Fixed Term contract. RR only (not to be further delegated) can appoint a </w:t>
      </w:r>
      <w:r w:rsidR="000A7F27">
        <w:rPr>
          <w:rFonts w:cs="Arial"/>
        </w:rPr>
        <w:t xml:space="preserve">holder of </w:t>
      </w:r>
      <w:r w:rsidR="00B00C6C">
        <w:rPr>
          <w:rFonts w:cs="Arial"/>
        </w:rPr>
        <w:t>Personnel</w:t>
      </w:r>
      <w:r w:rsidR="000A7F27">
        <w:rPr>
          <w:rFonts w:cs="Arial"/>
        </w:rPr>
        <w:t xml:space="preserve"> Service</w:t>
      </w:r>
      <w:r w:rsidR="00B00C6C">
        <w:rPr>
          <w:rFonts w:cs="Arial"/>
        </w:rPr>
        <w:t>s</w:t>
      </w:r>
      <w:r w:rsidR="000A7F27">
        <w:rPr>
          <w:rFonts w:cs="Arial"/>
        </w:rPr>
        <w:t xml:space="preserve"> Agreement  (NPSA/IPSA)</w:t>
      </w:r>
      <w:r w:rsidRPr="0008326F">
        <w:rPr>
          <w:rFonts w:cs="Arial"/>
        </w:rPr>
        <w:t xml:space="preserve"> as the custodian up to the limit of $2,500 only.</w:t>
      </w:r>
    </w:p>
    <w:p w14:paraId="004E8D49" w14:textId="77777777" w:rsidR="00B55A22" w:rsidRPr="0008326F" w:rsidRDefault="00B55A22" w:rsidP="00B55A22">
      <w:pPr>
        <w:pStyle w:val="ListParagraph"/>
        <w:numPr>
          <w:ilvl w:val="0"/>
          <w:numId w:val="25"/>
        </w:numPr>
        <w:spacing w:before="100" w:beforeAutospacing="1" w:after="100" w:afterAutospacing="1" w:line="240" w:lineRule="auto"/>
        <w:ind w:left="1080"/>
        <w:jc w:val="both"/>
        <w:rPr>
          <w:rFonts w:eastAsia="Times New Roman" w:cs="Arial"/>
        </w:rPr>
      </w:pPr>
      <w:r w:rsidRPr="0008326F">
        <w:rPr>
          <w:rFonts w:eastAsia="Times New Roman" w:cs="Arial"/>
        </w:rPr>
        <w:t xml:space="preserve">Staff is competent to fulfill the responsibilities including safeguarding, proper use of, accounting for, and physical counting of, and maintaining the PCH Register. </w:t>
      </w:r>
    </w:p>
    <w:p w14:paraId="608EDE91" w14:textId="77777777" w:rsidR="00B55A22" w:rsidRPr="00D5254E" w:rsidRDefault="00B55A22" w:rsidP="00B55A22">
      <w:pPr>
        <w:pStyle w:val="ListParagraph"/>
        <w:numPr>
          <w:ilvl w:val="0"/>
          <w:numId w:val="25"/>
        </w:numPr>
        <w:spacing w:before="100" w:beforeAutospacing="1" w:after="100" w:afterAutospacing="1" w:line="240" w:lineRule="auto"/>
        <w:ind w:left="1080"/>
        <w:jc w:val="both"/>
        <w:rPr>
          <w:rFonts w:eastAsia="Times New Roman" w:cs="Arial"/>
        </w:rPr>
      </w:pPr>
      <w:r w:rsidRPr="0008326F">
        <w:rPr>
          <w:rFonts w:eastAsia="Times New Roman" w:cs="Arial"/>
        </w:rPr>
        <w:t xml:space="preserve">Staff agrees to the terms and conditions of Project Cash on Hand Custodian Appointment and Declaration Letter and signs the document (Annex 1 – PCH Cash Custodian Appointment Form – to be modified for PCH by the user) including any losses in the PCH are to be reimbursed to UNDP by the PCH Custodian or a deduction shall be taken from his/her salary. </w:t>
      </w:r>
    </w:p>
    <w:p w14:paraId="63FD5198" w14:textId="77777777" w:rsidR="00B55A22" w:rsidRPr="0008326F" w:rsidRDefault="00B55A22" w:rsidP="00B55A22">
      <w:pPr>
        <w:spacing w:before="100" w:beforeAutospacing="1" w:after="100" w:afterAutospacing="1" w:line="240" w:lineRule="auto"/>
        <w:rPr>
          <w:rFonts w:eastAsia="Times New Roman" w:cs="Arial"/>
          <w:u w:val="single"/>
        </w:rPr>
      </w:pPr>
      <w:r w:rsidRPr="0008326F">
        <w:rPr>
          <w:rFonts w:eastAsia="Times New Roman" w:cs="Arial"/>
          <w:u w:val="single"/>
        </w:rPr>
        <w:t xml:space="preserve">PCH Custodian Responsibilities </w:t>
      </w:r>
    </w:p>
    <w:p w14:paraId="0830122F"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Custodian responsibilities are the following:</w:t>
      </w:r>
    </w:p>
    <w:p w14:paraId="37364002"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r w:rsidRPr="0008326F">
        <w:rPr>
          <w:rFonts w:eastAsia="Times New Roman" w:cs="Arial"/>
        </w:rPr>
        <w:t xml:space="preserve"> </w:t>
      </w:r>
    </w:p>
    <w:p w14:paraId="2931226F" w14:textId="49B32C5A" w:rsidR="00CC14B3" w:rsidRDefault="00CC14B3" w:rsidP="00B55A22">
      <w:pPr>
        <w:pStyle w:val="ListParagraph"/>
        <w:numPr>
          <w:ilvl w:val="0"/>
          <w:numId w:val="26"/>
        </w:numPr>
        <w:spacing w:before="100" w:beforeAutospacing="1" w:after="100" w:afterAutospacing="1" w:line="240" w:lineRule="auto"/>
        <w:ind w:left="1080"/>
        <w:jc w:val="both"/>
        <w:rPr>
          <w:rFonts w:eastAsia="Times New Roman" w:cs="Arial"/>
        </w:rPr>
      </w:pPr>
      <w:r>
        <w:rPr>
          <w:rFonts w:eastAsia="Times New Roman" w:cs="Arial"/>
        </w:rPr>
        <w:t>P</w:t>
      </w:r>
      <w:r w:rsidR="00B55A22" w:rsidRPr="0008326F">
        <w:rPr>
          <w:rFonts w:eastAsia="Times New Roman" w:cs="Arial"/>
        </w:rPr>
        <w:t xml:space="preserve">lace the cash for PCH initial funding and subsequent replenishment in the project office safe with the presence of a second officer. </w:t>
      </w:r>
    </w:p>
    <w:p w14:paraId="374269A3" w14:textId="57F33B27" w:rsidR="00B55A22" w:rsidRPr="0008326F" w:rsidRDefault="00B55A22" w:rsidP="00B55A22">
      <w:pPr>
        <w:pStyle w:val="ListParagraph"/>
        <w:numPr>
          <w:ilvl w:val="0"/>
          <w:numId w:val="26"/>
        </w:numPr>
        <w:spacing w:before="100" w:beforeAutospacing="1" w:after="100" w:afterAutospacing="1" w:line="240" w:lineRule="auto"/>
        <w:ind w:left="1080"/>
        <w:jc w:val="both"/>
        <w:rPr>
          <w:rFonts w:eastAsia="Times New Roman" w:cs="Arial"/>
        </w:rPr>
      </w:pPr>
      <w:r w:rsidRPr="0008326F">
        <w:rPr>
          <w:rFonts w:eastAsia="Times New Roman" w:cs="Arial"/>
        </w:rPr>
        <w:t xml:space="preserve">b. Maintain the PCH Register to record all activities in the PCH (see Annex 2 - PCH Cash Register). </w:t>
      </w:r>
    </w:p>
    <w:p w14:paraId="09DB750D" w14:textId="77777777" w:rsidR="00B55A22" w:rsidRPr="0008326F" w:rsidRDefault="00B55A22" w:rsidP="00B55A22">
      <w:pPr>
        <w:pStyle w:val="ListParagraph"/>
        <w:numPr>
          <w:ilvl w:val="0"/>
          <w:numId w:val="26"/>
        </w:numPr>
        <w:spacing w:before="100" w:beforeAutospacing="1" w:after="100" w:afterAutospacing="1" w:line="240" w:lineRule="auto"/>
        <w:ind w:left="1080"/>
        <w:jc w:val="both"/>
        <w:rPr>
          <w:rFonts w:eastAsia="Times New Roman" w:cs="Arial"/>
        </w:rPr>
      </w:pPr>
      <w:r w:rsidRPr="0008326F">
        <w:rPr>
          <w:rFonts w:eastAsia="Times New Roman" w:cs="Arial"/>
        </w:rPr>
        <w:t xml:space="preserve">Maintain PCH daily balance and average monthly balance on PCH Register for insurance purpose. </w:t>
      </w:r>
    </w:p>
    <w:p w14:paraId="4326173D" w14:textId="79B95EBF" w:rsidR="00B55A22" w:rsidRPr="0008326F" w:rsidRDefault="00B55A22" w:rsidP="00B55A22">
      <w:pPr>
        <w:pStyle w:val="ListParagraph"/>
        <w:numPr>
          <w:ilvl w:val="0"/>
          <w:numId w:val="26"/>
        </w:numPr>
        <w:spacing w:before="100" w:beforeAutospacing="1" w:after="100" w:afterAutospacing="1" w:line="240" w:lineRule="auto"/>
        <w:ind w:left="1080"/>
        <w:jc w:val="both"/>
        <w:rPr>
          <w:rFonts w:eastAsia="Times New Roman" w:cs="Arial"/>
        </w:rPr>
      </w:pPr>
      <w:r w:rsidRPr="0008326F">
        <w:rPr>
          <w:rFonts w:eastAsia="Times New Roman" w:cs="Arial"/>
        </w:rPr>
        <w:t xml:space="preserve">Use pre-sequentially numbered PCH </w:t>
      </w:r>
      <w:r w:rsidR="00572E84">
        <w:rPr>
          <w:rFonts w:eastAsia="Times New Roman" w:cs="Arial"/>
        </w:rPr>
        <w:t>Voucher</w:t>
      </w:r>
      <w:r w:rsidRPr="0008326F">
        <w:rPr>
          <w:rFonts w:eastAsia="Times New Roman" w:cs="Arial"/>
        </w:rPr>
        <w:t xml:space="preserve"> for each disbursement made from the PCH. </w:t>
      </w:r>
    </w:p>
    <w:p w14:paraId="27565CBF" w14:textId="5774AE5C" w:rsidR="00B55A22" w:rsidRPr="0008326F" w:rsidRDefault="00B55A22" w:rsidP="00B55A22">
      <w:pPr>
        <w:pStyle w:val="ListParagraph"/>
        <w:numPr>
          <w:ilvl w:val="0"/>
          <w:numId w:val="26"/>
        </w:numPr>
        <w:spacing w:before="100" w:beforeAutospacing="1" w:after="100" w:afterAutospacing="1" w:line="240" w:lineRule="auto"/>
        <w:ind w:left="1080"/>
        <w:jc w:val="both"/>
        <w:rPr>
          <w:rFonts w:eastAsia="Times New Roman" w:cs="Arial"/>
        </w:rPr>
      </w:pPr>
      <w:r w:rsidRPr="0008326F">
        <w:rPr>
          <w:rFonts w:eastAsia="Times New Roman" w:cs="Arial"/>
        </w:rPr>
        <w:t xml:space="preserve">Ensure such PCH </w:t>
      </w:r>
      <w:r w:rsidR="00572E84">
        <w:rPr>
          <w:rFonts w:eastAsia="Times New Roman" w:cs="Arial"/>
        </w:rPr>
        <w:t>Voucher</w:t>
      </w:r>
      <w:r w:rsidRPr="0008326F">
        <w:rPr>
          <w:rFonts w:eastAsia="Times New Roman" w:cs="Arial"/>
        </w:rPr>
        <w:t xml:space="preserve"> is filled out for accounting/budget purposes and properly approved and has an invoice/receipt as the supporting document. </w:t>
      </w:r>
    </w:p>
    <w:p w14:paraId="3730E035" w14:textId="77777777" w:rsidR="00B55A22" w:rsidRPr="0008326F" w:rsidRDefault="00B55A22" w:rsidP="00B55A22">
      <w:pPr>
        <w:pStyle w:val="ListParagraph"/>
        <w:numPr>
          <w:ilvl w:val="0"/>
          <w:numId w:val="26"/>
        </w:numPr>
        <w:spacing w:before="100" w:beforeAutospacing="1" w:after="100" w:afterAutospacing="1" w:line="240" w:lineRule="auto"/>
        <w:ind w:left="1080"/>
        <w:jc w:val="both"/>
        <w:rPr>
          <w:rFonts w:eastAsia="Times New Roman" w:cs="Arial"/>
        </w:rPr>
      </w:pPr>
      <w:r w:rsidRPr="0008326F">
        <w:rPr>
          <w:rFonts w:eastAsia="Times New Roman" w:cs="Arial"/>
        </w:rPr>
        <w:t xml:space="preserve">Count PCH balance after each disbursement and after each of the replenishments to ensure the amount is always equal to the running balance on the PCF Register. </w:t>
      </w:r>
    </w:p>
    <w:p w14:paraId="69161C68" w14:textId="77777777" w:rsidR="00B55A22" w:rsidRPr="0008326F" w:rsidRDefault="00B55A22" w:rsidP="00B55A22">
      <w:pPr>
        <w:pStyle w:val="ListParagraph"/>
        <w:numPr>
          <w:ilvl w:val="0"/>
          <w:numId w:val="26"/>
        </w:numPr>
        <w:spacing w:before="100" w:beforeAutospacing="1" w:after="100" w:afterAutospacing="1" w:line="240" w:lineRule="auto"/>
        <w:ind w:left="1080"/>
        <w:jc w:val="both"/>
        <w:rPr>
          <w:rFonts w:eastAsia="Times New Roman" w:cs="Arial"/>
        </w:rPr>
      </w:pPr>
      <w:r w:rsidRPr="0008326F">
        <w:rPr>
          <w:rFonts w:eastAsia="Times New Roman" w:cs="Arial"/>
        </w:rPr>
        <w:t xml:space="preserve">Make every reasonable effort to prevent theft for example, including maintenance of PCF in secured location (i.e., office safe), requiring presence of two persons when safe is opened. </w:t>
      </w:r>
    </w:p>
    <w:p w14:paraId="104CA2BE" w14:textId="77777777" w:rsidR="00B55A22" w:rsidRPr="0008326F" w:rsidRDefault="00B55A22" w:rsidP="00B55A22">
      <w:pPr>
        <w:pStyle w:val="ListParagraph"/>
        <w:numPr>
          <w:ilvl w:val="0"/>
          <w:numId w:val="26"/>
        </w:numPr>
        <w:spacing w:before="100" w:beforeAutospacing="1" w:after="100" w:afterAutospacing="1" w:line="240" w:lineRule="auto"/>
        <w:ind w:left="1080"/>
        <w:jc w:val="both"/>
        <w:rPr>
          <w:rFonts w:eastAsia="Times New Roman" w:cs="Arial"/>
        </w:rPr>
      </w:pPr>
      <w:r w:rsidRPr="0008326F">
        <w:rPr>
          <w:rFonts w:eastAsia="Times New Roman" w:cs="Arial"/>
        </w:rPr>
        <w:t xml:space="preserve">Request the CO’s main office for replenishment when PCH balance reaches 20% of the initial opening balance (or a pre-approved % level, also see paragraph 16-19 “Initial Funding and Subsequent Replenishment for PCH”). </w:t>
      </w:r>
    </w:p>
    <w:p w14:paraId="670C0825" w14:textId="77777777" w:rsidR="00B55A22" w:rsidRPr="0008326F" w:rsidRDefault="00B55A22" w:rsidP="00B55A22">
      <w:pPr>
        <w:spacing w:before="100" w:beforeAutospacing="1" w:after="100" w:afterAutospacing="1" w:line="240" w:lineRule="auto"/>
        <w:rPr>
          <w:rFonts w:eastAsia="Times New Roman" w:cs="Arial"/>
          <w:u w:val="single"/>
        </w:rPr>
      </w:pPr>
      <w:r w:rsidRPr="0008326F">
        <w:rPr>
          <w:rFonts w:eastAsia="Times New Roman" w:cs="Arial"/>
          <w:u w:val="single"/>
        </w:rPr>
        <w:t xml:space="preserve">Physical Security for PCH </w:t>
      </w:r>
    </w:p>
    <w:p w14:paraId="53A16B53"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The DRR(O) or Operations Manager is responsible for the physical security for PCF as follows:</w:t>
      </w:r>
    </w:p>
    <w:p w14:paraId="729F40F7"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r w:rsidRPr="0008326F">
        <w:rPr>
          <w:rFonts w:eastAsia="Times New Roman" w:cs="Arial"/>
        </w:rPr>
        <w:t xml:space="preserve"> </w:t>
      </w:r>
    </w:p>
    <w:p w14:paraId="628C408F" w14:textId="77777777" w:rsidR="00B55A22" w:rsidRPr="0008326F" w:rsidRDefault="00B55A22" w:rsidP="00B55A22">
      <w:pPr>
        <w:pStyle w:val="ListParagraph"/>
        <w:numPr>
          <w:ilvl w:val="0"/>
          <w:numId w:val="27"/>
        </w:numPr>
        <w:spacing w:before="100" w:beforeAutospacing="1" w:after="100" w:afterAutospacing="1" w:line="240" w:lineRule="auto"/>
        <w:ind w:left="1080"/>
        <w:jc w:val="both"/>
        <w:rPr>
          <w:rFonts w:eastAsia="Times New Roman" w:cs="Arial"/>
        </w:rPr>
      </w:pPr>
      <w:r w:rsidRPr="0008326F">
        <w:rPr>
          <w:rFonts w:eastAsia="Times New Roman" w:cs="Arial"/>
        </w:rPr>
        <w:t xml:space="preserve">The project office must have a safe with strong security features. </w:t>
      </w:r>
    </w:p>
    <w:p w14:paraId="39959F77" w14:textId="77777777" w:rsidR="00B55A22" w:rsidRPr="0008326F" w:rsidRDefault="00B55A22" w:rsidP="00B55A22">
      <w:pPr>
        <w:pStyle w:val="ListParagraph"/>
        <w:numPr>
          <w:ilvl w:val="0"/>
          <w:numId w:val="27"/>
        </w:numPr>
        <w:spacing w:before="100" w:beforeAutospacing="1" w:after="100" w:afterAutospacing="1" w:line="240" w:lineRule="auto"/>
        <w:ind w:left="1080"/>
        <w:jc w:val="both"/>
        <w:rPr>
          <w:rFonts w:eastAsia="Times New Roman" w:cs="Arial"/>
        </w:rPr>
      </w:pPr>
      <w:r w:rsidRPr="0008326F">
        <w:rPr>
          <w:rFonts w:eastAsia="Times New Roman" w:cs="Arial"/>
        </w:rPr>
        <w:t xml:space="preserve">The safe is to be placed in a room with security safeguards and is limited access by authorized personnel only. </w:t>
      </w:r>
    </w:p>
    <w:p w14:paraId="3C137930" w14:textId="77777777" w:rsidR="00B55A22" w:rsidRPr="0008326F" w:rsidRDefault="00B55A22" w:rsidP="00B55A22">
      <w:pPr>
        <w:pStyle w:val="ListParagraph"/>
        <w:numPr>
          <w:ilvl w:val="0"/>
          <w:numId w:val="27"/>
        </w:numPr>
        <w:spacing w:before="100" w:beforeAutospacing="1" w:after="100" w:afterAutospacing="1" w:line="240" w:lineRule="auto"/>
        <w:ind w:left="1080"/>
        <w:jc w:val="both"/>
        <w:rPr>
          <w:rFonts w:eastAsia="Times New Roman" w:cs="Arial"/>
        </w:rPr>
      </w:pPr>
      <w:r w:rsidRPr="0008326F">
        <w:rPr>
          <w:rFonts w:eastAsia="Times New Roman" w:cs="Arial"/>
        </w:rPr>
        <w:lastRenderedPageBreak/>
        <w:t xml:space="preserve">Cash must be kept in the safe at all times. </w:t>
      </w:r>
    </w:p>
    <w:p w14:paraId="521D01ED" w14:textId="77777777" w:rsidR="00B55A22" w:rsidRPr="0008326F" w:rsidRDefault="00B55A22" w:rsidP="00B55A22">
      <w:pPr>
        <w:pStyle w:val="ListParagraph"/>
        <w:numPr>
          <w:ilvl w:val="0"/>
          <w:numId w:val="27"/>
        </w:numPr>
        <w:spacing w:before="100" w:beforeAutospacing="1" w:after="100" w:afterAutospacing="1" w:line="240" w:lineRule="auto"/>
        <w:ind w:left="1080"/>
        <w:jc w:val="both"/>
        <w:rPr>
          <w:rFonts w:eastAsia="Times New Roman" w:cs="Arial"/>
        </w:rPr>
      </w:pPr>
      <w:r w:rsidRPr="0008326F">
        <w:rPr>
          <w:rFonts w:eastAsia="Times New Roman" w:cs="Arial"/>
        </w:rPr>
        <w:t xml:space="preserve">Arrange and secure the travel route for the initial funding and the subsequent replenishments. </w:t>
      </w:r>
    </w:p>
    <w:p w14:paraId="3DDFB29F" w14:textId="77777777" w:rsidR="00B55A22" w:rsidRPr="0008326F" w:rsidRDefault="00B55A22" w:rsidP="00B55A22">
      <w:pPr>
        <w:spacing w:before="100" w:beforeAutospacing="1" w:after="100" w:afterAutospacing="1" w:line="240" w:lineRule="auto"/>
        <w:rPr>
          <w:rFonts w:eastAsia="Times New Roman" w:cs="Arial"/>
          <w:u w:val="single"/>
        </w:rPr>
      </w:pPr>
      <w:r w:rsidRPr="0008326F">
        <w:rPr>
          <w:rFonts w:eastAsia="Times New Roman" w:cs="Arial"/>
          <w:u w:val="single"/>
        </w:rPr>
        <w:t xml:space="preserve">Initial Funding and Subsequent Replenishment for PCH </w:t>
      </w:r>
    </w:p>
    <w:p w14:paraId="0317399A" w14:textId="25255A96" w:rsidR="00287464"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Initial funding of PCH is done by a</w:t>
      </w:r>
      <w:r w:rsidR="00CC14B3">
        <w:rPr>
          <w:rFonts w:eastAsia="Times New Roman" w:cs="Arial"/>
        </w:rPr>
        <w:t xml:space="preserve"> Permanent Prepayment</w:t>
      </w:r>
      <w:r w:rsidRPr="0008326F">
        <w:rPr>
          <w:rFonts w:eastAsia="Times New Roman" w:cs="Arial"/>
        </w:rPr>
        <w:t xml:space="preserve"> </w:t>
      </w:r>
      <w:r w:rsidR="00CC14B3">
        <w:rPr>
          <w:rFonts w:eastAsia="Times New Roman" w:cs="Arial"/>
        </w:rPr>
        <w:t>Invoice</w:t>
      </w:r>
      <w:r w:rsidR="00572E84">
        <w:rPr>
          <w:rFonts w:eastAsia="Times New Roman" w:cs="Arial"/>
        </w:rPr>
        <w:t xml:space="preserve"> </w:t>
      </w:r>
      <w:r w:rsidRPr="0008326F">
        <w:rPr>
          <w:rFonts w:eastAsia="Times New Roman" w:cs="Arial"/>
        </w:rPr>
        <w:t>payable to the PCH Custodian as the “</w:t>
      </w:r>
      <w:r w:rsidR="00CC14B3">
        <w:rPr>
          <w:rFonts w:eastAsia="Times New Roman" w:cs="Arial"/>
        </w:rPr>
        <w:t>Supplier</w:t>
      </w:r>
      <w:r w:rsidRPr="0008326F">
        <w:rPr>
          <w:rFonts w:eastAsia="Times New Roman" w:cs="Arial"/>
        </w:rPr>
        <w:t>”</w:t>
      </w:r>
      <w:r w:rsidR="00287464">
        <w:rPr>
          <w:rFonts w:eastAsia="Times New Roman" w:cs="Arial"/>
        </w:rPr>
        <w:t>, recorded against :</w:t>
      </w:r>
    </w:p>
    <w:p w14:paraId="69959661" w14:textId="77777777" w:rsidR="00287464" w:rsidRPr="00F85CD6" w:rsidRDefault="00287464" w:rsidP="00F85CD6">
      <w:pPr>
        <w:spacing w:after="0" w:line="240" w:lineRule="auto"/>
        <w:ind w:left="360"/>
        <w:rPr>
          <w:rFonts w:eastAsia="Times New Roman" w:cs="Arial"/>
        </w:rPr>
      </w:pPr>
      <w:r w:rsidRPr="00F85CD6">
        <w:rPr>
          <w:rFonts w:eastAsia="Times New Roman" w:cs="Arial"/>
        </w:rPr>
        <w:t xml:space="preserve">Debit GL Account: </w:t>
      </w:r>
      <w:r w:rsidRPr="00F85CD6">
        <w:rPr>
          <w:rFonts w:eastAsia="Times New Roman" w:cs="Arial"/>
        </w:rPr>
        <w:tab/>
        <w:t xml:space="preserve">16107 – Project Cash on Hand PCH </w:t>
      </w:r>
    </w:p>
    <w:p w14:paraId="2AB6FA8E" w14:textId="77777777" w:rsidR="00287464" w:rsidRPr="00F85CD6" w:rsidRDefault="00287464" w:rsidP="00F85CD6">
      <w:pPr>
        <w:spacing w:after="0" w:line="240" w:lineRule="auto"/>
        <w:ind w:left="360"/>
        <w:rPr>
          <w:rFonts w:eastAsia="Times New Roman" w:cs="Arial"/>
        </w:rPr>
      </w:pPr>
      <w:r w:rsidRPr="00F85CD6">
        <w:rPr>
          <w:rFonts w:eastAsia="Times New Roman" w:cs="Arial"/>
        </w:rPr>
        <w:t xml:space="preserve">Operating Unit: </w:t>
      </w:r>
      <w:r w:rsidRPr="00F85CD6">
        <w:rPr>
          <w:rFonts w:eastAsia="Times New Roman" w:cs="Arial"/>
        </w:rPr>
        <w:tab/>
      </w:r>
      <w:r w:rsidRPr="00F85CD6">
        <w:rPr>
          <w:rFonts w:eastAsia="Times New Roman" w:cs="Arial"/>
        </w:rPr>
        <w:tab/>
        <w:t xml:space="preserve">CO’s operating unit </w:t>
      </w:r>
    </w:p>
    <w:p w14:paraId="48B6E1F7" w14:textId="77777777" w:rsidR="00287464" w:rsidRPr="00F85CD6" w:rsidRDefault="00287464" w:rsidP="00F85CD6">
      <w:pPr>
        <w:spacing w:after="0" w:line="240" w:lineRule="auto"/>
        <w:ind w:left="360"/>
        <w:rPr>
          <w:rFonts w:eastAsia="Times New Roman" w:cs="Arial"/>
        </w:rPr>
      </w:pPr>
      <w:r w:rsidRPr="00F85CD6">
        <w:rPr>
          <w:rFonts w:eastAsia="Times New Roman" w:cs="Arial"/>
        </w:rPr>
        <w:t xml:space="preserve">Fund Code: </w:t>
      </w:r>
      <w:r w:rsidRPr="00F85CD6">
        <w:rPr>
          <w:rFonts w:eastAsia="Times New Roman" w:cs="Arial"/>
        </w:rPr>
        <w:tab/>
      </w:r>
      <w:r w:rsidRPr="00F85CD6">
        <w:rPr>
          <w:rFonts w:eastAsia="Times New Roman" w:cs="Arial"/>
        </w:rPr>
        <w:tab/>
        <w:t xml:space="preserve">Relevant project fund code </w:t>
      </w:r>
    </w:p>
    <w:p w14:paraId="2B07AC67" w14:textId="77777777" w:rsidR="00287464" w:rsidRPr="00F85CD6" w:rsidRDefault="00287464" w:rsidP="00F85CD6">
      <w:pPr>
        <w:spacing w:after="0" w:line="240" w:lineRule="auto"/>
        <w:ind w:left="360"/>
        <w:rPr>
          <w:rFonts w:eastAsia="Times New Roman" w:cs="Arial"/>
        </w:rPr>
      </w:pPr>
      <w:r w:rsidRPr="00F85CD6">
        <w:rPr>
          <w:rFonts w:eastAsia="Times New Roman" w:cs="Arial"/>
        </w:rPr>
        <w:t xml:space="preserve">Department: </w:t>
      </w:r>
      <w:r w:rsidRPr="00F85CD6">
        <w:rPr>
          <w:rFonts w:eastAsia="Times New Roman" w:cs="Arial"/>
        </w:rPr>
        <w:tab/>
      </w:r>
      <w:r w:rsidRPr="00F85CD6">
        <w:rPr>
          <w:rFonts w:eastAsia="Times New Roman" w:cs="Arial"/>
        </w:rPr>
        <w:tab/>
        <w:t xml:space="preserve">Respective department </w:t>
      </w:r>
    </w:p>
    <w:p w14:paraId="606DC5EE" w14:textId="77777777" w:rsidR="00287464" w:rsidRPr="00F85CD6" w:rsidRDefault="00287464" w:rsidP="00F85CD6">
      <w:pPr>
        <w:spacing w:after="0" w:line="240" w:lineRule="auto"/>
        <w:ind w:left="360"/>
        <w:rPr>
          <w:rFonts w:eastAsia="Times New Roman" w:cs="Arial"/>
        </w:rPr>
      </w:pPr>
      <w:r w:rsidRPr="00F85CD6">
        <w:rPr>
          <w:rFonts w:eastAsia="Times New Roman" w:cs="Arial"/>
        </w:rPr>
        <w:t xml:space="preserve">Project ID: </w:t>
      </w:r>
      <w:r w:rsidRPr="00F85CD6">
        <w:rPr>
          <w:rFonts w:eastAsia="Times New Roman" w:cs="Arial"/>
        </w:rPr>
        <w:tab/>
      </w:r>
      <w:r w:rsidRPr="00F85CD6">
        <w:rPr>
          <w:rFonts w:eastAsia="Times New Roman" w:cs="Arial"/>
        </w:rPr>
        <w:tab/>
        <w:t xml:space="preserve">Relevant project ID </w:t>
      </w:r>
    </w:p>
    <w:p w14:paraId="6E4F257B" w14:textId="77777777" w:rsidR="00287464" w:rsidRPr="00F85CD6" w:rsidRDefault="00287464" w:rsidP="00F85CD6">
      <w:pPr>
        <w:spacing w:after="0" w:line="240" w:lineRule="auto"/>
        <w:ind w:left="360"/>
        <w:rPr>
          <w:rFonts w:eastAsia="Times New Roman" w:cs="Arial"/>
        </w:rPr>
      </w:pPr>
      <w:r w:rsidRPr="00F85CD6">
        <w:rPr>
          <w:rFonts w:eastAsia="Times New Roman" w:cs="Arial"/>
        </w:rPr>
        <w:t xml:space="preserve">Impl. Agent: </w:t>
      </w:r>
      <w:r w:rsidRPr="00F85CD6">
        <w:rPr>
          <w:rFonts w:eastAsia="Times New Roman" w:cs="Arial"/>
        </w:rPr>
        <w:tab/>
      </w:r>
      <w:r w:rsidRPr="00F85CD6">
        <w:rPr>
          <w:rFonts w:eastAsia="Times New Roman" w:cs="Arial"/>
        </w:rPr>
        <w:tab/>
        <w:t xml:space="preserve">As appropriate </w:t>
      </w:r>
    </w:p>
    <w:p w14:paraId="6D5DE0B5" w14:textId="77777777" w:rsidR="00287464" w:rsidRPr="00F85CD6" w:rsidRDefault="00287464" w:rsidP="00F85CD6">
      <w:pPr>
        <w:spacing w:after="0" w:line="240" w:lineRule="auto"/>
        <w:ind w:left="360"/>
        <w:rPr>
          <w:rFonts w:eastAsia="Times New Roman" w:cs="Arial"/>
        </w:rPr>
      </w:pPr>
      <w:r w:rsidRPr="00F85CD6">
        <w:rPr>
          <w:rFonts w:eastAsia="Times New Roman" w:cs="Arial"/>
        </w:rPr>
        <w:t xml:space="preserve">Donor: </w:t>
      </w:r>
      <w:r w:rsidRPr="00F85CD6">
        <w:rPr>
          <w:rFonts w:eastAsia="Times New Roman" w:cs="Arial"/>
        </w:rPr>
        <w:tab/>
      </w:r>
      <w:r w:rsidRPr="00F85CD6">
        <w:rPr>
          <w:rFonts w:eastAsia="Times New Roman" w:cs="Arial"/>
        </w:rPr>
        <w:tab/>
      </w:r>
      <w:r w:rsidRPr="00F85CD6">
        <w:rPr>
          <w:rFonts w:eastAsia="Times New Roman" w:cs="Arial"/>
        </w:rPr>
        <w:tab/>
        <w:t xml:space="preserve">As appropriate </w:t>
      </w:r>
    </w:p>
    <w:p w14:paraId="458277DD" w14:textId="17BD0839" w:rsidR="00287464" w:rsidRPr="00F85CD6" w:rsidRDefault="00287464" w:rsidP="00F85CD6">
      <w:pPr>
        <w:spacing w:after="0" w:line="240" w:lineRule="auto"/>
        <w:ind w:left="360"/>
        <w:rPr>
          <w:rFonts w:eastAsia="Times New Roman" w:cs="Arial"/>
        </w:rPr>
      </w:pPr>
      <w:r>
        <w:rPr>
          <w:rFonts w:eastAsia="Times New Roman" w:cs="Arial"/>
        </w:rPr>
        <w:t>Supplier</w:t>
      </w:r>
      <w:r w:rsidRPr="00F85CD6">
        <w:rPr>
          <w:rFonts w:eastAsia="Times New Roman" w:cs="Arial"/>
        </w:rPr>
        <w:t xml:space="preserve">: </w:t>
      </w:r>
      <w:r w:rsidRPr="00F85CD6">
        <w:rPr>
          <w:rFonts w:eastAsia="Times New Roman" w:cs="Arial"/>
        </w:rPr>
        <w:tab/>
      </w:r>
      <w:r w:rsidRPr="00F85CD6">
        <w:rPr>
          <w:rFonts w:eastAsia="Times New Roman" w:cs="Arial"/>
        </w:rPr>
        <w:tab/>
        <w:t>PCH Custodian Staff</w:t>
      </w:r>
      <w:r>
        <w:rPr>
          <w:rFonts w:eastAsia="Times New Roman" w:cs="Arial"/>
        </w:rPr>
        <w:t xml:space="preserve">/Supplier </w:t>
      </w:r>
      <w:r w:rsidRPr="00F85CD6">
        <w:rPr>
          <w:rFonts w:eastAsia="Times New Roman" w:cs="Arial"/>
        </w:rPr>
        <w:t xml:space="preserve">ID </w:t>
      </w:r>
    </w:p>
    <w:p w14:paraId="329CCE6B" w14:textId="77777777" w:rsidR="00287464" w:rsidRDefault="00287464" w:rsidP="00F85CD6">
      <w:pPr>
        <w:pStyle w:val="ListParagraph"/>
        <w:numPr>
          <w:ilvl w:val="3"/>
          <w:numId w:val="23"/>
        </w:numPr>
        <w:spacing w:before="100" w:beforeAutospacing="1" w:after="100" w:afterAutospacing="1" w:line="240" w:lineRule="auto"/>
        <w:jc w:val="both"/>
        <w:rPr>
          <w:rFonts w:eastAsia="Times New Roman" w:cs="Arial"/>
        </w:rPr>
      </w:pPr>
    </w:p>
    <w:p w14:paraId="49D44937" w14:textId="13FF982C"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 The supporting document for the </w:t>
      </w:r>
      <w:r w:rsidR="00CC14B3">
        <w:rPr>
          <w:rFonts w:eastAsia="Times New Roman" w:cs="Arial"/>
        </w:rPr>
        <w:t>Invoice</w:t>
      </w:r>
      <w:r w:rsidR="00287464">
        <w:rPr>
          <w:rFonts w:eastAsia="Times New Roman" w:cs="Arial"/>
        </w:rPr>
        <w:t xml:space="preserve"> </w:t>
      </w:r>
      <w:r w:rsidRPr="0008326F">
        <w:rPr>
          <w:rFonts w:eastAsia="Times New Roman" w:cs="Arial"/>
        </w:rPr>
        <w:t xml:space="preserve">is the approval from the Resident Representative or Treasurer, as applicable. </w:t>
      </w:r>
    </w:p>
    <w:p w14:paraId="70099972"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p>
    <w:p w14:paraId="3B509BC8" w14:textId="418F87D4"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Subsequent replenishment is done by an </w:t>
      </w:r>
      <w:r w:rsidR="00CC14B3">
        <w:rPr>
          <w:rFonts w:eastAsia="Times New Roman" w:cs="Arial"/>
        </w:rPr>
        <w:t xml:space="preserve">Payment </w:t>
      </w:r>
      <w:r w:rsidR="00572E84">
        <w:rPr>
          <w:rFonts w:eastAsia="Times New Roman" w:cs="Arial"/>
        </w:rPr>
        <w:t>Voucher</w:t>
      </w:r>
      <w:r w:rsidR="00CC14B3">
        <w:rPr>
          <w:rFonts w:eastAsia="Times New Roman" w:cs="Arial"/>
        </w:rPr>
        <w:t xml:space="preserve"> </w:t>
      </w:r>
      <w:r w:rsidRPr="0008326F">
        <w:rPr>
          <w:rFonts w:eastAsia="Times New Roman" w:cs="Arial"/>
        </w:rPr>
        <w:t xml:space="preserve">payable to the PCH Custodian. The amount of the subsequent replenishment should equal the amount of total disbursements made during the period prior to the replenishment request. The </w:t>
      </w:r>
      <w:r w:rsidR="004D4512">
        <w:rPr>
          <w:rFonts w:eastAsia="Times New Roman" w:cs="Arial"/>
        </w:rPr>
        <w:t xml:space="preserve">relevant </w:t>
      </w:r>
      <w:r w:rsidR="00572E84">
        <w:rPr>
          <w:rFonts w:eastAsia="Times New Roman" w:cs="Arial"/>
        </w:rPr>
        <w:t>voucher</w:t>
      </w:r>
      <w:r w:rsidR="004D4512">
        <w:rPr>
          <w:rFonts w:eastAsia="Times New Roman" w:cs="Arial"/>
        </w:rPr>
        <w:t xml:space="preserve">s and attached </w:t>
      </w:r>
      <w:r w:rsidRPr="0008326F">
        <w:rPr>
          <w:rFonts w:eastAsia="Times New Roman" w:cs="Arial"/>
        </w:rPr>
        <w:t xml:space="preserve">related invoices/receipts serve as the supporting document for the subsequent replenishment. </w:t>
      </w:r>
    </w:p>
    <w:p w14:paraId="1E751AC1" w14:textId="77777777" w:rsidR="00B55A22" w:rsidRPr="0008326F" w:rsidRDefault="00B55A22" w:rsidP="00B55A22">
      <w:pPr>
        <w:pStyle w:val="ListParagraph"/>
        <w:rPr>
          <w:rFonts w:eastAsia="Times New Roman" w:cs="Arial"/>
        </w:rPr>
      </w:pPr>
    </w:p>
    <w:p w14:paraId="0D902274" w14:textId="29F2B50B"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After the subsequent replenishment, the PCH balance </w:t>
      </w:r>
      <w:r w:rsidR="004D4512">
        <w:rPr>
          <w:rFonts w:eastAsia="Times New Roman" w:cs="Arial"/>
        </w:rPr>
        <w:t xml:space="preserve">held in office safe </w:t>
      </w:r>
      <w:r w:rsidRPr="0008326F">
        <w:rPr>
          <w:rFonts w:eastAsia="Times New Roman" w:cs="Arial"/>
        </w:rPr>
        <w:t xml:space="preserve">should equal to the initial opening balance. </w:t>
      </w:r>
    </w:p>
    <w:p w14:paraId="6D86626D" w14:textId="77777777" w:rsidR="00B55A22" w:rsidRPr="0008326F" w:rsidRDefault="00B55A22" w:rsidP="00B55A22">
      <w:pPr>
        <w:pStyle w:val="ListParagraph"/>
        <w:rPr>
          <w:rFonts w:eastAsia="Times New Roman" w:cs="Arial"/>
        </w:rPr>
      </w:pPr>
    </w:p>
    <w:p w14:paraId="577AE8D5"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For subsequent replenishment to the PCH, the DRR (O) or Operations Manager at the CO’s main office (other than the PCH Custodian) must review, certify and approve (as the case may be):</w:t>
      </w:r>
    </w:p>
    <w:p w14:paraId="21430953" w14:textId="77777777" w:rsidR="00B55A22" w:rsidRPr="0008326F" w:rsidRDefault="00B55A22" w:rsidP="00B55A22">
      <w:pPr>
        <w:pStyle w:val="ListParagraph"/>
        <w:rPr>
          <w:rFonts w:eastAsia="Times New Roman" w:cs="Arial"/>
        </w:rPr>
      </w:pPr>
    </w:p>
    <w:p w14:paraId="23C975BE" w14:textId="42C8B87B" w:rsidR="00B55A22" w:rsidRPr="0008326F" w:rsidRDefault="004D4512" w:rsidP="00B55A22">
      <w:pPr>
        <w:pStyle w:val="ListParagraph"/>
        <w:numPr>
          <w:ilvl w:val="0"/>
          <w:numId w:val="28"/>
        </w:numPr>
        <w:spacing w:before="100" w:beforeAutospacing="1" w:after="100" w:afterAutospacing="1" w:line="240" w:lineRule="auto"/>
        <w:ind w:left="1080"/>
        <w:jc w:val="both"/>
        <w:rPr>
          <w:rFonts w:eastAsia="Times New Roman" w:cs="Arial"/>
        </w:rPr>
      </w:pPr>
      <w:r>
        <w:rPr>
          <w:rFonts w:eastAsia="Times New Roman" w:cs="Arial"/>
        </w:rPr>
        <w:t>Upload Spreadsheet list</w:t>
      </w:r>
      <w:r w:rsidRPr="0008326F">
        <w:rPr>
          <w:rFonts w:eastAsia="Times New Roman" w:cs="Arial"/>
        </w:rPr>
        <w:t xml:space="preserve"> </w:t>
      </w:r>
      <w:r w:rsidR="00B55A22" w:rsidRPr="0008326F">
        <w:rPr>
          <w:rFonts w:eastAsia="Times New Roman" w:cs="Arial"/>
        </w:rPr>
        <w:t xml:space="preserve">created by PCH Custodian for recording PCH disbursements and relevant supporting documents ( </w:t>
      </w:r>
      <w:r w:rsidR="00287464">
        <w:rPr>
          <w:rFonts w:eastAsia="Times New Roman" w:cs="Arial"/>
        </w:rPr>
        <w:t>for expenses charged against relevant 7xxxx expense accounts</w:t>
      </w:r>
    </w:p>
    <w:p w14:paraId="02B6C388" w14:textId="77777777" w:rsidR="00B55A22" w:rsidRPr="0008326F" w:rsidRDefault="00B55A22" w:rsidP="00B55A22">
      <w:pPr>
        <w:pStyle w:val="ListParagraph"/>
        <w:numPr>
          <w:ilvl w:val="0"/>
          <w:numId w:val="28"/>
        </w:numPr>
        <w:spacing w:before="100" w:beforeAutospacing="1" w:after="100" w:afterAutospacing="1" w:line="240" w:lineRule="auto"/>
        <w:ind w:left="1080"/>
        <w:jc w:val="both"/>
        <w:rPr>
          <w:rFonts w:eastAsia="Times New Roman" w:cs="Arial"/>
        </w:rPr>
      </w:pPr>
      <w:r w:rsidRPr="0008326F">
        <w:rPr>
          <w:rFonts w:eastAsia="Times New Roman" w:cs="Arial"/>
        </w:rPr>
        <w:t xml:space="preserve">Physical count conducted by the project office to ensure the PCH balance in the safe equals to the balance on the PCH Register. </w:t>
      </w:r>
    </w:p>
    <w:p w14:paraId="3877F327" w14:textId="77777777" w:rsidR="00B55A22" w:rsidRPr="0008326F" w:rsidRDefault="00B55A22" w:rsidP="00B55A22">
      <w:pPr>
        <w:pStyle w:val="ListParagraph"/>
        <w:numPr>
          <w:ilvl w:val="0"/>
          <w:numId w:val="28"/>
        </w:numPr>
        <w:spacing w:before="100" w:beforeAutospacing="1" w:after="100" w:afterAutospacing="1" w:line="240" w:lineRule="auto"/>
        <w:ind w:left="1080"/>
        <w:jc w:val="both"/>
        <w:rPr>
          <w:rFonts w:eastAsia="Times New Roman" w:cs="Arial"/>
        </w:rPr>
      </w:pPr>
      <w:r w:rsidRPr="0008326F">
        <w:rPr>
          <w:rFonts w:eastAsia="Times New Roman" w:cs="Arial"/>
        </w:rPr>
        <w:t xml:space="preserve">PCH reconciliation to ensure that GL PCH Account 16107 balance is the same as the actual cash in the safe (after the APJV is posted) and on the PCH Register. </w:t>
      </w:r>
    </w:p>
    <w:p w14:paraId="6CB7E23B" w14:textId="003456A7" w:rsidR="00B55A22" w:rsidRPr="0008326F" w:rsidRDefault="004D4512" w:rsidP="00B55A22">
      <w:pPr>
        <w:pStyle w:val="ListParagraph"/>
        <w:numPr>
          <w:ilvl w:val="0"/>
          <w:numId w:val="28"/>
        </w:numPr>
        <w:spacing w:before="100" w:beforeAutospacing="1" w:after="100" w:afterAutospacing="1" w:line="240" w:lineRule="auto"/>
        <w:ind w:left="1080"/>
        <w:jc w:val="both"/>
        <w:rPr>
          <w:rFonts w:eastAsia="Times New Roman" w:cs="Arial"/>
        </w:rPr>
      </w:pPr>
      <w:r>
        <w:rPr>
          <w:rFonts w:eastAsia="Times New Roman" w:cs="Arial"/>
        </w:rPr>
        <w:t xml:space="preserve">Payment </w:t>
      </w:r>
      <w:r w:rsidR="00572E84">
        <w:rPr>
          <w:rFonts w:eastAsia="Times New Roman" w:cs="Arial"/>
        </w:rPr>
        <w:t>Voucher</w:t>
      </w:r>
      <w:r>
        <w:rPr>
          <w:rFonts w:eastAsia="Times New Roman" w:cs="Arial"/>
        </w:rPr>
        <w:t xml:space="preserve"> </w:t>
      </w:r>
      <w:r w:rsidR="00B55A22" w:rsidRPr="0008326F">
        <w:rPr>
          <w:rFonts w:eastAsia="Times New Roman" w:cs="Arial"/>
        </w:rPr>
        <w:t xml:space="preserve">to pay the PCH Custodian as the replenishment for the PCH. </w:t>
      </w:r>
    </w:p>
    <w:p w14:paraId="656ED1B7" w14:textId="77777777" w:rsidR="00B55A22" w:rsidRPr="0008326F" w:rsidRDefault="00B55A22" w:rsidP="00B55A22">
      <w:pPr>
        <w:spacing w:before="100" w:beforeAutospacing="1" w:after="100" w:afterAutospacing="1" w:line="240" w:lineRule="auto"/>
        <w:jc w:val="both"/>
        <w:rPr>
          <w:rFonts w:eastAsia="Times New Roman" w:cs="Arial"/>
          <w:b/>
          <w:i/>
        </w:rPr>
      </w:pPr>
      <w:r w:rsidRPr="0008326F">
        <w:rPr>
          <w:rFonts w:eastAsia="Times New Roman" w:cs="Arial"/>
          <w:b/>
          <w:i/>
        </w:rPr>
        <w:t xml:space="preserve">Tips: Subsequent replenishment to the PCH must be requested when the PCH balance reaches 20% of the original level. If the lead time required is longer due to specific local conditions, the Project Manager must agree with the Operations Manager to raise the % to the appropriate level so that the project </w:t>
      </w:r>
      <w:r w:rsidRPr="0008326F">
        <w:rPr>
          <w:rFonts w:eastAsia="Times New Roman" w:cs="Arial"/>
          <w:b/>
          <w:i/>
        </w:rPr>
        <w:lastRenderedPageBreak/>
        <w:t xml:space="preserve">activities are not adversely impacted. The key is not to keep excess PCH balances on site to mitigate security risk and to ensure internal controls are strictly followed to reduce financial risk. </w:t>
      </w:r>
    </w:p>
    <w:p w14:paraId="6770430D" w14:textId="77777777" w:rsidR="00B55A22" w:rsidRPr="0008326F" w:rsidRDefault="00B55A22" w:rsidP="00B55A22">
      <w:pPr>
        <w:spacing w:before="100" w:beforeAutospacing="1" w:after="100" w:afterAutospacing="1" w:line="240" w:lineRule="auto"/>
        <w:rPr>
          <w:rFonts w:eastAsia="Times New Roman" w:cs="Arial"/>
          <w:u w:val="single"/>
        </w:rPr>
      </w:pPr>
      <w:r w:rsidRPr="0008326F">
        <w:rPr>
          <w:rFonts w:eastAsia="Times New Roman" w:cs="Arial"/>
          <w:u w:val="single"/>
        </w:rPr>
        <w:t xml:space="preserve">Internal Controls for PCH </w:t>
      </w:r>
    </w:p>
    <w:p w14:paraId="58C9474D"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Separation of duties should be maintained at all times.</w:t>
      </w:r>
    </w:p>
    <w:p w14:paraId="3CC13F4C"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r w:rsidRPr="0008326F">
        <w:rPr>
          <w:rFonts w:eastAsia="Times New Roman" w:cs="Arial"/>
        </w:rPr>
        <w:t xml:space="preserve"> </w:t>
      </w:r>
    </w:p>
    <w:p w14:paraId="5CA616C8" w14:textId="72ECE5DC"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Pre-sequentially numbered PCH </w:t>
      </w:r>
      <w:r w:rsidR="00572E84">
        <w:rPr>
          <w:rFonts w:eastAsia="Times New Roman" w:cs="Arial"/>
        </w:rPr>
        <w:t>Voucher</w:t>
      </w:r>
      <w:r w:rsidRPr="0008326F">
        <w:rPr>
          <w:rFonts w:eastAsia="Times New Roman" w:cs="Arial"/>
        </w:rPr>
        <w:t xml:space="preserve">s must be used to request the PCH disbursements; the proper approval obtained, and full Chart of Accounts (COA) indicated. </w:t>
      </w:r>
    </w:p>
    <w:p w14:paraId="6AC4DE21" w14:textId="77777777" w:rsidR="00B55A22" w:rsidRPr="0008326F" w:rsidRDefault="00B55A22" w:rsidP="00B55A22">
      <w:pPr>
        <w:pStyle w:val="ListParagraph"/>
        <w:rPr>
          <w:rFonts w:eastAsia="Times New Roman" w:cs="Arial"/>
        </w:rPr>
      </w:pPr>
    </w:p>
    <w:p w14:paraId="1D8A9246" w14:textId="053B14AD"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Invoice/receipt for any purchases should be attached to each PCH </w:t>
      </w:r>
      <w:r w:rsidR="00572E84">
        <w:rPr>
          <w:rFonts w:eastAsia="Times New Roman" w:cs="Arial"/>
        </w:rPr>
        <w:t>Voucher</w:t>
      </w:r>
      <w:r w:rsidRPr="0008326F">
        <w:rPr>
          <w:rFonts w:eastAsia="Times New Roman" w:cs="Arial"/>
        </w:rPr>
        <w:t xml:space="preserve">. </w:t>
      </w:r>
    </w:p>
    <w:p w14:paraId="681A4BB0"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p>
    <w:p w14:paraId="689EBC89"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p>
    <w:p w14:paraId="2CB3CF8D"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PCH Register must be maintained on per transaction basis and issued on the close of business of the last day of the month or prior to each replenishment period with no further alteration. A new PCH Register must be created for a new month or a new replenishment period. </w:t>
      </w:r>
    </w:p>
    <w:p w14:paraId="092E30C3"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p>
    <w:p w14:paraId="4C1168D4"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AAA report for GL Account 16107 must be generated for each month end or each replenishment period to compare the balance in the PCH Register and in GL. </w:t>
      </w:r>
    </w:p>
    <w:p w14:paraId="52EF6B80"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p>
    <w:p w14:paraId="45FBE936"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Operations Manager should perform a physical cash count at the month end or prior to each replenishment request, whichever comes first, and shall sign the PCH Count Form (see Annex 3 – PCH Cash Count Form (for monthly and year end physical count and reconciliation). The signature on the PCH Count Form certifies that the balance in the safe equals to the balance in the PCH Register and the balance in the GL Account16107. If the project office does not have an Operations Manager, the DRR(O) must designate an officer independent of the PCH to conduct the monthly physical count. </w:t>
      </w:r>
    </w:p>
    <w:p w14:paraId="6C2EA30B"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p>
    <w:p w14:paraId="5431C273" w14:textId="77777777" w:rsidR="00B55A22" w:rsidRPr="003D074A"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In addition, surprise physical cash counts must be carried out together by the DRR(O) or Operations Manager and by the designated staff/officers from the CO’s main office. The PCH Count Form should always be used and the date of the surprise cash count should be noted. In </w:t>
      </w:r>
      <w:r>
        <w:rPr>
          <w:rFonts w:eastAsia="Times New Roman" w:cs="Arial"/>
        </w:rPr>
        <w:t>a</w:t>
      </w:r>
      <w:r w:rsidRPr="003D074A">
        <w:rPr>
          <w:rFonts w:eastAsia="Times New Roman" w:cs="Arial"/>
        </w:rPr>
        <w:t xml:space="preserve">ddition, the Custodian should perform a daily cash count and reconciliation with a second officer. This can be registered on the Cash Register. </w:t>
      </w:r>
    </w:p>
    <w:p w14:paraId="13FD8D85"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p>
    <w:p w14:paraId="012AF5B2"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Any discrepancies identified in the steps 24 to 27 must be investigated and resolved within 7 days. </w:t>
      </w:r>
    </w:p>
    <w:p w14:paraId="682060FD"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p>
    <w:p w14:paraId="3D35B403"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Steps 24 to 28 constitute the monthly PCH reconciliation to be performed every month without exception. </w:t>
      </w:r>
    </w:p>
    <w:p w14:paraId="50479DD2"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p>
    <w:p w14:paraId="667E6D1C" w14:textId="5DCE6B7C"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On or before 31 December of each year, the CO must </w:t>
      </w:r>
      <w:r w:rsidR="00F43EDF">
        <w:rPr>
          <w:rFonts w:eastAsia="Times New Roman" w:cs="Arial"/>
        </w:rPr>
        <w:t xml:space="preserve">upload the last spreadsheet of recorded expenses and </w:t>
      </w:r>
      <w:r w:rsidRPr="0008326F">
        <w:rPr>
          <w:rFonts w:eastAsia="Times New Roman" w:cs="Arial"/>
        </w:rPr>
        <w:t xml:space="preserve">deposit the PCH balance </w:t>
      </w:r>
      <w:r w:rsidR="00F43EDF">
        <w:rPr>
          <w:rFonts w:eastAsia="Times New Roman" w:cs="Arial"/>
        </w:rPr>
        <w:t xml:space="preserve">kept </w:t>
      </w:r>
      <w:r w:rsidRPr="0008326F">
        <w:rPr>
          <w:rFonts w:eastAsia="Times New Roman" w:cs="Arial"/>
        </w:rPr>
        <w:t xml:space="preserve">in the safe into the CO’s bank account. </w:t>
      </w:r>
      <w:r w:rsidR="00F43EDF" w:rsidRPr="00CA0E60">
        <w:rPr>
          <w:rFonts w:eastAsia="Times New Roman" w:cs="Arial"/>
        </w:rPr>
        <w:t>GSS</w:t>
      </w:r>
      <w:r w:rsidR="00F43EDF">
        <w:rPr>
          <w:rFonts w:eastAsia="Times New Roman" w:cs="Arial"/>
        </w:rPr>
        <w:t>C</w:t>
      </w:r>
      <w:r w:rsidR="00F43EDF" w:rsidRPr="00CA0E60">
        <w:rPr>
          <w:rFonts w:eastAsia="Times New Roman" w:cs="Arial"/>
        </w:rPr>
        <w:t xml:space="preserve"> will take the necessary steps to ensure liquidation of the </w:t>
      </w:r>
      <w:r w:rsidR="00F43EDF">
        <w:rPr>
          <w:rFonts w:eastAsia="Times New Roman" w:cs="Arial"/>
        </w:rPr>
        <w:t xml:space="preserve">prepayment issued for </w:t>
      </w:r>
      <w:r w:rsidR="00F43EDF" w:rsidRPr="00CA0E60">
        <w:rPr>
          <w:rFonts w:eastAsia="Times New Roman" w:cs="Arial"/>
        </w:rPr>
        <w:t>PC</w:t>
      </w:r>
      <w:r w:rsidR="00F43EDF">
        <w:rPr>
          <w:rFonts w:eastAsia="Times New Roman" w:cs="Arial"/>
        </w:rPr>
        <w:t xml:space="preserve">H under </w:t>
      </w:r>
      <w:r w:rsidR="00F43EDF" w:rsidRPr="00CA0E60">
        <w:rPr>
          <w:rFonts w:eastAsia="Times New Roman" w:cs="Arial"/>
        </w:rPr>
        <w:t>GL Account 1610</w:t>
      </w:r>
      <w:r w:rsidR="00F43EDF">
        <w:rPr>
          <w:rFonts w:eastAsia="Times New Roman" w:cs="Arial"/>
        </w:rPr>
        <w:t>7</w:t>
      </w:r>
      <w:r w:rsidR="00F43EDF" w:rsidRPr="00CA0E60">
        <w:rPr>
          <w:rFonts w:eastAsia="Times New Roman" w:cs="Arial"/>
        </w:rPr>
        <w:t>.</w:t>
      </w:r>
    </w:p>
    <w:p w14:paraId="1B2CB3A0" w14:textId="77777777" w:rsidR="00B55A22" w:rsidRPr="0008326F" w:rsidRDefault="00B55A22" w:rsidP="00B55A22">
      <w:pPr>
        <w:spacing w:before="100" w:beforeAutospacing="1" w:after="100" w:afterAutospacing="1" w:line="240" w:lineRule="auto"/>
        <w:jc w:val="both"/>
        <w:rPr>
          <w:rFonts w:eastAsia="Times New Roman" w:cs="Arial"/>
          <w:b/>
          <w:i/>
        </w:rPr>
      </w:pPr>
      <w:r w:rsidRPr="0008326F">
        <w:rPr>
          <w:rFonts w:eastAsia="Times New Roman" w:cs="Arial"/>
          <w:b/>
          <w:i/>
        </w:rPr>
        <w:t xml:space="preserve">Caution: If the CO does not deposit the PCH balance in the safe into the bank account at the year-end, the office must notify Treasury and explain the reasons why action was not taken. Treasury will issue guidance on the year-end certification procedures. </w:t>
      </w:r>
    </w:p>
    <w:p w14:paraId="795E58FF" w14:textId="1614371D" w:rsidR="00B55A22" w:rsidRPr="0008326F" w:rsidRDefault="00B55A22" w:rsidP="00B55A22">
      <w:pPr>
        <w:spacing w:before="100" w:beforeAutospacing="1" w:after="100" w:afterAutospacing="1" w:line="240" w:lineRule="auto"/>
        <w:jc w:val="both"/>
        <w:rPr>
          <w:rFonts w:eastAsia="Times New Roman" w:cs="Arial"/>
          <w:b/>
          <w:i/>
        </w:rPr>
      </w:pPr>
      <w:r w:rsidRPr="0008326F">
        <w:rPr>
          <w:rFonts w:eastAsia="Times New Roman" w:cs="Arial"/>
          <w:b/>
          <w:i/>
        </w:rPr>
        <w:lastRenderedPageBreak/>
        <w:t>Caution: All transactions in PCH (</w:t>
      </w:r>
      <w:r w:rsidR="005D6086">
        <w:rPr>
          <w:rFonts w:eastAsia="Times New Roman" w:cs="Arial"/>
          <w:b/>
          <w:i/>
        </w:rPr>
        <w:t>Invoices, Credit Memos</w:t>
      </w:r>
      <w:r w:rsidRPr="0008326F">
        <w:rPr>
          <w:rFonts w:eastAsia="Times New Roman" w:cs="Arial"/>
          <w:b/>
          <w:i/>
        </w:rPr>
        <w:t xml:space="preserve">) must be recorded in the currency code in </w:t>
      </w:r>
      <w:r w:rsidR="00CC14B3">
        <w:rPr>
          <w:rFonts w:eastAsia="Times New Roman" w:cs="Arial"/>
          <w:b/>
          <w:i/>
        </w:rPr>
        <w:t>Quantum</w:t>
      </w:r>
      <w:r w:rsidRPr="0008326F">
        <w:rPr>
          <w:rFonts w:eastAsia="Times New Roman" w:cs="Arial"/>
          <w:b/>
          <w:i/>
        </w:rPr>
        <w:t xml:space="preserve"> that matches the actual currency in which the PCH is held. Using incorrect currency code in </w:t>
      </w:r>
      <w:r w:rsidR="00CC14B3">
        <w:rPr>
          <w:rFonts w:eastAsia="Times New Roman" w:cs="Arial"/>
          <w:b/>
          <w:i/>
        </w:rPr>
        <w:t>Quantum</w:t>
      </w:r>
      <w:r w:rsidRPr="0008326F">
        <w:rPr>
          <w:rFonts w:eastAsia="Times New Roman" w:cs="Arial"/>
          <w:b/>
          <w:i/>
        </w:rPr>
        <w:t xml:space="preserve"> will lead to inaccurate valuation of the PCH in the financial statements. </w:t>
      </w:r>
    </w:p>
    <w:p w14:paraId="33891F8E" w14:textId="46359098" w:rsidR="00B55A22" w:rsidRPr="0008326F" w:rsidRDefault="00B55A22" w:rsidP="00B55A22">
      <w:pPr>
        <w:spacing w:before="100" w:beforeAutospacing="1" w:after="100" w:afterAutospacing="1" w:line="240" w:lineRule="auto"/>
        <w:jc w:val="both"/>
        <w:rPr>
          <w:rFonts w:eastAsia="Times New Roman" w:cs="Arial"/>
          <w:b/>
          <w:i/>
        </w:rPr>
      </w:pPr>
      <w:r w:rsidRPr="0008326F">
        <w:rPr>
          <w:rFonts w:eastAsia="Times New Roman" w:cs="Arial"/>
          <w:b/>
          <w:i/>
        </w:rPr>
        <w:t>Caution:</w:t>
      </w:r>
      <w:r w:rsidR="005D6086">
        <w:rPr>
          <w:rFonts w:eastAsia="Times New Roman" w:cs="Arial"/>
          <w:b/>
          <w:i/>
        </w:rPr>
        <w:t>FX gain/loss adjustment entries are monitored by GSSC Cash Management team on a monthly basis</w:t>
      </w:r>
      <w:r w:rsidRPr="0008326F">
        <w:rPr>
          <w:rFonts w:eastAsia="Times New Roman" w:cs="Arial"/>
          <w:b/>
          <w:i/>
        </w:rPr>
        <w:t xml:space="preserve">. </w:t>
      </w:r>
    </w:p>
    <w:p w14:paraId="2E8C5A3C" w14:textId="77777777" w:rsidR="00B55A22" w:rsidRPr="0008326F" w:rsidRDefault="00B55A22" w:rsidP="00B55A22">
      <w:pPr>
        <w:spacing w:before="100" w:beforeAutospacing="1" w:after="100" w:afterAutospacing="1" w:line="240" w:lineRule="auto"/>
        <w:rPr>
          <w:rFonts w:eastAsia="Times New Roman" w:cs="Arial"/>
          <w:u w:val="single"/>
        </w:rPr>
      </w:pPr>
      <w:r w:rsidRPr="0008326F">
        <w:rPr>
          <w:rFonts w:eastAsia="Times New Roman" w:cs="Arial"/>
          <w:u w:val="single"/>
        </w:rPr>
        <w:t xml:space="preserve">PCH Reconciliation and Year-End Closure </w:t>
      </w:r>
    </w:p>
    <w:p w14:paraId="596E8CDB"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Steps 24 to 28 in Section Internal Controls for PCH constitute the monthly PCH reconciliation to be performed every month without exception, including the year-end closure.</w:t>
      </w:r>
    </w:p>
    <w:p w14:paraId="011E9E54"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r w:rsidRPr="0008326F">
        <w:rPr>
          <w:rFonts w:eastAsia="Times New Roman" w:cs="Arial"/>
        </w:rPr>
        <w:t xml:space="preserve"> </w:t>
      </w:r>
    </w:p>
    <w:p w14:paraId="0EACBE28" w14:textId="77777777" w:rsidR="00B55A22"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If the CO’s main office and its project office follow the Guidelines and Procedures herein, the AAA report for GL 16107 at 31 December should show the balance to be zero in local currency. </w:t>
      </w:r>
    </w:p>
    <w:p w14:paraId="1407BC82"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p>
    <w:p w14:paraId="07D77A25"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 xml:space="preserve">The DRR(O) must review the PCH reconciliation results, complete and sign the Year-end PCH Certificate and PCH Count Form. These two documents must be uploaded to designated SharePoint on or before 31 January (See Annex 4 – Year end Certification for Cash Arrangements) </w:t>
      </w:r>
    </w:p>
    <w:p w14:paraId="70758E08" w14:textId="77777777" w:rsidR="00B55A22" w:rsidRPr="0008326F" w:rsidRDefault="00B55A22" w:rsidP="00B55A22">
      <w:pPr>
        <w:spacing w:before="100" w:beforeAutospacing="1" w:after="100" w:afterAutospacing="1" w:line="240" w:lineRule="auto"/>
        <w:jc w:val="both"/>
        <w:rPr>
          <w:rFonts w:eastAsia="Times New Roman" w:cs="Arial"/>
          <w:b/>
          <w:i/>
        </w:rPr>
      </w:pPr>
      <w:r w:rsidRPr="0008326F">
        <w:rPr>
          <w:rFonts w:eastAsia="Times New Roman" w:cs="Arial"/>
          <w:b/>
          <w:i/>
        </w:rPr>
        <w:t xml:space="preserve">Caution: Pay attention to the currency in GL. Reconciliation is to be done for the currency in which the PCH is held. Typically, this means local currency. The CO should not reconcile the USD balance. </w:t>
      </w:r>
    </w:p>
    <w:p w14:paraId="68D6AE05" w14:textId="77777777" w:rsidR="00B55A22" w:rsidRPr="0008326F" w:rsidRDefault="00B55A22" w:rsidP="00B55A22">
      <w:pPr>
        <w:spacing w:before="100" w:beforeAutospacing="1" w:after="100" w:afterAutospacing="1" w:line="240" w:lineRule="auto"/>
        <w:jc w:val="both"/>
        <w:rPr>
          <w:rFonts w:eastAsia="Times New Roman" w:cs="Arial"/>
          <w:b/>
          <w:i/>
        </w:rPr>
      </w:pPr>
      <w:r w:rsidRPr="0008326F">
        <w:rPr>
          <w:rFonts w:eastAsia="Times New Roman" w:cs="Arial"/>
          <w:b/>
          <w:i/>
        </w:rPr>
        <w:t xml:space="preserve">Caution: The DRR(O) is accountable for the accuracy and consistency of the balances in AAA report, in PCH Register, and in the safe. </w:t>
      </w:r>
    </w:p>
    <w:p w14:paraId="0EDEE7A3" w14:textId="77777777" w:rsidR="00B55A22" w:rsidRPr="0008326F" w:rsidRDefault="00B55A22" w:rsidP="00B55A22">
      <w:pPr>
        <w:spacing w:before="100" w:beforeAutospacing="1" w:after="100" w:afterAutospacing="1" w:line="240" w:lineRule="auto"/>
        <w:rPr>
          <w:rFonts w:eastAsia="Times New Roman" w:cs="Arial"/>
          <w:u w:val="single"/>
        </w:rPr>
      </w:pPr>
      <w:r w:rsidRPr="0008326F">
        <w:rPr>
          <w:rFonts w:eastAsia="Times New Roman" w:cs="Arial"/>
          <w:u w:val="single"/>
        </w:rPr>
        <w:t xml:space="preserve">PCH Monitoring </w:t>
      </w:r>
    </w:p>
    <w:p w14:paraId="18690852" w14:textId="77777777" w:rsidR="00B55A22" w:rsidRPr="0008326F" w:rsidRDefault="00B55A22" w:rsidP="00B55A22">
      <w:pPr>
        <w:pStyle w:val="ListParagraph"/>
        <w:numPr>
          <w:ilvl w:val="2"/>
          <w:numId w:val="23"/>
        </w:numPr>
        <w:spacing w:before="100" w:beforeAutospacing="1" w:after="100" w:afterAutospacing="1" w:line="240" w:lineRule="auto"/>
        <w:ind w:left="360"/>
        <w:jc w:val="both"/>
        <w:rPr>
          <w:rFonts w:eastAsia="Times New Roman" w:cs="Arial"/>
        </w:rPr>
      </w:pPr>
      <w:r w:rsidRPr="0008326F">
        <w:rPr>
          <w:rFonts w:eastAsia="Times New Roman" w:cs="Arial"/>
        </w:rPr>
        <w:t>The Resident Representative is responsible for ensuring routine monitoring, at least monthly, of GL Account 16107 for data quality and completeness. CO compliance with the Guidelines and Procedures should ensure:</w:t>
      </w:r>
    </w:p>
    <w:p w14:paraId="1070FCCC" w14:textId="77777777" w:rsidR="00B55A22" w:rsidRPr="0008326F" w:rsidRDefault="00B55A22" w:rsidP="00B55A22">
      <w:pPr>
        <w:pStyle w:val="ListParagraph"/>
        <w:spacing w:before="100" w:beforeAutospacing="1" w:after="100" w:afterAutospacing="1" w:line="240" w:lineRule="auto"/>
        <w:ind w:left="360"/>
        <w:jc w:val="both"/>
        <w:rPr>
          <w:rFonts w:eastAsia="Times New Roman" w:cs="Arial"/>
        </w:rPr>
      </w:pPr>
      <w:r w:rsidRPr="0008326F">
        <w:rPr>
          <w:rFonts w:eastAsia="Times New Roman" w:cs="Arial"/>
        </w:rPr>
        <w:t xml:space="preserve"> </w:t>
      </w:r>
    </w:p>
    <w:p w14:paraId="599ECAC4" w14:textId="77777777" w:rsidR="00B55A22" w:rsidRPr="0008326F" w:rsidRDefault="00B55A22" w:rsidP="00B55A22">
      <w:pPr>
        <w:pStyle w:val="ListParagraph"/>
        <w:numPr>
          <w:ilvl w:val="0"/>
          <w:numId w:val="29"/>
        </w:numPr>
        <w:spacing w:before="100" w:beforeAutospacing="1" w:after="100" w:afterAutospacing="1" w:line="240" w:lineRule="auto"/>
        <w:ind w:left="1080"/>
        <w:rPr>
          <w:rFonts w:eastAsia="Times New Roman" w:cs="Arial"/>
        </w:rPr>
      </w:pPr>
      <w:r w:rsidRPr="0008326F">
        <w:rPr>
          <w:rFonts w:eastAsia="Times New Roman" w:cs="Arial"/>
        </w:rPr>
        <w:t xml:space="preserve">The PCH level not to exceed the authorized level at any time. </w:t>
      </w:r>
    </w:p>
    <w:p w14:paraId="3BD5A4EF" w14:textId="77777777" w:rsidR="00B55A22" w:rsidRPr="0008326F" w:rsidRDefault="00B55A22" w:rsidP="00B55A22">
      <w:pPr>
        <w:pStyle w:val="ListParagraph"/>
        <w:numPr>
          <w:ilvl w:val="0"/>
          <w:numId w:val="29"/>
        </w:numPr>
        <w:spacing w:before="100" w:beforeAutospacing="1" w:after="100" w:afterAutospacing="1" w:line="240" w:lineRule="auto"/>
        <w:ind w:left="1080"/>
        <w:rPr>
          <w:rFonts w:eastAsia="Times New Roman" w:cs="Arial"/>
        </w:rPr>
      </w:pPr>
      <w:r w:rsidRPr="0008326F">
        <w:rPr>
          <w:rFonts w:eastAsia="Times New Roman" w:cs="Arial"/>
        </w:rPr>
        <w:t xml:space="preserve">Expenses are recorded on a monthly basis or at each replenishment period. </w:t>
      </w:r>
    </w:p>
    <w:p w14:paraId="0E25359A" w14:textId="77777777" w:rsidR="00B55A22" w:rsidRPr="0008326F" w:rsidRDefault="00B55A22" w:rsidP="00B55A22">
      <w:pPr>
        <w:pStyle w:val="ListParagraph"/>
        <w:numPr>
          <w:ilvl w:val="0"/>
          <w:numId w:val="29"/>
        </w:numPr>
        <w:spacing w:before="100" w:beforeAutospacing="1" w:after="100" w:afterAutospacing="1" w:line="240" w:lineRule="auto"/>
        <w:ind w:left="1080"/>
        <w:rPr>
          <w:rFonts w:eastAsia="Times New Roman" w:cs="Arial"/>
        </w:rPr>
      </w:pPr>
      <w:r w:rsidRPr="0008326F">
        <w:rPr>
          <w:rFonts w:eastAsia="Times New Roman" w:cs="Arial"/>
        </w:rPr>
        <w:t xml:space="preserve">No GLJE is used. </w:t>
      </w:r>
    </w:p>
    <w:p w14:paraId="44860114" w14:textId="77777777" w:rsidR="00B55A22" w:rsidRPr="0008326F" w:rsidRDefault="00B55A22" w:rsidP="00B55A22">
      <w:pPr>
        <w:pStyle w:val="ListParagraph"/>
        <w:numPr>
          <w:ilvl w:val="0"/>
          <w:numId w:val="29"/>
        </w:numPr>
        <w:spacing w:before="100" w:beforeAutospacing="1" w:after="100" w:afterAutospacing="1" w:line="240" w:lineRule="auto"/>
        <w:ind w:left="1080"/>
        <w:rPr>
          <w:rFonts w:eastAsia="Times New Roman" w:cs="Arial"/>
        </w:rPr>
      </w:pPr>
      <w:r w:rsidRPr="0008326F">
        <w:rPr>
          <w:rFonts w:eastAsia="Times New Roman" w:cs="Arial"/>
        </w:rPr>
        <w:t xml:space="preserve">All transactions recorded are in the currency for which the initial PCH balance is established. </w:t>
      </w:r>
    </w:p>
    <w:p w14:paraId="63E43594" w14:textId="77777777" w:rsidR="00B55A22" w:rsidRPr="0008326F" w:rsidRDefault="00B55A22" w:rsidP="00B55A22">
      <w:pPr>
        <w:pStyle w:val="ListParagraph"/>
        <w:numPr>
          <w:ilvl w:val="0"/>
          <w:numId w:val="29"/>
        </w:numPr>
        <w:spacing w:before="100" w:beforeAutospacing="1" w:after="100" w:afterAutospacing="1" w:line="240" w:lineRule="auto"/>
        <w:ind w:left="1080"/>
        <w:rPr>
          <w:rFonts w:eastAsia="Times New Roman" w:cs="Arial"/>
        </w:rPr>
      </w:pPr>
      <w:r w:rsidRPr="0008326F">
        <w:rPr>
          <w:rFonts w:eastAsia="Times New Roman" w:cs="Arial"/>
        </w:rPr>
        <w:t xml:space="preserve">At 31 December, balance in GL 16107 in local currency is zero. </w:t>
      </w:r>
    </w:p>
    <w:p w14:paraId="3AB60501" w14:textId="74178EBD" w:rsidR="001742D0" w:rsidRPr="00B55A22" w:rsidRDefault="00B55A22" w:rsidP="00B55A22">
      <w:pPr>
        <w:pStyle w:val="NormalWeb"/>
        <w:jc w:val="both"/>
        <w:rPr>
          <w:rFonts w:asciiTheme="minorHAnsi" w:hAnsiTheme="minorHAnsi" w:cs="Arial"/>
          <w:b/>
          <w:i/>
          <w:sz w:val="22"/>
          <w:szCs w:val="22"/>
        </w:rPr>
      </w:pPr>
      <w:r w:rsidRPr="0008326F">
        <w:rPr>
          <w:rFonts w:asciiTheme="minorHAnsi" w:hAnsiTheme="minorHAnsi" w:cs="Arial"/>
          <w:b/>
          <w:i/>
          <w:sz w:val="22"/>
          <w:szCs w:val="22"/>
        </w:rPr>
        <w:t xml:space="preserve">Caution: Strictly following the procedures are critically important to ensure UNDP cash assets are accounted for timely and accurately. </w:t>
      </w:r>
    </w:p>
    <w:sectPr w:rsidR="001742D0" w:rsidRPr="00B55A2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7EC56" w14:textId="77777777" w:rsidR="00956819" w:rsidRDefault="00956819" w:rsidP="0077038C">
      <w:pPr>
        <w:spacing w:after="0" w:line="240" w:lineRule="auto"/>
      </w:pPr>
      <w:r>
        <w:separator/>
      </w:r>
    </w:p>
  </w:endnote>
  <w:endnote w:type="continuationSeparator" w:id="0">
    <w:p w14:paraId="40AEA0A9" w14:textId="77777777" w:rsidR="00956819" w:rsidRDefault="00956819" w:rsidP="0077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7544" w14:textId="77777777" w:rsidR="004D2D70" w:rsidRDefault="004D2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9EE1" w14:textId="329B2F2C" w:rsidR="0077038C" w:rsidRDefault="00BC4E64">
    <w:pPr>
      <w:pStyle w:val="Footer"/>
    </w:pPr>
    <w:r>
      <w:t xml:space="preserve">Page </w:t>
    </w:r>
    <w:r>
      <w:rPr>
        <w:b/>
      </w:rPr>
      <w:fldChar w:fldCharType="begin"/>
    </w:r>
    <w:r>
      <w:rPr>
        <w:b/>
      </w:rPr>
      <w:instrText xml:space="preserve"> PAGE  \* Arabic  \* MERGEFORMAT </w:instrText>
    </w:r>
    <w:r>
      <w:rPr>
        <w:b/>
      </w:rPr>
      <w:fldChar w:fldCharType="separate"/>
    </w:r>
    <w:r w:rsidR="00D5254E">
      <w:rPr>
        <w:b/>
        <w:noProof/>
      </w:rPr>
      <w:t>7</w:t>
    </w:r>
    <w:r>
      <w:rPr>
        <w:b/>
      </w:rPr>
      <w:fldChar w:fldCharType="end"/>
    </w:r>
    <w:r>
      <w:t xml:space="preserve"> of </w:t>
    </w:r>
    <w:r>
      <w:rPr>
        <w:b/>
      </w:rPr>
      <w:fldChar w:fldCharType="begin"/>
    </w:r>
    <w:r>
      <w:rPr>
        <w:b/>
      </w:rPr>
      <w:instrText xml:space="preserve"> NUMPAGES  \* Arabic  \* MERGEFORMAT </w:instrText>
    </w:r>
    <w:r>
      <w:rPr>
        <w:b/>
      </w:rPr>
      <w:fldChar w:fldCharType="separate"/>
    </w:r>
    <w:r w:rsidR="00D5254E">
      <w:rPr>
        <w:b/>
        <w:noProof/>
      </w:rPr>
      <w:t>7</w:t>
    </w:r>
    <w:r>
      <w:rPr>
        <w:b/>
      </w:rPr>
      <w:fldChar w:fldCharType="end"/>
    </w:r>
    <w:r>
      <w:ptab w:relativeTo="margin" w:alignment="center" w:leader="none"/>
    </w:r>
    <w:r w:rsidRPr="00BC4E64">
      <w:t>Effective Date:</w:t>
    </w:r>
    <w:r>
      <w:t xml:space="preserve"> </w:t>
    </w:r>
    <w:r w:rsidR="004026CB" w:rsidRPr="004026CB">
      <w:t>30/04/2021</w:t>
    </w:r>
    <w:r w:rsidR="004026CB" w:rsidRPr="004026CB">
      <w:t xml:space="preserve"> </w:t>
    </w:r>
    <w:r>
      <w:ptab w:relativeTo="margin" w:alignment="right" w:leader="none"/>
    </w:r>
    <w:r w:rsidRPr="00BC4E64">
      <w:t>Version #:</w:t>
    </w:r>
    <w:r>
      <w:t xml:space="preserve"> </w:t>
    </w:r>
    <w:sdt>
      <w:sdtPr>
        <w:alias w:val="POPPRefItemVersion"/>
        <w:tag w:val="UNDP_POPP_REFITEM_VERSION"/>
        <w:id w:val="1720084542"/>
        <w:placeholder>
          <w:docPart w:val="E3B0E86933694CA5A432155C71599BC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129FFFF-EE90-4017-B69A-7ACC9DC31411}"/>
        <w:text/>
      </w:sdtPr>
      <w:sdtContent>
        <w:r w:rsidR="004026CB">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1CBF4" w14:textId="77777777" w:rsidR="004D2D70" w:rsidRDefault="004D2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585A6" w14:textId="77777777" w:rsidR="00956819" w:rsidRDefault="00956819" w:rsidP="0077038C">
      <w:pPr>
        <w:spacing w:after="0" w:line="240" w:lineRule="auto"/>
      </w:pPr>
      <w:r>
        <w:separator/>
      </w:r>
    </w:p>
  </w:footnote>
  <w:footnote w:type="continuationSeparator" w:id="0">
    <w:p w14:paraId="03E7BB78" w14:textId="77777777" w:rsidR="00956819" w:rsidRDefault="00956819" w:rsidP="00770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6D3BA" w14:textId="77777777" w:rsidR="004D2D70" w:rsidRDefault="004D2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5E5B4" w14:textId="0CF13DA7" w:rsidR="00030EB3" w:rsidRDefault="00030EB3" w:rsidP="00030EB3">
    <w:pPr>
      <w:pStyle w:val="Header"/>
      <w:jc w:val="right"/>
    </w:pPr>
    <w:r>
      <w:rPr>
        <w:noProof/>
      </w:rPr>
      <w:drawing>
        <wp:inline distT="0" distB="0" distL="0" distR="0" wp14:anchorId="5E27DE46" wp14:editId="13AD5D54">
          <wp:extent cx="299022" cy="589376"/>
          <wp:effectExtent l="0" t="0" r="635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t="1" r="1877" b="13924"/>
                  <a:stretch/>
                </pic:blipFill>
                <pic:spPr bwMode="auto">
                  <a:xfrm>
                    <a:off x="0" y="0"/>
                    <a:ext cx="303508" cy="598218"/>
                  </a:xfrm>
                  <a:prstGeom prst="rect">
                    <a:avLst/>
                  </a:prstGeom>
                  <a:ln>
                    <a:noFill/>
                  </a:ln>
                  <a:extLst>
                    <a:ext uri="{53640926-AAD7-44D8-BBD7-CCE9431645EC}">
                      <a14:shadowObscured xmlns:a14="http://schemas.microsoft.com/office/drawing/2010/main"/>
                    </a:ext>
                  </a:extLst>
                </pic:spPr>
              </pic:pic>
            </a:graphicData>
          </a:graphic>
        </wp:inline>
      </w:drawing>
    </w:r>
  </w:p>
  <w:p w14:paraId="06479480" w14:textId="77777777" w:rsidR="00030EB3" w:rsidRDefault="00030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1D02A" w14:textId="77777777" w:rsidR="004D2D70" w:rsidRDefault="004D2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3DAC"/>
    <w:multiLevelType w:val="hybridMultilevel"/>
    <w:tmpl w:val="3B2EBB30"/>
    <w:lvl w:ilvl="0" w:tplc="C774459E">
      <w:start w:val="1"/>
      <w:numFmt w:val="lowerRoman"/>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5016F6">
      <w:start w:val="1"/>
      <w:numFmt w:val="lowerLetter"/>
      <w:lvlText w:val="%2"/>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DC6DAC">
      <w:start w:val="1"/>
      <w:numFmt w:val="lowerRoman"/>
      <w:lvlText w:val="%3"/>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CEB60">
      <w:start w:val="1"/>
      <w:numFmt w:val="decimal"/>
      <w:lvlText w:val="%4"/>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28BC66">
      <w:start w:val="1"/>
      <w:numFmt w:val="lowerLetter"/>
      <w:lvlText w:val="%5"/>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3ED850">
      <w:start w:val="1"/>
      <w:numFmt w:val="lowerRoman"/>
      <w:lvlText w:val="%6"/>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52588C">
      <w:start w:val="1"/>
      <w:numFmt w:val="decimal"/>
      <w:lvlText w:val="%7"/>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CA4164">
      <w:start w:val="1"/>
      <w:numFmt w:val="lowerLetter"/>
      <w:lvlText w:val="%8"/>
      <w:lvlJc w:val="left"/>
      <w:pPr>
        <w:ind w:left="6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4E7EBA">
      <w:start w:val="1"/>
      <w:numFmt w:val="lowerRoman"/>
      <w:lvlText w:val="%9"/>
      <w:lvlJc w:val="left"/>
      <w:pPr>
        <w:ind w:left="7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573BA2"/>
    <w:multiLevelType w:val="hybridMultilevel"/>
    <w:tmpl w:val="E85A81F2"/>
    <w:lvl w:ilvl="0" w:tplc="04090019">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49A6"/>
    <w:multiLevelType w:val="hybridMultilevel"/>
    <w:tmpl w:val="443412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041927"/>
    <w:multiLevelType w:val="hybridMultilevel"/>
    <w:tmpl w:val="4E6E357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4A56AE"/>
    <w:multiLevelType w:val="hybridMultilevel"/>
    <w:tmpl w:val="D73479DC"/>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317E5"/>
    <w:multiLevelType w:val="hybridMultilevel"/>
    <w:tmpl w:val="A928F3B8"/>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FF0BA6"/>
    <w:multiLevelType w:val="hybridMultilevel"/>
    <w:tmpl w:val="6B449F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5646714">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86A95"/>
    <w:multiLevelType w:val="hybridMultilevel"/>
    <w:tmpl w:val="582AA2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624D91"/>
    <w:multiLevelType w:val="hybridMultilevel"/>
    <w:tmpl w:val="168EA1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5F475A"/>
    <w:multiLevelType w:val="hybridMultilevel"/>
    <w:tmpl w:val="0608B41A"/>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6451F"/>
    <w:multiLevelType w:val="hybridMultilevel"/>
    <w:tmpl w:val="E6DE59CA"/>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74367"/>
    <w:multiLevelType w:val="hybridMultilevel"/>
    <w:tmpl w:val="10F26416"/>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6632D3"/>
    <w:multiLevelType w:val="hybridMultilevel"/>
    <w:tmpl w:val="2340BC70"/>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227AF"/>
    <w:multiLevelType w:val="hybridMultilevel"/>
    <w:tmpl w:val="256CF72A"/>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12F81"/>
    <w:multiLevelType w:val="hybridMultilevel"/>
    <w:tmpl w:val="5A666072"/>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C3815"/>
    <w:multiLevelType w:val="hybridMultilevel"/>
    <w:tmpl w:val="635415D2"/>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82734"/>
    <w:multiLevelType w:val="hybridMultilevel"/>
    <w:tmpl w:val="BCD01DB6"/>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030BED"/>
    <w:multiLevelType w:val="hybridMultilevel"/>
    <w:tmpl w:val="51AE149E"/>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783913"/>
    <w:multiLevelType w:val="hybridMultilevel"/>
    <w:tmpl w:val="CC54524C"/>
    <w:lvl w:ilvl="0" w:tplc="3B242D80">
      <w:start w:val="1"/>
      <w:numFmt w:val="lowerLetter"/>
      <w:lvlText w:val="%1."/>
      <w:lvlJc w:val="left"/>
      <w:pPr>
        <w:ind w:left="720" w:hanging="360"/>
      </w:pPr>
      <w:rPr>
        <w:rFonts w:hint="default"/>
      </w:rPr>
    </w:lvl>
    <w:lvl w:ilvl="1" w:tplc="DDD269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C2988"/>
    <w:multiLevelType w:val="hybridMultilevel"/>
    <w:tmpl w:val="72C8CC8C"/>
    <w:lvl w:ilvl="0" w:tplc="0409000F">
      <w:start w:val="1"/>
      <w:numFmt w:val="decimal"/>
      <w:lvlText w:val="%1."/>
      <w:lvlJc w:val="left"/>
      <w:pPr>
        <w:ind w:left="720" w:hanging="360"/>
      </w:pPr>
      <w:rPr>
        <w:rFonts w:hint="default"/>
      </w:rPr>
    </w:lvl>
    <w:lvl w:ilvl="1" w:tplc="AECC4D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C1786"/>
    <w:multiLevelType w:val="hybridMultilevel"/>
    <w:tmpl w:val="4C106E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9E3916"/>
    <w:multiLevelType w:val="hybridMultilevel"/>
    <w:tmpl w:val="AEFCAF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9047A6"/>
    <w:multiLevelType w:val="hybridMultilevel"/>
    <w:tmpl w:val="6B2AA172"/>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C6400"/>
    <w:multiLevelType w:val="multilevel"/>
    <w:tmpl w:val="50E024A2"/>
    <w:styleLink w:val="tat"/>
    <w:lvl w:ilvl="0">
      <w:start w:val="1"/>
      <w:numFmt w:val="bullet"/>
      <w:lvlText w:val=""/>
      <w:lvlJc w:val="left"/>
      <w:pPr>
        <w:tabs>
          <w:tab w:val="num" w:pos="822"/>
        </w:tabs>
        <w:ind w:left="397" w:hanging="397"/>
      </w:pPr>
      <w:rPr>
        <w:rFonts w:ascii="Wingdings" w:hAnsi="Wingdings" w:hint="default"/>
      </w:rPr>
    </w:lvl>
    <w:lvl w:ilvl="1">
      <w:start w:val="1"/>
      <w:numFmt w:val="bullet"/>
      <w:lvlText w:val=""/>
      <w:lvlJc w:val="left"/>
      <w:pPr>
        <w:tabs>
          <w:tab w:val="num" w:pos="900"/>
        </w:tabs>
        <w:ind w:left="900" w:hanging="360"/>
      </w:pPr>
      <w:rPr>
        <w:rFonts w:ascii="Wingdings" w:hAnsi="Wingdings"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7D73EA2"/>
    <w:multiLevelType w:val="hybridMultilevel"/>
    <w:tmpl w:val="28E43FCE"/>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B375C7"/>
    <w:multiLevelType w:val="hybridMultilevel"/>
    <w:tmpl w:val="F0522C0E"/>
    <w:lvl w:ilvl="0" w:tplc="AD96000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F6E46"/>
    <w:multiLevelType w:val="hybridMultilevel"/>
    <w:tmpl w:val="A84884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0155D4"/>
    <w:multiLevelType w:val="hybridMultilevel"/>
    <w:tmpl w:val="E1CCF836"/>
    <w:lvl w:ilvl="0" w:tplc="04090017">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75466">
    <w:abstractNumId w:val="23"/>
  </w:num>
  <w:num w:numId="2" w16cid:durableId="329456176">
    <w:abstractNumId w:val="23"/>
  </w:num>
  <w:num w:numId="3" w16cid:durableId="252013697">
    <w:abstractNumId w:val="25"/>
  </w:num>
  <w:num w:numId="4" w16cid:durableId="914897146">
    <w:abstractNumId w:val="27"/>
  </w:num>
  <w:num w:numId="5" w16cid:durableId="1477914384">
    <w:abstractNumId w:val="15"/>
  </w:num>
  <w:num w:numId="6" w16cid:durableId="1902981354">
    <w:abstractNumId w:val="12"/>
  </w:num>
  <w:num w:numId="7" w16cid:durableId="1270895805">
    <w:abstractNumId w:val="24"/>
  </w:num>
  <w:num w:numId="8" w16cid:durableId="1983659219">
    <w:abstractNumId w:val="11"/>
  </w:num>
  <w:num w:numId="9" w16cid:durableId="1232928782">
    <w:abstractNumId w:val="14"/>
  </w:num>
  <w:num w:numId="10" w16cid:durableId="1805924681">
    <w:abstractNumId w:val="21"/>
  </w:num>
  <w:num w:numId="11" w16cid:durableId="1575706031">
    <w:abstractNumId w:val="0"/>
  </w:num>
  <w:num w:numId="12" w16cid:durableId="1751349571">
    <w:abstractNumId w:val="3"/>
  </w:num>
  <w:num w:numId="13" w16cid:durableId="1283999272">
    <w:abstractNumId w:val="26"/>
  </w:num>
  <w:num w:numId="14" w16cid:durableId="648242782">
    <w:abstractNumId w:val="13"/>
  </w:num>
  <w:num w:numId="15" w16cid:durableId="43718136">
    <w:abstractNumId w:val="1"/>
  </w:num>
  <w:num w:numId="16" w16cid:durableId="1507675785">
    <w:abstractNumId w:val="8"/>
  </w:num>
  <w:num w:numId="17" w16cid:durableId="1975484274">
    <w:abstractNumId w:val="20"/>
  </w:num>
  <w:num w:numId="18" w16cid:durableId="1418286223">
    <w:abstractNumId w:val="7"/>
  </w:num>
  <w:num w:numId="19" w16cid:durableId="1411610949">
    <w:abstractNumId w:val="5"/>
  </w:num>
  <w:num w:numId="20" w16cid:durableId="1775317853">
    <w:abstractNumId w:val="2"/>
  </w:num>
  <w:num w:numId="21" w16cid:durableId="607665819">
    <w:abstractNumId w:val="17"/>
  </w:num>
  <w:num w:numId="22" w16cid:durableId="1850294760">
    <w:abstractNumId w:val="19"/>
  </w:num>
  <w:num w:numId="23" w16cid:durableId="475608606">
    <w:abstractNumId w:val="6"/>
  </w:num>
  <w:num w:numId="24" w16cid:durableId="1781102976">
    <w:abstractNumId w:val="10"/>
  </w:num>
  <w:num w:numId="25" w16cid:durableId="312027392">
    <w:abstractNumId w:val="4"/>
  </w:num>
  <w:num w:numId="26" w16cid:durableId="800998537">
    <w:abstractNumId w:val="9"/>
  </w:num>
  <w:num w:numId="27" w16cid:durableId="1586106938">
    <w:abstractNumId w:val="18"/>
  </w:num>
  <w:num w:numId="28" w16cid:durableId="1283464853">
    <w:abstractNumId w:val="16"/>
  </w:num>
  <w:num w:numId="29" w16cid:durableId="2641905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98"/>
    <w:rsid w:val="00030EB3"/>
    <w:rsid w:val="0008326F"/>
    <w:rsid w:val="000A7F27"/>
    <w:rsid w:val="00100D64"/>
    <w:rsid w:val="001742D0"/>
    <w:rsid w:val="00177A83"/>
    <w:rsid w:val="002317A7"/>
    <w:rsid w:val="0023467F"/>
    <w:rsid w:val="00287464"/>
    <w:rsid w:val="00303256"/>
    <w:rsid w:val="003D074A"/>
    <w:rsid w:val="00400CE6"/>
    <w:rsid w:val="004026CB"/>
    <w:rsid w:val="00443509"/>
    <w:rsid w:val="00473520"/>
    <w:rsid w:val="00477FF8"/>
    <w:rsid w:val="004D2D70"/>
    <w:rsid w:val="004D4512"/>
    <w:rsid w:val="00542DED"/>
    <w:rsid w:val="0055188A"/>
    <w:rsid w:val="00557B54"/>
    <w:rsid w:val="00572E84"/>
    <w:rsid w:val="005821CD"/>
    <w:rsid w:val="005D6086"/>
    <w:rsid w:val="00635DA2"/>
    <w:rsid w:val="00652994"/>
    <w:rsid w:val="0077038C"/>
    <w:rsid w:val="007940AF"/>
    <w:rsid w:val="008C0DFB"/>
    <w:rsid w:val="00953F64"/>
    <w:rsid w:val="00956819"/>
    <w:rsid w:val="0097094B"/>
    <w:rsid w:val="00A51F5A"/>
    <w:rsid w:val="00B00C6C"/>
    <w:rsid w:val="00B14CE8"/>
    <w:rsid w:val="00B53233"/>
    <w:rsid w:val="00B55A22"/>
    <w:rsid w:val="00BC4E64"/>
    <w:rsid w:val="00BE4FD3"/>
    <w:rsid w:val="00C85A8B"/>
    <w:rsid w:val="00CC14B3"/>
    <w:rsid w:val="00CD6185"/>
    <w:rsid w:val="00D5254E"/>
    <w:rsid w:val="00D55108"/>
    <w:rsid w:val="00D87353"/>
    <w:rsid w:val="00DD3E98"/>
    <w:rsid w:val="00E32E1C"/>
    <w:rsid w:val="00EF640A"/>
    <w:rsid w:val="00F05F8A"/>
    <w:rsid w:val="00F43EDF"/>
    <w:rsid w:val="00F85CD6"/>
    <w:rsid w:val="0D18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0DFB9"/>
  <w15:docId w15:val="{4B7887CF-EC93-4501-91C3-7CC4A446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t">
    <w:name w:val="tat"/>
    <w:uiPriority w:val="99"/>
    <w:rsid w:val="0055188A"/>
    <w:pPr>
      <w:numPr>
        <w:numId w:val="1"/>
      </w:numPr>
    </w:pPr>
  </w:style>
  <w:style w:type="paragraph" w:styleId="Header">
    <w:name w:val="header"/>
    <w:basedOn w:val="Normal"/>
    <w:link w:val="HeaderChar"/>
    <w:uiPriority w:val="99"/>
    <w:unhideWhenUsed/>
    <w:rsid w:val="0077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38C"/>
  </w:style>
  <w:style w:type="paragraph" w:styleId="Footer">
    <w:name w:val="footer"/>
    <w:basedOn w:val="Normal"/>
    <w:link w:val="FooterChar"/>
    <w:uiPriority w:val="99"/>
    <w:unhideWhenUsed/>
    <w:rsid w:val="0077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38C"/>
  </w:style>
  <w:style w:type="paragraph" w:styleId="ListParagraph">
    <w:name w:val="List Paragraph"/>
    <w:basedOn w:val="Normal"/>
    <w:uiPriority w:val="34"/>
    <w:qFormat/>
    <w:rsid w:val="0077038C"/>
    <w:pPr>
      <w:ind w:left="720"/>
      <w:contextualSpacing/>
    </w:pPr>
  </w:style>
  <w:style w:type="table" w:customStyle="1" w:styleId="TableGrid">
    <w:name w:val="TableGrid"/>
    <w:rsid w:val="0097094B"/>
    <w:pPr>
      <w:spacing w:after="0" w:line="240" w:lineRule="auto"/>
    </w:pPr>
    <w:rPr>
      <w:rFonts w:eastAsiaTheme="minorEastAsia"/>
      <w:lang w:eastAsia="ja-JP"/>
    </w:rPr>
    <w:tblPr>
      <w:tblCellMar>
        <w:top w:w="0" w:type="dxa"/>
        <w:left w:w="0" w:type="dxa"/>
        <w:bottom w:w="0" w:type="dxa"/>
        <w:right w:w="0" w:type="dxa"/>
      </w:tblCellMar>
    </w:tblPr>
  </w:style>
  <w:style w:type="character" w:styleId="Hyperlink">
    <w:name w:val="Hyperlink"/>
    <w:basedOn w:val="DefaultParagraphFont"/>
    <w:uiPriority w:val="99"/>
    <w:unhideWhenUsed/>
    <w:rsid w:val="00400CE6"/>
    <w:rPr>
      <w:color w:val="0000FF" w:themeColor="hyperlink"/>
      <w:u w:val="single"/>
    </w:rPr>
  </w:style>
  <w:style w:type="character" w:styleId="FollowedHyperlink">
    <w:name w:val="FollowedHyperlink"/>
    <w:basedOn w:val="DefaultParagraphFont"/>
    <w:uiPriority w:val="99"/>
    <w:semiHidden/>
    <w:unhideWhenUsed/>
    <w:rsid w:val="00400CE6"/>
    <w:rPr>
      <w:color w:val="800080" w:themeColor="followedHyperlink"/>
      <w:u w:val="single"/>
    </w:rPr>
  </w:style>
  <w:style w:type="character" w:styleId="PlaceholderText">
    <w:name w:val="Placeholder Text"/>
    <w:basedOn w:val="DefaultParagraphFont"/>
    <w:uiPriority w:val="99"/>
    <w:semiHidden/>
    <w:rsid w:val="00030EB3"/>
    <w:rPr>
      <w:color w:val="808080"/>
    </w:rPr>
  </w:style>
  <w:style w:type="paragraph" w:styleId="BalloonText">
    <w:name w:val="Balloon Text"/>
    <w:basedOn w:val="Normal"/>
    <w:link w:val="BalloonTextChar"/>
    <w:uiPriority w:val="99"/>
    <w:semiHidden/>
    <w:unhideWhenUsed/>
    <w:rsid w:val="00BC4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E64"/>
    <w:rPr>
      <w:rFonts w:ascii="Tahoma" w:hAnsi="Tahoma" w:cs="Tahoma"/>
      <w:sz w:val="16"/>
      <w:szCs w:val="16"/>
    </w:rPr>
  </w:style>
  <w:style w:type="paragraph" w:styleId="NormalWeb">
    <w:name w:val="Normal (Web)"/>
    <w:basedOn w:val="Normal"/>
    <w:uiPriority w:val="99"/>
    <w:unhideWhenUsed/>
    <w:rsid w:val="005821C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57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node/1170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B0E86933694CA5A432155C71599BC2"/>
        <w:category>
          <w:name w:val="General"/>
          <w:gallery w:val="placeholder"/>
        </w:category>
        <w:types>
          <w:type w:val="bbPlcHdr"/>
        </w:types>
        <w:behaviors>
          <w:behavior w:val="content"/>
        </w:behaviors>
        <w:guid w:val="{A0EFF331-2766-499E-B796-5F16D76E9432}"/>
      </w:docPartPr>
      <w:docPartBody>
        <w:p w:rsidR="00235C14" w:rsidRDefault="00545D78">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25B"/>
    <w:rsid w:val="0014125B"/>
    <w:rsid w:val="00235C14"/>
    <w:rsid w:val="00340EDE"/>
    <w:rsid w:val="003A20DC"/>
    <w:rsid w:val="00545D78"/>
    <w:rsid w:val="005D2A5F"/>
    <w:rsid w:val="00635DA2"/>
    <w:rsid w:val="007E0D86"/>
    <w:rsid w:val="00B4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0301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7</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Project Cash on Hand for DIM Projects (PCH)</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2023-04-30T22:00:00+00:00</UNDP_POPP_PLANNED_REVIEWDATE>
    <UNDP_POPP_LASTMODIFIED xmlns="8264c5cc-ec60-4b56-8111-ce635d3d139a" xsi:nil="true"/>
    <UNDP_POPP_REJECT_COMMENTS xmlns="8264c5cc-ec60-4b56-8111-ce635d3d139a" xsi:nil="true"/>
    <DLCPolicyLabelValue xmlns="e560140e-7b2f-4392-90df-e7567e3021a3">Effective Date: 30/04/2021                                                Version #: 7</DLCPolicyLabelValue>
    <UNDP_POPP_EFFECTIVEDATE xmlns="8264c5cc-ec60-4b56-8111-ce635d3d139a">2021-04-29T22:00:00+00:00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POPP-11-2034</_dlc_DocId>
    <_dlc_DocIdUrl xmlns="8264c5cc-ec60-4b56-8111-ce635d3d139a">
      <Url>https://popp.undp.org/_layouts/15/DocIdRedir.aspx?ID=POPP-11-2034</Url>
      <Description>POPP-11-2034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C963B-6FE7-498B-80AB-DAC55E4CC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DAEF5-132E-4DAC-A9C8-BD3B52313C43}">
  <ds:schemaRefs>
    <ds:schemaRef ds:uri="office.server.policy"/>
  </ds:schemaRefs>
</ds:datastoreItem>
</file>

<file path=customXml/itemProps3.xml><?xml version="1.0" encoding="utf-8"?>
<ds:datastoreItem xmlns:ds="http://schemas.openxmlformats.org/officeDocument/2006/customXml" ds:itemID="{8129FFFF-EE90-4017-B69A-7ACC9DC3141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836A80E1-4C66-4A2D-AB68-13A5AD96307C}">
  <ds:schemaRefs>
    <ds:schemaRef ds:uri="http://schemas.microsoft.com/sharepoint/events"/>
  </ds:schemaRefs>
</ds:datastoreItem>
</file>

<file path=customXml/itemProps5.xml><?xml version="1.0" encoding="utf-8"?>
<ds:datastoreItem xmlns:ds="http://schemas.openxmlformats.org/officeDocument/2006/customXml" ds:itemID="{8E2A8D19-6A97-4117-BA16-5ADBDCF2A7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Rybarova</dc:creator>
  <cp:lastModifiedBy>Pablo Morete</cp:lastModifiedBy>
  <cp:revision>4</cp:revision>
  <dcterms:created xsi:type="dcterms:W3CDTF">2023-01-07T21:46:00Z</dcterms:created>
  <dcterms:modified xsi:type="dcterms:W3CDTF">2024-09-16T16:02:00Z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350;#Financial Resources Management|682d4c54-a288-412d-bfec-ce5587bbd25c</vt:lpwstr>
  </property>
  <property fmtid="{D5CDD505-2E9C-101B-9397-08002B2CF9AE}" pid="4" name="POPPBusinessProcess">
    <vt:lpwstr/>
  </property>
  <property fmtid="{D5CDD505-2E9C-101B-9397-08002B2CF9AE}" pid="5" name="_dlc_DocIdItemGuid">
    <vt:lpwstr>724a59f0-5108-4499-900a-41c78ff6081a</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