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customXml/itemProps4.xml" ContentType="application/vnd.openxmlformats-officedocument.customXmlProperties+xml"/>
  <Override PartName="/word/glossary/styles.xml" ContentType="application/vnd.openxmlformats-officedocument.wordprocessingml.styl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21C6D" w14:textId="28BDE2FF" w:rsidR="006B48EA" w:rsidRPr="00087778" w:rsidRDefault="00B22536" w:rsidP="000F4815">
      <w:pPr>
        <w:spacing w:after="0" w:line="240" w:lineRule="auto"/>
        <w:ind w:left="0" w:firstLine="0"/>
        <w:contextualSpacing/>
        <w:mirrorIndents/>
        <w:jc w:val="left"/>
        <w:rPr>
          <w:lang w:val="en-GB"/>
        </w:rPr>
      </w:pPr>
      <w:r w:rsidRPr="00087778">
        <w:rPr>
          <w:b/>
          <w:sz w:val="28"/>
          <w:lang w:val="en-GB"/>
        </w:rPr>
        <w:t>E</w:t>
      </w:r>
      <w:r w:rsidR="00E21EC9">
        <w:rPr>
          <w:b/>
          <w:sz w:val="28"/>
          <w:lang w:val="en-GB"/>
        </w:rPr>
        <w:t>U</w:t>
      </w:r>
      <w:r w:rsidRPr="00087778">
        <w:rPr>
          <w:b/>
          <w:sz w:val="28"/>
          <w:lang w:val="en-GB"/>
        </w:rPr>
        <w:t xml:space="preserve"> Reporting  </w:t>
      </w:r>
      <w:r w:rsidRPr="00087778">
        <w:rPr>
          <w:lang w:val="en-GB"/>
        </w:rPr>
        <w:t xml:space="preserve"> </w:t>
      </w:r>
    </w:p>
    <w:p w14:paraId="7ED21C6E" w14:textId="77777777" w:rsidR="00FF11A2" w:rsidRPr="00087778" w:rsidRDefault="00FF11A2" w:rsidP="000F4815">
      <w:pPr>
        <w:spacing w:after="0" w:line="240" w:lineRule="auto"/>
        <w:ind w:left="0" w:firstLine="0"/>
        <w:contextualSpacing/>
        <w:mirrorIndents/>
        <w:jc w:val="left"/>
        <w:rPr>
          <w:lang w:val="en-GB"/>
        </w:rPr>
      </w:pPr>
    </w:p>
    <w:p w14:paraId="7ED21C6F" w14:textId="7185CB8F" w:rsidR="006B48EA" w:rsidRDefault="00B22536" w:rsidP="000F4815">
      <w:pPr>
        <w:numPr>
          <w:ilvl w:val="0"/>
          <w:numId w:val="1"/>
        </w:numPr>
        <w:spacing w:after="0" w:line="240" w:lineRule="auto"/>
        <w:ind w:left="360" w:hanging="360"/>
        <w:contextualSpacing/>
        <w:mirrorIndents/>
        <w:rPr>
          <w:lang w:val="en-GB"/>
        </w:rPr>
      </w:pPr>
      <w:r w:rsidRPr="00087778">
        <w:rPr>
          <w:lang w:val="en-GB"/>
        </w:rPr>
        <w:t>Th</w:t>
      </w:r>
      <w:hyperlink r:id="rId11">
        <w:r w:rsidRPr="00087778">
          <w:t>e</w:t>
        </w:r>
      </w:hyperlink>
      <w:hyperlink r:id="rId12">
        <w:r w:rsidRPr="00087778">
          <w:t xml:space="preserve"> </w:t>
        </w:r>
      </w:hyperlink>
      <w:hyperlink r:id="rId13">
        <w:r w:rsidRPr="00087778">
          <w:rPr>
            <w:color w:val="0000FF"/>
            <w:u w:val="single" w:color="0000FF"/>
            <w:lang w:val="en-GB"/>
          </w:rPr>
          <w:t>Financial and Administrative Framework Agreemen</w:t>
        </w:r>
      </w:hyperlink>
      <w:hyperlink r:id="rId14">
        <w:r w:rsidRPr="009717C0">
          <w:rPr>
            <w:color w:val="0000FF"/>
            <w:u w:val="single" w:color="0000FF"/>
            <w:lang w:val="en-GB"/>
          </w:rPr>
          <w:t>t</w:t>
        </w:r>
      </w:hyperlink>
      <w:hyperlink r:id="rId15">
        <w:r w:rsidRPr="009717C0">
          <w:rPr>
            <w:color w:val="0000FF"/>
            <w:u w:val="single" w:color="0000FF"/>
            <w:lang w:val="en-GB"/>
          </w:rPr>
          <w:t xml:space="preserve"> </w:t>
        </w:r>
      </w:hyperlink>
      <w:hyperlink r:id="rId16">
        <w:r w:rsidRPr="00087778">
          <w:t>(</w:t>
        </w:r>
      </w:hyperlink>
      <w:r w:rsidRPr="00087778">
        <w:rPr>
          <w:lang w:val="en-GB"/>
        </w:rPr>
        <w:t>FAFA) governs our partnership with the European Commission (EC), for the implementation of the European Union (EU) budget. Each EU contribution comes with a contribution-specific agreement signed between UNDP and the EU representatives</w:t>
      </w:r>
      <w:r w:rsidR="001C7562">
        <w:rPr>
          <w:lang w:val="en-GB"/>
        </w:rPr>
        <w:t>.</w:t>
      </w:r>
    </w:p>
    <w:p w14:paraId="752C0F10" w14:textId="77777777" w:rsidR="00B57FA2" w:rsidRDefault="00B57FA2" w:rsidP="00B57FA2">
      <w:pPr>
        <w:spacing w:after="0" w:line="240" w:lineRule="auto"/>
        <w:ind w:left="360" w:firstLine="0"/>
        <w:contextualSpacing/>
        <w:mirrorIndents/>
        <w:rPr>
          <w:lang w:val="en-GB"/>
        </w:rPr>
      </w:pPr>
    </w:p>
    <w:p w14:paraId="3E468363" w14:textId="6D72C9EA" w:rsidR="00CF6E3B" w:rsidRDefault="00662B8E" w:rsidP="00CF6E3B">
      <w:pPr>
        <w:numPr>
          <w:ilvl w:val="0"/>
          <w:numId w:val="1"/>
        </w:numPr>
        <w:spacing w:after="0" w:line="240" w:lineRule="auto"/>
        <w:ind w:left="360" w:hanging="360"/>
        <w:contextualSpacing/>
        <w:mirrorIndents/>
        <w:rPr>
          <w:lang w:val="en-GB"/>
        </w:rPr>
      </w:pPr>
      <w:r>
        <w:rPr>
          <w:lang w:val="en-GB"/>
        </w:rPr>
        <w:t xml:space="preserve">There are </w:t>
      </w:r>
      <w:r w:rsidR="00527466">
        <w:rPr>
          <w:lang w:val="en-GB"/>
        </w:rPr>
        <w:t>different</w:t>
      </w:r>
      <w:r>
        <w:rPr>
          <w:lang w:val="en-GB"/>
        </w:rPr>
        <w:t xml:space="preserve"> EU contract templates in use</w:t>
      </w:r>
      <w:r w:rsidR="00B508B3">
        <w:rPr>
          <w:lang w:val="en-GB"/>
        </w:rPr>
        <w:t xml:space="preserve"> </w:t>
      </w:r>
      <w:r w:rsidR="00164000">
        <w:rPr>
          <w:lang w:val="en-GB"/>
        </w:rPr>
        <w:t>d</w:t>
      </w:r>
      <w:r>
        <w:rPr>
          <w:lang w:val="en-GB"/>
        </w:rPr>
        <w:t>epending on the year of signature and the type of EU funding (development or humanitarian</w:t>
      </w:r>
      <w:r w:rsidR="00164000">
        <w:rPr>
          <w:lang w:val="en-GB"/>
        </w:rPr>
        <w:t xml:space="preserve">). Accordingly, </w:t>
      </w:r>
      <w:r>
        <w:rPr>
          <w:lang w:val="en-GB"/>
        </w:rPr>
        <w:t>the reporting requirements such as reporting currency (US</w:t>
      </w:r>
      <w:r w:rsidR="009B06F5">
        <w:rPr>
          <w:lang w:val="en-GB"/>
        </w:rPr>
        <w:t>$</w:t>
      </w:r>
      <w:r>
        <w:rPr>
          <w:lang w:val="en-GB"/>
        </w:rPr>
        <w:t xml:space="preserve"> or EUR), formats, frequency and timelines may vary:</w:t>
      </w:r>
    </w:p>
    <w:p w14:paraId="3FB5B09D" w14:textId="77777777" w:rsidR="00CF6E3B" w:rsidRDefault="00CF6E3B" w:rsidP="00CF6E3B">
      <w:pPr>
        <w:spacing w:after="0" w:line="240" w:lineRule="auto"/>
        <w:ind w:left="360" w:firstLine="0"/>
        <w:contextualSpacing/>
        <w:mirrorIndents/>
        <w:rPr>
          <w:lang w:val="en-GB"/>
        </w:rPr>
      </w:pPr>
    </w:p>
    <w:p w14:paraId="74815F3D" w14:textId="69DFCFE7" w:rsidR="00D21560" w:rsidRDefault="00CF6E3B" w:rsidP="00E21EC9">
      <w:pPr>
        <w:pStyle w:val="ListParagraph"/>
        <w:spacing w:after="0" w:line="240" w:lineRule="auto"/>
        <w:ind w:left="630" w:firstLine="0"/>
        <w:mirrorIndents/>
        <w:rPr>
          <w:lang w:val="en-GB"/>
        </w:rPr>
      </w:pPr>
      <w:r>
        <w:rPr>
          <w:lang w:val="en-GB"/>
        </w:rPr>
        <w:t xml:space="preserve">i) </w:t>
      </w:r>
      <w:r w:rsidR="00B22536" w:rsidRPr="00CF6E3B">
        <w:rPr>
          <w:lang w:val="en-GB"/>
        </w:rPr>
        <w:t xml:space="preserve">Up to 2013, there was one type of contract </w:t>
      </w:r>
      <w:r w:rsidR="0063341A" w:rsidRPr="00CF6E3B">
        <w:rPr>
          <w:lang w:val="en-GB"/>
        </w:rPr>
        <w:t xml:space="preserve">template </w:t>
      </w:r>
      <w:r w:rsidR="00B22536" w:rsidRPr="00CF6E3B">
        <w:rPr>
          <w:lang w:val="en-GB"/>
        </w:rPr>
        <w:t xml:space="preserve">used for EU contributions </w:t>
      </w:r>
      <w:r w:rsidR="0060244D" w:rsidRPr="00CF6E3B">
        <w:rPr>
          <w:lang w:val="en-GB"/>
        </w:rPr>
        <w:t>channelled</w:t>
      </w:r>
      <w:r w:rsidR="00B22536" w:rsidRPr="00CF6E3B">
        <w:rPr>
          <w:lang w:val="en-GB"/>
        </w:rPr>
        <w:t xml:space="preserve"> through the UN, called the</w:t>
      </w:r>
      <w:r w:rsidR="0063341A" w:rsidRPr="00CF6E3B">
        <w:rPr>
          <w:lang w:val="en-GB"/>
        </w:rPr>
        <w:t xml:space="preserve"> EU</w:t>
      </w:r>
      <w:r w:rsidR="00B22536" w:rsidRPr="00CF6E3B">
        <w:rPr>
          <w:lang w:val="en-GB"/>
        </w:rPr>
        <w:t xml:space="preserve"> Standard Contribution Agreement (SCA</w:t>
      </w:r>
      <w:r w:rsidR="0060244D" w:rsidRPr="00CF6E3B">
        <w:rPr>
          <w:lang w:val="en-GB"/>
        </w:rPr>
        <w:t>)</w:t>
      </w:r>
      <w:r w:rsidR="00B22536" w:rsidRPr="00CF6E3B">
        <w:rPr>
          <w:lang w:val="en-GB"/>
        </w:rPr>
        <w:t xml:space="preserve"> with </w:t>
      </w:r>
      <w:r w:rsidR="009B06F5">
        <w:rPr>
          <w:lang w:val="en-GB"/>
        </w:rPr>
        <w:t>I</w:t>
      </w:r>
      <w:r w:rsidR="00B22536" w:rsidRPr="00CF6E3B">
        <w:rPr>
          <w:lang w:val="en-GB"/>
        </w:rPr>
        <w:t xml:space="preserve">nternational </w:t>
      </w:r>
      <w:r w:rsidR="009B06F5">
        <w:rPr>
          <w:lang w:val="en-GB"/>
        </w:rPr>
        <w:t>O</w:t>
      </w:r>
      <w:r w:rsidR="00B22536" w:rsidRPr="00CF6E3B">
        <w:rPr>
          <w:lang w:val="en-GB"/>
        </w:rPr>
        <w:t xml:space="preserve">rganizations. Since 2013, in addition to this, the use of the EU Grant Contract was introduced. </w:t>
      </w:r>
      <w:r w:rsidR="004F7BD7" w:rsidRPr="00CF6E3B">
        <w:rPr>
          <w:lang w:val="en-GB"/>
        </w:rPr>
        <w:t>In both cases, the currency of the agreement and the financial reporting are set out in EUR.</w:t>
      </w:r>
      <w:r w:rsidR="004F7BD7" w:rsidRPr="00CF6E3B">
        <w:rPr>
          <w:color w:val="333333"/>
          <w:lang w:val="en-GB"/>
        </w:rPr>
        <w:t xml:space="preserve"> </w:t>
      </w:r>
      <w:r w:rsidR="004F7BD7" w:rsidRPr="00CF6E3B">
        <w:rPr>
          <w:lang w:val="en-GB"/>
        </w:rPr>
        <w:t xml:space="preserve"> </w:t>
      </w:r>
      <w:r w:rsidR="00B22536" w:rsidRPr="00CF6E3B">
        <w:rPr>
          <w:lang w:val="en-GB"/>
        </w:rPr>
        <w:t xml:space="preserve"> </w:t>
      </w:r>
      <w:r w:rsidR="00B22536" w:rsidRPr="00CF6E3B">
        <w:rPr>
          <w:color w:val="333333"/>
          <w:lang w:val="en-GB"/>
        </w:rPr>
        <w:t xml:space="preserve"> </w:t>
      </w:r>
      <w:r w:rsidR="00B22536" w:rsidRPr="00CF6E3B">
        <w:rPr>
          <w:lang w:val="en-GB"/>
        </w:rPr>
        <w:t xml:space="preserve"> </w:t>
      </w:r>
    </w:p>
    <w:p w14:paraId="1696AABE" w14:textId="77777777" w:rsidR="00D21560" w:rsidRDefault="00D21560" w:rsidP="00E21EC9">
      <w:pPr>
        <w:pStyle w:val="ListParagraph"/>
        <w:spacing w:after="0" w:line="240" w:lineRule="auto"/>
        <w:ind w:left="630" w:firstLine="0"/>
        <w:mirrorIndents/>
        <w:rPr>
          <w:lang w:val="en-GB"/>
        </w:rPr>
      </w:pPr>
    </w:p>
    <w:p w14:paraId="4480C515" w14:textId="3DBDD326" w:rsidR="00AB06D0" w:rsidRPr="00EE2F54" w:rsidRDefault="00D21560" w:rsidP="00E21EC9">
      <w:pPr>
        <w:pStyle w:val="ListParagraph"/>
        <w:spacing w:after="0" w:line="240" w:lineRule="auto"/>
        <w:ind w:left="630" w:firstLine="0"/>
        <w:mirrorIndents/>
        <w:rPr>
          <w:bCs/>
          <w:lang w:val="en-GB"/>
        </w:rPr>
      </w:pPr>
      <w:r>
        <w:rPr>
          <w:lang w:val="en-GB"/>
        </w:rPr>
        <w:t xml:space="preserve">ii) </w:t>
      </w:r>
      <w:r w:rsidR="00122DFB" w:rsidRPr="00D21560">
        <w:rPr>
          <w:lang w:val="en-GB"/>
        </w:rPr>
        <w:t xml:space="preserve">In </w:t>
      </w:r>
      <w:r w:rsidR="00B22536" w:rsidRPr="00D21560">
        <w:rPr>
          <w:lang w:val="en-GB"/>
        </w:rPr>
        <w:t>2015 the EU Pillar-Assessed Grant or Delegation Agreement (PAGoDA</w:t>
      </w:r>
      <w:r w:rsidR="00FD77A8" w:rsidRPr="00D21560">
        <w:rPr>
          <w:lang w:val="en-GB"/>
        </w:rPr>
        <w:t>-</w:t>
      </w:r>
      <w:r w:rsidR="004365AB" w:rsidRPr="00D21560">
        <w:rPr>
          <w:lang w:val="en-GB"/>
        </w:rPr>
        <w:t>1</w:t>
      </w:r>
      <w:r w:rsidR="00B22536" w:rsidRPr="00D21560">
        <w:rPr>
          <w:lang w:val="en-GB"/>
        </w:rPr>
        <w:t>) template was introduced</w:t>
      </w:r>
      <w:r w:rsidR="009430AF">
        <w:rPr>
          <w:lang w:val="en-GB"/>
        </w:rPr>
        <w:t>.</w:t>
      </w:r>
      <w:r w:rsidR="00B22536" w:rsidRPr="00D21560">
        <w:rPr>
          <w:lang w:val="en-GB"/>
        </w:rPr>
        <w:t xml:space="preserve"> </w:t>
      </w:r>
      <w:r w:rsidR="00350835" w:rsidRPr="00AB06D0">
        <w:rPr>
          <w:lang w:val="en-GB"/>
        </w:rPr>
        <w:t>While it defines the currency of the agreement in EUR, the</w:t>
      </w:r>
      <w:r w:rsidR="00350835" w:rsidRPr="00AB06D0">
        <w:rPr>
          <w:b/>
          <w:lang w:val="en-GB"/>
        </w:rPr>
        <w:t xml:space="preserve"> </w:t>
      </w:r>
      <w:r w:rsidR="00B22536" w:rsidRPr="00EE2F54">
        <w:rPr>
          <w:bCs/>
          <w:lang w:val="en-GB"/>
        </w:rPr>
        <w:t>financial report</w:t>
      </w:r>
      <w:r w:rsidR="00350835" w:rsidRPr="00EE2F54">
        <w:rPr>
          <w:bCs/>
          <w:lang w:val="en-GB"/>
        </w:rPr>
        <w:t xml:space="preserve">ing should be presented in the </w:t>
      </w:r>
      <w:r w:rsidR="00B22536" w:rsidRPr="00EE2F54">
        <w:rPr>
          <w:bCs/>
          <w:lang w:val="en-GB"/>
        </w:rPr>
        <w:t>accounting currency</w:t>
      </w:r>
      <w:r w:rsidR="00AE0202" w:rsidRPr="00EE2F54">
        <w:rPr>
          <w:bCs/>
          <w:lang w:val="en-GB"/>
        </w:rPr>
        <w:t xml:space="preserve"> of the Organisation</w:t>
      </w:r>
      <w:r w:rsidR="00B22536" w:rsidRPr="00EE2F54">
        <w:rPr>
          <w:bCs/>
          <w:lang w:val="en-GB"/>
        </w:rPr>
        <w:t xml:space="preserve"> </w:t>
      </w:r>
      <w:proofErr w:type="gramStart"/>
      <w:r w:rsidR="00B22536" w:rsidRPr="00EE2F54">
        <w:rPr>
          <w:bCs/>
          <w:lang w:val="en-GB"/>
        </w:rPr>
        <w:t>i.e.</w:t>
      </w:r>
      <w:proofErr w:type="gramEnd"/>
      <w:r w:rsidR="00B22536" w:rsidRPr="00EE2F54">
        <w:rPr>
          <w:bCs/>
          <w:lang w:val="en-GB"/>
        </w:rPr>
        <w:t xml:space="preserve"> </w:t>
      </w:r>
      <w:r w:rsidR="00AE0202" w:rsidRPr="00EE2F54">
        <w:rPr>
          <w:bCs/>
          <w:lang w:val="en-GB"/>
        </w:rPr>
        <w:t xml:space="preserve">in case of UNDP in </w:t>
      </w:r>
      <w:r w:rsidR="00B22536" w:rsidRPr="00EE2F54">
        <w:rPr>
          <w:bCs/>
          <w:lang w:val="en-GB"/>
        </w:rPr>
        <w:t>US</w:t>
      </w:r>
      <w:r w:rsidR="00145E3B">
        <w:rPr>
          <w:bCs/>
          <w:lang w:val="en-GB"/>
        </w:rPr>
        <w:t>$</w:t>
      </w:r>
      <w:r w:rsidR="00B22536" w:rsidRPr="00EE2F54">
        <w:rPr>
          <w:bCs/>
          <w:lang w:val="en-GB"/>
        </w:rPr>
        <w:t xml:space="preserve">. </w:t>
      </w:r>
    </w:p>
    <w:p w14:paraId="237F9259" w14:textId="77777777" w:rsidR="00AB06D0" w:rsidRDefault="00AB06D0" w:rsidP="00E21EC9">
      <w:pPr>
        <w:pStyle w:val="ListParagraph"/>
        <w:spacing w:after="0" w:line="240" w:lineRule="auto"/>
        <w:ind w:left="630" w:firstLine="0"/>
        <w:mirrorIndents/>
        <w:rPr>
          <w:lang w:val="en-GB"/>
        </w:rPr>
      </w:pPr>
    </w:p>
    <w:p w14:paraId="7ED21C75" w14:textId="25CD2B79" w:rsidR="006B48EA" w:rsidRDefault="001705F4" w:rsidP="00E21EC9">
      <w:pPr>
        <w:pStyle w:val="ListParagraph"/>
        <w:spacing w:after="0" w:line="240" w:lineRule="auto"/>
        <w:ind w:left="630" w:firstLine="0"/>
        <w:mirrorIndents/>
        <w:rPr>
          <w:lang w:val="en-GB"/>
        </w:rPr>
      </w:pPr>
      <w:r>
        <w:rPr>
          <w:color w:val="333333"/>
          <w:lang w:val="en-GB"/>
        </w:rPr>
        <w:t xml:space="preserve">iii) In 2016 the EU </w:t>
      </w:r>
      <w:r w:rsidR="0081048E">
        <w:rPr>
          <w:color w:val="333333"/>
          <w:lang w:val="en-GB"/>
        </w:rPr>
        <w:t xml:space="preserve">PAGoDA-2 </w:t>
      </w:r>
      <w:r w:rsidR="00BB4CD5">
        <w:rPr>
          <w:color w:val="333333"/>
          <w:lang w:val="en-GB"/>
        </w:rPr>
        <w:t xml:space="preserve">contract </w:t>
      </w:r>
      <w:r w:rsidR="003417A1">
        <w:rPr>
          <w:color w:val="333333"/>
          <w:lang w:val="en-GB"/>
        </w:rPr>
        <w:t xml:space="preserve">template </w:t>
      </w:r>
      <w:r w:rsidR="00BB4CD5">
        <w:rPr>
          <w:color w:val="333333"/>
          <w:lang w:val="en-GB"/>
        </w:rPr>
        <w:t xml:space="preserve">was introduced. It </w:t>
      </w:r>
      <w:r w:rsidR="003417A1">
        <w:rPr>
          <w:lang w:val="en-GB"/>
        </w:rPr>
        <w:t>allow</w:t>
      </w:r>
      <w:r w:rsidR="00BB4CD5">
        <w:rPr>
          <w:lang w:val="en-GB"/>
        </w:rPr>
        <w:t xml:space="preserve">s to define the currency of the agreement either in EUR or in the accounting currency of the Organisation, </w:t>
      </w:r>
      <w:proofErr w:type="gramStart"/>
      <w:r w:rsidR="00BB4CD5">
        <w:rPr>
          <w:lang w:val="en-GB"/>
        </w:rPr>
        <w:t>i.e.</w:t>
      </w:r>
      <w:proofErr w:type="gramEnd"/>
      <w:r w:rsidR="00BB4CD5">
        <w:rPr>
          <w:lang w:val="en-GB"/>
        </w:rPr>
        <w:t xml:space="preserve"> in case of UNDP in US</w:t>
      </w:r>
      <w:r w:rsidR="00145E3B">
        <w:rPr>
          <w:lang w:val="en-GB"/>
        </w:rPr>
        <w:t>$</w:t>
      </w:r>
      <w:r w:rsidR="00BB4CD5">
        <w:rPr>
          <w:lang w:val="en-GB"/>
        </w:rPr>
        <w:t xml:space="preserve">, with the financial reporting to be presented in the </w:t>
      </w:r>
      <w:r w:rsidR="000773E1">
        <w:rPr>
          <w:lang w:val="en-GB"/>
        </w:rPr>
        <w:t xml:space="preserve">currency of the agreement accordingly. </w:t>
      </w:r>
      <w:r w:rsidR="003417A1">
        <w:rPr>
          <w:lang w:val="en-GB"/>
        </w:rPr>
        <w:t xml:space="preserve"> </w:t>
      </w:r>
    </w:p>
    <w:p w14:paraId="6D6E7CD8" w14:textId="42B85937" w:rsidR="00F56DC6" w:rsidRDefault="00F56DC6" w:rsidP="00E21EC9">
      <w:pPr>
        <w:spacing w:after="0" w:line="240" w:lineRule="auto"/>
        <w:ind w:left="630" w:firstLine="0"/>
        <w:contextualSpacing/>
        <w:mirrorIndents/>
        <w:rPr>
          <w:lang w:val="en-GB"/>
        </w:rPr>
      </w:pPr>
    </w:p>
    <w:p w14:paraId="7E77E5B3" w14:textId="40C71C43" w:rsidR="00AB06D0" w:rsidRDefault="00F56DC6" w:rsidP="00E21EC9">
      <w:pPr>
        <w:pStyle w:val="ListParagraph"/>
        <w:spacing w:after="0" w:line="240" w:lineRule="auto"/>
        <w:ind w:left="630" w:firstLine="0"/>
        <w:mirrorIndents/>
        <w:rPr>
          <w:lang w:val="en-GB"/>
        </w:rPr>
      </w:pPr>
      <w:r>
        <w:rPr>
          <w:lang w:val="en-GB"/>
        </w:rPr>
        <w:t xml:space="preserve">iv) </w:t>
      </w:r>
      <w:r w:rsidR="0028258E" w:rsidRPr="000F3511">
        <w:rPr>
          <w:lang w:val="en-GB"/>
        </w:rPr>
        <w:t xml:space="preserve">Since 2019, the </w:t>
      </w:r>
      <w:r w:rsidR="0024362F">
        <w:rPr>
          <w:lang w:val="en-GB"/>
        </w:rPr>
        <w:t xml:space="preserve">EU </w:t>
      </w:r>
      <w:r w:rsidR="0028258E" w:rsidRPr="000F3511">
        <w:rPr>
          <w:lang w:val="en-GB"/>
        </w:rPr>
        <w:t xml:space="preserve">Contribution Agreement (CA) template </w:t>
      </w:r>
      <w:r w:rsidR="0024362F">
        <w:rPr>
          <w:lang w:val="en-GB"/>
        </w:rPr>
        <w:t>was introduced</w:t>
      </w:r>
      <w:r w:rsidR="0028258E">
        <w:rPr>
          <w:lang w:val="en-GB"/>
        </w:rPr>
        <w:t>.</w:t>
      </w:r>
      <w:r w:rsidR="0028258E" w:rsidRPr="000F3511">
        <w:rPr>
          <w:lang w:val="en-GB"/>
        </w:rPr>
        <w:t xml:space="preserve"> </w:t>
      </w:r>
      <w:r w:rsidR="0028258E">
        <w:rPr>
          <w:color w:val="333333"/>
          <w:lang w:val="en-GB"/>
        </w:rPr>
        <w:t>It</w:t>
      </w:r>
      <w:r w:rsidR="0028258E" w:rsidRPr="00D541D3">
        <w:rPr>
          <w:color w:val="333333"/>
          <w:lang w:val="en-GB"/>
        </w:rPr>
        <w:t xml:space="preserve"> </w:t>
      </w:r>
      <w:r w:rsidR="0028258E" w:rsidRPr="00D541D3">
        <w:rPr>
          <w:lang w:val="en-GB"/>
        </w:rPr>
        <w:t>allow</w:t>
      </w:r>
      <w:r w:rsidR="0028258E">
        <w:rPr>
          <w:lang w:val="en-GB"/>
        </w:rPr>
        <w:t>s</w:t>
      </w:r>
      <w:r w:rsidR="0028258E" w:rsidRPr="00D541D3">
        <w:rPr>
          <w:lang w:val="en-GB"/>
        </w:rPr>
        <w:t xml:space="preserve"> </w:t>
      </w:r>
      <w:r w:rsidR="0028258E">
        <w:rPr>
          <w:lang w:val="en-GB"/>
        </w:rPr>
        <w:t>to define the currency of the agreement either in EUR or in US</w:t>
      </w:r>
      <w:r w:rsidR="00145E3B">
        <w:rPr>
          <w:lang w:val="en-GB"/>
        </w:rPr>
        <w:t>$</w:t>
      </w:r>
      <w:r w:rsidR="0028258E">
        <w:rPr>
          <w:lang w:val="en-GB"/>
        </w:rPr>
        <w:t xml:space="preserve">, with the </w:t>
      </w:r>
      <w:r w:rsidR="0028258E" w:rsidRPr="00D541D3">
        <w:rPr>
          <w:lang w:val="en-GB"/>
        </w:rPr>
        <w:t>financial</w:t>
      </w:r>
      <w:r w:rsidR="0028258E">
        <w:rPr>
          <w:lang w:val="en-GB"/>
        </w:rPr>
        <w:t xml:space="preserve"> </w:t>
      </w:r>
      <w:r w:rsidR="0028258E" w:rsidRPr="00D541D3">
        <w:rPr>
          <w:lang w:val="en-GB"/>
        </w:rPr>
        <w:t>report</w:t>
      </w:r>
      <w:r w:rsidR="0028258E">
        <w:rPr>
          <w:lang w:val="en-GB"/>
        </w:rPr>
        <w:t>ing</w:t>
      </w:r>
      <w:r w:rsidR="0028258E" w:rsidRPr="00D541D3">
        <w:rPr>
          <w:lang w:val="en-GB"/>
        </w:rPr>
        <w:t xml:space="preserve"> </w:t>
      </w:r>
      <w:r w:rsidR="0028258E">
        <w:rPr>
          <w:lang w:val="en-GB"/>
        </w:rPr>
        <w:t>to be presented in the currency of the agreement accordingly</w:t>
      </w:r>
      <w:r w:rsidR="0028258E" w:rsidRPr="00D541D3">
        <w:rPr>
          <w:lang w:val="en-GB"/>
        </w:rPr>
        <w:t xml:space="preserve">.  </w:t>
      </w:r>
    </w:p>
    <w:p w14:paraId="0CE51F41" w14:textId="77777777" w:rsidR="00AB06D0" w:rsidRDefault="00AB06D0" w:rsidP="00E21EC9">
      <w:pPr>
        <w:pStyle w:val="ListParagraph"/>
        <w:spacing w:after="0" w:line="240" w:lineRule="auto"/>
        <w:ind w:left="630" w:firstLine="0"/>
        <w:mirrorIndents/>
        <w:rPr>
          <w:lang w:val="en-GB"/>
        </w:rPr>
      </w:pPr>
    </w:p>
    <w:p w14:paraId="773013CA" w14:textId="00323E48" w:rsidR="00AB06D0" w:rsidRDefault="00E428EA" w:rsidP="00E21EC9">
      <w:pPr>
        <w:pStyle w:val="ListParagraph"/>
        <w:spacing w:after="0" w:line="240" w:lineRule="auto"/>
        <w:ind w:left="630" w:firstLine="0"/>
        <w:mirrorIndents/>
        <w:rPr>
          <w:lang w:val="en-GB"/>
        </w:rPr>
      </w:pPr>
      <w:r>
        <w:rPr>
          <w:lang w:val="en-GB"/>
        </w:rPr>
        <w:t xml:space="preserve">In both the PAGoDA2 and </w:t>
      </w:r>
      <w:r w:rsidR="007E4A88">
        <w:rPr>
          <w:lang w:val="en-GB"/>
        </w:rPr>
        <w:t xml:space="preserve">the </w:t>
      </w:r>
      <w:r>
        <w:rPr>
          <w:lang w:val="en-GB"/>
        </w:rPr>
        <w:t xml:space="preserve">CA </w:t>
      </w:r>
      <w:r w:rsidR="009A099D" w:rsidRPr="009A099D">
        <w:rPr>
          <w:lang w:val="en-GB"/>
        </w:rPr>
        <w:t xml:space="preserve">the choice of the currency of the agreement is at the discretion of the Organisation, </w:t>
      </w:r>
      <w:proofErr w:type="gramStart"/>
      <w:r w:rsidR="009A099D" w:rsidRPr="009A099D">
        <w:rPr>
          <w:lang w:val="en-GB"/>
        </w:rPr>
        <w:t>i.e.</w:t>
      </w:r>
      <w:proofErr w:type="gramEnd"/>
      <w:r w:rsidR="009A099D" w:rsidRPr="009A099D">
        <w:rPr>
          <w:lang w:val="en-GB"/>
        </w:rPr>
        <w:t xml:space="preserve"> UNDP (not the EU).</w:t>
      </w:r>
      <w:r w:rsidR="003940EC" w:rsidRPr="003940EC">
        <w:rPr>
          <w:lang w:val="en-GB"/>
        </w:rPr>
        <w:t xml:space="preserve"> </w:t>
      </w:r>
      <w:r w:rsidR="003940EC">
        <w:rPr>
          <w:lang w:val="en-GB"/>
        </w:rPr>
        <w:t>As a matter of priority, all UNDP contracts should be in US$ whenever possible.</w:t>
      </w:r>
    </w:p>
    <w:p w14:paraId="22F10A12" w14:textId="77777777" w:rsidR="00AB06D0" w:rsidRDefault="00AB06D0" w:rsidP="00E21EC9">
      <w:pPr>
        <w:pStyle w:val="ListParagraph"/>
        <w:spacing w:after="0" w:line="240" w:lineRule="auto"/>
        <w:ind w:left="630" w:firstLine="0"/>
        <w:mirrorIndents/>
        <w:rPr>
          <w:lang w:val="en-GB"/>
        </w:rPr>
      </w:pPr>
    </w:p>
    <w:p w14:paraId="2FB3697A" w14:textId="5FD9BD3F" w:rsidR="003906DE" w:rsidRDefault="00AB06D0" w:rsidP="00E21EC9">
      <w:pPr>
        <w:pStyle w:val="ListParagraph"/>
        <w:spacing w:after="0" w:line="240" w:lineRule="auto"/>
        <w:ind w:left="630" w:firstLine="0"/>
        <w:mirrorIndents/>
        <w:rPr>
          <w:color w:val="333333"/>
          <w:lang w:val="en-GB"/>
        </w:rPr>
      </w:pPr>
      <w:r>
        <w:rPr>
          <w:lang w:val="en-GB"/>
        </w:rPr>
        <w:t xml:space="preserve">v) </w:t>
      </w:r>
      <w:r w:rsidR="003906DE" w:rsidRPr="00AB06D0">
        <w:rPr>
          <w:lang w:val="en-GB"/>
        </w:rPr>
        <w:t xml:space="preserve">There are some specific reporting requirements for contracts funded through DG ECHO (EU Humanitarian Assistance) which impose the currency of the agreement and the financial reporting in EUR. </w:t>
      </w:r>
      <w:r w:rsidR="003906DE" w:rsidRPr="00AB06D0">
        <w:rPr>
          <w:color w:val="333333"/>
          <w:lang w:val="en-GB"/>
        </w:rPr>
        <w:t xml:space="preserve"> </w:t>
      </w:r>
    </w:p>
    <w:p w14:paraId="2E10F678" w14:textId="1B2909BB" w:rsidR="00361A6B" w:rsidRDefault="00361A6B" w:rsidP="00AB06D0">
      <w:pPr>
        <w:pStyle w:val="ListParagraph"/>
        <w:spacing w:after="0" w:line="240" w:lineRule="auto"/>
        <w:ind w:left="1080" w:firstLine="0"/>
        <w:mirrorIndents/>
        <w:rPr>
          <w:color w:val="333333"/>
          <w:lang w:val="en-GB"/>
        </w:rPr>
      </w:pPr>
    </w:p>
    <w:p w14:paraId="60ECB3E5" w14:textId="595B1102" w:rsidR="008F3F37" w:rsidRPr="00087778" w:rsidRDefault="00045121" w:rsidP="008F3F37">
      <w:pPr>
        <w:pStyle w:val="Heading1"/>
        <w:spacing w:after="0" w:line="240" w:lineRule="auto"/>
        <w:contextualSpacing/>
        <w:mirrorIndents/>
        <w:rPr>
          <w:lang w:val="en-GB"/>
        </w:rPr>
      </w:pPr>
      <w:r>
        <w:rPr>
          <w:lang w:val="en-GB"/>
        </w:rPr>
        <w:t xml:space="preserve"> Currency</w:t>
      </w:r>
      <w:r w:rsidR="008F3F37" w:rsidRPr="00087778">
        <w:rPr>
          <w:b w:val="0"/>
          <w:lang w:val="en-GB"/>
        </w:rPr>
        <w:t xml:space="preserve"> </w:t>
      </w:r>
      <w:r w:rsidR="00AB4AD0">
        <w:rPr>
          <w:lang w:val="en-GB"/>
        </w:rPr>
        <w:t>of the Agreement and Exchange Rates</w:t>
      </w:r>
    </w:p>
    <w:p w14:paraId="10670010" w14:textId="77777777" w:rsidR="008F3F37" w:rsidRDefault="008F3F37" w:rsidP="00AB06D0">
      <w:pPr>
        <w:pStyle w:val="ListParagraph"/>
        <w:spacing w:after="0" w:line="240" w:lineRule="auto"/>
        <w:ind w:left="1080" w:firstLine="0"/>
        <w:mirrorIndents/>
        <w:rPr>
          <w:color w:val="333333"/>
          <w:lang w:val="en-GB"/>
        </w:rPr>
      </w:pPr>
    </w:p>
    <w:p w14:paraId="691160AA" w14:textId="49E1AEAB" w:rsidR="009F4955" w:rsidRDefault="009F4955" w:rsidP="00E218CE">
      <w:pPr>
        <w:spacing w:after="0" w:line="240" w:lineRule="auto"/>
        <w:ind w:left="360" w:firstLine="0"/>
        <w:contextualSpacing/>
        <w:mirrorIndents/>
        <w:rPr>
          <w:lang w:val="en-GB"/>
        </w:rPr>
      </w:pPr>
      <w:r>
        <w:rPr>
          <w:lang w:val="en-GB"/>
        </w:rPr>
        <w:t xml:space="preserve">3. </w:t>
      </w:r>
      <w:r w:rsidR="00361A6B" w:rsidRPr="00AB4AD0">
        <w:rPr>
          <w:lang w:val="en-GB"/>
        </w:rPr>
        <w:t xml:space="preserve">The last revision of the FAFA allows for the currency of the agreement to be set out in US$ or in EUR and, accordingly, for reporting to be done in US$ or EUR. </w:t>
      </w:r>
      <w:r>
        <w:rPr>
          <w:lang w:val="en-GB"/>
        </w:rPr>
        <w:t>In accordance with Article 8.1 of the FAFA “</w:t>
      </w:r>
      <w:r w:rsidRPr="008E7B5F">
        <w:rPr>
          <w:i/>
          <w:iCs/>
        </w:rPr>
        <w:t>All contribution-specific agreements between the UN and the Commission shall be denominated either in Euro or in the accounting currency of the UN organization</w:t>
      </w:r>
      <w:r>
        <w:t>.”</w:t>
      </w:r>
    </w:p>
    <w:p w14:paraId="7B03AC7F" w14:textId="77777777" w:rsidR="00221559" w:rsidRPr="00AB4AD0" w:rsidRDefault="00221559" w:rsidP="009F4955">
      <w:pPr>
        <w:spacing w:after="0" w:line="240" w:lineRule="auto"/>
        <w:ind w:left="360" w:firstLine="0"/>
        <w:contextualSpacing/>
        <w:mirrorIndents/>
        <w:rPr>
          <w:lang w:val="en-GB"/>
        </w:rPr>
      </w:pPr>
    </w:p>
    <w:p w14:paraId="52FDA3C4" w14:textId="7BB51EB0" w:rsidR="00E438EF" w:rsidRDefault="00361A6B" w:rsidP="00045121">
      <w:pPr>
        <w:spacing w:after="0" w:line="240" w:lineRule="auto"/>
        <w:ind w:left="360" w:firstLine="0"/>
        <w:contextualSpacing/>
        <w:mirrorIndents/>
        <w:rPr>
          <w:lang w:val="en-GB"/>
        </w:rPr>
      </w:pPr>
      <w:r>
        <w:rPr>
          <w:lang w:val="en-GB"/>
        </w:rPr>
        <w:t xml:space="preserve">It is the contribution-specific agreement that defines the details related to the currency of the agreement and the currency of the reporting as </w:t>
      </w:r>
      <w:r w:rsidRPr="00045121">
        <w:rPr>
          <w:u w:val="single"/>
          <w:lang w:val="en-GB"/>
        </w:rPr>
        <w:t>chosen</w:t>
      </w:r>
      <w:r>
        <w:rPr>
          <w:lang w:val="en-GB"/>
        </w:rPr>
        <w:t xml:space="preserve"> by UNDP CO/BU in charge of a given action.</w:t>
      </w:r>
    </w:p>
    <w:p w14:paraId="5BFC8622" w14:textId="77777777" w:rsidR="006434CF" w:rsidRDefault="006434CF" w:rsidP="00221559">
      <w:pPr>
        <w:pStyle w:val="ListParagraph"/>
        <w:tabs>
          <w:tab w:val="left" w:pos="1134"/>
          <w:tab w:val="left" w:pos="8647"/>
          <w:tab w:val="left" w:pos="8789"/>
        </w:tabs>
        <w:spacing w:after="0" w:line="240" w:lineRule="auto"/>
        <w:ind w:left="1080" w:firstLine="0"/>
        <w:mirrorIndents/>
        <w:rPr>
          <w:lang w:val="en-GB"/>
        </w:rPr>
      </w:pPr>
    </w:p>
    <w:p w14:paraId="043C0E73" w14:textId="12AFA364" w:rsidR="008A0F04" w:rsidRDefault="009F4955" w:rsidP="00E21EC9">
      <w:pPr>
        <w:pStyle w:val="ListParagraph"/>
        <w:tabs>
          <w:tab w:val="left" w:pos="8647"/>
          <w:tab w:val="left" w:pos="8789"/>
        </w:tabs>
        <w:spacing w:after="0" w:line="240" w:lineRule="auto"/>
        <w:ind w:left="360" w:firstLine="0"/>
        <w:mirrorIndents/>
        <w:rPr>
          <w:lang w:val="en-GB"/>
        </w:rPr>
      </w:pPr>
      <w:r>
        <w:rPr>
          <w:lang w:val="en-GB"/>
        </w:rPr>
        <w:t xml:space="preserve">4. </w:t>
      </w:r>
      <w:r w:rsidR="0054729F">
        <w:rPr>
          <w:lang w:val="en-GB"/>
        </w:rPr>
        <w:t xml:space="preserve"> </w:t>
      </w:r>
      <w:r w:rsidR="008A0F04" w:rsidRPr="00045121">
        <w:rPr>
          <w:lang w:val="en-GB"/>
        </w:rPr>
        <w:t xml:space="preserve">For this, it is important to negotiate each contribution-specific agreement in </w:t>
      </w:r>
      <w:r w:rsidR="008A0F04" w:rsidRPr="00045121">
        <w:rPr>
          <w:b/>
          <w:bCs/>
          <w:lang w:val="en-GB"/>
        </w:rPr>
        <w:t>US$</w:t>
      </w:r>
      <w:r w:rsidR="008A0F04" w:rsidRPr="00045121">
        <w:rPr>
          <w:lang w:val="en-GB"/>
        </w:rPr>
        <w:t xml:space="preserve"> which is UNDP’s accounting currency </w:t>
      </w:r>
      <w:proofErr w:type="gramStart"/>
      <w:r w:rsidR="008A0F04" w:rsidRPr="00045121">
        <w:rPr>
          <w:lang w:val="en-GB"/>
        </w:rPr>
        <w:t>in order to</w:t>
      </w:r>
      <w:proofErr w:type="gramEnd"/>
      <w:r w:rsidR="008A0F04" w:rsidRPr="00045121">
        <w:rPr>
          <w:lang w:val="en-GB"/>
        </w:rPr>
        <w:t xml:space="preserve"> facilitate the financial reporting which in such case will be done in US$.</w:t>
      </w:r>
    </w:p>
    <w:p w14:paraId="5766085E" w14:textId="77777777" w:rsidR="00221559" w:rsidRPr="00045121" w:rsidRDefault="00221559" w:rsidP="00221559">
      <w:pPr>
        <w:pStyle w:val="ListParagraph"/>
        <w:spacing w:after="0" w:line="240" w:lineRule="auto"/>
        <w:ind w:left="1080" w:firstLine="0"/>
        <w:mirrorIndents/>
        <w:rPr>
          <w:lang w:val="en-GB"/>
        </w:rPr>
      </w:pPr>
    </w:p>
    <w:p w14:paraId="67F861E3" w14:textId="34578394" w:rsidR="00AB4AD0" w:rsidRDefault="009F4955" w:rsidP="00E21EC9">
      <w:pPr>
        <w:pStyle w:val="ListParagraph"/>
        <w:spacing w:after="0" w:line="240" w:lineRule="auto"/>
        <w:ind w:left="0" w:right="-29" w:firstLine="0"/>
        <w:mirrorIndents/>
      </w:pPr>
      <w:r>
        <w:rPr>
          <w:lang w:val="en-GB"/>
        </w:rPr>
        <w:lastRenderedPageBreak/>
        <w:t>It is to be noted that w</w:t>
      </w:r>
      <w:r w:rsidR="00AB4AD0">
        <w:rPr>
          <w:lang w:val="en-GB"/>
        </w:rPr>
        <w:t xml:space="preserve">hen the currency of the agreement is US$, </w:t>
      </w:r>
      <w:r w:rsidR="00AB4AD0">
        <w:t xml:space="preserve">the EU’s contribution is limited to the maximum amount defined in EUR and the US$ amount is estimated using the </w:t>
      </w:r>
      <w:hyperlink r:id="rId17" w:history="1">
        <w:proofErr w:type="spellStart"/>
        <w:r w:rsidR="00AB4AD0" w:rsidRPr="00AC7065">
          <w:rPr>
            <w:rStyle w:val="Hyperlink"/>
          </w:rPr>
          <w:t>Info</w:t>
        </w:r>
        <w:r w:rsidR="00403D82">
          <w:rPr>
            <w:rStyle w:val="Hyperlink"/>
          </w:rPr>
          <w:t>r</w:t>
        </w:r>
        <w:r w:rsidR="00AB4AD0" w:rsidRPr="00AC7065">
          <w:rPr>
            <w:rStyle w:val="Hyperlink"/>
          </w:rPr>
          <w:t>Euro</w:t>
        </w:r>
        <w:proofErr w:type="spellEnd"/>
        <w:r w:rsidR="00AB4AD0" w:rsidRPr="00AC7065">
          <w:rPr>
            <w:rStyle w:val="Hyperlink"/>
          </w:rPr>
          <w:t xml:space="preserve"> exchange rate</w:t>
        </w:r>
      </w:hyperlink>
      <w:r w:rsidR="00403D82">
        <w:rPr>
          <w:rStyle w:val="FootnoteReference"/>
          <w:color w:val="0563C1" w:themeColor="hyperlink"/>
          <w:u w:val="single"/>
        </w:rPr>
        <w:footnoteReference w:id="2"/>
      </w:r>
      <w:r w:rsidR="00AB4AD0">
        <w:t xml:space="preserve"> applicable at the time of signature of the agreement. The actual payments are done by the EU using the </w:t>
      </w:r>
      <w:proofErr w:type="spellStart"/>
      <w:r w:rsidR="00AB4AD0">
        <w:t>InforEuro</w:t>
      </w:r>
      <w:proofErr w:type="spellEnd"/>
      <w:r w:rsidR="00AB4AD0">
        <w:t xml:space="preserve"> rate applicable at the time of disbursement by the EU and therefore there could be differences between the initial budget estimate and the actual available budget upon receipt of all instalments from the EU.</w:t>
      </w:r>
    </w:p>
    <w:p w14:paraId="52609DBD" w14:textId="77777777" w:rsidR="00AB4AD0" w:rsidRDefault="00AB4AD0" w:rsidP="00E21EC9">
      <w:pPr>
        <w:pStyle w:val="ListParagraph"/>
        <w:spacing w:after="0" w:line="240" w:lineRule="auto"/>
        <w:ind w:left="1080" w:right="-29" w:firstLine="0"/>
        <w:mirrorIndents/>
      </w:pPr>
    </w:p>
    <w:p w14:paraId="2BFB0748" w14:textId="1077F1A9" w:rsidR="008A0F04" w:rsidRPr="00045121" w:rsidRDefault="009F4955" w:rsidP="00E21EC9">
      <w:pPr>
        <w:pStyle w:val="ListParagraph"/>
        <w:spacing w:after="0" w:line="240" w:lineRule="auto"/>
        <w:ind w:left="0" w:right="-29" w:firstLine="0"/>
        <w:mirrorIndents/>
        <w:rPr>
          <w:lang w:val="en-GB"/>
        </w:rPr>
      </w:pPr>
      <w:r>
        <w:rPr>
          <w:lang w:val="en-GB"/>
        </w:rPr>
        <w:t xml:space="preserve">5. </w:t>
      </w:r>
      <w:r w:rsidR="0054729F">
        <w:rPr>
          <w:lang w:val="en-GB"/>
        </w:rPr>
        <w:t xml:space="preserve"> </w:t>
      </w:r>
      <w:r w:rsidR="008A0F04" w:rsidRPr="00045121">
        <w:rPr>
          <w:lang w:val="en-GB"/>
        </w:rPr>
        <w:t xml:space="preserve">There can still be some exceptions when the currency of the agreement needs to be defined in </w:t>
      </w:r>
      <w:r w:rsidR="008A0F04" w:rsidRPr="00221559">
        <w:rPr>
          <w:b/>
          <w:bCs/>
          <w:lang w:val="en-GB"/>
        </w:rPr>
        <w:t>EUR</w:t>
      </w:r>
      <w:r w:rsidR="008A0F04" w:rsidRPr="00045121">
        <w:rPr>
          <w:lang w:val="en-GB"/>
        </w:rPr>
        <w:t xml:space="preserve">, for example for contract funded by DG ECHO (Humanitarian Assistance) and the financial reporting will be done in EUR. </w:t>
      </w:r>
    </w:p>
    <w:p w14:paraId="67ED08BC" w14:textId="77777777" w:rsidR="008A0F04" w:rsidRDefault="008A0F04" w:rsidP="00E21EC9">
      <w:pPr>
        <w:spacing w:after="0" w:line="240" w:lineRule="auto"/>
        <w:ind w:left="360" w:right="-29" w:firstLine="0"/>
        <w:contextualSpacing/>
        <w:mirrorIndents/>
        <w:rPr>
          <w:lang w:val="en-GB"/>
        </w:rPr>
      </w:pPr>
    </w:p>
    <w:p w14:paraId="3F2CDDC0" w14:textId="5E40C270" w:rsidR="004A1953" w:rsidRDefault="00AB4AD0" w:rsidP="00E21EC9">
      <w:pPr>
        <w:spacing w:after="0" w:line="240" w:lineRule="auto"/>
        <w:ind w:left="0" w:right="-29" w:firstLine="0"/>
        <w:contextualSpacing/>
        <w:mirrorIndents/>
      </w:pPr>
      <w:r>
        <w:t>W</w:t>
      </w:r>
      <w:r w:rsidR="00AC7065">
        <w:t>hen the currency of the agreement is EUR,</w:t>
      </w:r>
      <w:r w:rsidR="008A0F04">
        <w:t xml:space="preserve"> the </w:t>
      </w:r>
      <w:r w:rsidR="00AC7065">
        <w:t xml:space="preserve">EU </w:t>
      </w:r>
      <w:r w:rsidR="008A0F04">
        <w:t>payment</w:t>
      </w:r>
      <w:r w:rsidR="00AC7065">
        <w:t>s</w:t>
      </w:r>
      <w:r w:rsidR="008A0F04">
        <w:t xml:space="preserve"> </w:t>
      </w:r>
      <w:r w:rsidR="00AC7065">
        <w:t xml:space="preserve">are done </w:t>
      </w:r>
      <w:r w:rsidR="008A0F04">
        <w:t xml:space="preserve">in EUR </w:t>
      </w:r>
      <w:r w:rsidR="00AC7065">
        <w:t xml:space="preserve">and </w:t>
      </w:r>
      <w:r w:rsidR="008A0F04">
        <w:t>credited to UNDP</w:t>
      </w:r>
      <w:r w:rsidR="000D6EB6">
        <w:t>’s</w:t>
      </w:r>
      <w:r w:rsidR="008A0F04">
        <w:t xml:space="preserve"> account</w:t>
      </w:r>
      <w:r w:rsidR="00AC7065">
        <w:t xml:space="preserve"> using the </w:t>
      </w:r>
      <w:hyperlink r:id="rId18" w:history="1">
        <w:r w:rsidR="00403D82" w:rsidRPr="005B196F">
          <w:rPr>
            <w:rStyle w:val="Hyperlink"/>
          </w:rPr>
          <w:t>United Nations Official Rate of Exchange (</w:t>
        </w:r>
        <w:r w:rsidR="008A0F04" w:rsidRPr="005B196F">
          <w:rPr>
            <w:rStyle w:val="Hyperlink"/>
          </w:rPr>
          <w:t>UNORE</w:t>
        </w:r>
        <w:r w:rsidR="00403D82" w:rsidRPr="005B196F">
          <w:rPr>
            <w:rStyle w:val="Hyperlink"/>
          </w:rPr>
          <w:t>)</w:t>
        </w:r>
        <w:r w:rsidR="008E7B5F">
          <w:rPr>
            <w:rStyle w:val="FootnoteReference"/>
            <w:color w:val="0563C1" w:themeColor="hyperlink"/>
            <w:u w:val="single"/>
          </w:rPr>
          <w:footnoteReference w:id="3"/>
        </w:r>
      </w:hyperlink>
      <w:r w:rsidR="008E7B5F" w:rsidRPr="00E218CE">
        <w:t xml:space="preserve"> </w:t>
      </w:r>
      <w:r w:rsidR="008A0F04" w:rsidRPr="00E218CE">
        <w:t xml:space="preserve"> </w:t>
      </w:r>
      <w:r w:rsidR="00AC7065">
        <w:t xml:space="preserve"> </w:t>
      </w:r>
      <w:r w:rsidR="008A0F04">
        <w:t xml:space="preserve">applicable at the time </w:t>
      </w:r>
      <w:r w:rsidR="000D6EB6">
        <w:t xml:space="preserve">when </w:t>
      </w:r>
      <w:r w:rsidR="008A0F04">
        <w:t xml:space="preserve">the EU’s contribution is recorded on UNDP’s </w:t>
      </w:r>
      <w:r w:rsidR="00AC7065">
        <w:t xml:space="preserve">bank </w:t>
      </w:r>
      <w:r w:rsidR="008A0F04">
        <w:t>account</w:t>
      </w:r>
      <w:r w:rsidR="00AC7065">
        <w:t xml:space="preserve">. </w:t>
      </w:r>
    </w:p>
    <w:p w14:paraId="75724F5B" w14:textId="77777777" w:rsidR="00AB4AD0" w:rsidRDefault="00AB4AD0" w:rsidP="00E21EC9">
      <w:pPr>
        <w:spacing w:after="0" w:line="240" w:lineRule="auto"/>
        <w:ind w:left="0" w:right="-29" w:firstLine="0"/>
        <w:contextualSpacing/>
        <w:mirrorIndents/>
      </w:pPr>
    </w:p>
    <w:p w14:paraId="3603EEDC" w14:textId="7666844F" w:rsidR="006434CF" w:rsidRDefault="00221559" w:rsidP="00E21EC9">
      <w:pPr>
        <w:pStyle w:val="ListParagraph"/>
        <w:spacing w:after="0" w:line="240" w:lineRule="auto"/>
        <w:ind w:left="0" w:right="-29" w:firstLine="0"/>
        <w:mirrorIndents/>
        <w:rPr>
          <w:lang w:val="en-GB"/>
        </w:rPr>
      </w:pPr>
      <w:r>
        <w:rPr>
          <w:lang w:val="en-GB"/>
        </w:rPr>
        <w:t xml:space="preserve">In </w:t>
      </w:r>
      <w:r w:rsidR="005A0CD5">
        <w:rPr>
          <w:lang w:val="en-GB"/>
        </w:rPr>
        <w:t>those cases</w:t>
      </w:r>
      <w:r w:rsidR="00E218CE">
        <w:rPr>
          <w:lang w:val="en-GB"/>
        </w:rPr>
        <w:t>,</w:t>
      </w:r>
      <w:r w:rsidR="002873A4">
        <w:rPr>
          <w:lang w:val="en-GB"/>
        </w:rPr>
        <w:t xml:space="preserve"> and</w:t>
      </w:r>
      <w:r w:rsidR="005A0CD5">
        <w:rPr>
          <w:lang w:val="en-GB"/>
        </w:rPr>
        <w:t xml:space="preserve"> </w:t>
      </w:r>
      <w:r w:rsidR="009F4955">
        <w:rPr>
          <w:lang w:val="en-GB"/>
        </w:rPr>
        <w:t>i</w:t>
      </w:r>
      <w:r w:rsidR="006434CF" w:rsidRPr="006434CF">
        <w:rPr>
          <w:lang w:val="en-GB"/>
        </w:rPr>
        <w:t xml:space="preserve">n accordance with </w:t>
      </w:r>
      <w:r w:rsidR="009F4955">
        <w:rPr>
          <w:lang w:val="en-GB"/>
        </w:rPr>
        <w:t>A</w:t>
      </w:r>
      <w:r w:rsidR="009F4955" w:rsidRPr="006434CF">
        <w:rPr>
          <w:lang w:val="en-GB"/>
        </w:rPr>
        <w:t>rticle 2.3</w:t>
      </w:r>
      <w:r w:rsidR="009F4955">
        <w:rPr>
          <w:lang w:val="en-GB"/>
        </w:rPr>
        <w:t xml:space="preserve"> of </w:t>
      </w:r>
      <w:r w:rsidR="006434CF" w:rsidRPr="006434CF">
        <w:rPr>
          <w:lang w:val="en-GB"/>
        </w:rPr>
        <w:t>the FAFA “</w:t>
      </w:r>
      <w:r w:rsidR="006434CF" w:rsidRPr="005134A7">
        <w:rPr>
          <w:i/>
          <w:iCs/>
          <w:lang w:val="en-GB"/>
        </w:rPr>
        <w:t xml:space="preserve">where necessary, actual expenditure will be converted into Euro using the rate of exchange </w:t>
      </w:r>
      <w:r w:rsidR="006434CF" w:rsidRPr="00546B7E">
        <w:rPr>
          <w:lang w:val="en-GB"/>
        </w:rPr>
        <w:t>(</w:t>
      </w:r>
      <w:proofErr w:type="gramStart"/>
      <w:r w:rsidR="006434CF" w:rsidRPr="00546B7E">
        <w:rPr>
          <w:lang w:val="en-GB"/>
        </w:rPr>
        <w:t>i.e.</w:t>
      </w:r>
      <w:proofErr w:type="gramEnd"/>
      <w:r w:rsidR="006434CF" w:rsidRPr="00546B7E">
        <w:rPr>
          <w:lang w:val="en-GB"/>
        </w:rPr>
        <w:t xml:space="preserve"> </w:t>
      </w:r>
      <w:r w:rsidR="005B196F" w:rsidRPr="00546B7E">
        <w:rPr>
          <w:lang w:val="en-GB"/>
        </w:rPr>
        <w:t>UNORE</w:t>
      </w:r>
      <w:r w:rsidR="006434CF" w:rsidRPr="00546B7E">
        <w:rPr>
          <w:lang w:val="en-GB"/>
        </w:rPr>
        <w:t xml:space="preserve">) </w:t>
      </w:r>
      <w:r w:rsidR="006434CF" w:rsidRPr="005134A7">
        <w:rPr>
          <w:i/>
          <w:iCs/>
          <w:lang w:val="en-GB"/>
        </w:rPr>
        <w:t>at which the EU’s contribution was recorded in the UN organisation’s accounts</w:t>
      </w:r>
      <w:r w:rsidR="006434CF" w:rsidRPr="006434CF">
        <w:rPr>
          <w:lang w:val="en-GB"/>
        </w:rPr>
        <w:t xml:space="preserve">” (i.e., US$ for UNDP). </w:t>
      </w:r>
    </w:p>
    <w:p w14:paraId="28A3E0E5" w14:textId="77777777" w:rsidR="006434CF" w:rsidRDefault="006434CF" w:rsidP="00E21EC9">
      <w:pPr>
        <w:pStyle w:val="ListParagraph"/>
        <w:spacing w:after="0" w:line="240" w:lineRule="auto"/>
        <w:ind w:left="0" w:right="-29" w:firstLine="0"/>
        <w:mirrorIndents/>
        <w:rPr>
          <w:lang w:val="en-GB"/>
        </w:rPr>
      </w:pPr>
    </w:p>
    <w:p w14:paraId="4E1B3AA9" w14:textId="6ADCFE2B" w:rsidR="00221559" w:rsidRDefault="00221559" w:rsidP="00E21EC9">
      <w:pPr>
        <w:pStyle w:val="ListParagraph"/>
        <w:spacing w:after="0" w:line="240" w:lineRule="auto"/>
        <w:ind w:left="0" w:right="-29" w:firstLine="0"/>
        <w:mirrorIndents/>
      </w:pPr>
      <w:r>
        <w:rPr>
          <w:lang w:val="en-GB"/>
        </w:rPr>
        <w:t xml:space="preserve">When </w:t>
      </w:r>
      <w:r w:rsidRPr="00A367A1">
        <w:t xml:space="preserve">COs receive only one </w:t>
      </w:r>
      <w:r>
        <w:t xml:space="preserve">contribution </w:t>
      </w:r>
      <w:r w:rsidRPr="00A367A1">
        <w:t>payment</w:t>
      </w:r>
      <w:r>
        <w:t xml:space="preserve"> from EU</w:t>
      </w:r>
      <w:r w:rsidRPr="00A367A1">
        <w:t xml:space="preserve"> at one UNORE</w:t>
      </w:r>
      <w:r>
        <w:t xml:space="preserve"> </w:t>
      </w:r>
      <w:r w:rsidR="005A0CD5">
        <w:t>t</w:t>
      </w:r>
      <w:r>
        <w:t>he expenditure will be</w:t>
      </w:r>
      <w:r w:rsidRPr="00A367A1">
        <w:t xml:space="preserve"> convert</w:t>
      </w:r>
      <w:r>
        <w:t>ed f</w:t>
      </w:r>
      <w:r w:rsidRPr="00A367A1">
        <w:t>rom US</w:t>
      </w:r>
      <w:r w:rsidR="005A0CD5">
        <w:t>$</w:t>
      </w:r>
      <w:r w:rsidRPr="00A367A1">
        <w:t xml:space="preserve"> to EUR using th</w:t>
      </w:r>
      <w:r>
        <w:t>e</w:t>
      </w:r>
      <w:r w:rsidRPr="00A367A1">
        <w:t xml:space="preserve"> UNORE</w:t>
      </w:r>
      <w:r>
        <w:t xml:space="preserve"> at which the EU’s contribution was recorded into UNDP</w:t>
      </w:r>
      <w:r w:rsidR="005A0CD5">
        <w:t>’s</w:t>
      </w:r>
      <w:r>
        <w:t xml:space="preserve"> accounts.</w:t>
      </w:r>
    </w:p>
    <w:p w14:paraId="71209B81" w14:textId="77777777" w:rsidR="00AB4AD0" w:rsidRPr="00221559" w:rsidRDefault="00AB4AD0" w:rsidP="00E21EC9">
      <w:pPr>
        <w:pStyle w:val="ListParagraph"/>
        <w:spacing w:after="0" w:line="240" w:lineRule="auto"/>
        <w:ind w:left="0" w:right="-29" w:firstLine="0"/>
        <w:mirrorIndents/>
        <w:rPr>
          <w:lang w:val="en-GB"/>
        </w:rPr>
      </w:pPr>
    </w:p>
    <w:p w14:paraId="365686C7" w14:textId="2602FD74" w:rsidR="00221559" w:rsidRPr="00221559" w:rsidRDefault="00221559" w:rsidP="00E21EC9">
      <w:pPr>
        <w:pStyle w:val="ListParagraph"/>
        <w:spacing w:after="0" w:line="240" w:lineRule="auto"/>
        <w:ind w:left="0" w:right="-29" w:firstLine="0"/>
        <w:mirrorIndents/>
        <w:rPr>
          <w:lang w:val="en-GB"/>
        </w:rPr>
      </w:pPr>
      <w:r w:rsidRPr="00E21EC9">
        <w:rPr>
          <w:lang w:val="en-GB"/>
        </w:rPr>
        <w:t>When COs receive several instalments from EU at different timing</w:t>
      </w:r>
      <w:r w:rsidR="005A0CD5" w:rsidRPr="00E21EC9">
        <w:rPr>
          <w:lang w:val="en-GB"/>
        </w:rPr>
        <w:t>,</w:t>
      </w:r>
      <w:r w:rsidRPr="00E21EC9">
        <w:rPr>
          <w:lang w:val="en-GB"/>
        </w:rPr>
        <w:t xml:space="preserve"> </w:t>
      </w:r>
      <w:r w:rsidR="005A0CD5" w:rsidRPr="00E21EC9">
        <w:rPr>
          <w:lang w:val="en-GB"/>
        </w:rPr>
        <w:t>th</w:t>
      </w:r>
      <w:r w:rsidRPr="00E21EC9">
        <w:rPr>
          <w:lang w:val="en-GB"/>
        </w:rPr>
        <w:t>e expenditure will be converted from US</w:t>
      </w:r>
      <w:r w:rsidR="005A0CD5" w:rsidRPr="00E21EC9">
        <w:rPr>
          <w:lang w:val="en-GB"/>
        </w:rPr>
        <w:t>$</w:t>
      </w:r>
      <w:r w:rsidRPr="00E21EC9">
        <w:rPr>
          <w:lang w:val="en-GB"/>
        </w:rPr>
        <w:t xml:space="preserve"> to EUR using the weighted average rate of UNORE or any other rate(s) as agreed with the EU. </w:t>
      </w:r>
    </w:p>
    <w:p w14:paraId="704C1E9C" w14:textId="77777777" w:rsidR="00AC7065" w:rsidRDefault="00AC7065" w:rsidP="00F033E7">
      <w:pPr>
        <w:spacing w:after="0" w:line="240" w:lineRule="auto"/>
        <w:contextualSpacing/>
        <w:mirrorIndents/>
        <w:rPr>
          <w:lang w:val="en-GB"/>
        </w:rPr>
      </w:pPr>
    </w:p>
    <w:p w14:paraId="1FDBD530" w14:textId="61D8073E" w:rsidR="004A1953" w:rsidRPr="00C17951" w:rsidRDefault="004A1953" w:rsidP="00F033E7">
      <w:pPr>
        <w:pStyle w:val="Heading1"/>
        <w:spacing w:after="0" w:line="240" w:lineRule="auto"/>
        <w:contextualSpacing/>
        <w:mirrorIndents/>
        <w:jc w:val="both"/>
        <w:rPr>
          <w:lang w:val="en-GB"/>
        </w:rPr>
      </w:pPr>
      <w:r>
        <w:rPr>
          <w:lang w:val="en-GB"/>
        </w:rPr>
        <w:t>Measures to mitigate</w:t>
      </w:r>
      <w:r w:rsidR="007C2927">
        <w:rPr>
          <w:lang w:val="en-GB"/>
        </w:rPr>
        <w:t xml:space="preserve"> potential</w:t>
      </w:r>
      <w:r>
        <w:rPr>
          <w:lang w:val="en-GB"/>
        </w:rPr>
        <w:t xml:space="preserve"> currency exchange rate </w:t>
      </w:r>
      <w:r w:rsidR="000223A3">
        <w:rPr>
          <w:lang w:val="en-GB"/>
        </w:rPr>
        <w:t>fluctuations</w:t>
      </w:r>
    </w:p>
    <w:p w14:paraId="2397ED93" w14:textId="4F6B2DC6" w:rsidR="00D31CBF" w:rsidRDefault="00D31CBF" w:rsidP="00F033E7">
      <w:pPr>
        <w:spacing w:after="0" w:line="240" w:lineRule="auto"/>
        <w:ind w:left="360" w:firstLine="0"/>
        <w:contextualSpacing/>
        <w:mirrorIndents/>
        <w:rPr>
          <w:lang w:val="en-GB"/>
        </w:rPr>
      </w:pPr>
    </w:p>
    <w:p w14:paraId="36994DFA" w14:textId="6DE4B5C3" w:rsidR="00822FDF" w:rsidRDefault="00822FDF" w:rsidP="00F033E7">
      <w:pPr>
        <w:spacing w:after="0" w:line="240" w:lineRule="auto"/>
        <w:ind w:left="360" w:firstLine="0"/>
        <w:contextualSpacing/>
        <w:mirrorIndents/>
        <w:rPr>
          <w:lang w:val="en-GB"/>
        </w:rPr>
      </w:pPr>
      <w:r w:rsidRPr="00822FDF">
        <w:rPr>
          <w:lang w:val="en-GB"/>
        </w:rPr>
        <w:t>There are certain exchange rate scenarios</w:t>
      </w:r>
      <w:r w:rsidR="001F2498">
        <w:rPr>
          <w:lang w:val="en-GB"/>
        </w:rPr>
        <w:t xml:space="preserve"> that </w:t>
      </w:r>
      <w:r w:rsidR="00074F21">
        <w:rPr>
          <w:lang w:val="en-GB"/>
        </w:rPr>
        <w:t xml:space="preserve">are </w:t>
      </w:r>
      <w:r w:rsidR="001F2498">
        <w:rPr>
          <w:lang w:val="en-GB"/>
        </w:rPr>
        <w:t>exposed to the foreign exchange gain/loss,</w:t>
      </w:r>
      <w:r w:rsidRPr="00822FDF">
        <w:rPr>
          <w:lang w:val="en-GB"/>
        </w:rPr>
        <w:t xml:space="preserve"> to consider when dealing with EU-funded projects:  </w:t>
      </w:r>
    </w:p>
    <w:p w14:paraId="3BD3AC6A" w14:textId="77777777" w:rsidR="0008168F" w:rsidRPr="00822FDF" w:rsidRDefault="0008168F" w:rsidP="00F033E7">
      <w:pPr>
        <w:spacing w:after="0" w:line="240" w:lineRule="auto"/>
        <w:ind w:left="360" w:firstLine="0"/>
        <w:contextualSpacing/>
        <w:mirrorIndents/>
        <w:rPr>
          <w:lang w:val="en-GB"/>
        </w:rPr>
      </w:pPr>
    </w:p>
    <w:p w14:paraId="2B11C860" w14:textId="77777777" w:rsidR="00546B7E" w:rsidRDefault="00AA17CA" w:rsidP="00E21EC9">
      <w:pPr>
        <w:pStyle w:val="ListParagraph"/>
        <w:numPr>
          <w:ilvl w:val="0"/>
          <w:numId w:val="36"/>
        </w:numPr>
        <w:ind w:left="630"/>
        <w:rPr>
          <w:lang w:val="en-GB"/>
        </w:rPr>
      </w:pPr>
      <w:r w:rsidRPr="00AA17CA">
        <w:rPr>
          <w:lang w:val="en-GB"/>
        </w:rPr>
        <w:t>When UNDP does pre-financing</w:t>
      </w:r>
      <w:r w:rsidR="005A0CD5">
        <w:rPr>
          <w:rStyle w:val="FootnoteReference"/>
          <w:lang w:val="en-GB"/>
        </w:rPr>
        <w:footnoteReference w:id="4"/>
      </w:r>
      <w:r w:rsidR="005A0CD5">
        <w:rPr>
          <w:lang w:val="en-GB"/>
        </w:rPr>
        <w:t xml:space="preserve"> </w:t>
      </w:r>
      <w:r w:rsidRPr="00AA17CA">
        <w:rPr>
          <w:lang w:val="en-GB"/>
        </w:rPr>
        <w:t xml:space="preserve">at the start of the </w:t>
      </w:r>
      <w:proofErr w:type="gramStart"/>
      <w:r w:rsidR="002B77C4" w:rsidRPr="00AA17CA">
        <w:rPr>
          <w:lang w:val="en-GB"/>
        </w:rPr>
        <w:t>project</w:t>
      </w:r>
      <w:r w:rsidR="005A0CD5">
        <w:rPr>
          <w:lang w:val="en-GB"/>
        </w:rPr>
        <w:t>;</w:t>
      </w:r>
      <w:proofErr w:type="gramEnd"/>
    </w:p>
    <w:p w14:paraId="035AF351" w14:textId="77777777" w:rsidR="00546B7E" w:rsidRDefault="00AA17CA" w:rsidP="00E21EC9">
      <w:pPr>
        <w:pStyle w:val="ListParagraph"/>
        <w:numPr>
          <w:ilvl w:val="0"/>
          <w:numId w:val="36"/>
        </w:numPr>
        <w:ind w:left="630"/>
        <w:rPr>
          <w:lang w:val="en-GB"/>
        </w:rPr>
      </w:pPr>
      <w:r w:rsidRPr="00546B7E">
        <w:rPr>
          <w:lang w:val="en-GB"/>
        </w:rPr>
        <w:t xml:space="preserve">When the EU pays on time, </w:t>
      </w:r>
      <w:r w:rsidR="002B77C4" w:rsidRPr="00546B7E">
        <w:rPr>
          <w:lang w:val="en-GB"/>
        </w:rPr>
        <w:t>but</w:t>
      </w:r>
      <w:r w:rsidRPr="00546B7E">
        <w:rPr>
          <w:lang w:val="en-GB"/>
        </w:rPr>
        <w:t xml:space="preserve"> given exchange rate fluctuations, UNDP incurs exchange gain</w:t>
      </w:r>
      <w:r w:rsidR="005A0CD5" w:rsidRPr="00546B7E">
        <w:rPr>
          <w:lang w:val="en-GB"/>
        </w:rPr>
        <w:t>s</w:t>
      </w:r>
      <w:r w:rsidRPr="00546B7E">
        <w:rPr>
          <w:lang w:val="en-GB"/>
        </w:rPr>
        <w:t xml:space="preserve">/losses. This can be minimized by </w:t>
      </w:r>
      <w:r w:rsidR="00751F67" w:rsidRPr="00546B7E">
        <w:rPr>
          <w:lang w:val="en-GB"/>
        </w:rPr>
        <w:t>monitoring the budget</w:t>
      </w:r>
      <w:r w:rsidRPr="00546B7E">
        <w:rPr>
          <w:lang w:val="en-GB"/>
        </w:rPr>
        <w:t xml:space="preserve"> on a regular basis and making the appropriate adjustments to the </w:t>
      </w:r>
      <w:r w:rsidR="005A0CD5" w:rsidRPr="00546B7E">
        <w:rPr>
          <w:lang w:val="en-GB"/>
        </w:rPr>
        <w:t>US$</w:t>
      </w:r>
      <w:r w:rsidRPr="00546B7E">
        <w:rPr>
          <w:lang w:val="en-GB"/>
        </w:rPr>
        <w:t xml:space="preserve"> budget so that the spending limit shown reflects what is available to </w:t>
      </w:r>
      <w:proofErr w:type="gramStart"/>
      <w:r w:rsidR="002B77C4" w:rsidRPr="00546B7E">
        <w:rPr>
          <w:lang w:val="en-GB"/>
        </w:rPr>
        <w:t>spend</w:t>
      </w:r>
      <w:r w:rsidR="005A0CD5" w:rsidRPr="00546B7E">
        <w:rPr>
          <w:lang w:val="en-GB"/>
        </w:rPr>
        <w:t>;</w:t>
      </w:r>
      <w:proofErr w:type="gramEnd"/>
      <w:r w:rsidRPr="00546B7E">
        <w:rPr>
          <w:lang w:val="en-GB"/>
        </w:rPr>
        <w:t xml:space="preserve"> </w:t>
      </w:r>
    </w:p>
    <w:p w14:paraId="0AB002DB" w14:textId="17ED3D72" w:rsidR="00AA17CA" w:rsidRPr="00546B7E" w:rsidRDefault="00AA17CA" w:rsidP="00E21EC9">
      <w:pPr>
        <w:pStyle w:val="ListParagraph"/>
        <w:numPr>
          <w:ilvl w:val="0"/>
          <w:numId w:val="36"/>
        </w:numPr>
        <w:ind w:left="630"/>
        <w:rPr>
          <w:lang w:val="en-GB"/>
        </w:rPr>
      </w:pPr>
      <w:r w:rsidRPr="00546B7E">
        <w:rPr>
          <w:lang w:val="en-GB"/>
        </w:rPr>
        <w:t xml:space="preserve">When UNDP does the pre-financing before the payment of the last instalment - this can be addressed by negotiating from the outset a smaller percentage to be disbursed as the last instalment. By </w:t>
      </w:r>
      <w:r w:rsidR="00751F67" w:rsidRPr="00546B7E">
        <w:rPr>
          <w:lang w:val="en-GB"/>
        </w:rPr>
        <w:t xml:space="preserve">monitoring the budget </w:t>
      </w:r>
      <w:r w:rsidRPr="00546B7E">
        <w:rPr>
          <w:lang w:val="en-GB"/>
        </w:rPr>
        <w:t>often enough (see above) any losses may be minimized as far as possible</w:t>
      </w:r>
      <w:r w:rsidR="0051355F" w:rsidRPr="00546B7E">
        <w:rPr>
          <w:lang w:val="en-GB"/>
        </w:rPr>
        <w:t>.</w:t>
      </w:r>
      <w:r w:rsidRPr="00546B7E">
        <w:rPr>
          <w:lang w:val="en-GB"/>
        </w:rPr>
        <w:t xml:space="preserve"> </w:t>
      </w:r>
    </w:p>
    <w:p w14:paraId="6829FE9A" w14:textId="77777777" w:rsidR="00676CFB" w:rsidRDefault="00676CFB" w:rsidP="0029273B">
      <w:pPr>
        <w:pStyle w:val="ListParagraph"/>
        <w:ind w:left="1075" w:firstLine="0"/>
        <w:rPr>
          <w:lang w:val="en-GB"/>
        </w:rPr>
      </w:pPr>
    </w:p>
    <w:p w14:paraId="19783DBB" w14:textId="06905BAD" w:rsidR="00676CFB" w:rsidRDefault="00676CFB" w:rsidP="0054729F">
      <w:pPr>
        <w:ind w:left="0" w:firstLine="0"/>
        <w:rPr>
          <w:lang w:val="en-GB"/>
        </w:rPr>
      </w:pPr>
      <w:proofErr w:type="gramStart"/>
      <w:r w:rsidRPr="00676CFB">
        <w:rPr>
          <w:lang w:val="en-GB"/>
        </w:rPr>
        <w:t>In order to</w:t>
      </w:r>
      <w:proofErr w:type="gramEnd"/>
      <w:r w:rsidRPr="00676CFB">
        <w:rPr>
          <w:lang w:val="en-GB"/>
        </w:rPr>
        <w:t xml:space="preserve"> minimize some of these challenges, COs/BUs should negotiate with the EU a 100% pre-financing scheme as default option in accordance with the FAFA. However, it is to be noted that in some exceptional cases the EU will not provide 100% pre-financing, for example for contracts funded through DG ECHO (EU Humanitarian Assistance) where the EU would pre-finance only 80% and retain 20% as final payment.</w:t>
      </w:r>
    </w:p>
    <w:p w14:paraId="6B19B34B" w14:textId="54002DF8" w:rsidR="009861CD" w:rsidRDefault="009861CD" w:rsidP="0029273B">
      <w:pPr>
        <w:ind w:left="705" w:firstLine="0"/>
        <w:rPr>
          <w:lang w:val="en-GB"/>
        </w:rPr>
      </w:pPr>
    </w:p>
    <w:p w14:paraId="01A94539" w14:textId="5CF5C42E" w:rsidR="00C06C95" w:rsidRDefault="00C06C95" w:rsidP="0054729F">
      <w:pPr>
        <w:ind w:left="0" w:firstLine="0"/>
        <w:rPr>
          <w:rFonts w:ascii="CIDFont+F1" w:eastAsiaTheme="minorEastAsia" w:hAnsi="CIDFont+F1" w:cs="CIDFont+F1"/>
          <w:color w:val="auto"/>
          <w:lang w:val="en-GB"/>
        </w:rPr>
      </w:pPr>
      <w:r>
        <w:rPr>
          <w:lang w:val="en-GB"/>
        </w:rPr>
        <w:lastRenderedPageBreak/>
        <w:t xml:space="preserve">Furthermore, a reserve for contingencies - </w:t>
      </w:r>
      <w:r w:rsidRPr="00C06C95">
        <w:rPr>
          <w:lang w:val="en-GB"/>
        </w:rPr>
        <w:t>not exceeding</w:t>
      </w:r>
      <w:r>
        <w:rPr>
          <w:lang w:val="en-GB"/>
        </w:rPr>
        <w:t xml:space="preserve"> </w:t>
      </w:r>
      <w:r w:rsidRPr="00C06C95">
        <w:rPr>
          <w:lang w:val="en-GB"/>
        </w:rPr>
        <w:t>5% of the direct eligible costs - may be included in</w:t>
      </w:r>
      <w:r>
        <w:rPr>
          <w:lang w:val="en-GB"/>
        </w:rPr>
        <w:t xml:space="preserve"> the budget</w:t>
      </w:r>
      <w:r w:rsidRPr="00C06C95">
        <w:rPr>
          <w:lang w:val="en-GB"/>
        </w:rPr>
        <w:t xml:space="preserve"> </w:t>
      </w:r>
      <w:r>
        <w:rPr>
          <w:lang w:val="en-GB"/>
        </w:rPr>
        <w:t>(</w:t>
      </w:r>
      <w:r w:rsidRPr="00C06C95">
        <w:rPr>
          <w:lang w:val="en-GB"/>
        </w:rPr>
        <w:t>Annex III</w:t>
      </w:r>
      <w:r>
        <w:rPr>
          <w:lang w:val="en-GB"/>
        </w:rPr>
        <w:t>)</w:t>
      </w:r>
      <w:r w:rsidRPr="00C06C95">
        <w:rPr>
          <w:lang w:val="en-GB"/>
        </w:rPr>
        <w:t xml:space="preserve"> </w:t>
      </w:r>
      <w:r w:rsidRPr="00C06C95">
        <w:t>to allow for adjustments necessary in the event of unforeseeable changes of circumstances on the ground</w:t>
      </w:r>
      <w:r>
        <w:t xml:space="preserve">, including possible fluctuations in exchange rates. </w:t>
      </w:r>
      <w:r>
        <w:rPr>
          <w:rFonts w:ascii="CIDFont+F1" w:eastAsiaTheme="minorEastAsia" w:hAnsi="CIDFont+F1" w:cs="CIDFont+F1"/>
          <w:color w:val="auto"/>
          <w:lang w:val="en-GB"/>
        </w:rPr>
        <w:t xml:space="preserve">It is to be noted, however, that </w:t>
      </w:r>
      <w:r>
        <w:rPr>
          <w:rFonts w:ascii="CIDFont+F1" w:eastAsiaTheme="minorEastAsia" w:hAnsi="CIDFont+F1" w:cs="CIDFont+F1"/>
          <w:color w:val="auto"/>
        </w:rPr>
        <w:t xml:space="preserve">the reserve can be used only with the prior written </w:t>
      </w:r>
      <w:r w:rsidR="005A0CD5">
        <w:rPr>
          <w:rFonts w:ascii="CIDFont+F1" w:eastAsiaTheme="minorEastAsia" w:hAnsi="CIDFont+F1" w:cs="CIDFont+F1"/>
          <w:color w:val="auto"/>
        </w:rPr>
        <w:t>authorization</w:t>
      </w:r>
      <w:r>
        <w:rPr>
          <w:rFonts w:ascii="CIDFont+F1" w:eastAsiaTheme="minorEastAsia" w:hAnsi="CIDFont+F1" w:cs="CIDFont+F1"/>
          <w:color w:val="auto"/>
        </w:rPr>
        <w:t xml:space="preserve"> of the Contracting</w:t>
      </w:r>
      <w:r>
        <w:rPr>
          <w:rFonts w:ascii="CIDFont+F1" w:eastAsiaTheme="minorEastAsia" w:hAnsi="CIDFont+F1" w:cs="CIDFont+F1"/>
          <w:color w:val="auto"/>
          <w:lang w:val="en-GB"/>
        </w:rPr>
        <w:t xml:space="preserve"> </w:t>
      </w:r>
      <w:r>
        <w:rPr>
          <w:rFonts w:ascii="CIDFont+F1" w:eastAsiaTheme="minorEastAsia" w:hAnsi="CIDFont+F1" w:cs="CIDFont+F1"/>
          <w:color w:val="auto"/>
        </w:rPr>
        <w:t>Authority</w:t>
      </w:r>
      <w:r>
        <w:rPr>
          <w:rFonts w:ascii="CIDFont+F1" w:eastAsiaTheme="minorEastAsia" w:hAnsi="CIDFont+F1" w:cs="CIDFont+F1"/>
          <w:color w:val="auto"/>
          <w:lang w:val="en-GB"/>
        </w:rPr>
        <w:t xml:space="preserve"> (</w:t>
      </w:r>
      <w:proofErr w:type="gramStart"/>
      <w:r>
        <w:rPr>
          <w:rFonts w:ascii="CIDFont+F1" w:eastAsiaTheme="minorEastAsia" w:hAnsi="CIDFont+F1" w:cs="CIDFont+F1"/>
          <w:color w:val="auto"/>
          <w:lang w:val="en-GB"/>
        </w:rPr>
        <w:t>i.e.</w:t>
      </w:r>
      <w:proofErr w:type="gramEnd"/>
      <w:r>
        <w:rPr>
          <w:rFonts w:ascii="CIDFont+F1" w:eastAsiaTheme="minorEastAsia" w:hAnsi="CIDFont+F1" w:cs="CIDFont+F1"/>
          <w:color w:val="auto"/>
          <w:lang w:val="en-GB"/>
        </w:rPr>
        <w:t xml:space="preserve"> EU)</w:t>
      </w:r>
      <w:r>
        <w:rPr>
          <w:rFonts w:ascii="CIDFont+F1" w:eastAsiaTheme="minorEastAsia" w:hAnsi="CIDFont+F1" w:cs="CIDFont+F1"/>
          <w:color w:val="auto"/>
        </w:rPr>
        <w:t xml:space="preserve">, upon a duly justified request from the </w:t>
      </w:r>
      <w:r w:rsidR="005A0CD5">
        <w:rPr>
          <w:rFonts w:ascii="CIDFont+F1" w:eastAsiaTheme="minorEastAsia" w:hAnsi="CIDFont+F1" w:cs="CIDFont+F1"/>
          <w:color w:val="auto"/>
        </w:rPr>
        <w:t>Organization</w:t>
      </w:r>
      <w:r>
        <w:rPr>
          <w:rFonts w:ascii="CIDFont+F1" w:eastAsiaTheme="minorEastAsia" w:hAnsi="CIDFont+F1" w:cs="CIDFont+F1"/>
          <w:color w:val="auto"/>
          <w:lang w:val="en-GB"/>
        </w:rPr>
        <w:t xml:space="preserve"> (i.e. UNDP).</w:t>
      </w:r>
      <w:r w:rsidR="00F87309">
        <w:rPr>
          <w:rFonts w:ascii="CIDFont+F1" w:eastAsiaTheme="minorEastAsia" w:hAnsi="CIDFont+F1" w:cs="CIDFont+F1"/>
          <w:color w:val="auto"/>
          <w:lang w:val="en-GB"/>
        </w:rPr>
        <w:t xml:space="preserve"> Therefore, the contingency is not calculated in the instalments as it will be released only if necessary and upon approval of the Contracting Authority.</w:t>
      </w:r>
      <w:r>
        <w:rPr>
          <w:rFonts w:ascii="CIDFont+F1" w:eastAsiaTheme="minorEastAsia" w:hAnsi="CIDFont+F1" w:cs="CIDFont+F1"/>
          <w:color w:val="auto"/>
          <w:lang w:val="en-GB"/>
        </w:rPr>
        <w:t xml:space="preserve"> The purpose of the contingency reserve is not to recover exchange rate losses, but rather to beef up </w:t>
      </w:r>
      <w:r w:rsidR="00C016B8">
        <w:rPr>
          <w:rFonts w:ascii="CIDFont+F1" w:eastAsiaTheme="minorEastAsia" w:hAnsi="CIDFont+F1" w:cs="CIDFont+F1"/>
          <w:color w:val="auto"/>
          <w:lang w:val="en-GB"/>
        </w:rPr>
        <w:t xml:space="preserve">those budget lines that have been most impacted by the exchange rate fluctuations. </w:t>
      </w:r>
    </w:p>
    <w:p w14:paraId="7441739A" w14:textId="77777777" w:rsidR="0008168F" w:rsidRPr="00221559" w:rsidRDefault="0008168F" w:rsidP="00221559">
      <w:pPr>
        <w:ind w:left="705" w:firstLine="0"/>
        <w:rPr>
          <w:rFonts w:ascii="CIDFont+F1" w:eastAsiaTheme="minorEastAsia" w:hAnsi="CIDFont+F1" w:cs="CIDFont+F1"/>
          <w:color w:val="auto"/>
          <w:lang w:val="en-GB"/>
        </w:rPr>
      </w:pPr>
    </w:p>
    <w:p w14:paraId="6D487D62" w14:textId="4733B9FD" w:rsidR="000F4815" w:rsidRPr="009B06F5" w:rsidRDefault="009B06F5" w:rsidP="009B06F5">
      <w:pPr>
        <w:pStyle w:val="Heading1"/>
        <w:spacing w:after="0" w:line="240" w:lineRule="auto"/>
        <w:ind w:left="0" w:hanging="142"/>
        <w:contextualSpacing/>
        <w:mirrorIndents/>
        <w:rPr>
          <w:lang w:val="en-GB"/>
        </w:rPr>
      </w:pPr>
      <w:r w:rsidRPr="009B06F5">
        <w:rPr>
          <w:lang w:val="en-GB"/>
        </w:rPr>
        <w:t xml:space="preserve">Reports </w:t>
      </w:r>
    </w:p>
    <w:p w14:paraId="21C2B08E" w14:textId="77777777" w:rsidR="002E5F1F" w:rsidRPr="00481ACF" w:rsidRDefault="002E5F1F" w:rsidP="0029273B">
      <w:pPr>
        <w:spacing w:after="0" w:line="240" w:lineRule="auto"/>
        <w:ind w:left="0" w:firstLine="0"/>
        <w:mirrorIndents/>
        <w:jc w:val="left"/>
        <w:rPr>
          <w:lang w:val="en-GB"/>
        </w:rPr>
      </w:pPr>
    </w:p>
    <w:p w14:paraId="2E7CB198" w14:textId="77777777" w:rsidR="00546B7E" w:rsidRDefault="00546B7E" w:rsidP="00F033E7">
      <w:pPr>
        <w:pStyle w:val="ListParagraph"/>
        <w:spacing w:after="0" w:line="240" w:lineRule="auto"/>
        <w:ind w:left="142" w:firstLine="0"/>
        <w:mirrorIndents/>
      </w:pPr>
      <w:r>
        <w:rPr>
          <w:lang w:val="en-GB"/>
        </w:rPr>
        <w:t xml:space="preserve">6. </w:t>
      </w:r>
      <w:r w:rsidR="00CB04F6">
        <w:rPr>
          <w:lang w:val="en-GB"/>
        </w:rPr>
        <w:t>As per FAFA</w:t>
      </w:r>
      <w:r w:rsidR="0049234C">
        <w:rPr>
          <w:lang w:val="en-GB"/>
        </w:rPr>
        <w:t xml:space="preserve"> (Article 2.1)</w:t>
      </w:r>
      <w:r w:rsidR="00CB04F6">
        <w:rPr>
          <w:lang w:val="en-GB"/>
        </w:rPr>
        <w:t xml:space="preserve">, </w:t>
      </w:r>
      <w:r w:rsidR="00F36FEB">
        <w:rPr>
          <w:lang w:val="en-GB"/>
        </w:rPr>
        <w:t>“</w:t>
      </w:r>
      <w:r w:rsidR="00CB04F6" w:rsidRPr="0029273B">
        <w:rPr>
          <w:i/>
          <w:iCs/>
          <w:lang w:val="en-GB"/>
        </w:rPr>
        <w:t xml:space="preserve">Reporting, narrative as well as financial, shall cover the whole of the Action described in the relevant contribution-specific agreements and their attached budgets, regardless of whether this Action is wholly financed or co-financed by the Commission. The narrative reports </w:t>
      </w:r>
      <w:proofErr w:type="gramStart"/>
      <w:r w:rsidR="00CB04F6" w:rsidRPr="0029273B">
        <w:rPr>
          <w:i/>
          <w:iCs/>
          <w:lang w:val="en-GB"/>
        </w:rPr>
        <w:t>shall</w:t>
      </w:r>
      <w:proofErr w:type="gramEnd"/>
      <w:r w:rsidR="00CB04F6" w:rsidRPr="0029273B">
        <w:rPr>
          <w:i/>
          <w:iCs/>
          <w:lang w:val="en-GB"/>
        </w:rPr>
        <w:t xml:space="preserve"> commensurate with the “Description of the action” and focus on results attained during the reporting period, the financial reports shall present the expenses with the same level of details as the “Budget of the action” had</w:t>
      </w:r>
      <w:r w:rsidR="00CB04F6" w:rsidRPr="00756EFB">
        <w:rPr>
          <w:lang w:val="en-GB"/>
        </w:rPr>
        <w:t>.</w:t>
      </w:r>
      <w:r w:rsidR="00CB10D5">
        <w:rPr>
          <w:lang w:val="en-GB"/>
        </w:rPr>
        <w:t xml:space="preserve"> </w:t>
      </w:r>
      <w:r w:rsidR="00CB10D5" w:rsidRPr="00756EFB">
        <w:rPr>
          <w:i/>
          <w:iCs/>
        </w:rPr>
        <w:t>The contribution-specific agreement sets out the information to be provided in reports by the United Nations to the Commission</w:t>
      </w:r>
      <w:r w:rsidR="00F36FEB">
        <w:rPr>
          <w:i/>
          <w:iCs/>
        </w:rPr>
        <w:t>”</w:t>
      </w:r>
      <w:r w:rsidR="00CB10D5">
        <w:rPr>
          <w:i/>
          <w:iCs/>
        </w:rPr>
        <w:t>.</w:t>
      </w:r>
    </w:p>
    <w:p w14:paraId="5E5248EE" w14:textId="77777777" w:rsidR="00546B7E" w:rsidRDefault="00546B7E" w:rsidP="00F033E7">
      <w:pPr>
        <w:pStyle w:val="ListParagraph"/>
        <w:spacing w:after="0" w:line="240" w:lineRule="auto"/>
        <w:ind w:left="142" w:firstLine="0"/>
        <w:mirrorIndents/>
      </w:pPr>
    </w:p>
    <w:p w14:paraId="3AB21D59" w14:textId="77777777" w:rsidR="00546B7E" w:rsidRDefault="00546B7E" w:rsidP="00F033E7">
      <w:pPr>
        <w:pStyle w:val="ListParagraph"/>
        <w:spacing w:after="0" w:line="240" w:lineRule="auto"/>
        <w:ind w:left="142" w:firstLine="0"/>
        <w:mirrorIndents/>
        <w:rPr>
          <w:lang w:val="en-GB"/>
        </w:rPr>
      </w:pPr>
      <w:r>
        <w:t xml:space="preserve">7. </w:t>
      </w:r>
      <w:r w:rsidR="00361A6B" w:rsidRPr="00361A6B">
        <w:rPr>
          <w:lang w:val="en-GB"/>
        </w:rPr>
        <w:t xml:space="preserve">UNDP is required to report to the EU according to the approved </w:t>
      </w:r>
      <w:r w:rsidR="009B06F5">
        <w:rPr>
          <w:lang w:val="en-GB"/>
        </w:rPr>
        <w:t>b</w:t>
      </w:r>
      <w:r w:rsidR="00361A6B" w:rsidRPr="00361A6B">
        <w:rPr>
          <w:lang w:val="en-GB"/>
        </w:rPr>
        <w:t xml:space="preserve">udget </w:t>
      </w:r>
      <w:r w:rsidR="009B06F5">
        <w:rPr>
          <w:lang w:val="en-GB"/>
        </w:rPr>
        <w:t>(</w:t>
      </w:r>
      <w:r w:rsidR="009B06F5" w:rsidRPr="003537E6">
        <w:rPr>
          <w:lang w:val="en-GB"/>
        </w:rPr>
        <w:t>Annex III</w:t>
      </w:r>
      <w:r w:rsidR="009B06F5">
        <w:rPr>
          <w:lang w:val="en-GB"/>
        </w:rPr>
        <w:t xml:space="preserve">) </w:t>
      </w:r>
      <w:r w:rsidR="00361A6B" w:rsidRPr="00361A6B">
        <w:rPr>
          <w:lang w:val="en-GB"/>
        </w:rPr>
        <w:t>of the EU-UNDP Agreement</w:t>
      </w:r>
      <w:r w:rsidR="00196A6E">
        <w:rPr>
          <w:lang w:val="en-GB"/>
        </w:rPr>
        <w:t xml:space="preserve">, </w:t>
      </w:r>
      <w:r w:rsidR="003B7CDA">
        <w:rPr>
          <w:lang w:val="en-GB"/>
        </w:rPr>
        <w:t xml:space="preserve">thus, </w:t>
      </w:r>
      <w:r w:rsidR="00196A6E">
        <w:rPr>
          <w:lang w:val="en-GB"/>
        </w:rPr>
        <w:t>f</w:t>
      </w:r>
      <w:r w:rsidR="009717C0">
        <w:rPr>
          <w:lang w:val="en-GB"/>
        </w:rPr>
        <w:t xml:space="preserve">or easier reporting, it is </w:t>
      </w:r>
      <w:r w:rsidR="00B22536" w:rsidRPr="00361A6B">
        <w:rPr>
          <w:lang w:val="en-GB"/>
        </w:rPr>
        <w:t xml:space="preserve">preferable that the budget </w:t>
      </w:r>
      <w:r w:rsidR="009717C0">
        <w:rPr>
          <w:lang w:val="en-GB"/>
        </w:rPr>
        <w:t xml:space="preserve">of the EU-UNDP Agreement </w:t>
      </w:r>
      <w:r w:rsidR="009717C0" w:rsidRPr="009717C0">
        <w:rPr>
          <w:lang w:val="en-GB"/>
        </w:rPr>
        <w:t>reflect</w:t>
      </w:r>
      <w:r w:rsidR="009717C0">
        <w:rPr>
          <w:lang w:val="en-GB"/>
        </w:rPr>
        <w:t>s</w:t>
      </w:r>
      <w:r w:rsidR="009717C0" w:rsidRPr="009717C0">
        <w:rPr>
          <w:lang w:val="en-GB"/>
        </w:rPr>
        <w:t xml:space="preserve"> the structure of the project’s budget </w:t>
      </w:r>
      <w:r w:rsidR="009717C0">
        <w:rPr>
          <w:lang w:val="en-GB"/>
        </w:rPr>
        <w:t>in UNDP’s ERP system.</w:t>
      </w:r>
      <w:r w:rsidR="00B22536" w:rsidRPr="00087778">
        <w:rPr>
          <w:lang w:val="en-GB"/>
        </w:rPr>
        <w:t xml:space="preserve">   </w:t>
      </w:r>
    </w:p>
    <w:p w14:paraId="0EA82248" w14:textId="77777777" w:rsidR="00546B7E" w:rsidRDefault="00546B7E" w:rsidP="00546B7E">
      <w:pPr>
        <w:pStyle w:val="ListParagraph"/>
        <w:spacing w:after="0" w:line="240" w:lineRule="auto"/>
        <w:ind w:left="142" w:firstLine="0"/>
        <w:mirrorIndents/>
        <w:jc w:val="left"/>
        <w:rPr>
          <w:lang w:val="en-GB"/>
        </w:rPr>
      </w:pPr>
    </w:p>
    <w:p w14:paraId="486E67AB" w14:textId="2630A14A" w:rsidR="0029287F" w:rsidRDefault="00546B7E" w:rsidP="00546B7E">
      <w:pPr>
        <w:pStyle w:val="ListParagraph"/>
        <w:spacing w:after="0" w:line="240" w:lineRule="auto"/>
        <w:ind w:left="142" w:firstLine="0"/>
        <w:mirrorIndents/>
        <w:jc w:val="left"/>
        <w:rPr>
          <w:lang w:val="en-GB"/>
        </w:rPr>
      </w:pPr>
      <w:r>
        <w:rPr>
          <w:lang w:val="en-GB"/>
        </w:rPr>
        <w:t xml:space="preserve">8. </w:t>
      </w:r>
      <w:r w:rsidR="00F8594F">
        <w:rPr>
          <w:lang w:val="en-GB"/>
        </w:rPr>
        <w:t>The following reports are available for</w:t>
      </w:r>
      <w:r w:rsidR="0029287F">
        <w:rPr>
          <w:lang w:val="en-GB"/>
        </w:rPr>
        <w:t xml:space="preserve"> </w:t>
      </w:r>
      <w:r w:rsidR="00C5287A">
        <w:rPr>
          <w:lang w:val="en-GB"/>
        </w:rPr>
        <w:t xml:space="preserve">preparing </w:t>
      </w:r>
      <w:r w:rsidR="005A0CD5">
        <w:rPr>
          <w:lang w:val="en-GB"/>
        </w:rPr>
        <w:t>the</w:t>
      </w:r>
      <w:r w:rsidR="00C5287A">
        <w:rPr>
          <w:lang w:val="en-GB"/>
        </w:rPr>
        <w:t xml:space="preserve"> </w:t>
      </w:r>
      <w:r w:rsidR="0029287F">
        <w:rPr>
          <w:lang w:val="en-GB"/>
        </w:rPr>
        <w:t>EU</w:t>
      </w:r>
      <w:r w:rsidR="0073278F">
        <w:rPr>
          <w:lang w:val="en-GB"/>
        </w:rPr>
        <w:t xml:space="preserve"> financial</w:t>
      </w:r>
      <w:r w:rsidR="0029287F">
        <w:rPr>
          <w:lang w:val="en-GB"/>
        </w:rPr>
        <w:t xml:space="preserve"> reporting</w:t>
      </w:r>
      <w:r w:rsidR="005A0CD5">
        <w:rPr>
          <w:rStyle w:val="FootnoteReference"/>
          <w:lang w:val="en-GB"/>
        </w:rPr>
        <w:footnoteReference w:id="5"/>
      </w:r>
      <w:r w:rsidR="007A00F3">
        <w:rPr>
          <w:lang w:val="en-GB"/>
        </w:rPr>
        <w:t xml:space="preserve"> (the list is not exhaustive)</w:t>
      </w:r>
      <w:r w:rsidR="00DA05B7">
        <w:rPr>
          <w:lang w:val="en-GB"/>
        </w:rPr>
        <w:t>:</w:t>
      </w:r>
    </w:p>
    <w:p w14:paraId="46DC8DAA" w14:textId="77777777" w:rsidR="00DE7979" w:rsidRDefault="00DE7979" w:rsidP="00DE7979">
      <w:pPr>
        <w:pStyle w:val="ListParagraph"/>
        <w:numPr>
          <w:ilvl w:val="0"/>
          <w:numId w:val="32"/>
        </w:numPr>
        <w:spacing w:after="0" w:line="240" w:lineRule="auto"/>
        <w:contextualSpacing w:val="0"/>
        <w:jc w:val="left"/>
        <w:rPr>
          <w:rFonts w:asciiTheme="minorHAnsi" w:hAnsiTheme="minorHAnsi" w:cstheme="minorHAnsi"/>
          <w:bCs/>
        </w:rPr>
      </w:pPr>
      <w:r w:rsidRPr="00756EFB">
        <w:rPr>
          <w:rFonts w:asciiTheme="minorHAnsi" w:hAnsiTheme="minorHAnsi" w:cstheme="minorHAnsi"/>
          <w:bCs/>
        </w:rPr>
        <w:t>AAA report</w:t>
      </w:r>
    </w:p>
    <w:p w14:paraId="0BF430D8" w14:textId="1E919494" w:rsidR="00500CB8" w:rsidRDefault="00500CB8" w:rsidP="00500CB8">
      <w:pPr>
        <w:pStyle w:val="ListParagraph"/>
        <w:numPr>
          <w:ilvl w:val="0"/>
          <w:numId w:val="32"/>
        </w:numPr>
        <w:spacing w:after="0" w:line="240" w:lineRule="auto"/>
        <w:contextualSpacing w:val="0"/>
        <w:jc w:val="left"/>
        <w:rPr>
          <w:rFonts w:asciiTheme="minorHAnsi" w:hAnsiTheme="minorHAnsi" w:cstheme="minorHAnsi"/>
          <w:bCs/>
        </w:rPr>
      </w:pPr>
      <w:r w:rsidRPr="00D51C6A">
        <w:rPr>
          <w:rFonts w:asciiTheme="minorHAnsi" w:hAnsiTheme="minorHAnsi" w:cstheme="minorHAnsi"/>
          <w:bCs/>
        </w:rPr>
        <w:t>Cumulative Project Interim Financial Report</w:t>
      </w:r>
      <w:r>
        <w:rPr>
          <w:rFonts w:asciiTheme="minorHAnsi" w:hAnsiTheme="minorHAnsi" w:cstheme="minorHAnsi"/>
          <w:bCs/>
        </w:rPr>
        <w:t xml:space="preserve"> (CPFR)</w:t>
      </w:r>
    </w:p>
    <w:p w14:paraId="51FDB008" w14:textId="308D1375" w:rsidR="009104A3" w:rsidRPr="00D51C6A" w:rsidRDefault="009104A3" w:rsidP="00500CB8">
      <w:pPr>
        <w:pStyle w:val="ListParagraph"/>
        <w:numPr>
          <w:ilvl w:val="0"/>
          <w:numId w:val="32"/>
        </w:numPr>
        <w:spacing w:after="0" w:line="240" w:lineRule="auto"/>
        <w:contextualSpacing w:val="0"/>
        <w:jc w:val="left"/>
        <w:rPr>
          <w:rFonts w:asciiTheme="minorHAnsi" w:hAnsiTheme="minorHAnsi" w:cstheme="minorHAnsi"/>
          <w:bCs/>
        </w:rPr>
      </w:pPr>
      <w:r>
        <w:rPr>
          <w:rFonts w:asciiTheme="minorHAnsi" w:hAnsiTheme="minorHAnsi" w:cstheme="minorHAnsi"/>
          <w:bCs/>
        </w:rPr>
        <w:t>Project Budget Balance</w:t>
      </w:r>
    </w:p>
    <w:p w14:paraId="6DBBEC77" w14:textId="31240943" w:rsidR="00DA7C09" w:rsidRDefault="00DA7C09" w:rsidP="00756EFB">
      <w:pPr>
        <w:pStyle w:val="ListParagraph"/>
        <w:spacing w:after="0" w:line="240" w:lineRule="auto"/>
        <w:ind w:left="705" w:firstLine="0"/>
        <w:mirrorIndents/>
        <w:jc w:val="left"/>
        <w:rPr>
          <w:lang w:val="en-GB"/>
        </w:rPr>
      </w:pPr>
    </w:p>
    <w:p w14:paraId="7ED21CB9" w14:textId="62E1BF31" w:rsidR="006B48EA" w:rsidRPr="00087778" w:rsidRDefault="00B22536" w:rsidP="00E21EC9">
      <w:pPr>
        <w:pStyle w:val="Heading1"/>
        <w:spacing w:after="0" w:line="240" w:lineRule="auto"/>
        <w:ind w:left="-180"/>
        <w:contextualSpacing/>
        <w:mirrorIndents/>
        <w:rPr>
          <w:lang w:val="en-GB"/>
        </w:rPr>
      </w:pPr>
      <w:r w:rsidRPr="00087778">
        <w:rPr>
          <w:lang w:val="en-GB"/>
        </w:rPr>
        <w:t xml:space="preserve">EC </w:t>
      </w:r>
      <w:r w:rsidR="005D2232">
        <w:rPr>
          <w:lang w:val="en-GB"/>
        </w:rPr>
        <w:t>Payment</w:t>
      </w:r>
      <w:r w:rsidR="00F033E7">
        <w:rPr>
          <w:lang w:val="en-GB"/>
        </w:rPr>
        <w:t>s</w:t>
      </w:r>
      <w:r w:rsidRPr="00087778">
        <w:rPr>
          <w:b w:val="0"/>
          <w:lang w:val="en-GB"/>
        </w:rPr>
        <w:t xml:space="preserve"> </w:t>
      </w:r>
      <w:r w:rsidRPr="00087778">
        <w:rPr>
          <w:lang w:val="en-GB"/>
        </w:rPr>
        <w:t xml:space="preserve"> </w:t>
      </w:r>
    </w:p>
    <w:p w14:paraId="7ED21CBA" w14:textId="77777777" w:rsidR="006B48EA" w:rsidRPr="00087778" w:rsidRDefault="00B22536" w:rsidP="000F4815">
      <w:pPr>
        <w:spacing w:after="0" w:line="240" w:lineRule="auto"/>
        <w:ind w:left="360" w:firstLine="0"/>
        <w:contextualSpacing/>
        <w:mirrorIndents/>
        <w:jc w:val="left"/>
        <w:rPr>
          <w:lang w:val="en-GB"/>
        </w:rPr>
      </w:pPr>
      <w:r w:rsidRPr="00087778">
        <w:rPr>
          <w:lang w:val="en-GB"/>
        </w:rPr>
        <w:t xml:space="preserve">   </w:t>
      </w:r>
    </w:p>
    <w:p w14:paraId="6B8D6D8C" w14:textId="77777777" w:rsidR="00F033E7" w:rsidRDefault="00546B7E" w:rsidP="00E21EC9">
      <w:pPr>
        <w:spacing w:after="0" w:line="240" w:lineRule="auto"/>
        <w:ind w:left="180" w:firstLine="0"/>
        <w:mirrorIndents/>
        <w:rPr>
          <w:lang w:val="en-GB"/>
        </w:rPr>
      </w:pPr>
      <w:r>
        <w:rPr>
          <w:lang w:val="en-GB"/>
        </w:rPr>
        <w:t xml:space="preserve">9. </w:t>
      </w:r>
      <w:r w:rsidR="00536928" w:rsidRPr="00546B7E">
        <w:rPr>
          <w:lang w:val="en-GB"/>
        </w:rPr>
        <w:t xml:space="preserve">The EU may </w:t>
      </w:r>
      <w:r w:rsidR="00A32D92" w:rsidRPr="00546B7E">
        <w:rPr>
          <w:lang w:val="en-GB"/>
        </w:rPr>
        <w:t>pre-finance up t</w:t>
      </w:r>
      <w:r w:rsidR="00C3072B" w:rsidRPr="00546B7E">
        <w:rPr>
          <w:lang w:val="en-GB"/>
        </w:rPr>
        <w:t>o</w:t>
      </w:r>
      <w:r w:rsidR="00A32D92" w:rsidRPr="00546B7E">
        <w:rPr>
          <w:lang w:val="en-GB"/>
        </w:rPr>
        <w:t xml:space="preserve"> 100% of the EU’s share to a given year’s budget, </w:t>
      </w:r>
      <w:r w:rsidR="005B45FE" w:rsidRPr="00546B7E">
        <w:rPr>
          <w:lang w:val="en-GB"/>
        </w:rPr>
        <w:t xml:space="preserve">without retaining a final payment. When the </w:t>
      </w:r>
      <w:r w:rsidR="009717C0" w:rsidRPr="00546B7E">
        <w:rPr>
          <w:lang w:val="en-GB"/>
        </w:rPr>
        <w:t xml:space="preserve">duration of a given project </w:t>
      </w:r>
      <w:r w:rsidR="005B45FE" w:rsidRPr="00546B7E">
        <w:rPr>
          <w:lang w:val="en-GB"/>
        </w:rPr>
        <w:t>is up to 18 months</w:t>
      </w:r>
      <w:r w:rsidR="009717C0" w:rsidRPr="00546B7E">
        <w:rPr>
          <w:lang w:val="en-GB"/>
        </w:rPr>
        <w:t xml:space="preserve">, </w:t>
      </w:r>
      <w:r w:rsidR="005B45FE" w:rsidRPr="00546B7E">
        <w:rPr>
          <w:lang w:val="en-GB"/>
        </w:rPr>
        <w:t>there shall be only 1 pre-financing instalment</w:t>
      </w:r>
      <w:r w:rsidR="009717C0" w:rsidRPr="00546B7E">
        <w:rPr>
          <w:lang w:val="en-GB"/>
        </w:rPr>
        <w:t>. W</w:t>
      </w:r>
      <w:r w:rsidR="005B45FE" w:rsidRPr="00546B7E">
        <w:rPr>
          <w:lang w:val="en-GB"/>
        </w:rPr>
        <w:t>hen the action is longer than 18 months</w:t>
      </w:r>
      <w:r w:rsidR="009717C0" w:rsidRPr="00546B7E">
        <w:rPr>
          <w:lang w:val="en-GB"/>
        </w:rPr>
        <w:t>,</w:t>
      </w:r>
      <w:r w:rsidR="005B45FE" w:rsidRPr="00546B7E">
        <w:rPr>
          <w:lang w:val="en-GB"/>
        </w:rPr>
        <w:t xml:space="preserve"> the EU contribution would come in several pre-financing instalments per each commencing 12 months of </w:t>
      </w:r>
      <w:r w:rsidR="009B06F5" w:rsidRPr="00546B7E">
        <w:rPr>
          <w:lang w:val="en-GB"/>
        </w:rPr>
        <w:t xml:space="preserve">project’s </w:t>
      </w:r>
      <w:r w:rsidR="005B45FE" w:rsidRPr="00546B7E">
        <w:rPr>
          <w:lang w:val="en-GB"/>
        </w:rPr>
        <w:t xml:space="preserve">implementation, unless otherwise agreed with the EU. </w:t>
      </w:r>
    </w:p>
    <w:p w14:paraId="2FA021F9" w14:textId="77777777" w:rsidR="00F033E7" w:rsidRDefault="00F033E7" w:rsidP="00E21EC9">
      <w:pPr>
        <w:spacing w:after="0" w:line="240" w:lineRule="auto"/>
        <w:ind w:left="180" w:firstLine="0"/>
        <w:mirrorIndents/>
        <w:rPr>
          <w:lang w:val="en-GB"/>
        </w:rPr>
      </w:pPr>
    </w:p>
    <w:p w14:paraId="7ADD5767" w14:textId="2BB09064" w:rsidR="005B45FE" w:rsidRDefault="0054729F" w:rsidP="00E21EC9">
      <w:pPr>
        <w:spacing w:after="0" w:line="240" w:lineRule="auto"/>
        <w:ind w:left="180" w:firstLine="0"/>
        <w:mirrorIndents/>
        <w:rPr>
          <w:lang w:val="en-GB"/>
        </w:rPr>
      </w:pPr>
      <w:r>
        <w:rPr>
          <w:lang w:val="en-GB"/>
        </w:rPr>
        <w:t xml:space="preserve">10. </w:t>
      </w:r>
      <w:r w:rsidR="005B45FE" w:rsidRPr="00756EFB">
        <w:rPr>
          <w:lang w:val="en-GB"/>
        </w:rPr>
        <w:t xml:space="preserve">It should be noted that in some exceptional cases the EU may retain up to 20 % of the EU’s share of the final year’s budget, in which case UNDP would need to “advance” and </w:t>
      </w:r>
      <w:r w:rsidR="009B06F5" w:rsidRPr="00756EFB">
        <w:rPr>
          <w:lang w:val="en-GB"/>
        </w:rPr>
        <w:t>spend</w:t>
      </w:r>
      <w:r w:rsidR="005B45FE" w:rsidRPr="00756EFB">
        <w:rPr>
          <w:lang w:val="en-GB"/>
        </w:rPr>
        <w:t xml:space="preserve"> the corresponding amounts within the implementation period in line with EU’s eligibility criteria and subject to approval of the final report by the EU.</w:t>
      </w:r>
    </w:p>
    <w:p w14:paraId="64E941BC" w14:textId="77777777" w:rsidR="00AC63F3" w:rsidRPr="00756EFB" w:rsidRDefault="00AC63F3" w:rsidP="00E21EC9">
      <w:pPr>
        <w:spacing w:after="0" w:line="240" w:lineRule="auto"/>
        <w:ind w:left="180" w:firstLine="0"/>
        <w:mirrorIndents/>
        <w:rPr>
          <w:lang w:val="en-GB"/>
        </w:rPr>
      </w:pPr>
    </w:p>
    <w:p w14:paraId="7381EF57" w14:textId="47651C14" w:rsidR="005B45FE" w:rsidRPr="00756EFB" w:rsidRDefault="0054729F" w:rsidP="00E21EC9">
      <w:pPr>
        <w:pStyle w:val="ListParagraph"/>
        <w:spacing w:after="0" w:line="240" w:lineRule="auto"/>
        <w:ind w:left="180" w:firstLine="0"/>
        <w:mirrorIndents/>
        <w:rPr>
          <w:lang w:val="en-GB"/>
        </w:rPr>
      </w:pPr>
      <w:r>
        <w:rPr>
          <w:lang w:val="en-GB"/>
        </w:rPr>
        <w:t xml:space="preserve">11. </w:t>
      </w:r>
      <w:r w:rsidR="009717C0" w:rsidRPr="00756EFB">
        <w:rPr>
          <w:lang w:val="en-GB"/>
        </w:rPr>
        <w:t>This is still the case for humanit</w:t>
      </w:r>
      <w:r w:rsidR="005B45FE" w:rsidRPr="00756EFB">
        <w:rPr>
          <w:lang w:val="en-GB"/>
        </w:rPr>
        <w:t>arian operations funded by DG ECHO</w:t>
      </w:r>
      <w:r w:rsidR="009717C0" w:rsidRPr="00756EFB">
        <w:rPr>
          <w:lang w:val="en-GB"/>
        </w:rPr>
        <w:t xml:space="preserve"> (EU Humanitarian Assistance) who </w:t>
      </w:r>
      <w:r w:rsidR="005B45FE" w:rsidRPr="00756EFB">
        <w:rPr>
          <w:lang w:val="en-GB"/>
        </w:rPr>
        <w:t xml:space="preserve">would pre-finance 80% of its overall contribution to the action and retain 20% as final payment of its overall contribution to the action.  </w:t>
      </w:r>
    </w:p>
    <w:p w14:paraId="1F4D8007" w14:textId="63668BBD" w:rsidR="005B45FE" w:rsidRDefault="005B45FE" w:rsidP="00F033E7">
      <w:pPr>
        <w:spacing w:after="0" w:line="240" w:lineRule="auto"/>
        <w:ind w:left="360"/>
        <w:contextualSpacing/>
        <w:mirrorIndents/>
        <w:rPr>
          <w:lang w:val="en-GB"/>
        </w:rPr>
      </w:pPr>
    </w:p>
    <w:p w14:paraId="5A0A81C1" w14:textId="7F4FB9CC" w:rsidR="00361A6B" w:rsidRPr="00D249C2" w:rsidRDefault="0054729F" w:rsidP="00F033E7">
      <w:pPr>
        <w:pStyle w:val="ListParagraph"/>
        <w:spacing w:after="0" w:line="240" w:lineRule="auto"/>
        <w:ind w:left="705" w:firstLine="0"/>
        <w:mirrorIndents/>
        <w:rPr>
          <w:lang w:val="en-GB"/>
        </w:rPr>
      </w:pPr>
      <w:r>
        <w:rPr>
          <w:lang w:val="en-GB"/>
        </w:rPr>
        <w:lastRenderedPageBreak/>
        <w:t xml:space="preserve">12. </w:t>
      </w:r>
      <w:r w:rsidR="009717C0" w:rsidRPr="00361A6B">
        <w:rPr>
          <w:lang w:val="en-GB"/>
        </w:rPr>
        <w:t>UNDP may request the next pre-financing instalment only upon fulfilling the reporting</w:t>
      </w:r>
      <w:r w:rsidR="009B06F5">
        <w:rPr>
          <w:lang w:val="en-GB"/>
        </w:rPr>
        <w:t xml:space="preserve"> </w:t>
      </w:r>
      <w:r w:rsidR="009717C0" w:rsidRPr="00361A6B">
        <w:rPr>
          <w:lang w:val="en-GB"/>
        </w:rPr>
        <w:t xml:space="preserve">requirements set out in the relevant specific contribution agreement. The payment schedules are detailed in each individual contribution-specific agreement. </w:t>
      </w:r>
    </w:p>
    <w:p w14:paraId="577B1EF7" w14:textId="77777777" w:rsidR="00361A6B" w:rsidRPr="00087778" w:rsidRDefault="00361A6B" w:rsidP="00361A6B">
      <w:pPr>
        <w:spacing w:after="0" w:line="240" w:lineRule="auto"/>
        <w:ind w:left="360" w:firstLine="0"/>
        <w:contextualSpacing/>
        <w:mirrorIndents/>
        <w:jc w:val="left"/>
        <w:rPr>
          <w:lang w:val="en-GB"/>
        </w:rPr>
      </w:pPr>
    </w:p>
    <w:p w14:paraId="7BE77E57" w14:textId="77777777" w:rsidR="009B06F5" w:rsidRPr="009B06F5" w:rsidRDefault="00361A6B" w:rsidP="00F033E7">
      <w:pPr>
        <w:spacing w:after="0" w:line="240" w:lineRule="auto"/>
        <w:ind w:left="705" w:firstLine="0"/>
        <w:contextualSpacing/>
        <w:mirrorIndents/>
        <w:rPr>
          <w:lang w:val="en-GB"/>
        </w:rPr>
      </w:pPr>
      <w:r w:rsidRPr="00087778">
        <w:rPr>
          <w:color w:val="333333"/>
          <w:lang w:val="en-GB"/>
        </w:rPr>
        <w:t>UNDP offices implementing EU-funded acti</w:t>
      </w:r>
      <w:r>
        <w:rPr>
          <w:color w:val="333333"/>
          <w:lang w:val="en-GB"/>
        </w:rPr>
        <w:t>ons</w:t>
      </w:r>
      <w:r w:rsidRPr="00087778">
        <w:rPr>
          <w:color w:val="333333"/>
          <w:lang w:val="en-GB"/>
        </w:rPr>
        <w:t xml:space="preserve"> are required to thoroughly review the contribution-specific agreements </w:t>
      </w:r>
      <w:proofErr w:type="gramStart"/>
      <w:r w:rsidRPr="00087778">
        <w:rPr>
          <w:color w:val="333333"/>
          <w:lang w:val="en-GB"/>
        </w:rPr>
        <w:t>in order to</w:t>
      </w:r>
      <w:proofErr w:type="gramEnd"/>
      <w:r w:rsidRPr="00087778">
        <w:rPr>
          <w:color w:val="333333"/>
          <w:lang w:val="en-GB"/>
        </w:rPr>
        <w:t xml:space="preserve"> comply with the prescribed reporting requirements. </w:t>
      </w:r>
    </w:p>
    <w:p w14:paraId="74346176" w14:textId="77777777" w:rsidR="00221559" w:rsidRDefault="00221559" w:rsidP="00F033E7">
      <w:pPr>
        <w:spacing w:after="0" w:line="240" w:lineRule="auto"/>
        <w:ind w:left="705" w:firstLine="0"/>
        <w:contextualSpacing/>
        <w:mirrorIndents/>
        <w:rPr>
          <w:color w:val="333333"/>
          <w:lang w:val="en-GB"/>
        </w:rPr>
      </w:pPr>
    </w:p>
    <w:p w14:paraId="295FD5B4" w14:textId="1205665B" w:rsidR="00361A6B" w:rsidRDefault="00361A6B" w:rsidP="00F033E7">
      <w:pPr>
        <w:spacing w:after="0" w:line="240" w:lineRule="auto"/>
        <w:ind w:left="705" w:firstLine="0"/>
        <w:contextualSpacing/>
        <w:mirrorIndents/>
        <w:rPr>
          <w:lang w:val="en-GB"/>
        </w:rPr>
      </w:pPr>
      <w:r w:rsidRPr="00087778">
        <w:rPr>
          <w:color w:val="333333"/>
          <w:lang w:val="en-GB"/>
        </w:rPr>
        <w:t xml:space="preserve">Questions relating to </w:t>
      </w:r>
      <w:r>
        <w:rPr>
          <w:color w:val="333333"/>
          <w:lang w:val="en-GB"/>
        </w:rPr>
        <w:t xml:space="preserve">EU </w:t>
      </w:r>
      <w:r w:rsidRPr="00087778">
        <w:rPr>
          <w:color w:val="333333"/>
          <w:lang w:val="en-GB"/>
        </w:rPr>
        <w:t xml:space="preserve">contractual aspects can be brought to the </w:t>
      </w:r>
      <w:r>
        <w:rPr>
          <w:color w:val="333333"/>
          <w:lang w:val="en-GB"/>
        </w:rPr>
        <w:t xml:space="preserve">UNDP </w:t>
      </w:r>
      <w:r w:rsidRPr="00087778">
        <w:rPr>
          <w:color w:val="333333"/>
          <w:lang w:val="en-GB"/>
        </w:rPr>
        <w:t>Brussels</w:t>
      </w:r>
      <w:r>
        <w:rPr>
          <w:color w:val="333333"/>
          <w:lang w:val="en-GB"/>
        </w:rPr>
        <w:t xml:space="preserve"> Representation Office</w:t>
      </w:r>
      <w:r w:rsidRPr="00087778">
        <w:rPr>
          <w:color w:val="333333"/>
          <w:lang w:val="en-GB"/>
        </w:rPr>
        <w:t xml:space="preserve">-based </w:t>
      </w:r>
      <w:r w:rsidRPr="00087778">
        <w:rPr>
          <w:b/>
          <w:color w:val="333333"/>
          <w:lang w:val="en-GB"/>
        </w:rPr>
        <w:t xml:space="preserve">Helpdesk at: </w:t>
      </w:r>
      <w:r w:rsidRPr="00087778">
        <w:rPr>
          <w:lang w:val="en-GB"/>
        </w:rPr>
        <w:t xml:space="preserve"> </w:t>
      </w:r>
      <w:r w:rsidRPr="00AB06D0">
        <w:rPr>
          <w:b/>
          <w:color w:val="0000FF"/>
          <w:u w:val="single" w:color="0000FF"/>
          <w:lang w:val="en-GB"/>
        </w:rPr>
        <w:t>ecsupport@undp.org</w:t>
      </w:r>
      <w:r w:rsidRPr="00AB06D0">
        <w:rPr>
          <w:color w:val="333333"/>
          <w:lang w:val="en-GB"/>
        </w:rPr>
        <w:t xml:space="preserve">  </w:t>
      </w:r>
      <w:r w:rsidRPr="00AB06D0">
        <w:rPr>
          <w:lang w:val="en-GB"/>
        </w:rPr>
        <w:t xml:space="preserve"> </w:t>
      </w:r>
    </w:p>
    <w:p w14:paraId="3C728FDA" w14:textId="77777777" w:rsidR="00221559" w:rsidRDefault="00221559" w:rsidP="00F033E7">
      <w:pPr>
        <w:spacing w:after="0" w:line="240" w:lineRule="auto"/>
        <w:ind w:left="705" w:firstLine="0"/>
        <w:contextualSpacing/>
        <w:mirrorIndents/>
        <w:rPr>
          <w:color w:val="333333"/>
          <w:lang w:val="en-GB"/>
        </w:rPr>
      </w:pPr>
    </w:p>
    <w:p w14:paraId="00D68B5F" w14:textId="541D4740" w:rsidR="009B06F5" w:rsidRDefault="009B06F5" w:rsidP="00F033E7">
      <w:pPr>
        <w:spacing w:after="0" w:line="240" w:lineRule="auto"/>
        <w:ind w:left="705" w:firstLine="0"/>
        <w:contextualSpacing/>
        <w:mirrorIndents/>
        <w:rPr>
          <w:lang w:val="en-GB"/>
        </w:rPr>
      </w:pPr>
      <w:r>
        <w:rPr>
          <w:color w:val="333333"/>
          <w:lang w:val="en-GB"/>
        </w:rPr>
        <w:t xml:space="preserve">Questions relating to UNDP’s </w:t>
      </w:r>
      <w:r w:rsidR="00C3487F">
        <w:rPr>
          <w:color w:val="333333"/>
          <w:lang w:val="en-GB"/>
        </w:rPr>
        <w:t>finance matters</w:t>
      </w:r>
      <w:r>
        <w:rPr>
          <w:color w:val="333333"/>
          <w:lang w:val="en-GB"/>
        </w:rPr>
        <w:t xml:space="preserve"> can </w:t>
      </w:r>
      <w:r w:rsidR="008557E0">
        <w:rPr>
          <w:color w:val="333333"/>
          <w:lang w:val="en-GB"/>
        </w:rPr>
        <w:t>be addressed</w:t>
      </w:r>
      <w:r w:rsidR="00AC35A7">
        <w:rPr>
          <w:color w:val="333333"/>
          <w:lang w:val="en-GB"/>
        </w:rPr>
        <w:t xml:space="preserve"> to</w:t>
      </w:r>
      <w:r w:rsidR="00C3487F">
        <w:rPr>
          <w:lang w:val="en-GB"/>
        </w:rPr>
        <w:t xml:space="preserve"> </w:t>
      </w:r>
      <w:hyperlink r:id="rId19" w:history="1">
        <w:r w:rsidR="00C3487F" w:rsidRPr="007F2A49">
          <w:rPr>
            <w:rStyle w:val="Hyperlink"/>
            <w:lang w:val="en-GB"/>
          </w:rPr>
          <w:t>fba.all@undp.org</w:t>
        </w:r>
      </w:hyperlink>
      <w:r w:rsidR="00C3487F">
        <w:rPr>
          <w:lang w:val="en-GB"/>
        </w:rPr>
        <w:t xml:space="preserve"> </w:t>
      </w:r>
    </w:p>
    <w:p w14:paraId="6B02E00C" w14:textId="77777777" w:rsidR="00522437" w:rsidRPr="00AB06D0" w:rsidRDefault="00522437" w:rsidP="00F033E7">
      <w:pPr>
        <w:spacing w:after="0" w:line="240" w:lineRule="auto"/>
        <w:ind w:left="705" w:firstLine="0"/>
        <w:contextualSpacing/>
        <w:mirrorIndents/>
        <w:rPr>
          <w:lang w:val="en-GB"/>
        </w:rPr>
      </w:pPr>
    </w:p>
    <w:p w14:paraId="5ED61F49" w14:textId="77777777" w:rsidR="00361A6B" w:rsidRPr="00087778" w:rsidRDefault="00361A6B" w:rsidP="000F4815">
      <w:pPr>
        <w:spacing w:after="0" w:line="240" w:lineRule="auto"/>
        <w:ind w:left="0" w:firstLine="0"/>
        <w:contextualSpacing/>
        <w:mirrorIndents/>
        <w:jc w:val="left"/>
        <w:rPr>
          <w:lang w:val="en-GB"/>
        </w:rPr>
      </w:pPr>
    </w:p>
    <w:sectPr w:rsidR="00361A6B" w:rsidRPr="00087778" w:rsidSect="00A76E47">
      <w:headerReference w:type="default" r:id="rId20"/>
      <w:footerReference w:type="even" r:id="rId21"/>
      <w:footerReference w:type="default" r:id="rId22"/>
      <w:footerReference w:type="first" r:id="rId23"/>
      <w:pgSz w:w="11906" w:h="16838"/>
      <w:pgMar w:top="1217" w:right="707" w:bottom="1298" w:left="1688" w:header="72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C3FD" w14:textId="77777777" w:rsidR="002346E8" w:rsidRDefault="002346E8">
      <w:pPr>
        <w:spacing w:after="0" w:line="240" w:lineRule="auto"/>
      </w:pPr>
      <w:r>
        <w:separator/>
      </w:r>
    </w:p>
  </w:endnote>
  <w:endnote w:type="continuationSeparator" w:id="0">
    <w:p w14:paraId="520AF61C" w14:textId="77777777" w:rsidR="002346E8" w:rsidRDefault="002346E8">
      <w:pPr>
        <w:spacing w:after="0" w:line="240" w:lineRule="auto"/>
      </w:pPr>
      <w:r>
        <w:continuationSeparator/>
      </w:r>
    </w:p>
  </w:endnote>
  <w:endnote w:type="continuationNotice" w:id="1">
    <w:p w14:paraId="0836791D" w14:textId="77777777" w:rsidR="002346E8" w:rsidRDefault="002346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1CCE" w14:textId="77777777" w:rsidR="006B48EA" w:rsidRDefault="00B22536">
    <w:pPr>
      <w:spacing w:after="0"/>
      <w:ind w:left="8" w:firstLine="0"/>
      <w:jc w:val="center"/>
    </w:pPr>
    <w:r>
      <w:fldChar w:fldCharType="begin"/>
    </w:r>
    <w:r>
      <w:instrText xml:space="preserve"> PAGE   \* MERGEFORMAT </w:instrText>
    </w:r>
    <w:r>
      <w:fldChar w:fldCharType="separate"/>
    </w:r>
    <w:r>
      <w:t>1</w:t>
    </w:r>
    <w:r>
      <w:fldChar w:fldCharType="end"/>
    </w:r>
    <w:r>
      <w:t xml:space="preserve">  </w:t>
    </w:r>
  </w:p>
  <w:p w14:paraId="7ED21CCF" w14:textId="77777777" w:rsidR="006B48EA" w:rsidRDefault="00B22536">
    <w:pPr>
      <w:spacing w:after="0"/>
      <w:ind w:left="14"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1CD1" w14:textId="550BF503" w:rsidR="006B48EA" w:rsidRDefault="00087778">
    <w:pPr>
      <w:spacing w:after="0"/>
      <w:ind w:left="14" w:firstLine="0"/>
      <w:jc w:val="left"/>
    </w:pPr>
    <w:r>
      <w:t xml:space="preserve">Page </w:t>
    </w:r>
    <w:r>
      <w:rPr>
        <w:b/>
      </w:rPr>
      <w:fldChar w:fldCharType="begin"/>
    </w:r>
    <w:r>
      <w:rPr>
        <w:b/>
      </w:rPr>
      <w:instrText xml:space="preserve"> PAGE  \* Arabic  \* MERGEFORMAT </w:instrText>
    </w:r>
    <w:r>
      <w:rPr>
        <w:b/>
      </w:rPr>
      <w:fldChar w:fldCharType="separate"/>
    </w:r>
    <w:r w:rsidR="00E22766">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E22766">
      <w:rPr>
        <w:b/>
        <w:noProof/>
      </w:rPr>
      <w:t>6</w:t>
    </w:r>
    <w:r>
      <w:rPr>
        <w:b/>
      </w:rPr>
      <w:fldChar w:fldCharType="end"/>
    </w:r>
    <w:r>
      <w:ptab w:relativeTo="margin" w:alignment="center" w:leader="none"/>
    </w:r>
    <w:r w:rsidRPr="00087778">
      <w:t>Effective Date:</w:t>
    </w:r>
    <w:r>
      <w:t xml:space="preserve"> </w:t>
    </w:r>
    <w:sdt>
      <w:sdtPr>
        <w:alias w:val="Effective Date"/>
        <w:tag w:val="UNDP_POPP_EFFECTIVEDATE"/>
        <w:id w:val="657659537"/>
        <w:placeholder>
          <w:docPart w:val="5606983374AD4C459693684759707617"/>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1905DCFC-B0B1-42FC-BF1B-AF295136391C}"/>
        <w:date w:fullDate="2022-12-01T00:00:00Z">
          <w:dateFormat w:val="dd/MM/yyyy"/>
          <w:lid w:val="en-US"/>
          <w:storeMappedDataAs w:val="dateTime"/>
          <w:calendar w:val="gregorian"/>
        </w:date>
      </w:sdtPr>
      <w:sdtEndPr/>
      <w:sdtContent>
        <w:r w:rsidR="00E21EC9">
          <w:t>01/12/2022</w:t>
        </w:r>
      </w:sdtContent>
    </w:sdt>
    <w:r>
      <w:ptab w:relativeTo="margin" w:alignment="right" w:leader="none"/>
    </w:r>
    <w:r w:rsidRPr="00087778">
      <w:t>Version #:</w:t>
    </w:r>
    <w:r>
      <w:t xml:space="preserve"> </w:t>
    </w:r>
    <w:sdt>
      <w:sdtPr>
        <w:alias w:val="POPPRefItemVersion"/>
        <w:tag w:val="UNDP_POPP_REFITEM_VERSION"/>
        <w:id w:val="1440328897"/>
        <w:placeholder>
          <w:docPart w:val="C3506E07C78345E2B66427025087FFF7"/>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1905DCFC-B0B1-42FC-BF1B-AF295136391C}"/>
        <w:text/>
      </w:sdtPr>
      <w:sdtEnd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1CD2" w14:textId="77777777" w:rsidR="006B48EA" w:rsidRDefault="00B22536">
    <w:pPr>
      <w:spacing w:after="0"/>
      <w:ind w:left="8" w:firstLine="0"/>
      <w:jc w:val="center"/>
    </w:pPr>
    <w:r>
      <w:fldChar w:fldCharType="begin"/>
    </w:r>
    <w:r>
      <w:instrText xml:space="preserve"> PAGE   \* MERGEFORMAT </w:instrText>
    </w:r>
    <w:r>
      <w:fldChar w:fldCharType="separate"/>
    </w:r>
    <w:r>
      <w:t>1</w:t>
    </w:r>
    <w:r>
      <w:fldChar w:fldCharType="end"/>
    </w:r>
    <w:r>
      <w:t xml:space="preserve">  </w:t>
    </w:r>
  </w:p>
  <w:p w14:paraId="7ED21CD3" w14:textId="77777777" w:rsidR="006B48EA" w:rsidRDefault="00B22536">
    <w:pPr>
      <w:spacing w:after="0"/>
      <w:ind w:left="14"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28598" w14:textId="77777777" w:rsidR="002346E8" w:rsidRDefault="002346E8">
      <w:pPr>
        <w:spacing w:after="0" w:line="263" w:lineRule="auto"/>
        <w:ind w:left="14" w:firstLine="0"/>
        <w:jc w:val="left"/>
      </w:pPr>
      <w:r>
        <w:separator/>
      </w:r>
    </w:p>
  </w:footnote>
  <w:footnote w:type="continuationSeparator" w:id="0">
    <w:p w14:paraId="575D3876" w14:textId="77777777" w:rsidR="002346E8" w:rsidRDefault="002346E8">
      <w:pPr>
        <w:spacing w:after="0" w:line="263" w:lineRule="auto"/>
        <w:ind w:left="14" w:firstLine="0"/>
        <w:jc w:val="left"/>
      </w:pPr>
      <w:r>
        <w:continuationSeparator/>
      </w:r>
    </w:p>
  </w:footnote>
  <w:footnote w:type="continuationNotice" w:id="1">
    <w:p w14:paraId="3439C06A" w14:textId="77777777" w:rsidR="002346E8" w:rsidRDefault="002346E8">
      <w:pPr>
        <w:spacing w:after="0" w:line="240" w:lineRule="auto"/>
      </w:pPr>
    </w:p>
  </w:footnote>
  <w:footnote w:id="2">
    <w:p w14:paraId="4681B41E" w14:textId="0FACCA57" w:rsidR="00403D82" w:rsidRPr="00403D82" w:rsidRDefault="00403D82" w:rsidP="00A76E47">
      <w:pPr>
        <w:pStyle w:val="FootnoteText"/>
        <w:tabs>
          <w:tab w:val="left" w:pos="56"/>
        </w:tabs>
        <w:ind w:left="1276" w:right="-687" w:hanging="1220"/>
        <w:jc w:val="left"/>
      </w:pPr>
      <w:r>
        <w:rPr>
          <w:rStyle w:val="FootnoteReference"/>
        </w:rPr>
        <w:footnoteRef/>
      </w:r>
      <w:hyperlink r:id="rId1" w:history="1">
        <w:r w:rsidR="00F033E7" w:rsidRPr="003711D0">
          <w:rPr>
            <w:rStyle w:val="Hyperlink"/>
          </w:rPr>
          <w:t>https://ec.europa.eu/info/funding-tenders/procedures-guidelines-tenders/information-contractors-and beneficiaries/exchange-rate-</w:t>
        </w:r>
        <w:proofErr w:type="spellStart"/>
        <w:r w:rsidR="00F033E7" w:rsidRPr="003711D0">
          <w:rPr>
            <w:rStyle w:val="Hyperlink"/>
          </w:rPr>
          <w:t>inforeuro_en</w:t>
        </w:r>
        <w:proofErr w:type="spellEnd"/>
      </w:hyperlink>
      <w:r w:rsidR="00A76E47">
        <w:t xml:space="preserve"> </w:t>
      </w:r>
    </w:p>
  </w:footnote>
  <w:footnote w:id="3">
    <w:p w14:paraId="757033AD" w14:textId="2273FB8B" w:rsidR="008E7B5F" w:rsidRPr="008E7B5F" w:rsidRDefault="008E7B5F" w:rsidP="00A76E47">
      <w:pPr>
        <w:pStyle w:val="FootnoteText"/>
        <w:ind w:left="426"/>
        <w:jc w:val="left"/>
      </w:pPr>
      <w:r>
        <w:rPr>
          <w:rStyle w:val="FootnoteReference"/>
        </w:rPr>
        <w:footnoteRef/>
      </w:r>
      <w:r>
        <w:t xml:space="preserve"> </w:t>
      </w:r>
      <w:hyperlink r:id="rId2" w:history="1">
        <w:r w:rsidR="00A76E47" w:rsidRPr="003711D0">
          <w:rPr>
            <w:rStyle w:val="Hyperlink"/>
          </w:rPr>
          <w:t>https://treasury.un.org/operationalrates/default.php</w:t>
        </w:r>
      </w:hyperlink>
      <w:r w:rsidR="00A76E47">
        <w:t xml:space="preserve"> </w:t>
      </w:r>
    </w:p>
  </w:footnote>
  <w:footnote w:id="4">
    <w:p w14:paraId="47D218EC" w14:textId="00D5BCBF" w:rsidR="005A0CD5" w:rsidRPr="00957731" w:rsidRDefault="005A0CD5" w:rsidP="00A76E47">
      <w:pPr>
        <w:pStyle w:val="FootnoteText"/>
        <w:ind w:left="426" w:right="-403"/>
        <w:jc w:val="left"/>
        <w:rPr>
          <w:sz w:val="18"/>
          <w:szCs w:val="18"/>
          <w:lang w:val="en-GB"/>
        </w:rPr>
      </w:pPr>
      <w:r>
        <w:rPr>
          <w:rStyle w:val="FootnoteReference"/>
        </w:rPr>
        <w:footnoteRef/>
      </w:r>
      <w:r>
        <w:t xml:space="preserve"> </w:t>
      </w:r>
      <w:r w:rsidR="00957731" w:rsidRPr="00957731">
        <w:rPr>
          <w:sz w:val="18"/>
          <w:szCs w:val="18"/>
        </w:rPr>
        <w:t xml:space="preserve">Pre-financing requires approval according to </w:t>
      </w:r>
      <w:hyperlink r:id="rId3" w:history="1">
        <w:r w:rsidR="00957731" w:rsidRPr="00957731">
          <w:rPr>
            <w:rStyle w:val="Hyperlink"/>
            <w:sz w:val="18"/>
            <w:szCs w:val="18"/>
          </w:rPr>
          <w:t>Operational Guide of the Internal Control Framework for UNDP</w:t>
        </w:r>
      </w:hyperlink>
      <w:r w:rsidR="00957731" w:rsidRPr="00957731">
        <w:rPr>
          <w:sz w:val="18"/>
          <w:szCs w:val="18"/>
        </w:rPr>
        <w:t xml:space="preserve"> (page 71)</w:t>
      </w:r>
    </w:p>
  </w:footnote>
  <w:footnote w:id="5">
    <w:p w14:paraId="76DA3D37" w14:textId="7C4A2788" w:rsidR="00957731" w:rsidRPr="00957731" w:rsidRDefault="005A0CD5" w:rsidP="00E21EC9">
      <w:pPr>
        <w:pStyle w:val="FootnoteText"/>
        <w:ind w:left="142" w:right="61" w:hanging="142"/>
        <w:rPr>
          <w:sz w:val="18"/>
          <w:szCs w:val="18"/>
          <w:lang w:val="en-GB"/>
        </w:rPr>
      </w:pPr>
      <w:r>
        <w:rPr>
          <w:rStyle w:val="FootnoteReference"/>
        </w:rPr>
        <w:footnoteRef/>
      </w:r>
      <w:r>
        <w:t xml:space="preserve"> </w:t>
      </w:r>
      <w:r w:rsidR="00957731" w:rsidRPr="00957731">
        <w:rPr>
          <w:sz w:val="18"/>
          <w:szCs w:val="18"/>
          <w:lang w:val="en-GB"/>
        </w:rPr>
        <w:t>It is to be noted that UNDP doesn’t share these reports with the EU. UNDP will report to the EU using only the agreed Annex III “Budget for the Action” as annexed to the agreement signed with the EU.</w:t>
      </w:r>
    </w:p>
    <w:p w14:paraId="4DFE1F7B" w14:textId="2D6B52F4" w:rsidR="005A0CD5" w:rsidRPr="005A0CD5" w:rsidRDefault="005A0CD5">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5DFD" w14:textId="08A76528" w:rsidR="00526404" w:rsidRDefault="00526404" w:rsidP="00526404">
    <w:pPr>
      <w:pStyle w:val="Header"/>
      <w:jc w:val="right"/>
    </w:pPr>
    <w:r>
      <w:rPr>
        <w:noProof/>
        <w:lang w:eastAsia="en-US"/>
      </w:rPr>
      <w:drawing>
        <wp:inline distT="0" distB="0" distL="0" distR="0" wp14:anchorId="13A56685" wp14:editId="4B5AAC7F">
          <wp:extent cx="304800" cy="703072"/>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00ADBD86" w14:textId="77777777" w:rsidR="00526404" w:rsidRDefault="00526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830"/>
    <w:multiLevelType w:val="hybridMultilevel"/>
    <w:tmpl w:val="0CB6FEF0"/>
    <w:lvl w:ilvl="0" w:tplc="E16A46F8">
      <w:start w:val="1"/>
      <w:numFmt w:val="bullet"/>
      <w:lvlText w:val="•"/>
      <w:lvlJc w:val="left"/>
      <w:pPr>
        <w:ind w:left="114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15C6C13C">
      <w:start w:val="1"/>
      <w:numFmt w:val="bullet"/>
      <w:lvlText w:val="o"/>
      <w:lvlJc w:val="left"/>
      <w:pPr>
        <w:ind w:left="186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A8B0088A">
      <w:start w:val="1"/>
      <w:numFmt w:val="bullet"/>
      <w:lvlText w:val="▪"/>
      <w:lvlJc w:val="left"/>
      <w:pPr>
        <w:ind w:left="258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3" w:tplc="EF568066">
      <w:start w:val="1"/>
      <w:numFmt w:val="bullet"/>
      <w:lvlText w:val="•"/>
      <w:lvlJc w:val="left"/>
      <w:pPr>
        <w:ind w:left="330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696EFE38">
      <w:start w:val="1"/>
      <w:numFmt w:val="bullet"/>
      <w:lvlText w:val="o"/>
      <w:lvlJc w:val="left"/>
      <w:pPr>
        <w:ind w:left="402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5" w:tplc="54E06C7A">
      <w:start w:val="1"/>
      <w:numFmt w:val="bullet"/>
      <w:lvlText w:val="▪"/>
      <w:lvlJc w:val="left"/>
      <w:pPr>
        <w:ind w:left="474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6" w:tplc="E968F36A">
      <w:start w:val="1"/>
      <w:numFmt w:val="bullet"/>
      <w:lvlText w:val="•"/>
      <w:lvlJc w:val="left"/>
      <w:pPr>
        <w:ind w:left="546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F28EF7BC">
      <w:start w:val="1"/>
      <w:numFmt w:val="bullet"/>
      <w:lvlText w:val="o"/>
      <w:lvlJc w:val="left"/>
      <w:pPr>
        <w:ind w:left="618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8" w:tplc="73D6700A">
      <w:start w:val="1"/>
      <w:numFmt w:val="bullet"/>
      <w:lvlText w:val="▪"/>
      <w:lvlJc w:val="left"/>
      <w:pPr>
        <w:ind w:left="6907"/>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abstractNum>
  <w:abstractNum w:abstractNumId="1" w15:restartNumberingAfterBreak="0">
    <w:nsid w:val="06C90B46"/>
    <w:multiLevelType w:val="hybridMultilevel"/>
    <w:tmpl w:val="626EAEA6"/>
    <w:lvl w:ilvl="0" w:tplc="CBF89E68">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AC32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903FD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4A8E1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0EAA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4A113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C401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DE95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9E479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5B7C50"/>
    <w:multiLevelType w:val="hybridMultilevel"/>
    <w:tmpl w:val="944E07AA"/>
    <w:lvl w:ilvl="0" w:tplc="5974435A">
      <w:start w:val="2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768C192">
      <w:start w:val="1"/>
      <w:numFmt w:val="bullet"/>
      <w:lvlText w:val="•"/>
      <w:lvlJc w:val="left"/>
      <w:pPr>
        <w:ind w:left="1291"/>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9A0C6626">
      <w:start w:val="1"/>
      <w:numFmt w:val="bullet"/>
      <w:lvlText w:val="▪"/>
      <w:lvlJc w:val="left"/>
      <w:pPr>
        <w:ind w:left="131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3" w:tplc="33162052">
      <w:start w:val="1"/>
      <w:numFmt w:val="bullet"/>
      <w:lvlText w:val="•"/>
      <w:lvlJc w:val="left"/>
      <w:pPr>
        <w:ind w:left="20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2EEEB482">
      <w:start w:val="1"/>
      <w:numFmt w:val="bullet"/>
      <w:lvlText w:val="o"/>
      <w:lvlJc w:val="left"/>
      <w:pPr>
        <w:ind w:left="275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5" w:tplc="8A2C62B8">
      <w:start w:val="1"/>
      <w:numFmt w:val="bullet"/>
      <w:lvlText w:val="▪"/>
      <w:lvlJc w:val="left"/>
      <w:pPr>
        <w:ind w:left="347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6" w:tplc="A9C21FEE">
      <w:start w:val="1"/>
      <w:numFmt w:val="bullet"/>
      <w:lvlText w:val="•"/>
      <w:lvlJc w:val="left"/>
      <w:pPr>
        <w:ind w:left="419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36467B9A">
      <w:start w:val="1"/>
      <w:numFmt w:val="bullet"/>
      <w:lvlText w:val="o"/>
      <w:lvlJc w:val="left"/>
      <w:pPr>
        <w:ind w:left="491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8" w:tplc="5B727A50">
      <w:start w:val="1"/>
      <w:numFmt w:val="bullet"/>
      <w:lvlText w:val="▪"/>
      <w:lvlJc w:val="left"/>
      <w:pPr>
        <w:ind w:left="56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abstractNum>
  <w:abstractNum w:abstractNumId="3" w15:restartNumberingAfterBreak="0">
    <w:nsid w:val="0F706DB7"/>
    <w:multiLevelType w:val="hybridMultilevel"/>
    <w:tmpl w:val="9B9084A0"/>
    <w:lvl w:ilvl="0" w:tplc="20000017">
      <w:start w:val="1"/>
      <w:numFmt w:val="lowerLetter"/>
      <w:lvlText w:val="%1)"/>
      <w:lvlJc w:val="left"/>
      <w:pPr>
        <w:ind w:left="2705" w:hanging="360"/>
      </w:pPr>
    </w:lvl>
    <w:lvl w:ilvl="1" w:tplc="20000019" w:tentative="1">
      <w:start w:val="1"/>
      <w:numFmt w:val="lowerLetter"/>
      <w:lvlText w:val="%2."/>
      <w:lvlJc w:val="left"/>
      <w:pPr>
        <w:ind w:left="3425" w:hanging="360"/>
      </w:pPr>
    </w:lvl>
    <w:lvl w:ilvl="2" w:tplc="2000001B" w:tentative="1">
      <w:start w:val="1"/>
      <w:numFmt w:val="lowerRoman"/>
      <w:lvlText w:val="%3."/>
      <w:lvlJc w:val="right"/>
      <w:pPr>
        <w:ind w:left="4145" w:hanging="180"/>
      </w:pPr>
    </w:lvl>
    <w:lvl w:ilvl="3" w:tplc="2000000F" w:tentative="1">
      <w:start w:val="1"/>
      <w:numFmt w:val="decimal"/>
      <w:lvlText w:val="%4."/>
      <w:lvlJc w:val="left"/>
      <w:pPr>
        <w:ind w:left="4865" w:hanging="360"/>
      </w:pPr>
    </w:lvl>
    <w:lvl w:ilvl="4" w:tplc="20000019" w:tentative="1">
      <w:start w:val="1"/>
      <w:numFmt w:val="lowerLetter"/>
      <w:lvlText w:val="%5."/>
      <w:lvlJc w:val="left"/>
      <w:pPr>
        <w:ind w:left="5585" w:hanging="360"/>
      </w:pPr>
    </w:lvl>
    <w:lvl w:ilvl="5" w:tplc="2000001B" w:tentative="1">
      <w:start w:val="1"/>
      <w:numFmt w:val="lowerRoman"/>
      <w:lvlText w:val="%6."/>
      <w:lvlJc w:val="right"/>
      <w:pPr>
        <w:ind w:left="6305" w:hanging="180"/>
      </w:pPr>
    </w:lvl>
    <w:lvl w:ilvl="6" w:tplc="2000000F" w:tentative="1">
      <w:start w:val="1"/>
      <w:numFmt w:val="decimal"/>
      <w:lvlText w:val="%7."/>
      <w:lvlJc w:val="left"/>
      <w:pPr>
        <w:ind w:left="7025" w:hanging="360"/>
      </w:pPr>
    </w:lvl>
    <w:lvl w:ilvl="7" w:tplc="20000019" w:tentative="1">
      <w:start w:val="1"/>
      <w:numFmt w:val="lowerLetter"/>
      <w:lvlText w:val="%8."/>
      <w:lvlJc w:val="left"/>
      <w:pPr>
        <w:ind w:left="7745" w:hanging="360"/>
      </w:pPr>
    </w:lvl>
    <w:lvl w:ilvl="8" w:tplc="2000001B" w:tentative="1">
      <w:start w:val="1"/>
      <w:numFmt w:val="lowerRoman"/>
      <w:lvlText w:val="%9."/>
      <w:lvlJc w:val="right"/>
      <w:pPr>
        <w:ind w:left="8465" w:hanging="180"/>
      </w:pPr>
    </w:lvl>
  </w:abstractNum>
  <w:abstractNum w:abstractNumId="4" w15:restartNumberingAfterBreak="0">
    <w:nsid w:val="168B1477"/>
    <w:multiLevelType w:val="hybridMultilevel"/>
    <w:tmpl w:val="AFE8FA0C"/>
    <w:lvl w:ilvl="0" w:tplc="20000017">
      <w:start w:val="1"/>
      <w:numFmt w:val="lowerLetter"/>
      <w:lvlText w:val="%1)"/>
      <w:lvlJc w:val="left"/>
      <w:pPr>
        <w:ind w:left="1440" w:hanging="360"/>
      </w:p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 w15:restartNumberingAfterBreak="0">
    <w:nsid w:val="178B6095"/>
    <w:multiLevelType w:val="hybridMultilevel"/>
    <w:tmpl w:val="29B8BF06"/>
    <w:lvl w:ilvl="0" w:tplc="B26433F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7BD75F7"/>
    <w:multiLevelType w:val="hybridMultilevel"/>
    <w:tmpl w:val="BA805592"/>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220F41EB"/>
    <w:multiLevelType w:val="hybridMultilevel"/>
    <w:tmpl w:val="42FC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06F1E"/>
    <w:multiLevelType w:val="hybridMultilevel"/>
    <w:tmpl w:val="315E6C8A"/>
    <w:lvl w:ilvl="0" w:tplc="2000001B">
      <w:start w:val="1"/>
      <w:numFmt w:val="lowerRoman"/>
      <w:lvlText w:val="%1."/>
      <w:lvlJc w:val="right"/>
      <w:pPr>
        <w:ind w:left="1446" w:hanging="360"/>
      </w:pPr>
    </w:lvl>
    <w:lvl w:ilvl="1" w:tplc="20000019" w:tentative="1">
      <w:start w:val="1"/>
      <w:numFmt w:val="lowerLetter"/>
      <w:lvlText w:val="%2."/>
      <w:lvlJc w:val="left"/>
      <w:pPr>
        <w:ind w:left="2166" w:hanging="360"/>
      </w:pPr>
    </w:lvl>
    <w:lvl w:ilvl="2" w:tplc="2000001B" w:tentative="1">
      <w:start w:val="1"/>
      <w:numFmt w:val="lowerRoman"/>
      <w:lvlText w:val="%3."/>
      <w:lvlJc w:val="right"/>
      <w:pPr>
        <w:ind w:left="2886" w:hanging="180"/>
      </w:pPr>
    </w:lvl>
    <w:lvl w:ilvl="3" w:tplc="2000000F" w:tentative="1">
      <w:start w:val="1"/>
      <w:numFmt w:val="decimal"/>
      <w:lvlText w:val="%4."/>
      <w:lvlJc w:val="left"/>
      <w:pPr>
        <w:ind w:left="3606" w:hanging="360"/>
      </w:pPr>
    </w:lvl>
    <w:lvl w:ilvl="4" w:tplc="20000019" w:tentative="1">
      <w:start w:val="1"/>
      <w:numFmt w:val="lowerLetter"/>
      <w:lvlText w:val="%5."/>
      <w:lvlJc w:val="left"/>
      <w:pPr>
        <w:ind w:left="4326" w:hanging="360"/>
      </w:pPr>
    </w:lvl>
    <w:lvl w:ilvl="5" w:tplc="2000001B" w:tentative="1">
      <w:start w:val="1"/>
      <w:numFmt w:val="lowerRoman"/>
      <w:lvlText w:val="%6."/>
      <w:lvlJc w:val="right"/>
      <w:pPr>
        <w:ind w:left="5046" w:hanging="180"/>
      </w:pPr>
    </w:lvl>
    <w:lvl w:ilvl="6" w:tplc="2000000F" w:tentative="1">
      <w:start w:val="1"/>
      <w:numFmt w:val="decimal"/>
      <w:lvlText w:val="%7."/>
      <w:lvlJc w:val="left"/>
      <w:pPr>
        <w:ind w:left="5766" w:hanging="360"/>
      </w:pPr>
    </w:lvl>
    <w:lvl w:ilvl="7" w:tplc="20000019" w:tentative="1">
      <w:start w:val="1"/>
      <w:numFmt w:val="lowerLetter"/>
      <w:lvlText w:val="%8."/>
      <w:lvlJc w:val="left"/>
      <w:pPr>
        <w:ind w:left="6486" w:hanging="360"/>
      </w:pPr>
    </w:lvl>
    <w:lvl w:ilvl="8" w:tplc="2000001B" w:tentative="1">
      <w:start w:val="1"/>
      <w:numFmt w:val="lowerRoman"/>
      <w:lvlText w:val="%9."/>
      <w:lvlJc w:val="right"/>
      <w:pPr>
        <w:ind w:left="7206" w:hanging="180"/>
      </w:pPr>
    </w:lvl>
  </w:abstractNum>
  <w:abstractNum w:abstractNumId="9" w15:restartNumberingAfterBreak="0">
    <w:nsid w:val="33267F8C"/>
    <w:multiLevelType w:val="hybridMultilevel"/>
    <w:tmpl w:val="EAAA1102"/>
    <w:lvl w:ilvl="0" w:tplc="537AC130">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CAA130C">
      <w:start w:val="1"/>
      <w:numFmt w:val="bullet"/>
      <w:lvlText w:val="•"/>
      <w:lvlJc w:val="left"/>
      <w:pPr>
        <w:ind w:left="100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2C68FE8A">
      <w:start w:val="1"/>
      <w:numFmt w:val="bullet"/>
      <w:lvlText w:val="▪"/>
      <w:lvlJc w:val="left"/>
      <w:pPr>
        <w:ind w:left="172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3" w:tplc="90382DFC">
      <w:start w:val="1"/>
      <w:numFmt w:val="bullet"/>
      <w:lvlText w:val="•"/>
      <w:lvlJc w:val="left"/>
      <w:pPr>
        <w:ind w:left="244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886AEDD4">
      <w:start w:val="1"/>
      <w:numFmt w:val="bullet"/>
      <w:lvlText w:val="o"/>
      <w:lvlJc w:val="left"/>
      <w:pPr>
        <w:ind w:left="316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5" w:tplc="98EADC00">
      <w:start w:val="1"/>
      <w:numFmt w:val="bullet"/>
      <w:lvlText w:val="▪"/>
      <w:lvlJc w:val="left"/>
      <w:pPr>
        <w:ind w:left="388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6" w:tplc="A302106A">
      <w:start w:val="1"/>
      <w:numFmt w:val="bullet"/>
      <w:lvlText w:val="•"/>
      <w:lvlJc w:val="left"/>
      <w:pPr>
        <w:ind w:left="460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2B304C46">
      <w:start w:val="1"/>
      <w:numFmt w:val="bullet"/>
      <w:lvlText w:val="o"/>
      <w:lvlJc w:val="left"/>
      <w:pPr>
        <w:ind w:left="532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8" w:tplc="8812925C">
      <w:start w:val="1"/>
      <w:numFmt w:val="bullet"/>
      <w:lvlText w:val="▪"/>
      <w:lvlJc w:val="left"/>
      <w:pPr>
        <w:ind w:left="604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abstractNum>
  <w:abstractNum w:abstractNumId="10" w15:restartNumberingAfterBreak="0">
    <w:nsid w:val="35C46005"/>
    <w:multiLevelType w:val="hybridMultilevel"/>
    <w:tmpl w:val="F57089A8"/>
    <w:lvl w:ilvl="0" w:tplc="04090001">
      <w:start w:val="1"/>
      <w:numFmt w:val="bullet"/>
      <w:lvlText w:val=""/>
      <w:lvlJc w:val="left"/>
      <w:pPr>
        <w:ind w:left="1425" w:hanging="360"/>
      </w:pPr>
      <w:rPr>
        <w:rFonts w:ascii="Symbol" w:hAnsi="Symbol" w:hint="default"/>
      </w:rPr>
    </w:lvl>
    <w:lvl w:ilvl="1" w:tplc="FFFFFFFF" w:tentative="1">
      <w:start w:val="1"/>
      <w:numFmt w:val="lowerLetter"/>
      <w:lvlText w:val="%2."/>
      <w:lvlJc w:val="left"/>
      <w:pPr>
        <w:ind w:left="2145" w:hanging="360"/>
      </w:pPr>
    </w:lvl>
    <w:lvl w:ilvl="2" w:tplc="FFFFFFFF" w:tentative="1">
      <w:start w:val="1"/>
      <w:numFmt w:val="lowerRoman"/>
      <w:lvlText w:val="%3."/>
      <w:lvlJc w:val="right"/>
      <w:pPr>
        <w:ind w:left="2865" w:hanging="180"/>
      </w:pPr>
    </w:lvl>
    <w:lvl w:ilvl="3" w:tplc="FFFFFFFF" w:tentative="1">
      <w:start w:val="1"/>
      <w:numFmt w:val="decimal"/>
      <w:lvlText w:val="%4."/>
      <w:lvlJc w:val="left"/>
      <w:pPr>
        <w:ind w:left="3585" w:hanging="360"/>
      </w:pPr>
    </w:lvl>
    <w:lvl w:ilvl="4" w:tplc="FFFFFFFF" w:tentative="1">
      <w:start w:val="1"/>
      <w:numFmt w:val="lowerLetter"/>
      <w:lvlText w:val="%5."/>
      <w:lvlJc w:val="left"/>
      <w:pPr>
        <w:ind w:left="4305" w:hanging="360"/>
      </w:pPr>
    </w:lvl>
    <w:lvl w:ilvl="5" w:tplc="FFFFFFFF" w:tentative="1">
      <w:start w:val="1"/>
      <w:numFmt w:val="lowerRoman"/>
      <w:lvlText w:val="%6."/>
      <w:lvlJc w:val="right"/>
      <w:pPr>
        <w:ind w:left="5025" w:hanging="180"/>
      </w:pPr>
    </w:lvl>
    <w:lvl w:ilvl="6" w:tplc="FFFFFFFF" w:tentative="1">
      <w:start w:val="1"/>
      <w:numFmt w:val="decimal"/>
      <w:lvlText w:val="%7."/>
      <w:lvlJc w:val="left"/>
      <w:pPr>
        <w:ind w:left="5745" w:hanging="360"/>
      </w:pPr>
    </w:lvl>
    <w:lvl w:ilvl="7" w:tplc="FFFFFFFF" w:tentative="1">
      <w:start w:val="1"/>
      <w:numFmt w:val="lowerLetter"/>
      <w:lvlText w:val="%8."/>
      <w:lvlJc w:val="left"/>
      <w:pPr>
        <w:ind w:left="6465" w:hanging="360"/>
      </w:pPr>
    </w:lvl>
    <w:lvl w:ilvl="8" w:tplc="FFFFFFFF" w:tentative="1">
      <w:start w:val="1"/>
      <w:numFmt w:val="lowerRoman"/>
      <w:lvlText w:val="%9."/>
      <w:lvlJc w:val="right"/>
      <w:pPr>
        <w:ind w:left="7185" w:hanging="180"/>
      </w:pPr>
    </w:lvl>
  </w:abstractNum>
  <w:abstractNum w:abstractNumId="11" w15:restartNumberingAfterBreak="0">
    <w:nsid w:val="39106A35"/>
    <w:multiLevelType w:val="hybridMultilevel"/>
    <w:tmpl w:val="6E9A6566"/>
    <w:lvl w:ilvl="0" w:tplc="04090017">
      <w:start w:val="1"/>
      <w:numFmt w:val="lowerLetter"/>
      <w:lvlText w:val="%1)"/>
      <w:lvlJc w:val="left"/>
      <w:pPr>
        <w:ind w:left="730"/>
      </w:pPr>
      <w:rPr>
        <w:b w:val="0"/>
        <w:i w:val="0"/>
        <w:strike w:val="0"/>
        <w:dstrike w:val="0"/>
        <w:color w:val="333333"/>
        <w:sz w:val="22"/>
        <w:szCs w:val="22"/>
        <w:u w:val="none" w:color="000000"/>
        <w:bdr w:val="none" w:sz="0" w:space="0" w:color="auto"/>
        <w:shd w:val="clear" w:color="auto" w:fill="auto"/>
        <w:vertAlign w:val="baseline"/>
      </w:rPr>
    </w:lvl>
    <w:lvl w:ilvl="1" w:tplc="FFFFFFFF">
      <w:start w:val="1"/>
      <w:numFmt w:val="bullet"/>
      <w:lvlText w:val="•"/>
      <w:lvlJc w:val="left"/>
      <w:pPr>
        <w:ind w:left="10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FFFFFFFF">
      <w:start w:val="1"/>
      <w:numFmt w:val="bullet"/>
      <w:lvlText w:val="▪"/>
      <w:lvlJc w:val="left"/>
      <w:pPr>
        <w:ind w:left="175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3" w:tplc="FFFFFFFF">
      <w:start w:val="1"/>
      <w:numFmt w:val="bullet"/>
      <w:lvlText w:val="•"/>
      <w:lvlJc w:val="left"/>
      <w:pPr>
        <w:ind w:left="247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FFFFFFFF">
      <w:start w:val="1"/>
      <w:numFmt w:val="bullet"/>
      <w:lvlText w:val="o"/>
      <w:lvlJc w:val="left"/>
      <w:pPr>
        <w:ind w:left="319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5" w:tplc="FFFFFFFF">
      <w:start w:val="1"/>
      <w:numFmt w:val="bullet"/>
      <w:lvlText w:val="▪"/>
      <w:lvlJc w:val="left"/>
      <w:pPr>
        <w:ind w:left="391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6" w:tplc="FFFFFFFF">
      <w:start w:val="1"/>
      <w:numFmt w:val="bullet"/>
      <w:lvlText w:val="•"/>
      <w:lvlJc w:val="left"/>
      <w:pPr>
        <w:ind w:left="46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FFFFFFFF">
      <w:start w:val="1"/>
      <w:numFmt w:val="bullet"/>
      <w:lvlText w:val="o"/>
      <w:lvlJc w:val="left"/>
      <w:pPr>
        <w:ind w:left="535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8" w:tplc="FFFFFFFF">
      <w:start w:val="1"/>
      <w:numFmt w:val="bullet"/>
      <w:lvlText w:val="▪"/>
      <w:lvlJc w:val="left"/>
      <w:pPr>
        <w:ind w:left="607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abstractNum>
  <w:abstractNum w:abstractNumId="12" w15:restartNumberingAfterBreak="0">
    <w:nsid w:val="3AC71470"/>
    <w:multiLevelType w:val="hybridMultilevel"/>
    <w:tmpl w:val="5EDA2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6416B1"/>
    <w:multiLevelType w:val="hybridMultilevel"/>
    <w:tmpl w:val="852E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52ABD"/>
    <w:multiLevelType w:val="hybridMultilevel"/>
    <w:tmpl w:val="8B8849AA"/>
    <w:lvl w:ilvl="0" w:tplc="510CC88E">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52C0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8EFB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E2936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BE92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3A9C0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004C5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FA10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A0E95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4D3185E"/>
    <w:multiLevelType w:val="hybridMultilevel"/>
    <w:tmpl w:val="0BC4B12E"/>
    <w:lvl w:ilvl="0" w:tplc="20000001">
      <w:start w:val="1"/>
      <w:numFmt w:val="bullet"/>
      <w:lvlText w:val=""/>
      <w:lvlJc w:val="left"/>
      <w:pPr>
        <w:ind w:left="2705" w:hanging="360"/>
      </w:pPr>
      <w:rPr>
        <w:rFonts w:ascii="Symbol" w:hAnsi="Symbol" w:hint="default"/>
      </w:rPr>
    </w:lvl>
    <w:lvl w:ilvl="1" w:tplc="20000003" w:tentative="1">
      <w:start w:val="1"/>
      <w:numFmt w:val="bullet"/>
      <w:lvlText w:val="o"/>
      <w:lvlJc w:val="left"/>
      <w:pPr>
        <w:ind w:left="3425" w:hanging="360"/>
      </w:pPr>
      <w:rPr>
        <w:rFonts w:ascii="Courier New" w:hAnsi="Courier New" w:cs="Courier New" w:hint="default"/>
      </w:rPr>
    </w:lvl>
    <w:lvl w:ilvl="2" w:tplc="20000005" w:tentative="1">
      <w:start w:val="1"/>
      <w:numFmt w:val="bullet"/>
      <w:lvlText w:val=""/>
      <w:lvlJc w:val="left"/>
      <w:pPr>
        <w:ind w:left="4145" w:hanging="360"/>
      </w:pPr>
      <w:rPr>
        <w:rFonts w:ascii="Wingdings" w:hAnsi="Wingdings" w:hint="default"/>
      </w:rPr>
    </w:lvl>
    <w:lvl w:ilvl="3" w:tplc="20000001" w:tentative="1">
      <w:start w:val="1"/>
      <w:numFmt w:val="bullet"/>
      <w:lvlText w:val=""/>
      <w:lvlJc w:val="left"/>
      <w:pPr>
        <w:ind w:left="4865" w:hanging="360"/>
      </w:pPr>
      <w:rPr>
        <w:rFonts w:ascii="Symbol" w:hAnsi="Symbol" w:hint="default"/>
      </w:rPr>
    </w:lvl>
    <w:lvl w:ilvl="4" w:tplc="20000003" w:tentative="1">
      <w:start w:val="1"/>
      <w:numFmt w:val="bullet"/>
      <w:lvlText w:val="o"/>
      <w:lvlJc w:val="left"/>
      <w:pPr>
        <w:ind w:left="5585" w:hanging="360"/>
      </w:pPr>
      <w:rPr>
        <w:rFonts w:ascii="Courier New" w:hAnsi="Courier New" w:cs="Courier New" w:hint="default"/>
      </w:rPr>
    </w:lvl>
    <w:lvl w:ilvl="5" w:tplc="20000005" w:tentative="1">
      <w:start w:val="1"/>
      <w:numFmt w:val="bullet"/>
      <w:lvlText w:val=""/>
      <w:lvlJc w:val="left"/>
      <w:pPr>
        <w:ind w:left="6305" w:hanging="360"/>
      </w:pPr>
      <w:rPr>
        <w:rFonts w:ascii="Wingdings" w:hAnsi="Wingdings" w:hint="default"/>
      </w:rPr>
    </w:lvl>
    <w:lvl w:ilvl="6" w:tplc="20000001" w:tentative="1">
      <w:start w:val="1"/>
      <w:numFmt w:val="bullet"/>
      <w:lvlText w:val=""/>
      <w:lvlJc w:val="left"/>
      <w:pPr>
        <w:ind w:left="7025" w:hanging="360"/>
      </w:pPr>
      <w:rPr>
        <w:rFonts w:ascii="Symbol" w:hAnsi="Symbol" w:hint="default"/>
      </w:rPr>
    </w:lvl>
    <w:lvl w:ilvl="7" w:tplc="20000003" w:tentative="1">
      <w:start w:val="1"/>
      <w:numFmt w:val="bullet"/>
      <w:lvlText w:val="o"/>
      <w:lvlJc w:val="left"/>
      <w:pPr>
        <w:ind w:left="7745" w:hanging="360"/>
      </w:pPr>
      <w:rPr>
        <w:rFonts w:ascii="Courier New" w:hAnsi="Courier New" w:cs="Courier New" w:hint="default"/>
      </w:rPr>
    </w:lvl>
    <w:lvl w:ilvl="8" w:tplc="20000005" w:tentative="1">
      <w:start w:val="1"/>
      <w:numFmt w:val="bullet"/>
      <w:lvlText w:val=""/>
      <w:lvlJc w:val="left"/>
      <w:pPr>
        <w:ind w:left="8465" w:hanging="360"/>
      </w:pPr>
      <w:rPr>
        <w:rFonts w:ascii="Wingdings" w:hAnsi="Wingdings" w:hint="default"/>
      </w:rPr>
    </w:lvl>
  </w:abstractNum>
  <w:abstractNum w:abstractNumId="16" w15:restartNumberingAfterBreak="0">
    <w:nsid w:val="45F20EB6"/>
    <w:multiLevelType w:val="hybridMultilevel"/>
    <w:tmpl w:val="BC80F7FC"/>
    <w:lvl w:ilvl="0" w:tplc="04090001">
      <w:start w:val="1"/>
      <w:numFmt w:val="bullet"/>
      <w:lvlText w:val=""/>
      <w:lvlJc w:val="left"/>
      <w:pPr>
        <w:ind w:left="1075"/>
      </w:pPr>
      <w:rPr>
        <w:rFonts w:ascii="Symbol" w:hAnsi="Symbol" w:hint="default"/>
        <w:b w:val="0"/>
        <w:i w:val="0"/>
        <w:strike w:val="0"/>
        <w:dstrike w:val="0"/>
        <w:color w:val="333333"/>
        <w:sz w:val="22"/>
        <w:szCs w:val="22"/>
        <w:u w:val="none" w:color="000000"/>
        <w:bdr w:val="none" w:sz="0" w:space="0" w:color="auto"/>
        <w:shd w:val="clear" w:color="auto" w:fill="auto"/>
        <w:vertAlign w:val="baseline"/>
      </w:rPr>
    </w:lvl>
    <w:lvl w:ilvl="1" w:tplc="FFFFFFFF">
      <w:start w:val="1"/>
      <w:numFmt w:val="bullet"/>
      <w:lvlText w:val="•"/>
      <w:lvlJc w:val="left"/>
      <w:pPr>
        <w:ind w:left="137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FFFFFFFF">
      <w:start w:val="1"/>
      <w:numFmt w:val="bullet"/>
      <w:lvlText w:val="▪"/>
      <w:lvlJc w:val="left"/>
      <w:pPr>
        <w:ind w:left="209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3" w:tplc="FFFFFFFF">
      <w:start w:val="1"/>
      <w:numFmt w:val="bullet"/>
      <w:lvlText w:val="•"/>
      <w:lvlJc w:val="left"/>
      <w:pPr>
        <w:ind w:left="281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FFFFFFFF">
      <w:start w:val="1"/>
      <w:numFmt w:val="bullet"/>
      <w:lvlText w:val="o"/>
      <w:lvlJc w:val="left"/>
      <w:pPr>
        <w:ind w:left="353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5" w:tplc="FFFFFFFF">
      <w:start w:val="1"/>
      <w:numFmt w:val="bullet"/>
      <w:lvlText w:val="▪"/>
      <w:lvlJc w:val="left"/>
      <w:pPr>
        <w:ind w:left="425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6" w:tplc="FFFFFFFF">
      <w:start w:val="1"/>
      <w:numFmt w:val="bullet"/>
      <w:lvlText w:val="•"/>
      <w:lvlJc w:val="left"/>
      <w:pPr>
        <w:ind w:left="497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FFFFFFFF">
      <w:start w:val="1"/>
      <w:numFmt w:val="bullet"/>
      <w:lvlText w:val="o"/>
      <w:lvlJc w:val="left"/>
      <w:pPr>
        <w:ind w:left="569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8" w:tplc="FFFFFFFF">
      <w:start w:val="1"/>
      <w:numFmt w:val="bullet"/>
      <w:lvlText w:val="▪"/>
      <w:lvlJc w:val="left"/>
      <w:pPr>
        <w:ind w:left="641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abstractNum>
  <w:abstractNum w:abstractNumId="17" w15:restartNumberingAfterBreak="0">
    <w:nsid w:val="4DAC761E"/>
    <w:multiLevelType w:val="hybridMultilevel"/>
    <w:tmpl w:val="652809DA"/>
    <w:lvl w:ilvl="0" w:tplc="5CB64250">
      <w:start w:val="2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AC82C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36E2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06133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B6CA5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0096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74614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1AA5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5C2F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E513C81"/>
    <w:multiLevelType w:val="hybridMultilevel"/>
    <w:tmpl w:val="1B9ECE60"/>
    <w:lvl w:ilvl="0" w:tplc="F84C208C">
      <w:start w:val="5"/>
      <w:numFmt w:val="lowerRoman"/>
      <w:lvlText w:val="%1)"/>
      <w:lvlJc w:val="left"/>
      <w:pPr>
        <w:ind w:left="1581" w:hanging="720"/>
      </w:pPr>
      <w:rPr>
        <w:rFonts w:hint="default"/>
        <w:color w:val="000000"/>
      </w:rPr>
    </w:lvl>
    <w:lvl w:ilvl="1" w:tplc="20000019" w:tentative="1">
      <w:start w:val="1"/>
      <w:numFmt w:val="lowerLetter"/>
      <w:lvlText w:val="%2."/>
      <w:lvlJc w:val="left"/>
      <w:pPr>
        <w:ind w:left="1941" w:hanging="360"/>
      </w:pPr>
    </w:lvl>
    <w:lvl w:ilvl="2" w:tplc="2000001B" w:tentative="1">
      <w:start w:val="1"/>
      <w:numFmt w:val="lowerRoman"/>
      <w:lvlText w:val="%3."/>
      <w:lvlJc w:val="right"/>
      <w:pPr>
        <w:ind w:left="2661" w:hanging="180"/>
      </w:pPr>
    </w:lvl>
    <w:lvl w:ilvl="3" w:tplc="2000000F" w:tentative="1">
      <w:start w:val="1"/>
      <w:numFmt w:val="decimal"/>
      <w:lvlText w:val="%4."/>
      <w:lvlJc w:val="left"/>
      <w:pPr>
        <w:ind w:left="3381" w:hanging="360"/>
      </w:pPr>
    </w:lvl>
    <w:lvl w:ilvl="4" w:tplc="20000019" w:tentative="1">
      <w:start w:val="1"/>
      <w:numFmt w:val="lowerLetter"/>
      <w:lvlText w:val="%5."/>
      <w:lvlJc w:val="left"/>
      <w:pPr>
        <w:ind w:left="4101" w:hanging="360"/>
      </w:pPr>
    </w:lvl>
    <w:lvl w:ilvl="5" w:tplc="2000001B" w:tentative="1">
      <w:start w:val="1"/>
      <w:numFmt w:val="lowerRoman"/>
      <w:lvlText w:val="%6."/>
      <w:lvlJc w:val="right"/>
      <w:pPr>
        <w:ind w:left="4821" w:hanging="180"/>
      </w:pPr>
    </w:lvl>
    <w:lvl w:ilvl="6" w:tplc="2000000F" w:tentative="1">
      <w:start w:val="1"/>
      <w:numFmt w:val="decimal"/>
      <w:lvlText w:val="%7."/>
      <w:lvlJc w:val="left"/>
      <w:pPr>
        <w:ind w:left="5541" w:hanging="360"/>
      </w:pPr>
    </w:lvl>
    <w:lvl w:ilvl="7" w:tplc="20000019" w:tentative="1">
      <w:start w:val="1"/>
      <w:numFmt w:val="lowerLetter"/>
      <w:lvlText w:val="%8."/>
      <w:lvlJc w:val="left"/>
      <w:pPr>
        <w:ind w:left="6261" w:hanging="360"/>
      </w:pPr>
    </w:lvl>
    <w:lvl w:ilvl="8" w:tplc="2000001B" w:tentative="1">
      <w:start w:val="1"/>
      <w:numFmt w:val="lowerRoman"/>
      <w:lvlText w:val="%9."/>
      <w:lvlJc w:val="right"/>
      <w:pPr>
        <w:ind w:left="6981" w:hanging="180"/>
      </w:pPr>
    </w:lvl>
  </w:abstractNum>
  <w:abstractNum w:abstractNumId="19" w15:restartNumberingAfterBreak="0">
    <w:nsid w:val="52BE7C57"/>
    <w:multiLevelType w:val="hybridMultilevel"/>
    <w:tmpl w:val="914C7EC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48405C6"/>
    <w:multiLevelType w:val="hybridMultilevel"/>
    <w:tmpl w:val="6FEE642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C77276"/>
    <w:multiLevelType w:val="hybridMultilevel"/>
    <w:tmpl w:val="AF7499D2"/>
    <w:lvl w:ilvl="0" w:tplc="80DAD3CA">
      <w:start w:val="1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EC060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08167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6AF29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06AA3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7E9B0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A2F8C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8041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28F0C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C340DC2"/>
    <w:multiLevelType w:val="hybridMultilevel"/>
    <w:tmpl w:val="0FFC7444"/>
    <w:lvl w:ilvl="0" w:tplc="C45C9150">
      <w:start w:val="1"/>
      <w:numFmt w:val="lowerLetter"/>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A279BC"/>
    <w:multiLevelType w:val="hybridMultilevel"/>
    <w:tmpl w:val="05A62D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8401DE"/>
    <w:multiLevelType w:val="hybridMultilevel"/>
    <w:tmpl w:val="A4AA7B74"/>
    <w:lvl w:ilvl="0" w:tplc="97CC1CA4">
      <w:start w:val="1"/>
      <w:numFmt w:val="bullet"/>
      <w:lvlText w:val="•"/>
      <w:lvlJc w:val="left"/>
      <w:pPr>
        <w:ind w:left="705"/>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1" w:tplc="30A23156">
      <w:start w:val="1"/>
      <w:numFmt w:val="bullet"/>
      <w:lvlText w:val="o"/>
      <w:lvlJc w:val="left"/>
      <w:pPr>
        <w:ind w:left="144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2" w:tplc="39E0AA40">
      <w:start w:val="1"/>
      <w:numFmt w:val="bullet"/>
      <w:lvlText w:val="▪"/>
      <w:lvlJc w:val="left"/>
      <w:pPr>
        <w:ind w:left="216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3" w:tplc="F8269192">
      <w:start w:val="1"/>
      <w:numFmt w:val="bullet"/>
      <w:lvlText w:val="•"/>
      <w:lvlJc w:val="left"/>
      <w:pPr>
        <w:ind w:left="288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4" w:tplc="FA982BCC">
      <w:start w:val="1"/>
      <w:numFmt w:val="bullet"/>
      <w:lvlText w:val="o"/>
      <w:lvlJc w:val="left"/>
      <w:pPr>
        <w:ind w:left="360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5" w:tplc="A80C3E1E">
      <w:start w:val="1"/>
      <w:numFmt w:val="bullet"/>
      <w:lvlText w:val="▪"/>
      <w:lvlJc w:val="left"/>
      <w:pPr>
        <w:ind w:left="432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6" w:tplc="5AE2254C">
      <w:start w:val="1"/>
      <w:numFmt w:val="bullet"/>
      <w:lvlText w:val="•"/>
      <w:lvlJc w:val="left"/>
      <w:pPr>
        <w:ind w:left="504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7" w:tplc="2C38B696">
      <w:start w:val="1"/>
      <w:numFmt w:val="bullet"/>
      <w:lvlText w:val="o"/>
      <w:lvlJc w:val="left"/>
      <w:pPr>
        <w:ind w:left="576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lvl w:ilvl="8" w:tplc="4904B39C">
      <w:start w:val="1"/>
      <w:numFmt w:val="bullet"/>
      <w:lvlText w:val="▪"/>
      <w:lvlJc w:val="left"/>
      <w:pPr>
        <w:ind w:left="6480"/>
      </w:pPr>
      <w:rPr>
        <w:rFonts w:ascii="Arial" w:eastAsia="Arial" w:hAnsi="Arial" w:cs="Arial"/>
        <w:b w:val="0"/>
        <w:i w:val="0"/>
        <w:strike w:val="0"/>
        <w:dstrike w:val="0"/>
        <w:color w:val="333333"/>
        <w:sz w:val="31"/>
        <w:szCs w:val="31"/>
        <w:u w:val="none" w:color="000000"/>
        <w:bdr w:val="none" w:sz="0" w:space="0" w:color="auto"/>
        <w:shd w:val="clear" w:color="auto" w:fill="auto"/>
        <w:vertAlign w:val="superscript"/>
      </w:rPr>
    </w:lvl>
  </w:abstractNum>
  <w:abstractNum w:abstractNumId="25" w15:restartNumberingAfterBreak="0">
    <w:nsid w:val="69CB5047"/>
    <w:multiLevelType w:val="hybridMultilevel"/>
    <w:tmpl w:val="D43A4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A755214"/>
    <w:multiLevelType w:val="hybridMultilevel"/>
    <w:tmpl w:val="FA1EDB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236806"/>
    <w:multiLevelType w:val="hybridMultilevel"/>
    <w:tmpl w:val="5C0219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D371DE7"/>
    <w:multiLevelType w:val="hybridMultilevel"/>
    <w:tmpl w:val="D0BC50EC"/>
    <w:lvl w:ilvl="0" w:tplc="C68C7662">
      <w:start w:val="1"/>
      <w:numFmt w:val="bullet"/>
      <w:lvlText w:val="•"/>
      <w:lvlJc w:val="left"/>
      <w:pPr>
        <w:ind w:left="36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275C4604">
      <w:start w:val="1"/>
      <w:numFmt w:val="bullet"/>
      <w:lvlText w:val="o"/>
      <w:lvlJc w:val="left"/>
      <w:pPr>
        <w:ind w:left="826"/>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9976E4D0">
      <w:start w:val="1"/>
      <w:numFmt w:val="bullet"/>
      <w:lvlRestart w:val="0"/>
      <w:lvlText w:val="•"/>
      <w:lvlJc w:val="left"/>
      <w:pPr>
        <w:ind w:left="1291"/>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3" w:tplc="9D426B9C">
      <w:start w:val="1"/>
      <w:numFmt w:val="bullet"/>
      <w:lvlText w:val="•"/>
      <w:lvlJc w:val="left"/>
      <w:pPr>
        <w:ind w:left="2011"/>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B1E2B720">
      <w:start w:val="1"/>
      <w:numFmt w:val="bullet"/>
      <w:lvlText w:val="o"/>
      <w:lvlJc w:val="left"/>
      <w:pPr>
        <w:ind w:left="2731"/>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5" w:tplc="EF90FFD6">
      <w:start w:val="1"/>
      <w:numFmt w:val="bullet"/>
      <w:lvlText w:val="▪"/>
      <w:lvlJc w:val="left"/>
      <w:pPr>
        <w:ind w:left="3451"/>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6" w:tplc="53D6A1A6">
      <w:start w:val="1"/>
      <w:numFmt w:val="bullet"/>
      <w:lvlText w:val="•"/>
      <w:lvlJc w:val="left"/>
      <w:pPr>
        <w:ind w:left="4171"/>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D23E41AA">
      <w:start w:val="1"/>
      <w:numFmt w:val="bullet"/>
      <w:lvlText w:val="o"/>
      <w:lvlJc w:val="left"/>
      <w:pPr>
        <w:ind w:left="4891"/>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8" w:tplc="9056D13A">
      <w:start w:val="1"/>
      <w:numFmt w:val="bullet"/>
      <w:lvlText w:val="▪"/>
      <w:lvlJc w:val="left"/>
      <w:pPr>
        <w:ind w:left="5611"/>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abstractNum>
  <w:abstractNum w:abstractNumId="29" w15:restartNumberingAfterBreak="0">
    <w:nsid w:val="73583FAD"/>
    <w:multiLevelType w:val="hybridMultilevel"/>
    <w:tmpl w:val="19E021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1735A0"/>
    <w:multiLevelType w:val="hybridMultilevel"/>
    <w:tmpl w:val="6486CD68"/>
    <w:lvl w:ilvl="0" w:tplc="0809001B">
      <w:start w:val="1"/>
      <w:numFmt w:val="lowerRoman"/>
      <w:lvlText w:val="%1."/>
      <w:lvlJc w:val="right"/>
      <w:pPr>
        <w:ind w:left="644" w:hanging="360"/>
      </w:pPr>
      <w:rPr>
        <w:color w:val="000000"/>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1" w15:restartNumberingAfterBreak="0">
    <w:nsid w:val="78912F73"/>
    <w:multiLevelType w:val="hybridMultilevel"/>
    <w:tmpl w:val="274C1054"/>
    <w:lvl w:ilvl="0" w:tplc="2000000F">
      <w:start w:val="1"/>
      <w:numFmt w:val="decimal"/>
      <w:lvlText w:val="%1."/>
      <w:lvlJc w:val="left"/>
      <w:pPr>
        <w:ind w:left="1425" w:hanging="360"/>
      </w:pPr>
    </w:lvl>
    <w:lvl w:ilvl="1" w:tplc="20000019" w:tentative="1">
      <w:start w:val="1"/>
      <w:numFmt w:val="lowerLetter"/>
      <w:lvlText w:val="%2."/>
      <w:lvlJc w:val="left"/>
      <w:pPr>
        <w:ind w:left="2145" w:hanging="360"/>
      </w:pPr>
    </w:lvl>
    <w:lvl w:ilvl="2" w:tplc="2000001B" w:tentative="1">
      <w:start w:val="1"/>
      <w:numFmt w:val="lowerRoman"/>
      <w:lvlText w:val="%3."/>
      <w:lvlJc w:val="right"/>
      <w:pPr>
        <w:ind w:left="2865" w:hanging="180"/>
      </w:pPr>
    </w:lvl>
    <w:lvl w:ilvl="3" w:tplc="2000000F" w:tentative="1">
      <w:start w:val="1"/>
      <w:numFmt w:val="decimal"/>
      <w:lvlText w:val="%4."/>
      <w:lvlJc w:val="left"/>
      <w:pPr>
        <w:ind w:left="3585" w:hanging="360"/>
      </w:pPr>
    </w:lvl>
    <w:lvl w:ilvl="4" w:tplc="20000019" w:tentative="1">
      <w:start w:val="1"/>
      <w:numFmt w:val="lowerLetter"/>
      <w:lvlText w:val="%5."/>
      <w:lvlJc w:val="left"/>
      <w:pPr>
        <w:ind w:left="4305" w:hanging="360"/>
      </w:pPr>
    </w:lvl>
    <w:lvl w:ilvl="5" w:tplc="2000001B" w:tentative="1">
      <w:start w:val="1"/>
      <w:numFmt w:val="lowerRoman"/>
      <w:lvlText w:val="%6."/>
      <w:lvlJc w:val="right"/>
      <w:pPr>
        <w:ind w:left="5025" w:hanging="180"/>
      </w:pPr>
    </w:lvl>
    <w:lvl w:ilvl="6" w:tplc="2000000F" w:tentative="1">
      <w:start w:val="1"/>
      <w:numFmt w:val="decimal"/>
      <w:lvlText w:val="%7."/>
      <w:lvlJc w:val="left"/>
      <w:pPr>
        <w:ind w:left="5745" w:hanging="360"/>
      </w:pPr>
    </w:lvl>
    <w:lvl w:ilvl="7" w:tplc="20000019" w:tentative="1">
      <w:start w:val="1"/>
      <w:numFmt w:val="lowerLetter"/>
      <w:lvlText w:val="%8."/>
      <w:lvlJc w:val="left"/>
      <w:pPr>
        <w:ind w:left="6465" w:hanging="360"/>
      </w:pPr>
    </w:lvl>
    <w:lvl w:ilvl="8" w:tplc="2000001B" w:tentative="1">
      <w:start w:val="1"/>
      <w:numFmt w:val="lowerRoman"/>
      <w:lvlText w:val="%9."/>
      <w:lvlJc w:val="right"/>
      <w:pPr>
        <w:ind w:left="7185" w:hanging="180"/>
      </w:pPr>
    </w:lvl>
  </w:abstractNum>
  <w:abstractNum w:abstractNumId="32" w15:restartNumberingAfterBreak="0">
    <w:nsid w:val="7A026A45"/>
    <w:multiLevelType w:val="hybridMultilevel"/>
    <w:tmpl w:val="E1DE8AF4"/>
    <w:lvl w:ilvl="0" w:tplc="FFFFFFFF">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FFFFFFFF">
      <w:start w:val="1"/>
      <w:numFmt w:val="bullet"/>
      <w:lvlText w:val="•"/>
      <w:lvlJc w:val="left"/>
      <w:pPr>
        <w:ind w:left="100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FFFFFFFF">
      <w:start w:val="1"/>
      <w:numFmt w:val="bullet"/>
      <w:lvlText w:val="▪"/>
      <w:lvlJc w:val="left"/>
      <w:pPr>
        <w:ind w:left="172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3" w:tplc="FFFFFFFF">
      <w:start w:val="1"/>
      <w:numFmt w:val="bullet"/>
      <w:lvlText w:val="•"/>
      <w:lvlJc w:val="left"/>
      <w:pPr>
        <w:ind w:left="244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FFFFFFFF">
      <w:start w:val="1"/>
      <w:numFmt w:val="bullet"/>
      <w:lvlText w:val="o"/>
      <w:lvlJc w:val="left"/>
      <w:pPr>
        <w:ind w:left="316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5" w:tplc="FFFFFFFF">
      <w:start w:val="1"/>
      <w:numFmt w:val="bullet"/>
      <w:lvlText w:val="▪"/>
      <w:lvlJc w:val="left"/>
      <w:pPr>
        <w:ind w:left="388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6" w:tplc="FFFFFFFF">
      <w:start w:val="1"/>
      <w:numFmt w:val="bullet"/>
      <w:lvlText w:val="•"/>
      <w:lvlJc w:val="left"/>
      <w:pPr>
        <w:ind w:left="460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FFFFFFFF">
      <w:start w:val="1"/>
      <w:numFmt w:val="bullet"/>
      <w:lvlText w:val="o"/>
      <w:lvlJc w:val="left"/>
      <w:pPr>
        <w:ind w:left="532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8" w:tplc="FFFFFFFF">
      <w:start w:val="1"/>
      <w:numFmt w:val="bullet"/>
      <w:lvlText w:val="▪"/>
      <w:lvlJc w:val="left"/>
      <w:pPr>
        <w:ind w:left="604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abstractNum>
  <w:abstractNum w:abstractNumId="33" w15:restartNumberingAfterBreak="0">
    <w:nsid w:val="7BC87C4B"/>
    <w:multiLevelType w:val="hybridMultilevel"/>
    <w:tmpl w:val="D4507C48"/>
    <w:lvl w:ilvl="0" w:tplc="9BD25044">
      <w:start w:val="3"/>
      <w:numFmt w:val="bullet"/>
      <w:lvlText w:val="-"/>
      <w:lvlJc w:val="left"/>
      <w:pPr>
        <w:ind w:left="720" w:hanging="360"/>
      </w:pPr>
      <w:rPr>
        <w:rFonts w:ascii="Calibri" w:eastAsia="Calibri"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B261D8"/>
    <w:multiLevelType w:val="hybridMultilevel"/>
    <w:tmpl w:val="A802C00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num>
  <w:num w:numId="4">
    <w:abstractNumId w:val="24"/>
  </w:num>
  <w:num w:numId="5">
    <w:abstractNumId w:val="0"/>
  </w:num>
  <w:num w:numId="6">
    <w:abstractNumId w:val="21"/>
  </w:num>
  <w:num w:numId="7">
    <w:abstractNumId w:val="17"/>
  </w:num>
  <w:num w:numId="8">
    <w:abstractNumId w:val="2"/>
  </w:num>
  <w:num w:numId="9">
    <w:abstractNumId w:val="28"/>
  </w:num>
  <w:num w:numId="10">
    <w:abstractNumId w:val="13"/>
  </w:num>
  <w:num w:numId="11">
    <w:abstractNumId w:val="12"/>
  </w:num>
  <w:num w:numId="12">
    <w:abstractNumId w:val="25"/>
  </w:num>
  <w:num w:numId="13">
    <w:abstractNumId w:val="22"/>
  </w:num>
  <w:num w:numId="14">
    <w:abstractNumId w:val="20"/>
  </w:num>
  <w:num w:numId="15">
    <w:abstractNumId w:val="34"/>
  </w:num>
  <w:num w:numId="16">
    <w:abstractNumId w:val="7"/>
  </w:num>
  <w:num w:numId="17">
    <w:abstractNumId w:val="29"/>
  </w:num>
  <w:num w:numId="18">
    <w:abstractNumId w:val="26"/>
  </w:num>
  <w:num w:numId="19">
    <w:abstractNumId w:val="6"/>
  </w:num>
  <w:num w:numId="20">
    <w:abstractNumId w:val="5"/>
  </w:num>
  <w:num w:numId="21">
    <w:abstractNumId w:val="18"/>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8"/>
  </w:num>
  <w:num w:numId="25">
    <w:abstractNumId w:val="30"/>
  </w:num>
  <w:num w:numId="26">
    <w:abstractNumId w:val="4"/>
  </w:num>
  <w:num w:numId="27">
    <w:abstractNumId w:val="15"/>
  </w:num>
  <w:num w:numId="28">
    <w:abstractNumId w:val="3"/>
  </w:num>
  <w:num w:numId="29">
    <w:abstractNumId w:val="32"/>
  </w:num>
  <w:num w:numId="30">
    <w:abstractNumId w:val="11"/>
  </w:num>
  <w:num w:numId="31">
    <w:abstractNumId w:val="19"/>
  </w:num>
  <w:num w:numId="32">
    <w:abstractNumId w:val="16"/>
  </w:num>
  <w:num w:numId="33">
    <w:abstractNumId w:val="27"/>
  </w:num>
  <w:num w:numId="34">
    <w:abstractNumId w:val="23"/>
  </w:num>
  <w:num w:numId="35">
    <w:abstractNumId w:val="3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EyNjcxNTM0sjCzNDZW0lEKTi0uzszPAykwrAUAbhQOXCwAAAA="/>
  </w:docVars>
  <w:rsids>
    <w:rsidRoot w:val="006B48EA"/>
    <w:rsid w:val="0000502D"/>
    <w:rsid w:val="0001055D"/>
    <w:rsid w:val="00010600"/>
    <w:rsid w:val="00021890"/>
    <w:rsid w:val="000223A3"/>
    <w:rsid w:val="000243DB"/>
    <w:rsid w:val="00025F87"/>
    <w:rsid w:val="00026C7D"/>
    <w:rsid w:val="00027995"/>
    <w:rsid w:val="00031313"/>
    <w:rsid w:val="000356D0"/>
    <w:rsid w:val="00036D08"/>
    <w:rsid w:val="00037024"/>
    <w:rsid w:val="000433BD"/>
    <w:rsid w:val="00044435"/>
    <w:rsid w:val="00045121"/>
    <w:rsid w:val="00051169"/>
    <w:rsid w:val="00051A63"/>
    <w:rsid w:val="000525DC"/>
    <w:rsid w:val="00061E35"/>
    <w:rsid w:val="00062DA2"/>
    <w:rsid w:val="00074F21"/>
    <w:rsid w:val="000763F6"/>
    <w:rsid w:val="00076584"/>
    <w:rsid w:val="00076CA9"/>
    <w:rsid w:val="000773E1"/>
    <w:rsid w:val="0008168F"/>
    <w:rsid w:val="00082B9D"/>
    <w:rsid w:val="00087039"/>
    <w:rsid w:val="00087778"/>
    <w:rsid w:val="00094822"/>
    <w:rsid w:val="00094D87"/>
    <w:rsid w:val="000B51A0"/>
    <w:rsid w:val="000B6047"/>
    <w:rsid w:val="000C140F"/>
    <w:rsid w:val="000C322E"/>
    <w:rsid w:val="000D2DF9"/>
    <w:rsid w:val="000D3F37"/>
    <w:rsid w:val="000D4DB1"/>
    <w:rsid w:val="000D5930"/>
    <w:rsid w:val="000D693F"/>
    <w:rsid w:val="000D6EB6"/>
    <w:rsid w:val="000D79C3"/>
    <w:rsid w:val="000E0A5F"/>
    <w:rsid w:val="000E2274"/>
    <w:rsid w:val="000F0461"/>
    <w:rsid w:val="000F09A4"/>
    <w:rsid w:val="000F3BC6"/>
    <w:rsid w:val="000F4815"/>
    <w:rsid w:val="000F514B"/>
    <w:rsid w:val="00107531"/>
    <w:rsid w:val="00110BAE"/>
    <w:rsid w:val="00116A9F"/>
    <w:rsid w:val="00116E3C"/>
    <w:rsid w:val="00122DFB"/>
    <w:rsid w:val="0013012B"/>
    <w:rsid w:val="00132F36"/>
    <w:rsid w:val="001335A0"/>
    <w:rsid w:val="00134B34"/>
    <w:rsid w:val="0014345C"/>
    <w:rsid w:val="00143645"/>
    <w:rsid w:val="00144E3E"/>
    <w:rsid w:val="00145E3B"/>
    <w:rsid w:val="00146F01"/>
    <w:rsid w:val="001506C9"/>
    <w:rsid w:val="0015504A"/>
    <w:rsid w:val="00164000"/>
    <w:rsid w:val="00165A1E"/>
    <w:rsid w:val="00166ABA"/>
    <w:rsid w:val="00167703"/>
    <w:rsid w:val="001705F4"/>
    <w:rsid w:val="001773C1"/>
    <w:rsid w:val="0018205A"/>
    <w:rsid w:val="00182D57"/>
    <w:rsid w:val="00184B5E"/>
    <w:rsid w:val="00184FA9"/>
    <w:rsid w:val="001906BE"/>
    <w:rsid w:val="00196A6E"/>
    <w:rsid w:val="001A2581"/>
    <w:rsid w:val="001B318F"/>
    <w:rsid w:val="001B73A1"/>
    <w:rsid w:val="001C00FE"/>
    <w:rsid w:val="001C1FD2"/>
    <w:rsid w:val="001C22D1"/>
    <w:rsid w:val="001C7562"/>
    <w:rsid w:val="001D049E"/>
    <w:rsid w:val="001D0772"/>
    <w:rsid w:val="001D5CA2"/>
    <w:rsid w:val="001E0CDC"/>
    <w:rsid w:val="001E25D1"/>
    <w:rsid w:val="001E27ED"/>
    <w:rsid w:val="001E2EF6"/>
    <w:rsid w:val="001E395E"/>
    <w:rsid w:val="001E4BC2"/>
    <w:rsid w:val="001F2498"/>
    <w:rsid w:val="001F5D34"/>
    <w:rsid w:val="0020169A"/>
    <w:rsid w:val="002148FA"/>
    <w:rsid w:val="0021754D"/>
    <w:rsid w:val="002176CF"/>
    <w:rsid w:val="00220A6B"/>
    <w:rsid w:val="00221559"/>
    <w:rsid w:val="0022405E"/>
    <w:rsid w:val="002244B5"/>
    <w:rsid w:val="0022550B"/>
    <w:rsid w:val="002326DE"/>
    <w:rsid w:val="002346E8"/>
    <w:rsid w:val="00235F3F"/>
    <w:rsid w:val="0023636C"/>
    <w:rsid w:val="00240390"/>
    <w:rsid w:val="002424E5"/>
    <w:rsid w:val="0024362F"/>
    <w:rsid w:val="00243AF6"/>
    <w:rsid w:val="0024446F"/>
    <w:rsid w:val="002463B3"/>
    <w:rsid w:val="00256BD8"/>
    <w:rsid w:val="00262BC2"/>
    <w:rsid w:val="00270248"/>
    <w:rsid w:val="00271072"/>
    <w:rsid w:val="00271694"/>
    <w:rsid w:val="0027251C"/>
    <w:rsid w:val="00275900"/>
    <w:rsid w:val="0028258E"/>
    <w:rsid w:val="00285222"/>
    <w:rsid w:val="00285BEC"/>
    <w:rsid w:val="002873A4"/>
    <w:rsid w:val="00291405"/>
    <w:rsid w:val="0029273B"/>
    <w:rsid w:val="0029287F"/>
    <w:rsid w:val="002A0F78"/>
    <w:rsid w:val="002B3B0A"/>
    <w:rsid w:val="002B461E"/>
    <w:rsid w:val="002B50E9"/>
    <w:rsid w:val="002B77C4"/>
    <w:rsid w:val="002C2D61"/>
    <w:rsid w:val="002C5E8F"/>
    <w:rsid w:val="002D3D3E"/>
    <w:rsid w:val="002D57AA"/>
    <w:rsid w:val="002D6878"/>
    <w:rsid w:val="002E5F1F"/>
    <w:rsid w:val="002F661C"/>
    <w:rsid w:val="00305F14"/>
    <w:rsid w:val="00322210"/>
    <w:rsid w:val="003364F6"/>
    <w:rsid w:val="0033743A"/>
    <w:rsid w:val="003379FF"/>
    <w:rsid w:val="00340835"/>
    <w:rsid w:val="00340E85"/>
    <w:rsid w:val="003417A1"/>
    <w:rsid w:val="00341891"/>
    <w:rsid w:val="003424BA"/>
    <w:rsid w:val="00345872"/>
    <w:rsid w:val="003467DA"/>
    <w:rsid w:val="00350835"/>
    <w:rsid w:val="00350A42"/>
    <w:rsid w:val="003514EC"/>
    <w:rsid w:val="003537E6"/>
    <w:rsid w:val="0035518D"/>
    <w:rsid w:val="0035622C"/>
    <w:rsid w:val="00361A6B"/>
    <w:rsid w:val="00363F4F"/>
    <w:rsid w:val="0036695E"/>
    <w:rsid w:val="00370931"/>
    <w:rsid w:val="00375915"/>
    <w:rsid w:val="00375FB4"/>
    <w:rsid w:val="003776CF"/>
    <w:rsid w:val="00380065"/>
    <w:rsid w:val="00381662"/>
    <w:rsid w:val="0038673A"/>
    <w:rsid w:val="00386BA1"/>
    <w:rsid w:val="003906DE"/>
    <w:rsid w:val="00390C3A"/>
    <w:rsid w:val="003918B0"/>
    <w:rsid w:val="003940EC"/>
    <w:rsid w:val="003A2F9E"/>
    <w:rsid w:val="003B7CDA"/>
    <w:rsid w:val="003C1061"/>
    <w:rsid w:val="003C257E"/>
    <w:rsid w:val="003C7660"/>
    <w:rsid w:val="003D1044"/>
    <w:rsid w:val="003D2764"/>
    <w:rsid w:val="003D38A6"/>
    <w:rsid w:val="003D38F9"/>
    <w:rsid w:val="003D7D05"/>
    <w:rsid w:val="003E4881"/>
    <w:rsid w:val="003F40F0"/>
    <w:rsid w:val="00403288"/>
    <w:rsid w:val="00403AEC"/>
    <w:rsid w:val="00403D82"/>
    <w:rsid w:val="004101BE"/>
    <w:rsid w:val="0041671D"/>
    <w:rsid w:val="004201A3"/>
    <w:rsid w:val="004203B5"/>
    <w:rsid w:val="004220C5"/>
    <w:rsid w:val="00433E4B"/>
    <w:rsid w:val="0043415F"/>
    <w:rsid w:val="004365AB"/>
    <w:rsid w:val="00441DAB"/>
    <w:rsid w:val="004428B7"/>
    <w:rsid w:val="00447B59"/>
    <w:rsid w:val="0045136F"/>
    <w:rsid w:val="00451F57"/>
    <w:rsid w:val="004538F2"/>
    <w:rsid w:val="00453ADF"/>
    <w:rsid w:val="00454A38"/>
    <w:rsid w:val="0045616F"/>
    <w:rsid w:val="00457D32"/>
    <w:rsid w:val="0046215B"/>
    <w:rsid w:val="00465629"/>
    <w:rsid w:val="004712C5"/>
    <w:rsid w:val="00472FDB"/>
    <w:rsid w:val="00474E5B"/>
    <w:rsid w:val="004759EA"/>
    <w:rsid w:val="00477CC9"/>
    <w:rsid w:val="00481ACF"/>
    <w:rsid w:val="00484E7C"/>
    <w:rsid w:val="00485B67"/>
    <w:rsid w:val="004861F9"/>
    <w:rsid w:val="0049234C"/>
    <w:rsid w:val="0049295B"/>
    <w:rsid w:val="004934A8"/>
    <w:rsid w:val="004956C7"/>
    <w:rsid w:val="004A1953"/>
    <w:rsid w:val="004A27F4"/>
    <w:rsid w:val="004A5518"/>
    <w:rsid w:val="004A76F1"/>
    <w:rsid w:val="004B303C"/>
    <w:rsid w:val="004C523F"/>
    <w:rsid w:val="004D12C7"/>
    <w:rsid w:val="004D4802"/>
    <w:rsid w:val="004E0159"/>
    <w:rsid w:val="004E1BC9"/>
    <w:rsid w:val="004E4629"/>
    <w:rsid w:val="004E6A58"/>
    <w:rsid w:val="004F7BD7"/>
    <w:rsid w:val="00500CB8"/>
    <w:rsid w:val="00501DB1"/>
    <w:rsid w:val="00503277"/>
    <w:rsid w:val="005115EC"/>
    <w:rsid w:val="005134A7"/>
    <w:rsid w:val="0051355F"/>
    <w:rsid w:val="00516427"/>
    <w:rsid w:val="00520322"/>
    <w:rsid w:val="005205B2"/>
    <w:rsid w:val="00521C8D"/>
    <w:rsid w:val="00521E02"/>
    <w:rsid w:val="00522437"/>
    <w:rsid w:val="00526404"/>
    <w:rsid w:val="00527466"/>
    <w:rsid w:val="00531FA1"/>
    <w:rsid w:val="00536928"/>
    <w:rsid w:val="00546B7E"/>
    <w:rsid w:val="0054729F"/>
    <w:rsid w:val="005477A1"/>
    <w:rsid w:val="00552F60"/>
    <w:rsid w:val="005531D2"/>
    <w:rsid w:val="00556610"/>
    <w:rsid w:val="00561590"/>
    <w:rsid w:val="00561BD4"/>
    <w:rsid w:val="00563A23"/>
    <w:rsid w:val="00577397"/>
    <w:rsid w:val="0057768A"/>
    <w:rsid w:val="00577D94"/>
    <w:rsid w:val="005819D4"/>
    <w:rsid w:val="00592B33"/>
    <w:rsid w:val="00597D68"/>
    <w:rsid w:val="005A0CD5"/>
    <w:rsid w:val="005A1FFE"/>
    <w:rsid w:val="005A2868"/>
    <w:rsid w:val="005A54B6"/>
    <w:rsid w:val="005A5D98"/>
    <w:rsid w:val="005B196F"/>
    <w:rsid w:val="005B45FE"/>
    <w:rsid w:val="005C49E0"/>
    <w:rsid w:val="005D13E5"/>
    <w:rsid w:val="005D213B"/>
    <w:rsid w:val="005D2232"/>
    <w:rsid w:val="005D2796"/>
    <w:rsid w:val="005D6355"/>
    <w:rsid w:val="005E1A68"/>
    <w:rsid w:val="005E6970"/>
    <w:rsid w:val="005E7903"/>
    <w:rsid w:val="005F5FFA"/>
    <w:rsid w:val="0060244D"/>
    <w:rsid w:val="00603E0C"/>
    <w:rsid w:val="00605F73"/>
    <w:rsid w:val="006117C6"/>
    <w:rsid w:val="00612BE0"/>
    <w:rsid w:val="00616481"/>
    <w:rsid w:val="00630829"/>
    <w:rsid w:val="00631D4A"/>
    <w:rsid w:val="0063341A"/>
    <w:rsid w:val="0063687A"/>
    <w:rsid w:val="006434CF"/>
    <w:rsid w:val="006453D6"/>
    <w:rsid w:val="00650990"/>
    <w:rsid w:val="00654B01"/>
    <w:rsid w:val="006555EC"/>
    <w:rsid w:val="00655C8A"/>
    <w:rsid w:val="00661314"/>
    <w:rsid w:val="00662B8E"/>
    <w:rsid w:val="00670151"/>
    <w:rsid w:val="00673099"/>
    <w:rsid w:val="00676CFB"/>
    <w:rsid w:val="00681344"/>
    <w:rsid w:val="00681742"/>
    <w:rsid w:val="00681FDF"/>
    <w:rsid w:val="00683AA6"/>
    <w:rsid w:val="0068522B"/>
    <w:rsid w:val="0069010B"/>
    <w:rsid w:val="006907B4"/>
    <w:rsid w:val="00693BA3"/>
    <w:rsid w:val="00694966"/>
    <w:rsid w:val="006A4BAC"/>
    <w:rsid w:val="006A615A"/>
    <w:rsid w:val="006B1748"/>
    <w:rsid w:val="006B183C"/>
    <w:rsid w:val="006B48EA"/>
    <w:rsid w:val="006B61A8"/>
    <w:rsid w:val="006C2236"/>
    <w:rsid w:val="006C3076"/>
    <w:rsid w:val="006C77C2"/>
    <w:rsid w:val="006D2BD9"/>
    <w:rsid w:val="006E1389"/>
    <w:rsid w:val="006E49BF"/>
    <w:rsid w:val="006E7B5D"/>
    <w:rsid w:val="006E7FE6"/>
    <w:rsid w:val="006F0B3B"/>
    <w:rsid w:val="00701983"/>
    <w:rsid w:val="00702A75"/>
    <w:rsid w:val="00703E0B"/>
    <w:rsid w:val="0070505C"/>
    <w:rsid w:val="0070535C"/>
    <w:rsid w:val="007055F3"/>
    <w:rsid w:val="00715FBA"/>
    <w:rsid w:val="00717B38"/>
    <w:rsid w:val="0072074B"/>
    <w:rsid w:val="0072582F"/>
    <w:rsid w:val="007265AC"/>
    <w:rsid w:val="00730B6A"/>
    <w:rsid w:val="00731105"/>
    <w:rsid w:val="0073278F"/>
    <w:rsid w:val="00732CE8"/>
    <w:rsid w:val="00737D3E"/>
    <w:rsid w:val="007447FC"/>
    <w:rsid w:val="00744B38"/>
    <w:rsid w:val="00751F67"/>
    <w:rsid w:val="00753DF3"/>
    <w:rsid w:val="00756EFB"/>
    <w:rsid w:val="00761B46"/>
    <w:rsid w:val="00763DD7"/>
    <w:rsid w:val="00773782"/>
    <w:rsid w:val="007809FB"/>
    <w:rsid w:val="00782190"/>
    <w:rsid w:val="00782D12"/>
    <w:rsid w:val="00784B3A"/>
    <w:rsid w:val="00786192"/>
    <w:rsid w:val="007A00F3"/>
    <w:rsid w:val="007A4039"/>
    <w:rsid w:val="007B6463"/>
    <w:rsid w:val="007C2927"/>
    <w:rsid w:val="007C32AA"/>
    <w:rsid w:val="007C4A0F"/>
    <w:rsid w:val="007C6955"/>
    <w:rsid w:val="007D0C66"/>
    <w:rsid w:val="007D0F79"/>
    <w:rsid w:val="007D23A8"/>
    <w:rsid w:val="007D47DB"/>
    <w:rsid w:val="007D5C54"/>
    <w:rsid w:val="007E376C"/>
    <w:rsid w:val="007E4A88"/>
    <w:rsid w:val="007E79F2"/>
    <w:rsid w:val="007F34AB"/>
    <w:rsid w:val="007F3E25"/>
    <w:rsid w:val="008100E0"/>
    <w:rsid w:val="0081048E"/>
    <w:rsid w:val="008160DE"/>
    <w:rsid w:val="00816C00"/>
    <w:rsid w:val="008177B9"/>
    <w:rsid w:val="00820C0D"/>
    <w:rsid w:val="00822FDF"/>
    <w:rsid w:val="00827394"/>
    <w:rsid w:val="00835766"/>
    <w:rsid w:val="00843946"/>
    <w:rsid w:val="00843B46"/>
    <w:rsid w:val="00844BC9"/>
    <w:rsid w:val="008470D9"/>
    <w:rsid w:val="00853875"/>
    <w:rsid w:val="008556A6"/>
    <w:rsid w:val="008557E0"/>
    <w:rsid w:val="00860AC6"/>
    <w:rsid w:val="00861800"/>
    <w:rsid w:val="00872A22"/>
    <w:rsid w:val="00873199"/>
    <w:rsid w:val="008755DF"/>
    <w:rsid w:val="00881302"/>
    <w:rsid w:val="008815DD"/>
    <w:rsid w:val="00882A73"/>
    <w:rsid w:val="00892915"/>
    <w:rsid w:val="008A08BB"/>
    <w:rsid w:val="008A0F04"/>
    <w:rsid w:val="008A1169"/>
    <w:rsid w:val="008C10BC"/>
    <w:rsid w:val="008C5B7E"/>
    <w:rsid w:val="008C7206"/>
    <w:rsid w:val="008C7ABD"/>
    <w:rsid w:val="008D279E"/>
    <w:rsid w:val="008D6C0B"/>
    <w:rsid w:val="008D709C"/>
    <w:rsid w:val="008E0E20"/>
    <w:rsid w:val="008E61F8"/>
    <w:rsid w:val="008E7B5F"/>
    <w:rsid w:val="008F28D5"/>
    <w:rsid w:val="008F3F37"/>
    <w:rsid w:val="009104A3"/>
    <w:rsid w:val="00910540"/>
    <w:rsid w:val="009142CE"/>
    <w:rsid w:val="00921F76"/>
    <w:rsid w:val="00926AB5"/>
    <w:rsid w:val="009325B3"/>
    <w:rsid w:val="009339CF"/>
    <w:rsid w:val="00935C28"/>
    <w:rsid w:val="00937BC1"/>
    <w:rsid w:val="009430AF"/>
    <w:rsid w:val="00946113"/>
    <w:rsid w:val="0094755D"/>
    <w:rsid w:val="00951592"/>
    <w:rsid w:val="00951872"/>
    <w:rsid w:val="00952590"/>
    <w:rsid w:val="0095586F"/>
    <w:rsid w:val="00957731"/>
    <w:rsid w:val="009717C0"/>
    <w:rsid w:val="00972AB2"/>
    <w:rsid w:val="00974ADA"/>
    <w:rsid w:val="0097509E"/>
    <w:rsid w:val="00984CCF"/>
    <w:rsid w:val="009861CD"/>
    <w:rsid w:val="00986B1B"/>
    <w:rsid w:val="00993FF8"/>
    <w:rsid w:val="00995311"/>
    <w:rsid w:val="00997BBA"/>
    <w:rsid w:val="009A099D"/>
    <w:rsid w:val="009A3CA6"/>
    <w:rsid w:val="009A4046"/>
    <w:rsid w:val="009A4565"/>
    <w:rsid w:val="009A4784"/>
    <w:rsid w:val="009B06F5"/>
    <w:rsid w:val="009B5A7A"/>
    <w:rsid w:val="009C62ED"/>
    <w:rsid w:val="009D2117"/>
    <w:rsid w:val="009D76D3"/>
    <w:rsid w:val="009D7BA5"/>
    <w:rsid w:val="009E170A"/>
    <w:rsid w:val="009E3E0D"/>
    <w:rsid w:val="009E741A"/>
    <w:rsid w:val="009E7946"/>
    <w:rsid w:val="009F2385"/>
    <w:rsid w:val="009F3411"/>
    <w:rsid w:val="009F4955"/>
    <w:rsid w:val="009F51F6"/>
    <w:rsid w:val="009F5CF8"/>
    <w:rsid w:val="009F62C4"/>
    <w:rsid w:val="009F7A49"/>
    <w:rsid w:val="00A025B7"/>
    <w:rsid w:val="00A02F4C"/>
    <w:rsid w:val="00A07600"/>
    <w:rsid w:val="00A12ABE"/>
    <w:rsid w:val="00A13C49"/>
    <w:rsid w:val="00A15795"/>
    <w:rsid w:val="00A1738C"/>
    <w:rsid w:val="00A227A0"/>
    <w:rsid w:val="00A32D92"/>
    <w:rsid w:val="00A35064"/>
    <w:rsid w:val="00A35455"/>
    <w:rsid w:val="00A36573"/>
    <w:rsid w:val="00A367A1"/>
    <w:rsid w:val="00A37013"/>
    <w:rsid w:val="00A40923"/>
    <w:rsid w:val="00A418C0"/>
    <w:rsid w:val="00A4769E"/>
    <w:rsid w:val="00A52C05"/>
    <w:rsid w:val="00A57842"/>
    <w:rsid w:val="00A61CB1"/>
    <w:rsid w:val="00A624A6"/>
    <w:rsid w:val="00A63E11"/>
    <w:rsid w:val="00A67EB7"/>
    <w:rsid w:val="00A70BA7"/>
    <w:rsid w:val="00A75837"/>
    <w:rsid w:val="00A762F5"/>
    <w:rsid w:val="00A763E3"/>
    <w:rsid w:val="00A76E47"/>
    <w:rsid w:val="00A77957"/>
    <w:rsid w:val="00A80EBF"/>
    <w:rsid w:val="00A81656"/>
    <w:rsid w:val="00A820E7"/>
    <w:rsid w:val="00A87306"/>
    <w:rsid w:val="00A9245E"/>
    <w:rsid w:val="00A93311"/>
    <w:rsid w:val="00A96AFB"/>
    <w:rsid w:val="00AA17CA"/>
    <w:rsid w:val="00AA3D2D"/>
    <w:rsid w:val="00AA7FE0"/>
    <w:rsid w:val="00AB06D0"/>
    <w:rsid w:val="00AB0C7B"/>
    <w:rsid w:val="00AB4806"/>
    <w:rsid w:val="00AB4AD0"/>
    <w:rsid w:val="00AC1A3C"/>
    <w:rsid w:val="00AC35A7"/>
    <w:rsid w:val="00AC54E9"/>
    <w:rsid w:val="00AC5D73"/>
    <w:rsid w:val="00AC6087"/>
    <w:rsid w:val="00AC63F3"/>
    <w:rsid w:val="00AC7065"/>
    <w:rsid w:val="00AD599A"/>
    <w:rsid w:val="00AD7432"/>
    <w:rsid w:val="00AD7E75"/>
    <w:rsid w:val="00AE0202"/>
    <w:rsid w:val="00AE0CF6"/>
    <w:rsid w:val="00AF0299"/>
    <w:rsid w:val="00AF17A1"/>
    <w:rsid w:val="00AF1865"/>
    <w:rsid w:val="00AF4AED"/>
    <w:rsid w:val="00AF54A2"/>
    <w:rsid w:val="00AF6704"/>
    <w:rsid w:val="00B005A1"/>
    <w:rsid w:val="00B00DD8"/>
    <w:rsid w:val="00B027FA"/>
    <w:rsid w:val="00B02A38"/>
    <w:rsid w:val="00B0619A"/>
    <w:rsid w:val="00B12D1D"/>
    <w:rsid w:val="00B13882"/>
    <w:rsid w:val="00B140CA"/>
    <w:rsid w:val="00B17F94"/>
    <w:rsid w:val="00B21CED"/>
    <w:rsid w:val="00B22536"/>
    <w:rsid w:val="00B227D3"/>
    <w:rsid w:val="00B23D53"/>
    <w:rsid w:val="00B279A7"/>
    <w:rsid w:val="00B3149B"/>
    <w:rsid w:val="00B34B0F"/>
    <w:rsid w:val="00B350CE"/>
    <w:rsid w:val="00B367F1"/>
    <w:rsid w:val="00B4191A"/>
    <w:rsid w:val="00B441F1"/>
    <w:rsid w:val="00B47487"/>
    <w:rsid w:val="00B47A22"/>
    <w:rsid w:val="00B47E7E"/>
    <w:rsid w:val="00B508B3"/>
    <w:rsid w:val="00B521CA"/>
    <w:rsid w:val="00B53A8A"/>
    <w:rsid w:val="00B57FA2"/>
    <w:rsid w:val="00B63D98"/>
    <w:rsid w:val="00B66065"/>
    <w:rsid w:val="00B8060F"/>
    <w:rsid w:val="00B86BC7"/>
    <w:rsid w:val="00B906D2"/>
    <w:rsid w:val="00B97C1B"/>
    <w:rsid w:val="00BA0872"/>
    <w:rsid w:val="00BA467C"/>
    <w:rsid w:val="00BA7146"/>
    <w:rsid w:val="00BA7442"/>
    <w:rsid w:val="00BB3BF0"/>
    <w:rsid w:val="00BB4CD5"/>
    <w:rsid w:val="00BB5F64"/>
    <w:rsid w:val="00BC0312"/>
    <w:rsid w:val="00BC7472"/>
    <w:rsid w:val="00BD5526"/>
    <w:rsid w:val="00BE1C75"/>
    <w:rsid w:val="00BE2EBA"/>
    <w:rsid w:val="00BE34D8"/>
    <w:rsid w:val="00BE642F"/>
    <w:rsid w:val="00BF2136"/>
    <w:rsid w:val="00BF49CD"/>
    <w:rsid w:val="00BF4D54"/>
    <w:rsid w:val="00C016B8"/>
    <w:rsid w:val="00C06C95"/>
    <w:rsid w:val="00C10068"/>
    <w:rsid w:val="00C17951"/>
    <w:rsid w:val="00C20C6F"/>
    <w:rsid w:val="00C22014"/>
    <w:rsid w:val="00C279C9"/>
    <w:rsid w:val="00C301E0"/>
    <w:rsid w:val="00C3072B"/>
    <w:rsid w:val="00C342E2"/>
    <w:rsid w:val="00C3487F"/>
    <w:rsid w:val="00C3553B"/>
    <w:rsid w:val="00C40883"/>
    <w:rsid w:val="00C43C8D"/>
    <w:rsid w:val="00C44442"/>
    <w:rsid w:val="00C44B8C"/>
    <w:rsid w:val="00C45E64"/>
    <w:rsid w:val="00C51CA9"/>
    <w:rsid w:val="00C5234A"/>
    <w:rsid w:val="00C5287A"/>
    <w:rsid w:val="00C52A7B"/>
    <w:rsid w:val="00C53BBE"/>
    <w:rsid w:val="00C540A4"/>
    <w:rsid w:val="00C57916"/>
    <w:rsid w:val="00C62DAD"/>
    <w:rsid w:val="00C6374C"/>
    <w:rsid w:val="00C67644"/>
    <w:rsid w:val="00C712BE"/>
    <w:rsid w:val="00C76436"/>
    <w:rsid w:val="00C874A4"/>
    <w:rsid w:val="00C87FC8"/>
    <w:rsid w:val="00C95606"/>
    <w:rsid w:val="00C96A84"/>
    <w:rsid w:val="00CA00D4"/>
    <w:rsid w:val="00CA180D"/>
    <w:rsid w:val="00CA5448"/>
    <w:rsid w:val="00CA6CE1"/>
    <w:rsid w:val="00CB01EA"/>
    <w:rsid w:val="00CB04F6"/>
    <w:rsid w:val="00CB10D5"/>
    <w:rsid w:val="00CB4B8B"/>
    <w:rsid w:val="00CB666E"/>
    <w:rsid w:val="00CC296D"/>
    <w:rsid w:val="00CC3225"/>
    <w:rsid w:val="00CC36E2"/>
    <w:rsid w:val="00CC4994"/>
    <w:rsid w:val="00CC64A6"/>
    <w:rsid w:val="00CD6D70"/>
    <w:rsid w:val="00CE3F01"/>
    <w:rsid w:val="00CF2A3E"/>
    <w:rsid w:val="00CF6E3B"/>
    <w:rsid w:val="00D1133B"/>
    <w:rsid w:val="00D16BD9"/>
    <w:rsid w:val="00D21560"/>
    <w:rsid w:val="00D240ED"/>
    <w:rsid w:val="00D249C2"/>
    <w:rsid w:val="00D255C7"/>
    <w:rsid w:val="00D26C5B"/>
    <w:rsid w:val="00D30A66"/>
    <w:rsid w:val="00D31CBF"/>
    <w:rsid w:val="00D37E88"/>
    <w:rsid w:val="00D44E87"/>
    <w:rsid w:val="00D47FE9"/>
    <w:rsid w:val="00D50692"/>
    <w:rsid w:val="00D50A67"/>
    <w:rsid w:val="00D53660"/>
    <w:rsid w:val="00D62239"/>
    <w:rsid w:val="00D6641A"/>
    <w:rsid w:val="00D664B7"/>
    <w:rsid w:val="00D66F18"/>
    <w:rsid w:val="00D6790A"/>
    <w:rsid w:val="00D70078"/>
    <w:rsid w:val="00D70893"/>
    <w:rsid w:val="00D714CE"/>
    <w:rsid w:val="00D72356"/>
    <w:rsid w:val="00D80FD9"/>
    <w:rsid w:val="00D823E0"/>
    <w:rsid w:val="00D836E8"/>
    <w:rsid w:val="00D85A41"/>
    <w:rsid w:val="00D861D2"/>
    <w:rsid w:val="00D94D42"/>
    <w:rsid w:val="00D97243"/>
    <w:rsid w:val="00DA05B7"/>
    <w:rsid w:val="00DA2FEE"/>
    <w:rsid w:val="00DA69D5"/>
    <w:rsid w:val="00DA7C09"/>
    <w:rsid w:val="00DB2E11"/>
    <w:rsid w:val="00DC41EC"/>
    <w:rsid w:val="00DC718D"/>
    <w:rsid w:val="00DC7CAF"/>
    <w:rsid w:val="00DD378B"/>
    <w:rsid w:val="00DD5C3D"/>
    <w:rsid w:val="00DD5E12"/>
    <w:rsid w:val="00DD685F"/>
    <w:rsid w:val="00DE7979"/>
    <w:rsid w:val="00DF000B"/>
    <w:rsid w:val="00DF0496"/>
    <w:rsid w:val="00DF1C08"/>
    <w:rsid w:val="00DF6AB5"/>
    <w:rsid w:val="00E0075E"/>
    <w:rsid w:val="00E01D9C"/>
    <w:rsid w:val="00E03659"/>
    <w:rsid w:val="00E04D96"/>
    <w:rsid w:val="00E05BAA"/>
    <w:rsid w:val="00E12027"/>
    <w:rsid w:val="00E20A28"/>
    <w:rsid w:val="00E2163E"/>
    <w:rsid w:val="00E218CE"/>
    <w:rsid w:val="00E21EC9"/>
    <w:rsid w:val="00E22766"/>
    <w:rsid w:val="00E24B15"/>
    <w:rsid w:val="00E2519A"/>
    <w:rsid w:val="00E25E65"/>
    <w:rsid w:val="00E34540"/>
    <w:rsid w:val="00E34E15"/>
    <w:rsid w:val="00E35BD8"/>
    <w:rsid w:val="00E428EA"/>
    <w:rsid w:val="00E438EF"/>
    <w:rsid w:val="00E52996"/>
    <w:rsid w:val="00E61205"/>
    <w:rsid w:val="00E620AE"/>
    <w:rsid w:val="00E62F73"/>
    <w:rsid w:val="00E7518E"/>
    <w:rsid w:val="00E7675A"/>
    <w:rsid w:val="00E772F0"/>
    <w:rsid w:val="00E81F74"/>
    <w:rsid w:val="00E901C0"/>
    <w:rsid w:val="00E9216E"/>
    <w:rsid w:val="00E941CC"/>
    <w:rsid w:val="00EA7935"/>
    <w:rsid w:val="00EB6BA4"/>
    <w:rsid w:val="00EC09C2"/>
    <w:rsid w:val="00EC4600"/>
    <w:rsid w:val="00EC5A7D"/>
    <w:rsid w:val="00ED2107"/>
    <w:rsid w:val="00ED7601"/>
    <w:rsid w:val="00EE2DC3"/>
    <w:rsid w:val="00EE2F54"/>
    <w:rsid w:val="00EE4F6E"/>
    <w:rsid w:val="00EE7C1F"/>
    <w:rsid w:val="00EF13D4"/>
    <w:rsid w:val="00EF7631"/>
    <w:rsid w:val="00F033E7"/>
    <w:rsid w:val="00F05125"/>
    <w:rsid w:val="00F0759B"/>
    <w:rsid w:val="00F13A45"/>
    <w:rsid w:val="00F16890"/>
    <w:rsid w:val="00F17BCB"/>
    <w:rsid w:val="00F300F0"/>
    <w:rsid w:val="00F328E5"/>
    <w:rsid w:val="00F36FEB"/>
    <w:rsid w:val="00F37176"/>
    <w:rsid w:val="00F44309"/>
    <w:rsid w:val="00F4465B"/>
    <w:rsid w:val="00F46255"/>
    <w:rsid w:val="00F46488"/>
    <w:rsid w:val="00F517F7"/>
    <w:rsid w:val="00F558D2"/>
    <w:rsid w:val="00F56DC6"/>
    <w:rsid w:val="00F664B6"/>
    <w:rsid w:val="00F77363"/>
    <w:rsid w:val="00F80E61"/>
    <w:rsid w:val="00F822EA"/>
    <w:rsid w:val="00F8594F"/>
    <w:rsid w:val="00F87309"/>
    <w:rsid w:val="00F87C58"/>
    <w:rsid w:val="00F91A2A"/>
    <w:rsid w:val="00F928E0"/>
    <w:rsid w:val="00F9371D"/>
    <w:rsid w:val="00F93EFB"/>
    <w:rsid w:val="00F9689B"/>
    <w:rsid w:val="00FA244C"/>
    <w:rsid w:val="00FA667E"/>
    <w:rsid w:val="00FA7EA1"/>
    <w:rsid w:val="00FB67DD"/>
    <w:rsid w:val="00FB6837"/>
    <w:rsid w:val="00FC1DEA"/>
    <w:rsid w:val="00FC2210"/>
    <w:rsid w:val="00FD549E"/>
    <w:rsid w:val="00FD77A8"/>
    <w:rsid w:val="00FE11EF"/>
    <w:rsid w:val="00FE179C"/>
    <w:rsid w:val="00FE3667"/>
    <w:rsid w:val="00FE3E3E"/>
    <w:rsid w:val="00FF0D2F"/>
    <w:rsid w:val="00FF11A2"/>
    <w:rsid w:val="00FF1862"/>
    <w:rsid w:val="00FF6A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21C6D"/>
  <w15:docId w15:val="{3313C8E3-E510-4465-A62A-EAE30C03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customStyle="1" w:styleId="footnotedescription">
    <w:name w:val="footnote description"/>
    <w:next w:val="Normal"/>
    <w:link w:val="footnotedescriptionChar"/>
    <w:hidden/>
    <w:pPr>
      <w:spacing w:after="0" w:line="263" w:lineRule="auto"/>
      <w:ind w:left="14"/>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526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404"/>
    <w:rPr>
      <w:rFonts w:ascii="Calibri" w:eastAsia="Calibri" w:hAnsi="Calibri" w:cs="Calibri"/>
      <w:color w:val="000000"/>
    </w:rPr>
  </w:style>
  <w:style w:type="character" w:styleId="PlaceholderText">
    <w:name w:val="Placeholder Text"/>
    <w:basedOn w:val="DefaultParagraphFont"/>
    <w:uiPriority w:val="99"/>
    <w:semiHidden/>
    <w:rsid w:val="00526404"/>
    <w:rPr>
      <w:color w:val="808080"/>
    </w:rPr>
  </w:style>
  <w:style w:type="paragraph" w:styleId="ListParagraph">
    <w:name w:val="List Paragraph"/>
    <w:basedOn w:val="Normal"/>
    <w:link w:val="ListParagraphChar"/>
    <w:uiPriority w:val="34"/>
    <w:qFormat/>
    <w:rsid w:val="000F4815"/>
    <w:pPr>
      <w:ind w:left="720"/>
      <w:contextualSpacing/>
    </w:pPr>
  </w:style>
  <w:style w:type="paragraph" w:styleId="BalloonText">
    <w:name w:val="Balloon Text"/>
    <w:basedOn w:val="Normal"/>
    <w:link w:val="BalloonTextChar"/>
    <w:uiPriority w:val="99"/>
    <w:semiHidden/>
    <w:unhideWhenUsed/>
    <w:rsid w:val="00087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778"/>
    <w:rPr>
      <w:rFonts w:ascii="Tahoma" w:eastAsia="Calibri" w:hAnsi="Tahoma" w:cs="Tahoma"/>
      <w:color w:val="000000"/>
      <w:sz w:val="16"/>
      <w:szCs w:val="16"/>
    </w:rPr>
  </w:style>
  <w:style w:type="character" w:styleId="Hyperlink">
    <w:name w:val="Hyperlink"/>
    <w:basedOn w:val="DefaultParagraphFont"/>
    <w:uiPriority w:val="99"/>
    <w:unhideWhenUsed/>
    <w:rsid w:val="00AE0CF6"/>
    <w:rPr>
      <w:color w:val="0563C1" w:themeColor="hyperlink"/>
      <w:u w:val="single"/>
    </w:rPr>
  </w:style>
  <w:style w:type="character" w:styleId="UnresolvedMention">
    <w:name w:val="Unresolved Mention"/>
    <w:basedOn w:val="DefaultParagraphFont"/>
    <w:uiPriority w:val="99"/>
    <w:unhideWhenUsed/>
    <w:rsid w:val="00AE0CF6"/>
    <w:rPr>
      <w:color w:val="605E5C"/>
      <w:shd w:val="clear" w:color="auto" w:fill="E1DFDD"/>
    </w:rPr>
  </w:style>
  <w:style w:type="character" w:styleId="CommentReference">
    <w:name w:val="annotation reference"/>
    <w:basedOn w:val="DefaultParagraphFont"/>
    <w:uiPriority w:val="99"/>
    <w:semiHidden/>
    <w:unhideWhenUsed/>
    <w:rsid w:val="00B97C1B"/>
    <w:rPr>
      <w:sz w:val="16"/>
      <w:szCs w:val="16"/>
    </w:rPr>
  </w:style>
  <w:style w:type="paragraph" w:styleId="CommentText">
    <w:name w:val="annotation text"/>
    <w:basedOn w:val="Normal"/>
    <w:link w:val="CommentTextChar"/>
    <w:uiPriority w:val="99"/>
    <w:unhideWhenUsed/>
    <w:rsid w:val="00B97C1B"/>
    <w:pPr>
      <w:spacing w:line="240" w:lineRule="auto"/>
    </w:pPr>
    <w:rPr>
      <w:sz w:val="20"/>
      <w:szCs w:val="20"/>
    </w:rPr>
  </w:style>
  <w:style w:type="character" w:customStyle="1" w:styleId="CommentTextChar">
    <w:name w:val="Comment Text Char"/>
    <w:basedOn w:val="DefaultParagraphFont"/>
    <w:link w:val="CommentText"/>
    <w:uiPriority w:val="99"/>
    <w:rsid w:val="00B97C1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97C1B"/>
    <w:rPr>
      <w:b/>
      <w:bCs/>
    </w:rPr>
  </w:style>
  <w:style w:type="character" w:customStyle="1" w:styleId="CommentSubjectChar">
    <w:name w:val="Comment Subject Char"/>
    <w:basedOn w:val="CommentTextChar"/>
    <w:link w:val="CommentSubject"/>
    <w:uiPriority w:val="99"/>
    <w:semiHidden/>
    <w:rsid w:val="00B97C1B"/>
    <w:rPr>
      <w:rFonts w:ascii="Calibri" w:eastAsia="Calibri" w:hAnsi="Calibri" w:cs="Calibri"/>
      <w:b/>
      <w:bCs/>
      <w:color w:val="000000"/>
      <w:sz w:val="20"/>
      <w:szCs w:val="20"/>
    </w:rPr>
  </w:style>
  <w:style w:type="paragraph" w:styleId="FootnoteText">
    <w:name w:val="footnote text"/>
    <w:basedOn w:val="Normal"/>
    <w:link w:val="FootnoteTextChar"/>
    <w:uiPriority w:val="99"/>
    <w:unhideWhenUsed/>
    <w:rsid w:val="00F822EA"/>
    <w:pPr>
      <w:spacing w:after="0" w:line="240" w:lineRule="auto"/>
    </w:pPr>
    <w:rPr>
      <w:sz w:val="20"/>
      <w:szCs w:val="20"/>
    </w:rPr>
  </w:style>
  <w:style w:type="character" w:customStyle="1" w:styleId="FootnoteTextChar">
    <w:name w:val="Footnote Text Char"/>
    <w:basedOn w:val="DefaultParagraphFont"/>
    <w:link w:val="FootnoteText"/>
    <w:uiPriority w:val="99"/>
    <w:rsid w:val="00F822EA"/>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F822EA"/>
    <w:rPr>
      <w:vertAlign w:val="superscript"/>
    </w:rPr>
  </w:style>
  <w:style w:type="character" w:styleId="FollowedHyperlink">
    <w:name w:val="FollowedHyperlink"/>
    <w:basedOn w:val="DefaultParagraphFont"/>
    <w:uiPriority w:val="99"/>
    <w:semiHidden/>
    <w:unhideWhenUsed/>
    <w:rsid w:val="00E81F74"/>
    <w:rPr>
      <w:color w:val="954F72" w:themeColor="followedHyperlink"/>
      <w:u w:val="single"/>
    </w:rPr>
  </w:style>
  <w:style w:type="paragraph" w:styleId="Footer">
    <w:name w:val="footer"/>
    <w:basedOn w:val="Normal"/>
    <w:link w:val="FooterChar"/>
    <w:uiPriority w:val="99"/>
    <w:semiHidden/>
    <w:unhideWhenUsed/>
    <w:rsid w:val="003222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22210"/>
    <w:rPr>
      <w:rFonts w:ascii="Calibri" w:eastAsia="Calibri" w:hAnsi="Calibri" w:cs="Calibri"/>
      <w:color w:val="000000"/>
    </w:rPr>
  </w:style>
  <w:style w:type="paragraph" w:styleId="EndnoteText">
    <w:name w:val="endnote text"/>
    <w:basedOn w:val="Normal"/>
    <w:link w:val="EndnoteTextChar"/>
    <w:uiPriority w:val="99"/>
    <w:semiHidden/>
    <w:unhideWhenUsed/>
    <w:rsid w:val="00561B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1BD4"/>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561BD4"/>
    <w:rPr>
      <w:vertAlign w:val="superscript"/>
    </w:rPr>
  </w:style>
  <w:style w:type="paragraph" w:styleId="Revision">
    <w:name w:val="Revision"/>
    <w:hidden/>
    <w:uiPriority w:val="99"/>
    <w:semiHidden/>
    <w:rsid w:val="00B12D1D"/>
    <w:pPr>
      <w:spacing w:after="0" w:line="240" w:lineRule="auto"/>
    </w:pPr>
    <w:rPr>
      <w:rFonts w:ascii="Calibri" w:eastAsia="Calibri" w:hAnsi="Calibri" w:cs="Calibri"/>
      <w:color w:val="000000"/>
    </w:rPr>
  </w:style>
  <w:style w:type="character" w:customStyle="1" w:styleId="ListParagraphChar">
    <w:name w:val="List Paragraph Char"/>
    <w:link w:val="ListParagraph"/>
    <w:uiPriority w:val="34"/>
    <w:locked/>
    <w:rsid w:val="00DA7C09"/>
    <w:rPr>
      <w:rFonts w:ascii="Calibri" w:eastAsia="Calibri" w:hAnsi="Calibri" w:cs="Calibri"/>
      <w:color w:val="000000"/>
    </w:rPr>
  </w:style>
  <w:style w:type="paragraph" w:customStyle="1" w:styleId="Default">
    <w:name w:val="Default"/>
    <w:rsid w:val="004C52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dp.org/european-union/framework-cooperation" TargetMode="External"/><Relationship Id="rId18" Type="http://schemas.openxmlformats.org/officeDocument/2006/relationships/hyperlink" Target="https://treasury.un.org/operationalrates/OperationalRates.ph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opp.undp.org/_layouts/15/POPPOpenDoc.aspx" TargetMode="External"/><Relationship Id="rId17" Type="http://schemas.openxmlformats.org/officeDocument/2006/relationships/hyperlink" Target="https://ec.europa.eu/info/funding-tenders/procedures-guidelines-tenders/information-contractors-and-beneficiaries/exchange-rate-inforeuro_en"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ec.europa.eu/europeaid/funding/procedures-beneficiary-countries-and-partners/fafa-united-nations_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europeaid/funding/procedures-beneficiary-countries-and-partners/fafa-united-nations_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finance.partneragencies.org/psc/UNDPP1FS_newwin/EMPLOYEE/ERP/q/" TargetMode="External"/><Relationship Id="rId23" Type="http://schemas.openxmlformats.org/officeDocument/2006/relationships/footer" Target="footer3.xml"/><Relationship Id="rId28"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hyperlink" Target="mailto:fba.all@und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uropeaid/funding/procedures-beneficiary-countries-and-partners/fafa-united-nations_en" TargetMode="External"/><Relationship Id="rId22" Type="http://schemas.openxmlformats.org/officeDocument/2006/relationships/footer" Target="footer2.xml"/><Relationship Id="rId27"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3" Type="http://schemas.openxmlformats.org/officeDocument/2006/relationships/hyperlink" Target="https://popp.undp.org/_layouts/15/WopiFrame.aspx?sourcedoc=/UNDP_POPP_DOCUMENT_LIBRARY/Public/AC_Accountability_Internal%20Control%20Framework_Operational%20Guide.docx&amp;action=default" TargetMode="External"/><Relationship Id="rId2" Type="http://schemas.openxmlformats.org/officeDocument/2006/relationships/hyperlink" Target="https://treasury.un.org/operationalrates/default.php" TargetMode="External"/><Relationship Id="rId1" Type="http://schemas.openxmlformats.org/officeDocument/2006/relationships/hyperlink" Target="https://ec.europa.eu/info/funding-tenders/procedures-guidelines-tenders/information-contractors-and%20beneficiaries/exchange-rate-inforeuro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06983374AD4C459693684759707617"/>
        <w:category>
          <w:name w:val="General"/>
          <w:gallery w:val="placeholder"/>
        </w:category>
        <w:types>
          <w:type w:val="bbPlcHdr"/>
        </w:types>
        <w:behaviors>
          <w:behavior w:val="content"/>
        </w:behaviors>
        <w:guid w:val="{1CAB220C-A1D4-407B-B762-91075974C4D8}"/>
      </w:docPartPr>
      <w:docPartBody>
        <w:p w:rsidR="00D32801" w:rsidRDefault="00315FFE">
          <w:r w:rsidRPr="00EC38FF">
            <w:rPr>
              <w:rStyle w:val="PlaceholderText"/>
            </w:rPr>
            <w:t>[Effective Date]</w:t>
          </w:r>
        </w:p>
      </w:docPartBody>
    </w:docPart>
    <w:docPart>
      <w:docPartPr>
        <w:name w:val="C3506E07C78345E2B66427025087FFF7"/>
        <w:category>
          <w:name w:val="General"/>
          <w:gallery w:val="placeholder"/>
        </w:category>
        <w:types>
          <w:type w:val="bbPlcHdr"/>
        </w:types>
        <w:behaviors>
          <w:behavior w:val="content"/>
        </w:behaviors>
        <w:guid w:val="{A58AC3CF-D678-4568-86EC-9425A50B6974}"/>
      </w:docPartPr>
      <w:docPartBody>
        <w:p w:rsidR="00D32801" w:rsidRDefault="00315FFE">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0B8"/>
    <w:rsid w:val="001150EE"/>
    <w:rsid w:val="00265C1A"/>
    <w:rsid w:val="002A0F53"/>
    <w:rsid w:val="00315FFE"/>
    <w:rsid w:val="0032513F"/>
    <w:rsid w:val="003B2BE0"/>
    <w:rsid w:val="004A540C"/>
    <w:rsid w:val="00620FBA"/>
    <w:rsid w:val="007D1678"/>
    <w:rsid w:val="0084378A"/>
    <w:rsid w:val="008C7C32"/>
    <w:rsid w:val="00A75C62"/>
    <w:rsid w:val="00BB169B"/>
    <w:rsid w:val="00BE38F9"/>
    <w:rsid w:val="00C7717B"/>
    <w:rsid w:val="00C91E83"/>
    <w:rsid w:val="00D242C7"/>
    <w:rsid w:val="00D320B8"/>
    <w:rsid w:val="00D32801"/>
    <w:rsid w:val="00D6000E"/>
    <w:rsid w:val="00D9024A"/>
    <w:rsid w:val="00DD62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C79B87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F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2</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EU Reporting</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2025-11-29T23:00:00+00:00</UNDP_POPP_PLANNED_REVIEWDATE>
    <UNDP_POPP_LASTMODIFIED xmlns="8264c5cc-ec60-4b56-8111-ce635d3d139a" xsi:nil="true"/>
    <UNDP_POPP_REJECT_COMMENTS xmlns="8264c5cc-ec60-4b56-8111-ce635d3d139a" xsi:nil="true"/>
    <DLCPolicyLabelValue xmlns="e560140e-7b2f-4392-90df-e7567e3021a3">Effective Date: 09/12/2022                                                Version #: 2</DLCPolicyLabelValue>
    <UNDP_POPP_EFFECTIVEDATE xmlns="8264c5cc-ec60-4b56-8111-ce635d3d139a">2022-12-08T23:00:00+00:00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POPP-11-2085</_dlc_DocId>
    <_dlc_DocIdUrl xmlns="8264c5cc-ec60-4b56-8111-ce635d3d139a">
      <Url>https://popp.undp.org/_layouts/15/DocIdRedir.aspx?ID=POPP-11-2085</Url>
      <Description>POPP-11-2085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05528A0-0DF2-4D0F-B7A1-E51B087AAFEE}"/>
</file>

<file path=customXml/itemProps2.xml><?xml version="1.0" encoding="utf-8"?>
<ds:datastoreItem xmlns:ds="http://schemas.openxmlformats.org/officeDocument/2006/customXml" ds:itemID="{E4F5DBB5-EB82-4A56-9071-4D91CCF1B430}">
  <ds:schemaRefs>
    <ds:schemaRef ds:uri="http://schemas.microsoft.com/sharepoint/v3/contenttype/forms"/>
  </ds:schemaRefs>
</ds:datastoreItem>
</file>

<file path=customXml/itemProps3.xml><?xml version="1.0" encoding="utf-8"?>
<ds:datastoreItem xmlns:ds="http://schemas.openxmlformats.org/officeDocument/2006/customXml" ds:itemID="{92B5F25A-64D1-45DD-9735-CAC26FE44E55}">
  <ds:schemaRefs>
    <ds:schemaRef ds:uri="http://schemas.openxmlformats.org/officeDocument/2006/bibliography"/>
  </ds:schemaRefs>
</ds:datastoreItem>
</file>

<file path=customXml/itemProps4.xml><?xml version="1.0" encoding="utf-8"?>
<ds:datastoreItem xmlns:ds="http://schemas.openxmlformats.org/officeDocument/2006/customXml" ds:itemID="{1905DCFC-B0B1-42FC-BF1B-AF295136391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357774A-351B-44C8-80F1-C3306F27948D}"/>
</file>

<file path=customXml/itemProps6.xml><?xml version="1.0" encoding="utf-8"?>
<ds:datastoreItem xmlns:ds="http://schemas.openxmlformats.org/officeDocument/2006/customXml" ds:itemID="{C3078793-9836-4EC3-BE69-314F6FDF41C1}"/>
</file>

<file path=docProps/app.xml><?xml version="1.0" encoding="utf-8"?>
<Properties xmlns="http://schemas.openxmlformats.org/officeDocument/2006/extended-properties" xmlns:vt="http://schemas.openxmlformats.org/officeDocument/2006/docPropsVTypes">
  <Template>Normal</Template>
  <TotalTime>4</TotalTime>
  <Pages>4</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Links>
    <vt:vector size="216" baseType="variant">
      <vt:variant>
        <vt:i4>5308418</vt:i4>
      </vt:variant>
      <vt:variant>
        <vt:i4>90</vt:i4>
      </vt:variant>
      <vt:variant>
        <vt:i4>0</vt:i4>
      </vt:variant>
      <vt:variant>
        <vt:i4>5</vt:i4>
      </vt:variant>
      <vt:variant>
        <vt:lpwstr>https://ec.europa.eu/europeaid/funding/procedures-beneficiary-countries-and-partners/fafa-united-nations_en?ICAction=ICQryNameURL=PUBLIC.UN_EURO_DONOR_QRY</vt:lpwstr>
      </vt:variant>
      <vt:variant>
        <vt:lpwstr/>
      </vt:variant>
      <vt:variant>
        <vt:i4>5963848</vt:i4>
      </vt:variant>
      <vt:variant>
        <vt:i4>87</vt:i4>
      </vt:variant>
      <vt:variant>
        <vt:i4>0</vt:i4>
      </vt:variant>
      <vt:variant>
        <vt:i4>5</vt:i4>
      </vt:variant>
      <vt:variant>
        <vt:lpwstr>https://finance.partneragencies.org/psc/UNDPP1FS_newwin/EMPLOYEE/ERP/q/?ICAction=ICQryNameURL=PUBLIC.UN_EURO_DONOR_QRY</vt:lpwstr>
      </vt:variant>
      <vt:variant>
        <vt:lpwstr/>
      </vt:variant>
      <vt:variant>
        <vt:i4>196730</vt:i4>
      </vt:variant>
      <vt:variant>
        <vt:i4>84</vt:i4>
      </vt:variant>
      <vt:variant>
        <vt:i4>0</vt:i4>
      </vt:variant>
      <vt:variant>
        <vt:i4>5</vt:i4>
      </vt:variant>
      <vt:variant>
        <vt:lpwstr>http://content.undp.org/go/prescriptive/Financial-Resources-Management---Prescriptive-Content/download/;jsessionid=aZ6o1E9PkfAa?ICAction=ICQryNameURL=PUBLIC.UN_EURO_DONOR_QRY</vt:lpwstr>
      </vt:variant>
      <vt:variant>
        <vt:lpwstr/>
      </vt:variant>
      <vt:variant>
        <vt:i4>2949173</vt:i4>
      </vt:variant>
      <vt:variant>
        <vt:i4>81</vt:i4>
      </vt:variant>
      <vt:variant>
        <vt:i4>0</vt:i4>
      </vt:variant>
      <vt:variant>
        <vt:i4>5</vt:i4>
      </vt:variant>
      <vt:variant>
        <vt:lpwstr>https://intranet.undp.org/global/documents/_layouts/WopiFrame.aspx?ICAction=ICQryNameURL=PUBLIC.UN_EURO_DONOR_QRY</vt:lpwstr>
      </vt:variant>
      <vt:variant>
        <vt:lpwstr/>
      </vt:variant>
      <vt:variant>
        <vt:i4>1835132</vt:i4>
      </vt:variant>
      <vt:variant>
        <vt:i4>78</vt:i4>
      </vt:variant>
      <vt:variant>
        <vt:i4>0</vt:i4>
      </vt:variant>
      <vt:variant>
        <vt:i4>5</vt:i4>
      </vt:variant>
      <vt:variant>
        <vt:lpwstr>https://popp.undp.org/_layouts/15/WopiFrame.aspx?sourcedoc=/UNDP_POPP_DOCUMENT_LIBRARY/public/FRM_EU%20Budget%20Tree%20(Updated%20Version).xls&amp;action=default</vt:lpwstr>
      </vt:variant>
      <vt:variant>
        <vt:lpwstr/>
      </vt:variant>
      <vt:variant>
        <vt:i4>7012372</vt:i4>
      </vt:variant>
      <vt:variant>
        <vt:i4>75</vt:i4>
      </vt:variant>
      <vt:variant>
        <vt:i4>0</vt:i4>
      </vt:variant>
      <vt:variant>
        <vt:i4>5</vt:i4>
      </vt:variant>
      <vt:variant>
        <vt:lpwstr>https://popp.undp.org/_layouts/15/POPPOpenDoc.aspx?sourcedoc=/UNDP_POPP_DOCUMENT_LIBRARY/public/FRM_EU%20Budget%20Tree%20(Updated%20Version).xls&amp;action=default</vt:lpwstr>
      </vt:variant>
      <vt:variant>
        <vt:lpwstr/>
      </vt:variant>
      <vt:variant>
        <vt:i4>1835132</vt:i4>
      </vt:variant>
      <vt:variant>
        <vt:i4>72</vt:i4>
      </vt:variant>
      <vt:variant>
        <vt:i4>0</vt:i4>
      </vt:variant>
      <vt:variant>
        <vt:i4>5</vt:i4>
      </vt:variant>
      <vt:variant>
        <vt:lpwstr>https://popp.undp.org/_layouts/15/WopiFrame.aspx?sourcedoc=/UNDP_POPP_DOCUMENT_LIBRARY/public/FRM_EU%20Budget%20Tree%20(Updated%20Version).xls&amp;action=default</vt:lpwstr>
      </vt:variant>
      <vt:variant>
        <vt:lpwstr/>
      </vt:variant>
      <vt:variant>
        <vt:i4>1835132</vt:i4>
      </vt:variant>
      <vt:variant>
        <vt:i4>69</vt:i4>
      </vt:variant>
      <vt:variant>
        <vt:i4>0</vt:i4>
      </vt:variant>
      <vt:variant>
        <vt:i4>5</vt:i4>
      </vt:variant>
      <vt:variant>
        <vt:lpwstr>https://popp.undp.org/_layouts/15/WopiFrame.aspx?sourcedoc=/UNDP_POPP_DOCUMENT_LIBRARY/public/FRM_EU%20Budget%20Tree%20(Updated%20Version).xls&amp;action=default</vt:lpwstr>
      </vt:variant>
      <vt:variant>
        <vt:lpwstr/>
      </vt:variant>
      <vt:variant>
        <vt:i4>6684756</vt:i4>
      </vt:variant>
      <vt:variant>
        <vt:i4>66</vt:i4>
      </vt:variant>
      <vt:variant>
        <vt:i4>0</vt:i4>
      </vt:variant>
      <vt:variant>
        <vt:i4>5</vt:i4>
      </vt:variant>
      <vt:variant>
        <vt:lpwstr>https://ec.europa.eu/europeaid/funding/procedures-beneficiary-countries-and-partners/fafa-united-nations_en?sourcedoc=/global/documents/frm/Revenue-Management-Better-Practice-Guide070306.ppt&amp;action=view&amp;Source=https://intranet.undp.org/global/documents/frm/Forms/AllItems.aspx</vt:lpwstr>
      </vt:variant>
      <vt:variant>
        <vt:lpwstr/>
      </vt:variant>
      <vt:variant>
        <vt:i4>1441854</vt:i4>
      </vt:variant>
      <vt:variant>
        <vt:i4>63</vt:i4>
      </vt:variant>
      <vt:variant>
        <vt:i4>0</vt:i4>
      </vt:variant>
      <vt:variant>
        <vt:i4>5</vt:i4>
      </vt:variant>
      <vt:variant>
        <vt:lpwstr>https://intranet.undp.org/global/documents/_layouts/WopiFrame.aspx?sourcedoc=%2Fglobal%2Fdocuments%2Ffrm%2FRevenue%2DManagement%2DBetter%2DPractice%2DGuide070306%2Eppt&amp;action=view&amp;Source=https%3A%2F%2Fintranet%2Eundp%2Eorg%2Fglobal%2Fdocuments%2Ffrm%2FForms%2FAllItems%2Easpx</vt:lpwstr>
      </vt:variant>
      <vt:variant>
        <vt:lpwstr/>
      </vt:variant>
      <vt:variant>
        <vt:i4>3932190</vt:i4>
      </vt:variant>
      <vt:variant>
        <vt:i4>60</vt:i4>
      </vt:variant>
      <vt:variant>
        <vt:i4>0</vt:i4>
      </vt:variant>
      <vt:variant>
        <vt:i4>5</vt:i4>
      </vt:variant>
      <vt:variant>
        <vt:lpwstr>https://ec.europa.eu/europeaid/funding/procedures-beneficiary-countries-and-partners/fafa-united-nations_en?ID=POPP-11-2008</vt:lpwstr>
      </vt:variant>
      <vt:variant>
        <vt:lpwstr/>
      </vt:variant>
      <vt:variant>
        <vt:i4>7929886</vt:i4>
      </vt:variant>
      <vt:variant>
        <vt:i4>57</vt:i4>
      </vt:variant>
      <vt:variant>
        <vt:i4>0</vt:i4>
      </vt:variant>
      <vt:variant>
        <vt:i4>5</vt:i4>
      </vt:variant>
      <vt:variant>
        <vt:lpwstr>https://finance.partneragencies.org/psc/UNDPP1FS_1/EMPLOYEE/ERP/q/?ID=POPP-11-2008</vt:lpwstr>
      </vt:variant>
      <vt:variant>
        <vt:lpwstr/>
      </vt:variant>
      <vt:variant>
        <vt:i4>6094858</vt:i4>
      </vt:variant>
      <vt:variant>
        <vt:i4>54</vt:i4>
      </vt:variant>
      <vt:variant>
        <vt:i4>0</vt:i4>
      </vt:variant>
      <vt:variant>
        <vt:i4>5</vt:i4>
      </vt:variant>
      <vt:variant>
        <vt:lpwstr>https://finance.partneragencies.org/psc/UNDPP1FS_1/EMPLOYEE/ERP/q/?ICAction=ICQryNameURL=PUBLIC.UN_EURO_DONOR_QRY</vt:lpwstr>
      </vt:variant>
      <vt:variant>
        <vt:lpwstr/>
      </vt:variant>
      <vt:variant>
        <vt:i4>2490466</vt:i4>
      </vt:variant>
      <vt:variant>
        <vt:i4>51</vt:i4>
      </vt:variant>
      <vt:variant>
        <vt:i4>0</vt:i4>
      </vt:variant>
      <vt:variant>
        <vt:i4>5</vt:i4>
      </vt:variant>
      <vt:variant>
        <vt:lpwstr>https://popp.undp.org/_layouts/15/WopiFrame.aspx?ICAction=ICQryNameURL=PUBLIC.UN_EURO_DONOR_QRY</vt:lpwstr>
      </vt:variant>
      <vt:variant>
        <vt:lpwstr/>
      </vt:variant>
      <vt:variant>
        <vt:i4>6094858</vt:i4>
      </vt:variant>
      <vt:variant>
        <vt:i4>48</vt:i4>
      </vt:variant>
      <vt:variant>
        <vt:i4>0</vt:i4>
      </vt:variant>
      <vt:variant>
        <vt:i4>5</vt:i4>
      </vt:variant>
      <vt:variant>
        <vt:lpwstr>https://finance.partneragencies.org/psc/UNDPP1FS_1/EMPLOYEE/ERP/q/?ICAction=ICQryNameURL=PUBLIC.UN_EURO_DONOR_QRY</vt:lpwstr>
      </vt:variant>
      <vt:variant>
        <vt:lpwstr/>
      </vt:variant>
      <vt:variant>
        <vt:i4>196730</vt:i4>
      </vt:variant>
      <vt:variant>
        <vt:i4>45</vt:i4>
      </vt:variant>
      <vt:variant>
        <vt:i4>0</vt:i4>
      </vt:variant>
      <vt:variant>
        <vt:i4>5</vt:i4>
      </vt:variant>
      <vt:variant>
        <vt:lpwstr>http://content.undp.org/go/prescriptive/Financial-Resources-Management---Prescriptive-Content/download/;jsessionid=aZ6o1E9PkfAa?ICAction=ICQryNameURL=PUBLIC.UN_EURO_DONOR_QRY</vt:lpwstr>
      </vt:variant>
      <vt:variant>
        <vt:lpwstr/>
      </vt:variant>
      <vt:variant>
        <vt:i4>6291579</vt:i4>
      </vt:variant>
      <vt:variant>
        <vt:i4>42</vt:i4>
      </vt:variant>
      <vt:variant>
        <vt:i4>0</vt:i4>
      </vt:variant>
      <vt:variant>
        <vt:i4>5</vt:i4>
      </vt:variant>
      <vt:variant>
        <vt:lpwstr>https://ec.europa.eu/europeaid/funding/procedures-beneficiary-countries-and-partners/fafa-united-nations_en?d_id=853007&amp;</vt:lpwstr>
      </vt:variant>
      <vt:variant>
        <vt:lpwstr/>
      </vt:variant>
      <vt:variant>
        <vt:i4>1835132</vt:i4>
      </vt:variant>
      <vt:variant>
        <vt:i4>39</vt:i4>
      </vt:variant>
      <vt:variant>
        <vt:i4>0</vt:i4>
      </vt:variant>
      <vt:variant>
        <vt:i4>5</vt:i4>
      </vt:variant>
      <vt:variant>
        <vt:lpwstr>https://popp.undp.org/_layouts/15/WopiFrame.aspx?sourcedoc=/UNDP_POPP_DOCUMENT_LIBRARY/public/FRM_EU%20Budget%20Tree%20(Updated%20Version).xls&amp;action=default</vt:lpwstr>
      </vt:variant>
      <vt:variant>
        <vt:lpwstr/>
      </vt:variant>
      <vt:variant>
        <vt:i4>7143460</vt:i4>
      </vt:variant>
      <vt:variant>
        <vt:i4>36</vt:i4>
      </vt:variant>
      <vt:variant>
        <vt:i4>0</vt:i4>
      </vt:variant>
      <vt:variant>
        <vt:i4>5</vt:i4>
      </vt:variant>
      <vt:variant>
        <vt:lpwstr>https://finance.partneragencies.org/psp/UNDPP1FS_1/EMPLOYEE/ERP/c/UN_REPORTS.UN_RUN_EURORPT.GBL</vt:lpwstr>
      </vt:variant>
      <vt:variant>
        <vt:lpwstr/>
      </vt:variant>
      <vt:variant>
        <vt:i4>7929879</vt:i4>
      </vt:variant>
      <vt:variant>
        <vt:i4>33</vt:i4>
      </vt:variant>
      <vt:variant>
        <vt:i4>0</vt:i4>
      </vt:variant>
      <vt:variant>
        <vt:i4>5</vt:i4>
      </vt:variant>
      <vt:variant>
        <vt:lpwstr>https://ec.europa.eu/europeaid/funding/procedures-beneficiary-countries-and-partners/fafa-united-nations_en</vt:lpwstr>
      </vt:variant>
      <vt:variant>
        <vt:lpwstr/>
      </vt:variant>
      <vt:variant>
        <vt:i4>2490459</vt:i4>
      </vt:variant>
      <vt:variant>
        <vt:i4>30</vt:i4>
      </vt:variant>
      <vt:variant>
        <vt:i4>0</vt:i4>
      </vt:variant>
      <vt:variant>
        <vt:i4>5</vt:i4>
      </vt:variant>
      <vt:variant>
        <vt:lpwstr>https://finance.partneragencies.org/psc/UNDPP1FS_1/EMPLOYEE/ERP/q/</vt:lpwstr>
      </vt:variant>
      <vt:variant>
        <vt:lpwstr/>
      </vt:variant>
      <vt:variant>
        <vt:i4>7536668</vt:i4>
      </vt:variant>
      <vt:variant>
        <vt:i4>27</vt:i4>
      </vt:variant>
      <vt:variant>
        <vt:i4>0</vt:i4>
      </vt:variant>
      <vt:variant>
        <vt:i4>5</vt:i4>
      </vt:variant>
      <vt:variant>
        <vt:lpwstr>https://finance.partneragencies.org/psc/UNDPP1FS_newwin/EMPLOYEE/ERP/q/</vt:lpwstr>
      </vt:variant>
      <vt:variant>
        <vt:lpwstr/>
      </vt:variant>
      <vt:variant>
        <vt:i4>7143460</vt:i4>
      </vt:variant>
      <vt:variant>
        <vt:i4>24</vt:i4>
      </vt:variant>
      <vt:variant>
        <vt:i4>0</vt:i4>
      </vt:variant>
      <vt:variant>
        <vt:i4>5</vt:i4>
      </vt:variant>
      <vt:variant>
        <vt:lpwstr>https://finance.partneragencies.org/psp/UNDPP1FS_1/EMPLOYEE/ERP/c/UN_REPORTS.UN_RUN_EURORPT.GBL</vt:lpwstr>
      </vt:variant>
      <vt:variant>
        <vt:lpwstr/>
      </vt:variant>
      <vt:variant>
        <vt:i4>2818144</vt:i4>
      </vt:variant>
      <vt:variant>
        <vt:i4>21</vt:i4>
      </vt:variant>
      <vt:variant>
        <vt:i4>0</vt:i4>
      </vt:variant>
      <vt:variant>
        <vt:i4>5</vt:i4>
      </vt:variant>
      <vt:variant>
        <vt:lpwstr>http://content.undp.org/go/prescriptive/Financial-Resources-Management---Prescriptive-Content/download/;jsessionid=aZ6o1E9PkfAa</vt:lpwstr>
      </vt:variant>
      <vt:variant>
        <vt:lpwstr/>
      </vt:variant>
      <vt:variant>
        <vt:i4>7143460</vt:i4>
      </vt:variant>
      <vt:variant>
        <vt:i4>18</vt:i4>
      </vt:variant>
      <vt:variant>
        <vt:i4>0</vt:i4>
      </vt:variant>
      <vt:variant>
        <vt:i4>5</vt:i4>
      </vt:variant>
      <vt:variant>
        <vt:lpwstr>https://finance.partneragencies.org/psp/UNDPP1FS_1/EMPLOYEE/ERP/c/UN_REPORTS.UN_RUN_EURORPT.GBL</vt:lpwstr>
      </vt:variant>
      <vt:variant>
        <vt:lpwstr/>
      </vt:variant>
      <vt:variant>
        <vt:i4>7929879</vt:i4>
      </vt:variant>
      <vt:variant>
        <vt:i4>15</vt:i4>
      </vt:variant>
      <vt:variant>
        <vt:i4>0</vt:i4>
      </vt:variant>
      <vt:variant>
        <vt:i4>5</vt:i4>
      </vt:variant>
      <vt:variant>
        <vt:lpwstr>https://ec.europa.eu/europeaid/funding/procedures-beneficiary-countries-and-partners/fafa-united-nations_en</vt:lpwstr>
      </vt:variant>
      <vt:variant>
        <vt:lpwstr/>
      </vt:variant>
      <vt:variant>
        <vt:i4>7536668</vt:i4>
      </vt:variant>
      <vt:variant>
        <vt:i4>12</vt:i4>
      </vt:variant>
      <vt:variant>
        <vt:i4>0</vt:i4>
      </vt:variant>
      <vt:variant>
        <vt:i4>5</vt:i4>
      </vt:variant>
      <vt:variant>
        <vt:lpwstr>https://finance.partneragencies.org/psc/UNDPP1FS_newwin/EMPLOYEE/ERP/q/</vt:lpwstr>
      </vt:variant>
      <vt:variant>
        <vt:lpwstr/>
      </vt:variant>
      <vt:variant>
        <vt:i4>7929879</vt:i4>
      </vt:variant>
      <vt:variant>
        <vt:i4>9</vt:i4>
      </vt:variant>
      <vt:variant>
        <vt:i4>0</vt:i4>
      </vt:variant>
      <vt:variant>
        <vt:i4>5</vt:i4>
      </vt:variant>
      <vt:variant>
        <vt:lpwstr>https://ec.europa.eu/europeaid/funding/procedures-beneficiary-countries-and-partners/fafa-united-nations_en</vt:lpwstr>
      </vt:variant>
      <vt:variant>
        <vt:lpwstr/>
      </vt:variant>
      <vt:variant>
        <vt:i4>7143460</vt:i4>
      </vt:variant>
      <vt:variant>
        <vt:i4>6</vt:i4>
      </vt:variant>
      <vt:variant>
        <vt:i4>0</vt:i4>
      </vt:variant>
      <vt:variant>
        <vt:i4>5</vt:i4>
      </vt:variant>
      <vt:variant>
        <vt:lpwstr>https://finance.partneragencies.org/psp/UNDPP1FS_1/EMPLOYEE/ERP/c/UN_REPORTS.UN_RUN_EURORPT.GBL</vt:lpwstr>
      </vt:variant>
      <vt:variant>
        <vt:lpwstr/>
      </vt:variant>
      <vt:variant>
        <vt:i4>2752603</vt:i4>
      </vt:variant>
      <vt:variant>
        <vt:i4>3</vt:i4>
      </vt:variant>
      <vt:variant>
        <vt:i4>0</vt:i4>
      </vt:variant>
      <vt:variant>
        <vt:i4>5</vt:i4>
      </vt:variant>
      <vt:variant>
        <vt:lpwstr>https://popp.undp.org/_layouts/15/POPPOpenDoc.aspx</vt:lpwstr>
      </vt:variant>
      <vt:variant>
        <vt:lpwstr/>
      </vt:variant>
      <vt:variant>
        <vt:i4>7929879</vt:i4>
      </vt:variant>
      <vt:variant>
        <vt:i4>0</vt:i4>
      </vt:variant>
      <vt:variant>
        <vt:i4>0</vt:i4>
      </vt:variant>
      <vt:variant>
        <vt:i4>5</vt:i4>
      </vt:variant>
      <vt:variant>
        <vt:lpwstr>https://ec.europa.eu/europeaid/funding/procedures-beneficiary-countries-and-partners/fafa-united-nations_en</vt:lpwstr>
      </vt:variant>
      <vt:variant>
        <vt:lpwstr/>
      </vt:variant>
      <vt:variant>
        <vt:i4>6619229</vt:i4>
      </vt:variant>
      <vt:variant>
        <vt:i4>0</vt:i4>
      </vt:variant>
      <vt:variant>
        <vt:i4>0</vt:i4>
      </vt:variant>
      <vt:variant>
        <vt:i4>5</vt:i4>
      </vt:variant>
      <vt:variant>
        <vt:lpwstr>https://ec.europa.eu/info/funding-tenders/procedures-guidelines-tenders/information-contractors-and-beneficiaries/exchange-rate-inforeuro_en</vt:lpwstr>
      </vt:variant>
      <vt:variant>
        <vt:lpwstr/>
      </vt:variant>
      <vt:variant>
        <vt:i4>7143460</vt:i4>
      </vt:variant>
      <vt:variant>
        <vt:i4>9</vt:i4>
      </vt:variant>
      <vt:variant>
        <vt:i4>0</vt:i4>
      </vt:variant>
      <vt:variant>
        <vt:i4>5</vt:i4>
      </vt:variant>
      <vt:variant>
        <vt:lpwstr>https://finance.partneragencies.org/psp/UNDPP1FS_1/EMPLOYEE/ERP/c/UN_REPORTS.UN_RUN_EURORPT.GBL</vt:lpwstr>
      </vt:variant>
      <vt:variant>
        <vt:lpwstr/>
      </vt:variant>
      <vt:variant>
        <vt:i4>7143460</vt:i4>
      </vt:variant>
      <vt:variant>
        <vt:i4>6</vt:i4>
      </vt:variant>
      <vt:variant>
        <vt:i4>0</vt:i4>
      </vt:variant>
      <vt:variant>
        <vt:i4>5</vt:i4>
      </vt:variant>
      <vt:variant>
        <vt:lpwstr>https://finance.partneragencies.org/psp/UNDPP1FS_1/EMPLOYEE/ERP/c/UN_REPORTS.UN_RUN_EURORPT.GBL</vt:lpwstr>
      </vt:variant>
      <vt:variant>
        <vt:lpwstr/>
      </vt:variant>
      <vt:variant>
        <vt:i4>6619229</vt:i4>
      </vt:variant>
      <vt:variant>
        <vt:i4>3</vt:i4>
      </vt:variant>
      <vt:variant>
        <vt:i4>0</vt:i4>
      </vt:variant>
      <vt:variant>
        <vt:i4>5</vt:i4>
      </vt:variant>
      <vt:variant>
        <vt:lpwstr>https://ec.europa.eu/info/funding-tenders/procedures-guidelines-tenders/information-contractors-and-beneficiaries/exchange-rate-inforeuro_en</vt:lpwstr>
      </vt:variant>
      <vt:variant>
        <vt:lpwstr/>
      </vt:variant>
      <vt:variant>
        <vt:i4>3932180</vt:i4>
      </vt:variant>
      <vt:variant>
        <vt:i4>0</vt:i4>
      </vt:variant>
      <vt:variant>
        <vt:i4>0</vt:i4>
      </vt:variant>
      <vt:variant>
        <vt:i4>5</vt:i4>
      </vt:variant>
      <vt:variant>
        <vt:lpwstr>https://undp.sharepoint.com/:b:/r/sites/EUContracts/Shared Documents/1. Clearance of EU contracts/UN_FAFA_consolidated_2018.pdf?csf=1&amp;web=1&amp;e=1c8tqT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Nadda Chotiwichit</cp:lastModifiedBy>
  <cp:revision>4</cp:revision>
  <cp:lastPrinted>2022-11-21T12:19:00Z</cp:lastPrinted>
  <dcterms:created xsi:type="dcterms:W3CDTF">2022-12-01T22:41:00Z</dcterms:created>
  <dcterms:modified xsi:type="dcterms:W3CDTF">2022-12-05T19:56:00Z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a77051ba-c0a5-4769-b8f7-9c49707ef76f</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14" name="TaxCatchAll">
    <vt:lpwstr>350;#Financial Resources Management|682d4c54-a288-412d-bfec-ce5587bbd25c</vt:lpwstr>
  </property>
  <property fmtid="{D5CDD505-2E9C-101B-9397-08002B2CF9AE}" pid="20" name="l0e6ef0c43e74560bd7f3acd1f5e8571">
    <vt:lpwstr>Financial Resources Management|682d4c54-a288-412d-bfec-ce5587bbd25c</vt:lpwstr>
  </property>
  <property fmtid="{D5CDD505-2E9C-101B-9397-08002B2CF9AE}" pid="21" name="DLCPolicyLabelValue">
    <vt:lpwstr>Effective Date: {Effective Date}                                                Version #: {POPPRefItemVersion}</vt:lpwstr>
  </property>
</Properties>
</file>