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157A7" w14:textId="7074467C" w:rsidR="009908D8" w:rsidRPr="00662C65" w:rsidRDefault="00363336">
      <w:pPr>
        <w:spacing w:after="145" w:line="259" w:lineRule="auto"/>
        <w:ind w:left="0" w:right="0" w:firstLine="0"/>
        <w:jc w:val="left"/>
      </w:pPr>
      <w:r>
        <w:rPr>
          <w:b/>
          <w:sz w:val="28"/>
        </w:rPr>
        <w:t xml:space="preserve">Informes </w:t>
      </w:r>
      <w:r w:rsidR="00254A32">
        <w:rPr>
          <w:b/>
          <w:sz w:val="28"/>
        </w:rPr>
        <w:t>financieros</w:t>
      </w:r>
      <w:r>
        <w:rPr>
          <w:b/>
          <w:sz w:val="28"/>
        </w:rPr>
        <w:t xml:space="preserve"> certificados  </w:t>
      </w:r>
    </w:p>
    <w:p w14:paraId="57111AA5" w14:textId="314F38EF" w:rsidR="009908D8" w:rsidRPr="00662C65" w:rsidRDefault="00363336" w:rsidP="0080126E">
      <w:pPr>
        <w:pStyle w:val="ListParagraph"/>
        <w:numPr>
          <w:ilvl w:val="0"/>
          <w:numId w:val="7"/>
        </w:numPr>
        <w:ind w:right="0"/>
      </w:pPr>
      <w:r>
        <w:t xml:space="preserve">Los informes </w:t>
      </w:r>
      <w:r w:rsidR="00F517F9">
        <w:t xml:space="preserve">financieros </w:t>
      </w:r>
      <w:r>
        <w:t xml:space="preserve">certificados </w:t>
      </w:r>
      <w:r w:rsidR="00F517F9" w:rsidRPr="00F517F9">
        <w:t>ofrece</w:t>
      </w:r>
      <w:r w:rsidR="00F517F9">
        <w:t>n</w:t>
      </w:r>
      <w:r w:rsidR="00F517F9" w:rsidRPr="00F517F9">
        <w:t xml:space="preserve"> una visión completa de cómo se registran y utilizan las contribuciones, reflejando el estado operativo, los ingresos, los gastos y el saldo de las contribuciones aportadas por </w:t>
      </w:r>
      <w:r w:rsidR="00F517F9">
        <w:t xml:space="preserve">países </w:t>
      </w:r>
      <w:r w:rsidR="00F517F9" w:rsidRPr="00F517F9">
        <w:t xml:space="preserve">donantes individuales </w:t>
      </w:r>
      <w:r w:rsidR="00F517F9">
        <w:t>externos al</w:t>
      </w:r>
      <w:r w:rsidR="00F517F9" w:rsidRPr="00F517F9">
        <w:t xml:space="preserve"> programa. Los destinatarios de estos informes son estos donantes y las correspondientes oficinas nacionales del PNUD</w:t>
      </w:r>
      <w:r>
        <w:t xml:space="preserve">. </w:t>
      </w:r>
    </w:p>
    <w:p w14:paraId="3C636B47" w14:textId="77777777" w:rsidR="009908D8" w:rsidRPr="00662C65" w:rsidRDefault="00363336">
      <w:pPr>
        <w:spacing w:after="0" w:line="259" w:lineRule="auto"/>
        <w:ind w:left="708" w:right="0" w:firstLine="0"/>
        <w:jc w:val="left"/>
      </w:pPr>
      <w:r>
        <w:t xml:space="preserve"> </w:t>
      </w:r>
    </w:p>
    <w:p w14:paraId="348E3B11" w14:textId="4988D140" w:rsidR="009908D8" w:rsidRPr="00662C65" w:rsidRDefault="007C3496" w:rsidP="009B720C">
      <w:pPr>
        <w:spacing w:after="0" w:line="259" w:lineRule="auto"/>
        <w:ind w:left="370" w:right="0" w:hanging="10"/>
        <w:jc w:val="left"/>
      </w:pPr>
      <w:r>
        <w:rPr>
          <w:u w:val="single" w:color="000000"/>
        </w:rPr>
        <w:t>Fuente de información</w:t>
      </w:r>
      <w:r w:rsidR="00363336">
        <w:t xml:space="preserve"> </w:t>
      </w:r>
    </w:p>
    <w:p w14:paraId="7790886D" w14:textId="77777777" w:rsidR="009908D8" w:rsidRPr="00662C65" w:rsidRDefault="00363336">
      <w:pPr>
        <w:spacing w:after="20" w:line="259" w:lineRule="auto"/>
        <w:ind w:left="0" w:right="0" w:firstLine="0"/>
        <w:jc w:val="left"/>
      </w:pPr>
      <w:r>
        <w:t xml:space="preserve">  </w:t>
      </w:r>
    </w:p>
    <w:p w14:paraId="0C861715" w14:textId="60162AF0" w:rsidR="009908D8" w:rsidRPr="00662C65" w:rsidRDefault="007C3496" w:rsidP="009B720C">
      <w:pPr>
        <w:pStyle w:val="ListParagraph"/>
        <w:numPr>
          <w:ilvl w:val="0"/>
          <w:numId w:val="7"/>
        </w:numPr>
        <w:ind w:right="0"/>
      </w:pPr>
      <w:r w:rsidRPr="007C3496">
        <w:t>Los datos contenidos en estos informes se han extraído de los estados financieros del PNUD y, en todos los aspectos materiales, son conformes con los registros financieros del PNUD y el cumplimiento de las IPSAS.</w:t>
      </w:r>
      <w:r w:rsidR="00363336">
        <w:t xml:space="preserve"> </w:t>
      </w:r>
    </w:p>
    <w:p w14:paraId="00582203" w14:textId="77777777" w:rsidR="009908D8" w:rsidRPr="00662C65" w:rsidRDefault="00363336">
      <w:pPr>
        <w:spacing w:after="0" w:line="259" w:lineRule="auto"/>
        <w:ind w:left="0" w:right="0" w:firstLine="0"/>
        <w:jc w:val="left"/>
      </w:pPr>
      <w:r>
        <w:t xml:space="preserve">  </w:t>
      </w:r>
    </w:p>
    <w:p w14:paraId="69611148" w14:textId="3094A50F" w:rsidR="009908D8" w:rsidRPr="00662C65" w:rsidRDefault="007C3496" w:rsidP="009B720C">
      <w:pPr>
        <w:spacing w:after="0" w:line="259" w:lineRule="auto"/>
        <w:ind w:left="370" w:right="0" w:hanging="10"/>
        <w:jc w:val="left"/>
      </w:pPr>
      <w:r>
        <w:rPr>
          <w:u w:val="single" w:color="000000"/>
        </w:rPr>
        <w:t>Contenidos</w:t>
      </w:r>
      <w:r w:rsidR="00363336">
        <w:t xml:space="preserve"> </w:t>
      </w:r>
    </w:p>
    <w:p w14:paraId="74D0C75F" w14:textId="77777777" w:rsidR="009908D8" w:rsidRPr="00662C65" w:rsidRDefault="00363336">
      <w:pPr>
        <w:spacing w:after="20" w:line="259" w:lineRule="auto"/>
        <w:ind w:left="0" w:right="0" w:firstLine="0"/>
        <w:jc w:val="left"/>
      </w:pPr>
      <w:r>
        <w:t xml:space="preserve">  </w:t>
      </w:r>
    </w:p>
    <w:p w14:paraId="0FFEC4E2" w14:textId="1473A500" w:rsidR="00100246" w:rsidRDefault="00100246" w:rsidP="009B720C">
      <w:pPr>
        <w:pStyle w:val="ListParagraph"/>
        <w:numPr>
          <w:ilvl w:val="0"/>
          <w:numId w:val="7"/>
        </w:numPr>
        <w:ind w:right="0"/>
      </w:pPr>
      <w:r>
        <w:t>Cada informe contiene el resumen y el detalle de ingresos, gastos y saldo por categoría de financiación, es decir, reparto de costes (cofinanciación a nivel de proyecto), fondos fiduciarios, ventanillas de financiación y fondos fiduciarios temáticos (cofinanciación a nivel de fondo) para el donante. La sección detallada consta de tres Partes y tres Anexos cuando hay información que presentar.</w:t>
      </w:r>
    </w:p>
    <w:p w14:paraId="3BD3D0BE" w14:textId="77777777" w:rsidR="00100246" w:rsidRDefault="00100246" w:rsidP="00100246">
      <w:pPr>
        <w:ind w:left="335" w:right="0" w:firstLine="0"/>
      </w:pPr>
    </w:p>
    <w:p w14:paraId="47FBDD2B" w14:textId="6A6BE940" w:rsidR="00100246" w:rsidRDefault="00100246" w:rsidP="009B720C">
      <w:pPr>
        <w:pStyle w:val="ListParagraph"/>
        <w:numPr>
          <w:ilvl w:val="0"/>
          <w:numId w:val="8"/>
        </w:numPr>
        <w:ind w:right="0"/>
      </w:pPr>
      <w:r>
        <w:t>Parte I: Informes para proyectos financiados mediante acuerdos de reparto de costes. Modalidad de cofinanciación en virtud de la cual se pueden recibir contribuciones para actividades programáticas específicas del PNUD.</w:t>
      </w:r>
    </w:p>
    <w:p w14:paraId="246093CA" w14:textId="77777777" w:rsidR="00100246" w:rsidRDefault="00100246" w:rsidP="00100246">
      <w:pPr>
        <w:ind w:left="335" w:right="0" w:firstLine="0"/>
      </w:pPr>
    </w:p>
    <w:p w14:paraId="281265B4" w14:textId="69F84E19" w:rsidR="00100246" w:rsidRDefault="00100246" w:rsidP="009B720C">
      <w:pPr>
        <w:pStyle w:val="ListParagraph"/>
        <w:numPr>
          <w:ilvl w:val="0"/>
          <w:numId w:val="8"/>
        </w:numPr>
        <w:ind w:right="0"/>
      </w:pPr>
      <w:r>
        <w:t xml:space="preserve">Parte II: Informes para Proyectos financiados por acuerdos de fondos fiduciarios para las siguientes actividades. </w:t>
      </w:r>
    </w:p>
    <w:p w14:paraId="479F8014" w14:textId="0550080E" w:rsidR="00100246" w:rsidRDefault="00100246" w:rsidP="00D91BB0">
      <w:pPr>
        <w:pStyle w:val="ListParagraph"/>
        <w:numPr>
          <w:ilvl w:val="0"/>
          <w:numId w:val="2"/>
        </w:numPr>
        <w:ind w:right="0"/>
      </w:pPr>
      <w:r>
        <w:t>Actividades de fondos fiduciarios: Un fondo fiduciario es una modalidad normalmente establecida para recibir contribuciones de donantes en apoyo de temas amplios - como las áreas de práctica del PNUD, y los programas regionales.</w:t>
      </w:r>
    </w:p>
    <w:p w14:paraId="4D016AB6" w14:textId="29C58148" w:rsidR="00100246" w:rsidRDefault="00100246" w:rsidP="00D91BB0">
      <w:pPr>
        <w:pStyle w:val="ListParagraph"/>
        <w:numPr>
          <w:ilvl w:val="0"/>
          <w:numId w:val="2"/>
        </w:numPr>
        <w:ind w:right="0"/>
      </w:pPr>
      <w:r>
        <w:t xml:space="preserve">Actividades de las ventanillas de financiación: Las ventanillas de financiación son los nuevos mecanismos de financiación mancomunada y flexible del PNUD que se organizan en torno a temas para ayudar al PNUD y a sus asociados a alinearse en torno a objetivos comunes para alcanzar los Objetivos de Desarrollo Sostenible. En este informe se presenta un resumen financiero de cada Ventana de Financiación a nivel de </w:t>
      </w:r>
      <w:proofErr w:type="spellStart"/>
      <w:r>
        <w:t>subventanilla</w:t>
      </w:r>
      <w:proofErr w:type="spellEnd"/>
      <w:r>
        <w:t>.</w:t>
      </w:r>
    </w:p>
    <w:p w14:paraId="4A67B417" w14:textId="7636333F" w:rsidR="00100246" w:rsidRDefault="00100246" w:rsidP="00D91BB0">
      <w:pPr>
        <w:pStyle w:val="ListParagraph"/>
        <w:numPr>
          <w:ilvl w:val="0"/>
          <w:numId w:val="2"/>
        </w:numPr>
        <w:ind w:right="0"/>
      </w:pPr>
      <w:r>
        <w:t>Actividades de los fondos fiduciarios temáticos: Se ofrece una visión general de cada Fondo Fiduciario Temático y sus líneas de servicio para una mayor y mejor información de los lectores. También se ofrecen más detalles sobre los resultados de las iniciativas de las ventanillas nacionales y regionales, financiadas por un donante, es decir, país, estado de los resultados, descripciones de los resultados/proyectos.</w:t>
      </w:r>
    </w:p>
    <w:p w14:paraId="0774A662" w14:textId="01A58A86" w:rsidR="00100246" w:rsidRDefault="00100246" w:rsidP="00100246">
      <w:pPr>
        <w:numPr>
          <w:ilvl w:val="0"/>
          <w:numId w:val="1"/>
        </w:numPr>
        <w:ind w:left="1134" w:right="0"/>
      </w:pPr>
      <w:r>
        <w:t>Programa de Voluntarios de las Naciones Unidas (VNU): En el informe se incorporan datos financieros sobre las actividades del programa VNU y los tipos de financiación.</w:t>
      </w:r>
    </w:p>
    <w:p w14:paraId="46BFE390" w14:textId="77777777" w:rsidR="009B720C" w:rsidRDefault="009B720C" w:rsidP="009B720C">
      <w:pPr>
        <w:ind w:left="764" w:right="0" w:firstLine="0"/>
      </w:pPr>
    </w:p>
    <w:p w14:paraId="57CD9E74" w14:textId="2ACC5239" w:rsidR="00100246" w:rsidRDefault="00100246" w:rsidP="009B720C">
      <w:pPr>
        <w:pStyle w:val="ListParagraph"/>
        <w:numPr>
          <w:ilvl w:val="0"/>
          <w:numId w:val="9"/>
        </w:numPr>
        <w:ind w:right="0"/>
      </w:pPr>
      <w:r>
        <w:t xml:space="preserve">Parte III: Informes para proyectos financiados mediante acuerdos de actividades especiales. En esta sección se informan las actividades financiadas con cargo a fondos fiduciarios o similares o cuentas especiales sobre una base reembolsable, recíproca o de otro tipo, en virtud de las cuales se pueden </w:t>
      </w:r>
      <w:r>
        <w:lastRenderedPageBreak/>
        <w:t>suministrar bienes, servicios y otros requisitos a asociados para el desarrollo, como gobiernos u organizaciones internacionales o intergubernamentales o no gubernamentales.</w:t>
      </w:r>
    </w:p>
    <w:p w14:paraId="0644B205" w14:textId="77777777" w:rsidR="00100246" w:rsidRDefault="00100246" w:rsidP="00100246">
      <w:pPr>
        <w:ind w:left="335" w:right="0" w:firstLine="0"/>
      </w:pPr>
    </w:p>
    <w:p w14:paraId="146E102F" w14:textId="77777777" w:rsidR="00100246" w:rsidRDefault="00100246" w:rsidP="009B720C">
      <w:pPr>
        <w:ind w:left="360" w:right="0" w:firstLine="0"/>
      </w:pPr>
      <w:r>
        <w:t>A continuación se explica la información que figura en las columnas de las secciones resumida y detallada antes mencionadas.</w:t>
      </w:r>
    </w:p>
    <w:p w14:paraId="5D6F8E8C" w14:textId="77777777" w:rsidR="00100246" w:rsidRDefault="00100246" w:rsidP="00100246">
      <w:pPr>
        <w:ind w:left="335" w:right="0" w:firstLine="0"/>
      </w:pPr>
    </w:p>
    <w:p w14:paraId="1BBC88E6" w14:textId="2555EF82" w:rsidR="00100246" w:rsidRDefault="00100246" w:rsidP="00100246">
      <w:pPr>
        <w:numPr>
          <w:ilvl w:val="0"/>
          <w:numId w:val="1"/>
        </w:numPr>
        <w:ind w:left="1134" w:right="0"/>
      </w:pPr>
      <w:r>
        <w:t>Saldo de apertura: El saldo de apertura de las IPSAS representa el saldo no utilizado para el Producto de los años anteriores. El saldo de apertura consiste en el saldo de cierre del ejercicio anterior ajustado para reflejar los ajustes de ejercicios anteriores que figuran en el anexo II.</w:t>
      </w:r>
    </w:p>
    <w:p w14:paraId="2ADC9295" w14:textId="7B2959E2" w:rsidR="00100246" w:rsidRDefault="00100246" w:rsidP="00100246">
      <w:pPr>
        <w:numPr>
          <w:ilvl w:val="0"/>
          <w:numId w:val="1"/>
        </w:numPr>
        <w:ind w:left="1134" w:right="0"/>
      </w:pPr>
      <w:r>
        <w:t>Ingresos netos por contribuciones anuales: Las contribuciones anuales se calculan para proporcionar información con el fin de alinearse con las anteriores políticas de reconocimiento de ingresos para las contribuciones, representando el efectivo recibido en un año de información, más las cuentas por cobrar adeudadas en un año de información. También se incluyen en esta columna las transferencias a/de otros fondos y los reembolsos a donantes, cuyo desglose detallado figura en el anexo I.</w:t>
      </w:r>
    </w:p>
    <w:p w14:paraId="6AF02C5A" w14:textId="41B1FCFF" w:rsidR="00100246" w:rsidRDefault="00100246" w:rsidP="00100246">
      <w:pPr>
        <w:numPr>
          <w:ilvl w:val="0"/>
          <w:numId w:val="1"/>
        </w:numPr>
        <w:ind w:left="1134" w:right="0"/>
      </w:pPr>
      <w:r>
        <w:t>Otros ingresos: Incluye los ingresos resultantes de actividades diversas.</w:t>
      </w:r>
    </w:p>
    <w:p w14:paraId="1AE26AD0" w14:textId="0DC6094D" w:rsidR="00100246" w:rsidRDefault="00100246" w:rsidP="00100246">
      <w:pPr>
        <w:numPr>
          <w:ilvl w:val="0"/>
          <w:numId w:val="1"/>
        </w:numPr>
        <w:ind w:left="1134" w:right="0"/>
      </w:pPr>
      <w:r>
        <w:t>Gastos: comprenden los bienes entregados, los servicios prestados, la amortización del inmovilizado y el total de las prestaciones a los empleados.</w:t>
      </w:r>
    </w:p>
    <w:p w14:paraId="7B28799D" w14:textId="49EB12A1" w:rsidR="00100246" w:rsidRDefault="00100246" w:rsidP="00100246">
      <w:pPr>
        <w:numPr>
          <w:ilvl w:val="0"/>
          <w:numId w:val="1"/>
        </w:numPr>
        <w:ind w:left="1134" w:right="0"/>
      </w:pPr>
      <w:r>
        <w:t>Saldo final: Representa un saldo en el ejercicio de referencia, incluidos los saldos de ejercicios anteriores.</w:t>
      </w:r>
    </w:p>
    <w:p w14:paraId="5ACE63E2" w14:textId="76BC1BF4" w:rsidR="00100246" w:rsidRDefault="00100246" w:rsidP="00100246">
      <w:pPr>
        <w:numPr>
          <w:ilvl w:val="0"/>
          <w:numId w:val="1"/>
        </w:numPr>
        <w:ind w:left="1134" w:right="0"/>
      </w:pPr>
      <w:r>
        <w:t>Compromisos: Aunque los gastos no incluyen los compromisos, esta nueva columna representa las órdenes de compra y/o los contratos con proveedores legalmente vinculantes suscritos, pero en los que los bienes o servicios no se han entregado o prestado al final del periodo del informe.</w:t>
      </w:r>
    </w:p>
    <w:p w14:paraId="3ADACC03" w14:textId="14238AC1" w:rsidR="00100246" w:rsidRDefault="00100246" w:rsidP="00100246">
      <w:pPr>
        <w:numPr>
          <w:ilvl w:val="0"/>
          <w:numId w:val="1"/>
        </w:numPr>
        <w:ind w:left="1134" w:right="0"/>
      </w:pPr>
      <w:r>
        <w:t>Activos no amortizados e inventario: Esta columna se ha añadido para mostrar el valor de los activos adquiridos pero aún no contabilizados como gastos:</w:t>
      </w:r>
    </w:p>
    <w:p w14:paraId="76D1730B" w14:textId="77777777" w:rsidR="00100246" w:rsidRDefault="00100246" w:rsidP="00100246">
      <w:pPr>
        <w:numPr>
          <w:ilvl w:val="0"/>
          <w:numId w:val="1"/>
        </w:numPr>
        <w:ind w:left="1134" w:right="0"/>
      </w:pPr>
      <w:r>
        <w:t>o Valor no amortizado de los activos adquiridos que están bajo el uso y control del PNUD.</w:t>
      </w:r>
    </w:p>
    <w:p w14:paraId="5C3752AC" w14:textId="77777777" w:rsidR="00100246" w:rsidRDefault="00100246" w:rsidP="00100246">
      <w:pPr>
        <w:numPr>
          <w:ilvl w:val="0"/>
          <w:numId w:val="1"/>
        </w:numPr>
        <w:ind w:left="1134" w:right="0"/>
      </w:pPr>
      <w:r>
        <w:t>o Inventario, como bienes y materiales producidos para su distribución o consumo en un producto que aún no han sido consumidos o distribuidos.</w:t>
      </w:r>
    </w:p>
    <w:p w14:paraId="516B7D0E" w14:textId="2DCA3FCF" w:rsidR="00100246" w:rsidRDefault="00100246" w:rsidP="00100246">
      <w:pPr>
        <w:numPr>
          <w:ilvl w:val="0"/>
          <w:numId w:val="1"/>
        </w:numPr>
        <w:ind w:left="1134" w:right="0"/>
      </w:pPr>
      <w:r>
        <w:t xml:space="preserve">Cuentas por cobrar vencidas, menos las contribuciones recibidas por adelantado: Representa las cantidades adeudadas por los donantes, pero que aún no han sido pagadas (es decir, vencidas), según las fechas del calendario de pagos de los acuerdos firmados. Los ingresos recibidos por adelantado (por ejemplo, cualquier contribución recibida antes del calendario de pagos) se restan de los importes vencidos. </w:t>
      </w:r>
    </w:p>
    <w:p w14:paraId="23A9637F" w14:textId="3EA9965F" w:rsidR="00100246" w:rsidRDefault="00100246" w:rsidP="00100246">
      <w:pPr>
        <w:numPr>
          <w:ilvl w:val="0"/>
          <w:numId w:val="1"/>
        </w:numPr>
        <w:ind w:left="1134" w:right="0"/>
      </w:pPr>
      <w:r>
        <w:t>Recursos disponibles: Muestra los saldos finales de fondos/productos una vez ajustados con los gastos futuros y las contribuciones por cobrar vencidas.</w:t>
      </w:r>
    </w:p>
    <w:p w14:paraId="345AB7B5" w14:textId="77777777" w:rsidR="00100246" w:rsidRDefault="00100246" w:rsidP="00100246">
      <w:pPr>
        <w:ind w:left="764" w:right="0" w:firstLine="0"/>
      </w:pPr>
    </w:p>
    <w:p w14:paraId="174679EA" w14:textId="48B88246" w:rsidR="00100246" w:rsidRDefault="00100246" w:rsidP="009B720C">
      <w:pPr>
        <w:pStyle w:val="ListParagraph"/>
        <w:numPr>
          <w:ilvl w:val="0"/>
          <w:numId w:val="9"/>
        </w:numPr>
        <w:ind w:right="0"/>
      </w:pPr>
      <w:r>
        <w:t>Anexo I: Ingresos por contribuciones a 31 de diciembre de AAAA</w:t>
      </w:r>
    </w:p>
    <w:p w14:paraId="05BFD3B6" w14:textId="77777777" w:rsidR="00100246" w:rsidRDefault="00100246" w:rsidP="00A632AE">
      <w:pPr>
        <w:ind w:left="764" w:right="0" w:firstLine="0"/>
      </w:pPr>
    </w:p>
    <w:p w14:paraId="2B29AE75" w14:textId="397BE86B" w:rsidR="00100246" w:rsidRDefault="00100246" w:rsidP="00100246">
      <w:pPr>
        <w:numPr>
          <w:ilvl w:val="0"/>
          <w:numId w:val="1"/>
        </w:numPr>
        <w:ind w:left="1134" w:right="0"/>
      </w:pPr>
      <w:r>
        <w:t xml:space="preserve">El anexo se incluye para ofrecer más detalles de la columna de Ingresos netos anuales por contribuciones dentro del cuerpo del informe, que incluye los Ingresos anuales por contribuciones, los Reembolsos y las Transferencias realizadas en el año del informe. </w:t>
      </w:r>
    </w:p>
    <w:p w14:paraId="791680F6" w14:textId="77777777" w:rsidR="00100246" w:rsidRDefault="00100246" w:rsidP="00A632AE">
      <w:pPr>
        <w:ind w:left="335" w:right="0" w:firstLine="0"/>
      </w:pPr>
    </w:p>
    <w:p w14:paraId="6F5E61FD" w14:textId="0CF73AEB" w:rsidR="00100246" w:rsidRDefault="00100246" w:rsidP="00D91BB0">
      <w:pPr>
        <w:pStyle w:val="ListParagraph"/>
        <w:numPr>
          <w:ilvl w:val="0"/>
          <w:numId w:val="5"/>
        </w:numPr>
        <w:ind w:right="0"/>
      </w:pPr>
      <w:r>
        <w:t xml:space="preserve">Este anexo también presenta los detalles del total de ingresos por contribuciones reconocidos hasta la fecha, que incluye los ingresos por contribuciones anuales, los ingresos por contribuciones de años anteriores y los ingresos futuros.  Los ingresos futuros son todos los </w:t>
      </w:r>
      <w:r>
        <w:lastRenderedPageBreak/>
        <w:t>ingresos por contribuciones vencidas en el futuro según las fechas de vencimiento de los acuerdos firmados después del ejercicio financiero o periodo de referencia.</w:t>
      </w:r>
    </w:p>
    <w:p w14:paraId="12E2143C" w14:textId="77777777" w:rsidR="00100246" w:rsidRDefault="00100246" w:rsidP="00A632AE">
      <w:pPr>
        <w:ind w:left="335" w:right="0" w:firstLine="0"/>
      </w:pPr>
    </w:p>
    <w:p w14:paraId="7313D8C7" w14:textId="60EE1F0C" w:rsidR="009908D8" w:rsidRDefault="00100246" w:rsidP="009B720C">
      <w:pPr>
        <w:pStyle w:val="ListParagraph"/>
        <w:numPr>
          <w:ilvl w:val="0"/>
          <w:numId w:val="9"/>
        </w:numPr>
        <w:ind w:right="0"/>
      </w:pPr>
      <w:r>
        <w:t>Anexo II: Comparación entre el saldo de cierre del ejercicio anterior y el saldo de apertura del ejercicio en curso.</w:t>
      </w:r>
    </w:p>
    <w:p w14:paraId="29A6E45E" w14:textId="77777777" w:rsidR="00A632AE" w:rsidRDefault="00A632AE" w:rsidP="00A632AE">
      <w:pPr>
        <w:pStyle w:val="ListParagraph"/>
      </w:pPr>
    </w:p>
    <w:p w14:paraId="1E226694" w14:textId="77777777" w:rsidR="00A632AE" w:rsidRDefault="00A632AE" w:rsidP="00D91BB0">
      <w:pPr>
        <w:pStyle w:val="ListParagraph"/>
        <w:numPr>
          <w:ilvl w:val="0"/>
          <w:numId w:val="5"/>
        </w:numPr>
        <w:ind w:right="0"/>
      </w:pPr>
      <w:r>
        <w:t>En este anexo se presentan los ajustes de ejercicios anteriores efectuados en los saldos de cierre de ejercicios anteriores, así como la relación entre los saldos de cierre y los saldos de apertura del ejercicio. Son imputables a ejercicios anteriores, resultantes de cambios en las políticas y estimaciones contables o correcciones de errores cometidos en ejercicios anteriores.</w:t>
      </w:r>
    </w:p>
    <w:p w14:paraId="28C60113" w14:textId="77777777" w:rsidR="00A632AE" w:rsidRDefault="00A632AE" w:rsidP="00D91BB0">
      <w:pPr>
        <w:ind w:left="335" w:right="0" w:firstLine="0"/>
      </w:pPr>
    </w:p>
    <w:p w14:paraId="2A2A08F8" w14:textId="2DD199DC" w:rsidR="00A632AE" w:rsidRPr="00662C65" w:rsidRDefault="00A632AE" w:rsidP="009B720C">
      <w:pPr>
        <w:pStyle w:val="ListParagraph"/>
        <w:numPr>
          <w:ilvl w:val="0"/>
          <w:numId w:val="9"/>
        </w:numPr>
        <w:ind w:right="0"/>
      </w:pPr>
      <w:r>
        <w:t>Anexo III: Resultados financieros del año de referencia del 1 de enero de AAAA al 31 de diciembre de AAAA</w:t>
      </w:r>
    </w:p>
    <w:p w14:paraId="5DD84403" w14:textId="77777777" w:rsidR="009908D8" w:rsidRPr="00662C65" w:rsidRDefault="00363336">
      <w:pPr>
        <w:spacing w:after="0" w:line="259" w:lineRule="auto"/>
        <w:ind w:left="0" w:right="0" w:firstLine="0"/>
        <w:jc w:val="left"/>
      </w:pPr>
      <w:r>
        <w:t xml:space="preserve">  </w:t>
      </w:r>
    </w:p>
    <w:p w14:paraId="0F877772" w14:textId="77777777" w:rsidR="009908D8" w:rsidRPr="00662C65" w:rsidRDefault="00363336" w:rsidP="009B720C">
      <w:pPr>
        <w:spacing w:after="0" w:line="259" w:lineRule="auto"/>
        <w:ind w:left="370" w:right="0" w:hanging="10"/>
        <w:jc w:val="left"/>
      </w:pPr>
      <w:r>
        <w:rPr>
          <w:u w:val="single" w:color="000000"/>
        </w:rPr>
        <w:t>Frecuencia de informe</w:t>
      </w:r>
      <w:r>
        <w:t xml:space="preserve"> </w:t>
      </w:r>
    </w:p>
    <w:p w14:paraId="4E99A457" w14:textId="77777777" w:rsidR="009908D8" w:rsidRPr="00662C65" w:rsidRDefault="00363336">
      <w:pPr>
        <w:spacing w:after="22" w:line="259" w:lineRule="auto"/>
        <w:ind w:left="0" w:right="0" w:firstLine="0"/>
        <w:jc w:val="left"/>
      </w:pPr>
      <w:r>
        <w:t xml:space="preserve">  </w:t>
      </w:r>
    </w:p>
    <w:p w14:paraId="4A39EE79" w14:textId="06298724" w:rsidR="009908D8" w:rsidRDefault="00A632AE" w:rsidP="00D91BB0">
      <w:pPr>
        <w:pStyle w:val="ListParagraph"/>
        <w:numPr>
          <w:ilvl w:val="0"/>
          <w:numId w:val="6"/>
        </w:numPr>
        <w:ind w:right="0"/>
      </w:pPr>
      <w:r w:rsidRPr="00A632AE">
        <w:t xml:space="preserve">La Oficina de Gestión Financiera (OFM, BMS) de la Dirección de Servicios de Gestión del PNUD es responsable de proporcionar los informes financieros anuales certificados a 31 de diciembre antes del 30 de junio del año siguiente a los países donantes </w:t>
      </w:r>
      <w:r>
        <w:t>externos al</w:t>
      </w:r>
      <w:r w:rsidRPr="00A632AE">
        <w:t xml:space="preserve"> programa y a las correspondientes oficinas de país del PNUD.</w:t>
      </w:r>
      <w:r w:rsidR="00363336">
        <w:t xml:space="preserve"> </w:t>
      </w:r>
    </w:p>
    <w:p w14:paraId="3484821F" w14:textId="77777777" w:rsidR="00451590" w:rsidRDefault="00451590" w:rsidP="00451590">
      <w:pPr>
        <w:ind w:right="0"/>
      </w:pPr>
    </w:p>
    <w:p w14:paraId="5A80BA99" w14:textId="77777777" w:rsidR="00451590" w:rsidRDefault="00451590" w:rsidP="00451590">
      <w:pPr>
        <w:ind w:right="0"/>
      </w:pPr>
    </w:p>
    <w:p w14:paraId="45D7875D" w14:textId="77777777" w:rsidR="00451590" w:rsidRPr="00A632AE" w:rsidRDefault="00451590" w:rsidP="00451590">
      <w:pPr>
        <w:pStyle w:val="NormalWeb"/>
        <w:shd w:val="clear" w:color="auto" w:fill="FFFFFF"/>
        <w:spacing w:before="0" w:beforeAutospacing="0" w:after="0" w:afterAutospacing="0"/>
        <w:jc w:val="center"/>
        <w:rPr>
          <w:rFonts w:ascii="Calibri" w:hAnsi="Calibri"/>
          <w:color w:val="201F1E"/>
          <w:sz w:val="23"/>
          <w:szCs w:val="23"/>
          <w:lang w:val="es-ES"/>
        </w:rPr>
      </w:pPr>
      <w:r w:rsidRPr="00A632AE">
        <w:rPr>
          <w:rFonts w:ascii="Calibri" w:hAnsi="Calibri"/>
          <w:i/>
          <w:iCs/>
          <w:color w:val="000000"/>
          <w:bdr w:val="none" w:sz="0" w:space="0" w:color="auto" w:frame="1"/>
          <w:lang w:val="es-ES"/>
        </w:rPr>
        <w:t> </w:t>
      </w:r>
    </w:p>
    <w:p w14:paraId="7870C243" w14:textId="77777777" w:rsidR="00451590" w:rsidRPr="00451590" w:rsidRDefault="00451590" w:rsidP="00451590">
      <w:pPr>
        <w:pStyle w:val="NormalWeb"/>
        <w:shd w:val="clear" w:color="auto" w:fill="FFFFFF"/>
        <w:spacing w:before="0" w:beforeAutospacing="0" w:after="0" w:afterAutospacing="0"/>
        <w:jc w:val="center"/>
        <w:rPr>
          <w:rFonts w:ascii="Calibri" w:hAnsi="Calibri"/>
          <w:color w:val="201F1E"/>
          <w:sz w:val="23"/>
          <w:szCs w:val="23"/>
          <w:lang w:val="es-ES_tradnl"/>
        </w:rPr>
      </w:pPr>
      <w:r>
        <w:rPr>
          <w:rFonts w:ascii="Calibri" w:hAnsi="Calibri"/>
          <w:i/>
          <w:iCs/>
          <w:color w:val="000000"/>
          <w:bdr w:val="none" w:sz="0" w:space="0" w:color="auto" w:frame="1"/>
          <w:shd w:val="clear" w:color="auto" w:fill="FFFFFF"/>
          <w:lang w:val="es-ES_tradnl"/>
        </w:rPr>
        <w:t>Descargo de responsabilidad: esta es una traducción de un documento original en inglés. </w:t>
      </w:r>
      <w:r>
        <w:rPr>
          <w:rFonts w:ascii="Calibri" w:hAnsi="Calibri"/>
          <w:i/>
          <w:iCs/>
          <w:color w:val="000000"/>
          <w:bdr w:val="none" w:sz="0" w:space="0" w:color="auto" w:frame="1"/>
          <w:shd w:val="clear" w:color="auto" w:fill="FFFFFF"/>
          <w:lang w:val="es-UY"/>
        </w:rPr>
        <w:t>En caso de discrepancias entre esta traducción y el documento original en inglés, prevalecerá el documento original en inglés.</w:t>
      </w:r>
    </w:p>
    <w:p w14:paraId="17836989" w14:textId="77777777" w:rsidR="00451590" w:rsidRPr="00451590" w:rsidRDefault="00451590" w:rsidP="00451590">
      <w:pPr>
        <w:ind w:right="0"/>
        <w:rPr>
          <w:lang w:val="es-ES_tradnl"/>
        </w:rPr>
      </w:pPr>
    </w:p>
    <w:p w14:paraId="7FE6DE35" w14:textId="131CC9A8" w:rsidR="009908D8" w:rsidRPr="00662C65" w:rsidRDefault="00363336" w:rsidP="00B00027">
      <w:pPr>
        <w:tabs>
          <w:tab w:val="right" w:pos="9358"/>
        </w:tabs>
        <w:spacing w:after="7462" w:line="259" w:lineRule="auto"/>
        <w:ind w:left="0" w:right="0" w:firstLine="0"/>
        <w:jc w:val="left"/>
      </w:pPr>
      <w:r>
        <w:t xml:space="preserve"> </w:t>
      </w:r>
      <w:r w:rsidR="00B00027">
        <w:tab/>
      </w:r>
    </w:p>
    <w:sectPr w:rsidR="009908D8" w:rsidRPr="00662C65">
      <w:headerReference w:type="even" r:id="rId12"/>
      <w:headerReference w:type="default" r:id="rId13"/>
      <w:footerReference w:type="even" r:id="rId14"/>
      <w:footerReference w:type="default" r:id="rId15"/>
      <w:headerReference w:type="first" r:id="rId16"/>
      <w:footerReference w:type="first" r:id="rId17"/>
      <w:pgSz w:w="11906" w:h="16838"/>
      <w:pgMar w:top="1440" w:right="846"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4CB15" w14:textId="77777777" w:rsidR="00F57EBF" w:rsidRDefault="00F57EBF" w:rsidP="00363336">
      <w:pPr>
        <w:spacing w:after="0" w:line="240" w:lineRule="auto"/>
      </w:pPr>
      <w:r>
        <w:separator/>
      </w:r>
    </w:p>
  </w:endnote>
  <w:endnote w:type="continuationSeparator" w:id="0">
    <w:p w14:paraId="1A5AB229" w14:textId="77777777" w:rsidR="00F57EBF" w:rsidRDefault="00F57EBF" w:rsidP="00363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BC217" w14:textId="77777777" w:rsidR="00EF08EB" w:rsidRDefault="00EF08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55A95" w14:textId="2A02ED27" w:rsidR="00363336" w:rsidRDefault="00662C65">
    <w:pPr>
      <w:pStyle w:val="Footer"/>
    </w:pPr>
    <w:r>
      <w:t>Página</w:t>
    </w:r>
    <w:r>
      <w:rPr>
        <w:b/>
      </w:rPr>
      <w:fldChar w:fldCharType="begin"/>
    </w:r>
    <w:r>
      <w:rPr>
        <w:b/>
      </w:rPr>
      <w:instrText xml:space="preserve"> PAGE  \* Arabic  \* MERGEFORMAT </w:instrText>
    </w:r>
    <w:r>
      <w:rPr>
        <w:b/>
      </w:rPr>
      <w:fldChar w:fldCharType="separate"/>
    </w:r>
    <w:r w:rsidR="00451590">
      <w:rPr>
        <w:b/>
        <w:noProof/>
      </w:rPr>
      <w:t>1</w:t>
    </w:r>
    <w:r>
      <w:rPr>
        <w:b/>
      </w:rPr>
      <w:fldChar w:fldCharType="end"/>
    </w:r>
    <w:r>
      <w:t xml:space="preserve"> de </w:t>
    </w:r>
    <w:r>
      <w:rPr>
        <w:b/>
      </w:rPr>
      <w:fldChar w:fldCharType="begin"/>
    </w:r>
    <w:r>
      <w:rPr>
        <w:b/>
      </w:rPr>
      <w:instrText xml:space="preserve"> NUMPAGES  \* Arabic  \* MERGEFORMAT </w:instrText>
    </w:r>
    <w:r>
      <w:rPr>
        <w:b/>
      </w:rPr>
      <w:fldChar w:fldCharType="separate"/>
    </w:r>
    <w:r w:rsidR="00451590">
      <w:rPr>
        <w:b/>
        <w:noProof/>
      </w:rPr>
      <w:t>1</w:t>
    </w:r>
    <w:r>
      <w:rPr>
        <w:b/>
      </w:rPr>
      <w:fldChar w:fldCharType="end"/>
    </w:r>
    <w:r>
      <w:ptab w:relativeTo="margin" w:alignment="center" w:leader="none"/>
    </w:r>
    <w:r>
      <w:t xml:space="preserve">Fecha de entrada en vigor: </w:t>
    </w:r>
    <w:r w:rsidR="00EF08EB" w:rsidRPr="00EF08EB">
      <w:t>07/12/2022</w:t>
    </w:r>
    <w:r w:rsidR="00EF08EB" w:rsidRPr="00EF08EB">
      <w:t xml:space="preserve"> </w:t>
    </w:r>
    <w:r>
      <w:ptab w:relativeTo="margin" w:alignment="right" w:leader="none"/>
    </w:r>
    <w:proofErr w:type="spellStart"/>
    <w:r>
      <w:t>Version</w:t>
    </w:r>
    <w:proofErr w:type="spellEnd"/>
    <w:r>
      <w:t xml:space="preserve"> #: </w:t>
    </w:r>
    <w:sdt>
      <w:sdtPr>
        <w:alias w:val="POPPRefItemVersion"/>
        <w:tag w:val="UNDP_POPP_REFITEM_VERSION"/>
        <w:id w:val="1049340832"/>
        <w:placeholder>
          <w:docPart w:val="1FD9BC4DC6ED44388B0C16F09B840413"/>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B182506D-7A9A-4AD2-9DB7-EB6B7FDEAA2B}"/>
        <w:text/>
      </w:sdtPr>
      <w:sdtContent>
        <w:r w:rsidR="0035115A">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529C0" w14:textId="77777777" w:rsidR="00EF08EB" w:rsidRDefault="00EF0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82C31" w14:textId="77777777" w:rsidR="00F57EBF" w:rsidRDefault="00F57EBF" w:rsidP="00363336">
      <w:pPr>
        <w:spacing w:after="0" w:line="240" w:lineRule="auto"/>
      </w:pPr>
      <w:r>
        <w:separator/>
      </w:r>
    </w:p>
  </w:footnote>
  <w:footnote w:type="continuationSeparator" w:id="0">
    <w:p w14:paraId="5E6C5FE0" w14:textId="77777777" w:rsidR="00F57EBF" w:rsidRDefault="00F57EBF" w:rsidP="00363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CA440" w14:textId="77777777" w:rsidR="00EF08EB" w:rsidRDefault="00EF08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3BB36" w14:textId="0E4D18C2" w:rsidR="00363336" w:rsidRDefault="13F65C34" w:rsidP="00363336">
    <w:pPr>
      <w:pStyle w:val="Header"/>
      <w:jc w:val="right"/>
    </w:pPr>
    <w:r>
      <w:rPr>
        <w:noProof/>
        <w:lang w:val="en-US"/>
      </w:rPr>
      <w:drawing>
        <wp:inline distT="0" distB="0" distL="0" distR="0" wp14:anchorId="73D8CD53" wp14:editId="7B7C3348">
          <wp:extent cx="304745" cy="579120"/>
          <wp:effectExtent l="0" t="0" r="635" b="0"/>
          <wp:docPr id="119928581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rotWithShape="1">
                  <a:blip r:embed="rId1">
                    <a:extLst>
                      <a:ext uri="{28A0092B-C50C-407E-A947-70E740481C1C}">
                        <a14:useLocalDpi xmlns:a14="http://schemas.microsoft.com/office/drawing/2010/main" val="0"/>
                      </a:ext>
                    </a:extLst>
                  </a:blip>
                  <a:srcRect b="17615"/>
                  <a:stretch/>
                </pic:blipFill>
                <pic:spPr bwMode="auto">
                  <a:xfrm>
                    <a:off x="0" y="0"/>
                    <a:ext cx="304800" cy="579225"/>
                  </a:xfrm>
                  <a:prstGeom prst="rect">
                    <a:avLst/>
                  </a:prstGeom>
                  <a:ln>
                    <a:noFill/>
                  </a:ln>
                  <a:extLst>
                    <a:ext uri="{53640926-AAD7-44D8-BBD7-CCE9431645EC}">
                      <a14:shadowObscured xmlns:a14="http://schemas.microsoft.com/office/drawing/2010/main"/>
                    </a:ext>
                  </a:extLst>
                </pic:spPr>
              </pic:pic>
            </a:graphicData>
          </a:graphic>
        </wp:inline>
      </w:drawing>
    </w:r>
  </w:p>
  <w:p w14:paraId="2FAA5573" w14:textId="77777777" w:rsidR="00363336" w:rsidRDefault="003633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EA892" w14:textId="77777777" w:rsidR="00EF08EB" w:rsidRDefault="00EF0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46E7"/>
    <w:multiLevelType w:val="hybridMultilevel"/>
    <w:tmpl w:val="C75236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3F87BC6"/>
    <w:multiLevelType w:val="hybridMultilevel"/>
    <w:tmpl w:val="D6842066"/>
    <w:lvl w:ilvl="0" w:tplc="1CD6B850">
      <w:start w:val="30"/>
      <w:numFmt w:val="bullet"/>
      <w:lvlText w:val="-"/>
      <w:lvlJc w:val="left"/>
      <w:pPr>
        <w:ind w:left="705"/>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DBCD92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3283A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9455A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24592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A05D7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309BA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D0545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B8106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D72CC0"/>
    <w:multiLevelType w:val="hybridMultilevel"/>
    <w:tmpl w:val="DCAA193E"/>
    <w:lvl w:ilvl="0" w:tplc="1CD6B850">
      <w:start w:val="30"/>
      <w:numFmt w:val="bullet"/>
      <w:lvlText w:val="-"/>
      <w:lvlJc w:val="left"/>
      <w:pPr>
        <w:ind w:left="1080" w:hanging="360"/>
      </w:pPr>
      <w:rPr>
        <w:rFonts w:ascii="Times New Roman" w:eastAsia="Times New Roman"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0BBD7FA1"/>
    <w:multiLevelType w:val="hybridMultilevel"/>
    <w:tmpl w:val="000412B0"/>
    <w:lvl w:ilvl="0" w:tplc="E0301BA8">
      <w:start w:val="4"/>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1E0D0B5C"/>
    <w:multiLevelType w:val="hybridMultilevel"/>
    <w:tmpl w:val="876CCD3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23651C22"/>
    <w:multiLevelType w:val="hybridMultilevel"/>
    <w:tmpl w:val="AF46B06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2D7C29BF"/>
    <w:multiLevelType w:val="hybridMultilevel"/>
    <w:tmpl w:val="572EE066"/>
    <w:lvl w:ilvl="0" w:tplc="1CD6B850">
      <w:start w:val="30"/>
      <w:numFmt w:val="bullet"/>
      <w:lvlText w:val="-"/>
      <w:lvlJc w:val="left"/>
      <w:pPr>
        <w:ind w:left="1055" w:hanging="360"/>
      </w:pPr>
      <w:rPr>
        <w:rFonts w:ascii="Times New Roman" w:eastAsia="Times New Roman" w:hAnsi="Times New Roman" w:cs="Times New Roman" w:hint="default"/>
      </w:rPr>
    </w:lvl>
    <w:lvl w:ilvl="1" w:tplc="20000003" w:tentative="1">
      <w:start w:val="1"/>
      <w:numFmt w:val="bullet"/>
      <w:lvlText w:val="o"/>
      <w:lvlJc w:val="left"/>
      <w:pPr>
        <w:ind w:left="1775" w:hanging="360"/>
      </w:pPr>
      <w:rPr>
        <w:rFonts w:ascii="Courier New" w:hAnsi="Courier New" w:cs="Courier New" w:hint="default"/>
      </w:rPr>
    </w:lvl>
    <w:lvl w:ilvl="2" w:tplc="20000005" w:tentative="1">
      <w:start w:val="1"/>
      <w:numFmt w:val="bullet"/>
      <w:lvlText w:val=""/>
      <w:lvlJc w:val="left"/>
      <w:pPr>
        <w:ind w:left="2495" w:hanging="360"/>
      </w:pPr>
      <w:rPr>
        <w:rFonts w:ascii="Wingdings" w:hAnsi="Wingdings" w:hint="default"/>
      </w:rPr>
    </w:lvl>
    <w:lvl w:ilvl="3" w:tplc="20000001" w:tentative="1">
      <w:start w:val="1"/>
      <w:numFmt w:val="bullet"/>
      <w:lvlText w:val=""/>
      <w:lvlJc w:val="left"/>
      <w:pPr>
        <w:ind w:left="3215" w:hanging="360"/>
      </w:pPr>
      <w:rPr>
        <w:rFonts w:ascii="Symbol" w:hAnsi="Symbol" w:hint="default"/>
      </w:rPr>
    </w:lvl>
    <w:lvl w:ilvl="4" w:tplc="20000003" w:tentative="1">
      <w:start w:val="1"/>
      <w:numFmt w:val="bullet"/>
      <w:lvlText w:val="o"/>
      <w:lvlJc w:val="left"/>
      <w:pPr>
        <w:ind w:left="3935" w:hanging="360"/>
      </w:pPr>
      <w:rPr>
        <w:rFonts w:ascii="Courier New" w:hAnsi="Courier New" w:cs="Courier New" w:hint="default"/>
      </w:rPr>
    </w:lvl>
    <w:lvl w:ilvl="5" w:tplc="20000005" w:tentative="1">
      <w:start w:val="1"/>
      <w:numFmt w:val="bullet"/>
      <w:lvlText w:val=""/>
      <w:lvlJc w:val="left"/>
      <w:pPr>
        <w:ind w:left="4655" w:hanging="360"/>
      </w:pPr>
      <w:rPr>
        <w:rFonts w:ascii="Wingdings" w:hAnsi="Wingdings" w:hint="default"/>
      </w:rPr>
    </w:lvl>
    <w:lvl w:ilvl="6" w:tplc="20000001" w:tentative="1">
      <w:start w:val="1"/>
      <w:numFmt w:val="bullet"/>
      <w:lvlText w:val=""/>
      <w:lvlJc w:val="left"/>
      <w:pPr>
        <w:ind w:left="5375" w:hanging="360"/>
      </w:pPr>
      <w:rPr>
        <w:rFonts w:ascii="Symbol" w:hAnsi="Symbol" w:hint="default"/>
      </w:rPr>
    </w:lvl>
    <w:lvl w:ilvl="7" w:tplc="20000003" w:tentative="1">
      <w:start w:val="1"/>
      <w:numFmt w:val="bullet"/>
      <w:lvlText w:val="o"/>
      <w:lvlJc w:val="left"/>
      <w:pPr>
        <w:ind w:left="6095" w:hanging="360"/>
      </w:pPr>
      <w:rPr>
        <w:rFonts w:ascii="Courier New" w:hAnsi="Courier New" w:cs="Courier New" w:hint="default"/>
      </w:rPr>
    </w:lvl>
    <w:lvl w:ilvl="8" w:tplc="20000005" w:tentative="1">
      <w:start w:val="1"/>
      <w:numFmt w:val="bullet"/>
      <w:lvlText w:val=""/>
      <w:lvlJc w:val="left"/>
      <w:pPr>
        <w:ind w:left="6815" w:hanging="360"/>
      </w:pPr>
      <w:rPr>
        <w:rFonts w:ascii="Wingdings" w:hAnsi="Wingdings" w:hint="default"/>
      </w:rPr>
    </w:lvl>
  </w:abstractNum>
  <w:abstractNum w:abstractNumId="7" w15:restartNumberingAfterBreak="0">
    <w:nsid w:val="56CB0484"/>
    <w:multiLevelType w:val="hybridMultilevel"/>
    <w:tmpl w:val="7A78B26A"/>
    <w:lvl w:ilvl="0" w:tplc="1CD6B850">
      <w:start w:val="30"/>
      <w:numFmt w:val="bullet"/>
      <w:lvlText w:val="-"/>
      <w:lvlJc w:val="left"/>
      <w:pPr>
        <w:ind w:left="1055" w:hanging="360"/>
      </w:pPr>
      <w:rPr>
        <w:rFonts w:ascii="Times New Roman" w:eastAsia="Times New Roman" w:hAnsi="Times New Roman" w:cs="Times New Roman" w:hint="default"/>
      </w:rPr>
    </w:lvl>
    <w:lvl w:ilvl="1" w:tplc="20000003" w:tentative="1">
      <w:start w:val="1"/>
      <w:numFmt w:val="bullet"/>
      <w:lvlText w:val="o"/>
      <w:lvlJc w:val="left"/>
      <w:pPr>
        <w:ind w:left="1775" w:hanging="360"/>
      </w:pPr>
      <w:rPr>
        <w:rFonts w:ascii="Courier New" w:hAnsi="Courier New" w:cs="Courier New" w:hint="default"/>
      </w:rPr>
    </w:lvl>
    <w:lvl w:ilvl="2" w:tplc="20000005" w:tentative="1">
      <w:start w:val="1"/>
      <w:numFmt w:val="bullet"/>
      <w:lvlText w:val=""/>
      <w:lvlJc w:val="left"/>
      <w:pPr>
        <w:ind w:left="2495" w:hanging="360"/>
      </w:pPr>
      <w:rPr>
        <w:rFonts w:ascii="Wingdings" w:hAnsi="Wingdings" w:hint="default"/>
      </w:rPr>
    </w:lvl>
    <w:lvl w:ilvl="3" w:tplc="20000001" w:tentative="1">
      <w:start w:val="1"/>
      <w:numFmt w:val="bullet"/>
      <w:lvlText w:val=""/>
      <w:lvlJc w:val="left"/>
      <w:pPr>
        <w:ind w:left="3215" w:hanging="360"/>
      </w:pPr>
      <w:rPr>
        <w:rFonts w:ascii="Symbol" w:hAnsi="Symbol" w:hint="default"/>
      </w:rPr>
    </w:lvl>
    <w:lvl w:ilvl="4" w:tplc="20000003" w:tentative="1">
      <w:start w:val="1"/>
      <w:numFmt w:val="bullet"/>
      <w:lvlText w:val="o"/>
      <w:lvlJc w:val="left"/>
      <w:pPr>
        <w:ind w:left="3935" w:hanging="360"/>
      </w:pPr>
      <w:rPr>
        <w:rFonts w:ascii="Courier New" w:hAnsi="Courier New" w:cs="Courier New" w:hint="default"/>
      </w:rPr>
    </w:lvl>
    <w:lvl w:ilvl="5" w:tplc="20000005" w:tentative="1">
      <w:start w:val="1"/>
      <w:numFmt w:val="bullet"/>
      <w:lvlText w:val=""/>
      <w:lvlJc w:val="left"/>
      <w:pPr>
        <w:ind w:left="4655" w:hanging="360"/>
      </w:pPr>
      <w:rPr>
        <w:rFonts w:ascii="Wingdings" w:hAnsi="Wingdings" w:hint="default"/>
      </w:rPr>
    </w:lvl>
    <w:lvl w:ilvl="6" w:tplc="20000001" w:tentative="1">
      <w:start w:val="1"/>
      <w:numFmt w:val="bullet"/>
      <w:lvlText w:val=""/>
      <w:lvlJc w:val="left"/>
      <w:pPr>
        <w:ind w:left="5375" w:hanging="360"/>
      </w:pPr>
      <w:rPr>
        <w:rFonts w:ascii="Symbol" w:hAnsi="Symbol" w:hint="default"/>
      </w:rPr>
    </w:lvl>
    <w:lvl w:ilvl="7" w:tplc="20000003" w:tentative="1">
      <w:start w:val="1"/>
      <w:numFmt w:val="bullet"/>
      <w:lvlText w:val="o"/>
      <w:lvlJc w:val="left"/>
      <w:pPr>
        <w:ind w:left="6095" w:hanging="360"/>
      </w:pPr>
      <w:rPr>
        <w:rFonts w:ascii="Courier New" w:hAnsi="Courier New" w:cs="Courier New" w:hint="default"/>
      </w:rPr>
    </w:lvl>
    <w:lvl w:ilvl="8" w:tplc="20000005" w:tentative="1">
      <w:start w:val="1"/>
      <w:numFmt w:val="bullet"/>
      <w:lvlText w:val=""/>
      <w:lvlJc w:val="left"/>
      <w:pPr>
        <w:ind w:left="6815" w:hanging="360"/>
      </w:pPr>
      <w:rPr>
        <w:rFonts w:ascii="Wingdings" w:hAnsi="Wingdings" w:hint="default"/>
      </w:rPr>
    </w:lvl>
  </w:abstractNum>
  <w:abstractNum w:abstractNumId="8" w15:restartNumberingAfterBreak="0">
    <w:nsid w:val="6F223E4E"/>
    <w:multiLevelType w:val="hybridMultilevel"/>
    <w:tmpl w:val="E4842A66"/>
    <w:lvl w:ilvl="0" w:tplc="C3D67460">
      <w:numFmt w:val="bullet"/>
      <w:lvlText w:val="-"/>
      <w:lvlJc w:val="left"/>
      <w:pPr>
        <w:ind w:left="695" w:hanging="360"/>
      </w:pPr>
      <w:rPr>
        <w:rFonts w:ascii="Calibri" w:eastAsia="Calibri" w:hAnsi="Calibri" w:cs="Calibri" w:hint="default"/>
      </w:rPr>
    </w:lvl>
    <w:lvl w:ilvl="1" w:tplc="20000003" w:tentative="1">
      <w:start w:val="1"/>
      <w:numFmt w:val="bullet"/>
      <w:lvlText w:val="o"/>
      <w:lvlJc w:val="left"/>
      <w:pPr>
        <w:ind w:left="1415" w:hanging="360"/>
      </w:pPr>
      <w:rPr>
        <w:rFonts w:ascii="Courier New" w:hAnsi="Courier New" w:cs="Courier New" w:hint="default"/>
      </w:rPr>
    </w:lvl>
    <w:lvl w:ilvl="2" w:tplc="20000005" w:tentative="1">
      <w:start w:val="1"/>
      <w:numFmt w:val="bullet"/>
      <w:lvlText w:val=""/>
      <w:lvlJc w:val="left"/>
      <w:pPr>
        <w:ind w:left="2135" w:hanging="360"/>
      </w:pPr>
      <w:rPr>
        <w:rFonts w:ascii="Wingdings" w:hAnsi="Wingdings" w:hint="default"/>
      </w:rPr>
    </w:lvl>
    <w:lvl w:ilvl="3" w:tplc="20000001" w:tentative="1">
      <w:start w:val="1"/>
      <w:numFmt w:val="bullet"/>
      <w:lvlText w:val=""/>
      <w:lvlJc w:val="left"/>
      <w:pPr>
        <w:ind w:left="2855" w:hanging="360"/>
      </w:pPr>
      <w:rPr>
        <w:rFonts w:ascii="Symbol" w:hAnsi="Symbol" w:hint="default"/>
      </w:rPr>
    </w:lvl>
    <w:lvl w:ilvl="4" w:tplc="20000003" w:tentative="1">
      <w:start w:val="1"/>
      <w:numFmt w:val="bullet"/>
      <w:lvlText w:val="o"/>
      <w:lvlJc w:val="left"/>
      <w:pPr>
        <w:ind w:left="3575" w:hanging="360"/>
      </w:pPr>
      <w:rPr>
        <w:rFonts w:ascii="Courier New" w:hAnsi="Courier New" w:cs="Courier New" w:hint="default"/>
      </w:rPr>
    </w:lvl>
    <w:lvl w:ilvl="5" w:tplc="20000005" w:tentative="1">
      <w:start w:val="1"/>
      <w:numFmt w:val="bullet"/>
      <w:lvlText w:val=""/>
      <w:lvlJc w:val="left"/>
      <w:pPr>
        <w:ind w:left="4295" w:hanging="360"/>
      </w:pPr>
      <w:rPr>
        <w:rFonts w:ascii="Wingdings" w:hAnsi="Wingdings" w:hint="default"/>
      </w:rPr>
    </w:lvl>
    <w:lvl w:ilvl="6" w:tplc="20000001" w:tentative="1">
      <w:start w:val="1"/>
      <w:numFmt w:val="bullet"/>
      <w:lvlText w:val=""/>
      <w:lvlJc w:val="left"/>
      <w:pPr>
        <w:ind w:left="5015" w:hanging="360"/>
      </w:pPr>
      <w:rPr>
        <w:rFonts w:ascii="Symbol" w:hAnsi="Symbol" w:hint="default"/>
      </w:rPr>
    </w:lvl>
    <w:lvl w:ilvl="7" w:tplc="20000003" w:tentative="1">
      <w:start w:val="1"/>
      <w:numFmt w:val="bullet"/>
      <w:lvlText w:val="o"/>
      <w:lvlJc w:val="left"/>
      <w:pPr>
        <w:ind w:left="5735" w:hanging="360"/>
      </w:pPr>
      <w:rPr>
        <w:rFonts w:ascii="Courier New" w:hAnsi="Courier New" w:cs="Courier New" w:hint="default"/>
      </w:rPr>
    </w:lvl>
    <w:lvl w:ilvl="8" w:tplc="20000005" w:tentative="1">
      <w:start w:val="1"/>
      <w:numFmt w:val="bullet"/>
      <w:lvlText w:val=""/>
      <w:lvlJc w:val="left"/>
      <w:pPr>
        <w:ind w:left="6455" w:hanging="360"/>
      </w:pPr>
      <w:rPr>
        <w:rFonts w:ascii="Wingdings" w:hAnsi="Wingdings" w:hint="default"/>
      </w:rPr>
    </w:lvl>
  </w:abstractNum>
  <w:num w:numId="1" w16cid:durableId="1763841508">
    <w:abstractNumId w:val="1"/>
  </w:num>
  <w:num w:numId="2" w16cid:durableId="1365325501">
    <w:abstractNumId w:val="6"/>
  </w:num>
  <w:num w:numId="3" w16cid:durableId="2124878133">
    <w:abstractNumId w:val="8"/>
  </w:num>
  <w:num w:numId="4" w16cid:durableId="1462725752">
    <w:abstractNumId w:val="2"/>
  </w:num>
  <w:num w:numId="5" w16cid:durableId="1083912006">
    <w:abstractNumId w:val="7"/>
  </w:num>
  <w:num w:numId="6" w16cid:durableId="1400327463">
    <w:abstractNumId w:val="3"/>
  </w:num>
  <w:num w:numId="7" w16cid:durableId="982779080">
    <w:abstractNumId w:val="4"/>
  </w:num>
  <w:num w:numId="8" w16cid:durableId="470681536">
    <w:abstractNumId w:val="0"/>
  </w:num>
  <w:num w:numId="9" w16cid:durableId="879174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8D8"/>
    <w:rsid w:val="000A5D05"/>
    <w:rsid w:val="00100246"/>
    <w:rsid w:val="00244E81"/>
    <w:rsid w:val="00254A32"/>
    <w:rsid w:val="0035115A"/>
    <w:rsid w:val="00363336"/>
    <w:rsid w:val="00451590"/>
    <w:rsid w:val="005F3D95"/>
    <w:rsid w:val="00662C65"/>
    <w:rsid w:val="006A21A9"/>
    <w:rsid w:val="007C3496"/>
    <w:rsid w:val="0080126E"/>
    <w:rsid w:val="009908D8"/>
    <w:rsid w:val="009B720C"/>
    <w:rsid w:val="00A632AE"/>
    <w:rsid w:val="00B00027"/>
    <w:rsid w:val="00C8741E"/>
    <w:rsid w:val="00D91BB0"/>
    <w:rsid w:val="00EF08EB"/>
    <w:rsid w:val="00F517F9"/>
    <w:rsid w:val="00F57EBF"/>
    <w:rsid w:val="13F65C34"/>
    <w:rsid w:val="56FBD108"/>
    <w:rsid w:val="685F4161"/>
    <w:rsid w:val="7F3EA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157A7"/>
  <w15:docId w15:val="{2DCF61B0-A864-448F-8529-042AB5193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730" w:right="3"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336"/>
    <w:rPr>
      <w:rFonts w:ascii="Calibri" w:eastAsia="Calibri" w:hAnsi="Calibri" w:cs="Calibri"/>
      <w:color w:val="000000"/>
    </w:rPr>
  </w:style>
  <w:style w:type="paragraph" w:styleId="Footer">
    <w:name w:val="footer"/>
    <w:basedOn w:val="Normal"/>
    <w:link w:val="FooterChar"/>
    <w:uiPriority w:val="99"/>
    <w:unhideWhenUsed/>
    <w:rsid w:val="00363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336"/>
    <w:rPr>
      <w:rFonts w:ascii="Calibri" w:eastAsia="Calibri" w:hAnsi="Calibri" w:cs="Calibri"/>
      <w:color w:val="000000"/>
    </w:rPr>
  </w:style>
  <w:style w:type="character" w:styleId="PlaceholderText">
    <w:name w:val="Placeholder Text"/>
    <w:basedOn w:val="DefaultParagraphFont"/>
    <w:uiPriority w:val="99"/>
    <w:semiHidden/>
    <w:rsid w:val="00363336"/>
    <w:rPr>
      <w:color w:val="808080"/>
    </w:rPr>
  </w:style>
  <w:style w:type="paragraph" w:styleId="BalloonText">
    <w:name w:val="Balloon Text"/>
    <w:basedOn w:val="Normal"/>
    <w:link w:val="BalloonTextChar"/>
    <w:uiPriority w:val="99"/>
    <w:semiHidden/>
    <w:unhideWhenUsed/>
    <w:rsid w:val="00662C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C65"/>
    <w:rPr>
      <w:rFonts w:ascii="Tahoma" w:eastAsia="Calibri" w:hAnsi="Tahoma" w:cs="Tahoma"/>
      <w:color w:val="000000"/>
      <w:sz w:val="16"/>
      <w:szCs w:val="16"/>
    </w:rPr>
  </w:style>
  <w:style w:type="paragraph" w:styleId="NormalWeb">
    <w:name w:val="Normal (Web)"/>
    <w:basedOn w:val="Normal"/>
    <w:uiPriority w:val="99"/>
    <w:semiHidden/>
    <w:unhideWhenUsed/>
    <w:rsid w:val="00451590"/>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rPr>
  </w:style>
  <w:style w:type="paragraph" w:styleId="ListParagraph">
    <w:name w:val="List Paragraph"/>
    <w:basedOn w:val="Normal"/>
    <w:uiPriority w:val="34"/>
    <w:qFormat/>
    <w:rsid w:val="001002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4415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FD9BC4DC6ED44388B0C16F09B840413"/>
        <w:category>
          <w:name w:val="General"/>
          <w:gallery w:val="placeholder"/>
        </w:category>
        <w:types>
          <w:type w:val="bbPlcHdr"/>
        </w:types>
        <w:behaviors>
          <w:behavior w:val="content"/>
        </w:behaviors>
        <w:guid w:val="{D1443AF5-295F-410B-A3A3-D17BC24B40FE}"/>
      </w:docPartPr>
      <w:docPartBody>
        <w:p w:rsidR="0094634F" w:rsidRDefault="005F3D95">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02B5"/>
    <w:rsid w:val="000A5D05"/>
    <w:rsid w:val="005F3D95"/>
    <w:rsid w:val="007110D8"/>
    <w:rsid w:val="00813D5C"/>
    <w:rsid w:val="009402B5"/>
    <w:rsid w:val="0094634F"/>
    <w:rsid w:val="00975EDB"/>
    <w:rsid w:val="00CA6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DC316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3D9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3</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07/12/2022                                                Version #: 3.0</DLCPolicyLabelClientValue>
    <UNDP_POPP_PLANNED_REVIEWDATE xmlns="8264c5cc-ec60-4b56-8111-ce635d3d139a">2025-12-06T23:00:00+00:00</UNDP_POPP_PLANNED_REVIEWDATE>
    <UNDP_POPP_DOCUMENT_LANGUAGE xmlns="8264c5cc-ec60-4b56-8111-ce635d3d139a">Spanish</UNDP_POPP_DOCUMENT_LANGUAGE>
    <UNDP_POPP_BUSINESSUNITID_HIDDEN xmlns="8264c5cc-ec60-4b56-8111-ce635d3d139a" xsi:nil="true"/>
    <UNDP_POPP_EFFECTIVEDATE xmlns="8264c5cc-ec60-4b56-8111-ce635d3d139a">2022-12-06T23:00:00+00:00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Informes financieros certificados</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POPP-11-3867</_dlc_DocId>
    <_dlc_DocIdUrl xmlns="8264c5cc-ec60-4b56-8111-ce635d3d139a">
      <Url>https://popp.undp.org/_layouts/15/DocIdRedir.aspx?ID=POPP-11-3867</Url>
      <Description>POPP-11-3867</Description>
    </_dlc_DocIdUrl>
    <DLCPolicyLabelValue xmlns="e560140e-7b2f-4392-90df-e7567e3021a3">Effective Date: 07/12/2022                                                Version #: 3</DLCPolicyLabelValue>
    <UNDP_POPP_REJECT_COMMENTS xmlns="8264c5cc-ec60-4b56-8111-ce635d3d139a" xsi:nil="true"/>
    <POPPIsArchived xmlns="e560140e-7b2f-4392-90df-e7567e3021a3">false</POPPIsArchived>
  </documentManagement>
</p:properti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5D352D-1362-4FD9-BCD5-3906A168084E}">
  <ds:schemaRefs>
    <ds:schemaRef ds:uri="office.server.policy"/>
  </ds:schemaRefs>
</ds:datastoreItem>
</file>

<file path=customXml/itemProps2.xml><?xml version="1.0" encoding="utf-8"?>
<ds:datastoreItem xmlns:ds="http://schemas.openxmlformats.org/officeDocument/2006/customXml" ds:itemID="{B9A74823-BD87-47EF-A08C-64CA604B04F3}">
  <ds:schemaRefs>
    <ds:schemaRef ds:uri="http://schemas.microsoft.com/sharepoint/events"/>
  </ds:schemaRefs>
</ds:datastoreItem>
</file>

<file path=customXml/itemProps3.xml><?xml version="1.0" encoding="utf-8"?>
<ds:datastoreItem xmlns:ds="http://schemas.openxmlformats.org/officeDocument/2006/customXml" ds:itemID="{92BED626-8FED-462E-9BE6-5EF2347B02AD}">
  <ds:schemaRefs>
    <ds:schemaRef ds:uri="http://schemas.microsoft.com/sharepoint/v3/contenttype/forms"/>
  </ds:schemaRefs>
</ds:datastoreItem>
</file>

<file path=customXml/itemProps4.xml><?xml version="1.0" encoding="utf-8"?>
<ds:datastoreItem xmlns:ds="http://schemas.openxmlformats.org/officeDocument/2006/customXml" ds:itemID="{B182506D-7A9A-4AD2-9DB7-EB6B7FDEAA2B}">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CEB12FA-6942-4F3F-91B1-66930DC78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8</cp:revision>
  <dcterms:created xsi:type="dcterms:W3CDTF">2022-12-07T09:13:00Z</dcterms:created>
  <dcterms:modified xsi:type="dcterms:W3CDTF">2024-06-04T10:23:00Z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1e08fec9-f265-475a-abcd-4dfd9f79aa29</vt:lpwstr>
  </property>
  <property fmtid="{D5CDD505-2E9C-101B-9397-08002B2CF9AE}" pid="4" name="POPPBusinessProcess">
    <vt:lpwstr/>
  </property>
  <property fmtid="{D5CDD505-2E9C-101B-9397-08002B2CF9AE}" pid="5" name="UNDP_POPP_BUSINESSUNIT">
    <vt:lpwstr>350;#Financial Resources Management|682d4c54-a288-412d-bfec-ce5587bbd25c</vt:lpwstr>
  </property>
</Properties>
</file>