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B7F7" w14:textId="5B96D3CB" w:rsidR="003F4EF7" w:rsidRPr="000230DC" w:rsidRDefault="003F4EF7" w:rsidP="00D44458">
      <w:pPr>
        <w:pStyle w:val="Heading1"/>
      </w:pPr>
      <w:r>
        <w:t>A</w:t>
      </w:r>
      <w:r w:rsidRPr="000230DC">
        <w:t xml:space="preserve">nnex </w:t>
      </w:r>
      <w:r w:rsidR="00605913">
        <w:t>1</w:t>
      </w:r>
      <w:r w:rsidRPr="000230DC">
        <w:t xml:space="preserve"> – Managing </w:t>
      </w:r>
      <w:r>
        <w:t xml:space="preserve">a </w:t>
      </w:r>
      <w:r w:rsidRPr="000230DC">
        <w:t xml:space="preserve">Delivery Enabling Services Project </w:t>
      </w:r>
      <w:r>
        <w:t>for Pre-positioning Capacities until Information on Projects to be Charged Becomes Available</w:t>
      </w:r>
    </w:p>
    <w:p w14:paraId="06C655CD" w14:textId="77777777" w:rsidR="003F4EF7" w:rsidRPr="00AF07FB" w:rsidRDefault="003F4EF7" w:rsidP="003F4EF7">
      <w:pPr>
        <w:pStyle w:val="ListParagraph"/>
        <w:numPr>
          <w:ilvl w:val="0"/>
          <w:numId w:val="1"/>
        </w:numPr>
        <w:spacing w:before="240" w:after="0" w:line="240" w:lineRule="auto"/>
        <w:contextualSpacing w:val="0"/>
        <w:jc w:val="both"/>
      </w:pPr>
      <w:r w:rsidRPr="6B0D51CE">
        <w:rPr>
          <w:rFonts w:ascii="Calibri" w:eastAsia="Calibri" w:hAnsi="Calibri" w:cs="Calibri"/>
        </w:rPr>
        <w:t xml:space="preserve">Service-providing entities within and beyond the CO may establish a delivery enabling services project when pre-positioning of capacities is necessary before the actual information on the projects to be charged becomes available. When project information for providing delivery enabling services is already known, and pertains to personnel, multi-funded positions should be established and charged directly through the payroll. For non-payroll costs, the appropriate project COA should be used for charging directly at the time of making payment to the vendors. </w:t>
      </w:r>
    </w:p>
    <w:p w14:paraId="01D64F80" w14:textId="664E0CBE" w:rsidR="003F4EF7" w:rsidRPr="001A53D1" w:rsidRDefault="003F4EF7" w:rsidP="1B2E0F69">
      <w:pPr>
        <w:pStyle w:val="ListParagraph"/>
        <w:numPr>
          <w:ilvl w:val="0"/>
          <w:numId w:val="1"/>
        </w:numPr>
        <w:spacing w:before="240" w:after="0" w:line="240" w:lineRule="auto"/>
        <w:jc w:val="both"/>
      </w:pPr>
      <w:r>
        <w:rPr>
          <w:rFonts w:ascii="Calibri" w:eastAsia="Calibri" w:hAnsi="Calibri" w:cs="Calibri"/>
        </w:rPr>
        <w:t>When directly charging project(s)</w:t>
      </w:r>
      <w:r w:rsidRPr="008D1D3D">
        <w:rPr>
          <w:rFonts w:ascii="Calibri" w:eastAsia="Calibri" w:hAnsi="Calibri" w:cs="Calibri"/>
        </w:rPr>
        <w:t xml:space="preserve"> </w:t>
      </w:r>
      <w:r>
        <w:rPr>
          <w:rFonts w:ascii="Calibri" w:eastAsia="Calibri" w:hAnsi="Calibri" w:cs="Calibri"/>
        </w:rPr>
        <w:t>is impractical or information is not available at the time of payment,</w:t>
      </w:r>
      <w:r w:rsidRPr="008D1D3D">
        <w:rPr>
          <w:rFonts w:ascii="Calibri" w:eastAsia="Calibri" w:hAnsi="Calibri" w:cs="Calibri"/>
        </w:rPr>
        <w:t xml:space="preserve"> </w:t>
      </w:r>
      <w:r>
        <w:rPr>
          <w:rFonts w:ascii="Calibri" w:eastAsia="Calibri" w:hAnsi="Calibri" w:cs="Calibri"/>
        </w:rPr>
        <w:t>an</w:t>
      </w:r>
      <w:r w:rsidRPr="008D1D3D">
        <w:rPr>
          <w:rFonts w:ascii="Calibri" w:eastAsia="Calibri" w:hAnsi="Calibri" w:cs="Calibri"/>
        </w:rPr>
        <w:t xml:space="preserve"> initial advance f</w:t>
      </w:r>
      <w:r>
        <w:rPr>
          <w:rFonts w:ascii="Calibri" w:eastAsia="Calibri" w:hAnsi="Calibri" w:cs="Calibri"/>
        </w:rPr>
        <w:t>rom</w:t>
      </w:r>
      <w:r w:rsidRPr="008D1D3D">
        <w:rPr>
          <w:rFonts w:ascii="Calibri" w:eastAsia="Calibri" w:hAnsi="Calibri" w:cs="Calibri"/>
        </w:rPr>
        <w:t xml:space="preserve"> internal funds </w:t>
      </w:r>
      <w:r>
        <w:rPr>
          <w:rFonts w:ascii="Calibri" w:eastAsia="Calibri" w:hAnsi="Calibri" w:cs="Calibri"/>
        </w:rPr>
        <w:t>may</w:t>
      </w:r>
      <w:r w:rsidRPr="008D1D3D">
        <w:rPr>
          <w:rFonts w:ascii="Calibri" w:eastAsia="Calibri" w:hAnsi="Calibri" w:cs="Calibri"/>
        </w:rPr>
        <w:t xml:space="preserve"> </w:t>
      </w:r>
      <w:r>
        <w:rPr>
          <w:rFonts w:ascii="Calibri" w:eastAsia="Calibri" w:hAnsi="Calibri" w:cs="Calibri"/>
        </w:rPr>
        <w:t>be established, budgeting in a specific delivery enabling services project</w:t>
      </w:r>
      <w:r w:rsidRPr="008D1D3D">
        <w:rPr>
          <w:rFonts w:ascii="Calibri" w:eastAsia="Calibri" w:hAnsi="Calibri" w:cs="Calibri"/>
        </w:rPr>
        <w:t>.</w:t>
      </w:r>
      <w:r>
        <w:rPr>
          <w:rFonts w:ascii="Calibri" w:eastAsia="Calibri" w:hAnsi="Calibri" w:cs="Calibri"/>
        </w:rPr>
        <w:t xml:space="preserve"> </w:t>
      </w:r>
      <w:r w:rsidRPr="1B2E0F69">
        <w:rPr>
          <w:rFonts w:ascii="Calibri" w:eastAsia="Calibri" w:hAnsi="Calibri" w:cs="Calibri"/>
        </w:rPr>
        <w:t xml:space="preserve">Such </w:t>
      </w:r>
      <w:r w:rsidR="32B61F89" w:rsidRPr="1B2E0F69">
        <w:rPr>
          <w:rFonts w:ascii="Calibri" w:eastAsia="Calibri" w:hAnsi="Calibri" w:cs="Calibri"/>
        </w:rPr>
        <w:t>an</w:t>
      </w:r>
      <w:r>
        <w:rPr>
          <w:rFonts w:ascii="Calibri" w:eastAsia="Calibri" w:hAnsi="Calibri" w:cs="Calibri"/>
        </w:rPr>
        <w:t xml:space="preserve"> advance may be used for full or partial funding of personnel or other related operational costs</w:t>
      </w:r>
      <w:r w:rsidRPr="008D1D3D">
        <w:rPr>
          <w:rFonts w:ascii="Calibri" w:eastAsia="Calibri" w:hAnsi="Calibri" w:cs="Calibri"/>
        </w:rPr>
        <w:t>. When services are provided</w:t>
      </w:r>
      <w:r>
        <w:rPr>
          <w:rFonts w:ascii="Calibri" w:eastAsia="Calibri" w:hAnsi="Calibri" w:cs="Calibri"/>
        </w:rPr>
        <w:t xml:space="preserve"> to a project</w:t>
      </w:r>
      <w:r w:rsidRPr="008D1D3D">
        <w:rPr>
          <w:rFonts w:ascii="Calibri" w:eastAsia="Calibri" w:hAnsi="Calibri" w:cs="Calibri"/>
        </w:rPr>
        <w:t>, the project receiving the services must</w:t>
      </w:r>
      <w:r>
        <w:rPr>
          <w:rFonts w:ascii="Calibri" w:eastAsia="Calibri" w:hAnsi="Calibri" w:cs="Calibri"/>
        </w:rPr>
        <w:t xml:space="preserve"> </w:t>
      </w:r>
      <w:r w:rsidRPr="008D1D3D">
        <w:rPr>
          <w:rFonts w:ascii="Calibri" w:eastAsia="Calibri" w:hAnsi="Calibri" w:cs="Calibri"/>
        </w:rPr>
        <w:t xml:space="preserve">be charged and the credit posted to </w:t>
      </w:r>
      <w:r>
        <w:rPr>
          <w:rFonts w:ascii="Calibri" w:eastAsia="Calibri" w:hAnsi="Calibri" w:cs="Calibri"/>
        </w:rPr>
        <w:t>delivery enabling services</w:t>
      </w:r>
      <w:r w:rsidRPr="1B2E0F69">
        <w:rPr>
          <w:rFonts w:ascii="Calibri" w:eastAsia="Times New Roman" w:hAnsi="Calibri" w:cs="Calibri"/>
          <w:color w:val="000000" w:themeColor="text1"/>
          <w:lang w:val="en-GB"/>
        </w:rPr>
        <w:t xml:space="preserve"> project against the funding source used to advance the payment</w:t>
      </w:r>
      <w:r>
        <w:rPr>
          <w:rFonts w:ascii="Calibri" w:eastAsia="Calibri" w:hAnsi="Calibri" w:cs="Calibri"/>
        </w:rPr>
        <w:t>.</w:t>
      </w:r>
    </w:p>
    <w:p w14:paraId="15B4938E" w14:textId="77777777" w:rsidR="003F4EF7" w:rsidRDefault="003F4EF7" w:rsidP="003F4EF7">
      <w:pPr>
        <w:pStyle w:val="ListParagraph"/>
        <w:numPr>
          <w:ilvl w:val="0"/>
          <w:numId w:val="1"/>
        </w:numPr>
        <w:spacing w:before="240" w:after="0" w:line="240" w:lineRule="auto"/>
        <w:contextualSpacing w:val="0"/>
        <w:jc w:val="both"/>
      </w:pPr>
      <w:r w:rsidRPr="6B0D51CE">
        <w:rPr>
          <w:lang w:val="en-GB"/>
        </w:rPr>
        <w:t xml:space="preserve">The main principles of </w:t>
      </w:r>
      <w:r w:rsidRPr="6B0D51CE">
        <w:rPr>
          <w:rFonts w:ascii="Calibri" w:eastAsia="Calibri" w:hAnsi="Calibri" w:cs="Calibri"/>
        </w:rPr>
        <w:t>delivery enabling services</w:t>
      </w:r>
      <w:r w:rsidRPr="6B0D51CE">
        <w:rPr>
          <w:rFonts w:ascii="Calibri" w:eastAsia="Times New Roman" w:hAnsi="Calibri" w:cs="Calibri"/>
          <w:color w:val="000000" w:themeColor="text1"/>
          <w:lang w:val="en-GB"/>
        </w:rPr>
        <w:t xml:space="preserve"> projects</w:t>
      </w:r>
      <w:r w:rsidRPr="6B0D51CE">
        <w:rPr>
          <w:lang w:val="en-GB"/>
        </w:rPr>
        <w:t xml:space="preserve"> include a minimum “pre-funding,” periodic reconciliation, and a reversal of expenses between </w:t>
      </w:r>
      <w:r w:rsidRPr="6B0D51CE">
        <w:rPr>
          <w:rFonts w:ascii="Calibri" w:eastAsia="Calibri" w:hAnsi="Calibri" w:cs="Calibri"/>
        </w:rPr>
        <w:t>delivery enabling services</w:t>
      </w:r>
      <w:r w:rsidRPr="6B0D51CE">
        <w:rPr>
          <w:rFonts w:ascii="Calibri" w:eastAsia="Times New Roman" w:hAnsi="Calibri" w:cs="Calibri"/>
          <w:color w:val="000000" w:themeColor="text1"/>
          <w:lang w:val="en-GB"/>
        </w:rPr>
        <w:t xml:space="preserve"> projects</w:t>
      </w:r>
      <w:r w:rsidRPr="6B0D51CE">
        <w:rPr>
          <w:lang w:val="en-GB"/>
        </w:rPr>
        <w:t xml:space="preserve"> and development projects. At minimum, such reconciliation must be performed quarterly; but as often as offices deem necessary. Offices should establish a timeline for these reconciliations at the beginning of each year and assign these functions to the relevant staff.  </w:t>
      </w:r>
    </w:p>
    <w:p w14:paraId="4B8D6EF4" w14:textId="77777777" w:rsidR="003F4EF7" w:rsidRDefault="003F4EF7" w:rsidP="003F4EF7">
      <w:pPr>
        <w:pStyle w:val="ListParagraph"/>
        <w:numPr>
          <w:ilvl w:val="0"/>
          <w:numId w:val="1"/>
        </w:numPr>
        <w:spacing w:before="240" w:after="0" w:line="240" w:lineRule="auto"/>
        <w:contextualSpacing w:val="0"/>
        <w:jc w:val="both"/>
        <w:rPr>
          <w:rFonts w:ascii="Calibri" w:eastAsia="Times New Roman" w:hAnsi="Calibri" w:cs="Calibri"/>
          <w:color w:val="000000"/>
        </w:rPr>
      </w:pPr>
      <w:r w:rsidRPr="6B0D51CE">
        <w:rPr>
          <w:rFonts w:ascii="Calibri" w:eastAsia="Times New Roman" w:hAnsi="Calibri" w:cs="Calibri"/>
          <w:color w:val="000000" w:themeColor="text1"/>
          <w:lang w:val="en-GB"/>
        </w:rPr>
        <w:t xml:space="preserve">Expenses recorded under the </w:t>
      </w:r>
      <w:r w:rsidRPr="6B0D51CE">
        <w:rPr>
          <w:rFonts w:ascii="Calibri" w:eastAsia="Calibri" w:hAnsi="Calibri" w:cs="Calibri"/>
        </w:rPr>
        <w:t>delivery enabling services</w:t>
      </w:r>
      <w:r w:rsidRPr="6B0D51CE">
        <w:rPr>
          <w:rFonts w:ascii="Calibri" w:eastAsia="Times New Roman" w:hAnsi="Calibri" w:cs="Calibri"/>
          <w:color w:val="000000" w:themeColor="text1"/>
          <w:lang w:val="en-GB"/>
        </w:rPr>
        <w:t xml:space="preserve"> project should be apportioned to attributable projects by year-end, debiting the actual development project activity for which the services were provided, and the account which defines the expense. This ensures that projects reflect all costs appropriately when reporting to donors. Ideally, a </w:t>
      </w:r>
      <w:r w:rsidRPr="6B0D51CE">
        <w:rPr>
          <w:rFonts w:ascii="Calibri" w:eastAsia="Calibri" w:hAnsi="Calibri" w:cs="Calibri"/>
        </w:rPr>
        <w:t>delivery enabling services</w:t>
      </w:r>
      <w:r w:rsidRPr="6B0D51CE">
        <w:rPr>
          <w:rFonts w:ascii="Calibri" w:eastAsia="Times New Roman" w:hAnsi="Calibri" w:cs="Calibri"/>
          <w:color w:val="000000" w:themeColor="text1"/>
          <w:lang w:val="en-GB"/>
        </w:rPr>
        <w:t xml:space="preserve"> project should end with a fiscal year and zero expense if supply matched demand during the year. </w:t>
      </w:r>
    </w:p>
    <w:p w14:paraId="0BE6523F" w14:textId="77777777" w:rsidR="003F4EF7" w:rsidRDefault="003F4EF7" w:rsidP="003F4EF7">
      <w:pPr>
        <w:pStyle w:val="ListParagraph"/>
        <w:numPr>
          <w:ilvl w:val="0"/>
          <w:numId w:val="1"/>
        </w:numPr>
        <w:spacing w:before="240" w:after="0" w:line="240" w:lineRule="auto"/>
        <w:contextualSpacing w:val="0"/>
        <w:jc w:val="both"/>
        <w:rPr>
          <w:rFonts w:ascii="Calibri" w:eastAsia="Times New Roman" w:hAnsi="Calibri" w:cs="Calibri"/>
          <w:color w:val="000000"/>
          <w:lang w:val="en-GB"/>
        </w:rPr>
      </w:pPr>
      <w:r>
        <w:rPr>
          <w:rFonts w:ascii="Calibri" w:eastAsia="Calibri" w:hAnsi="Calibri" w:cs="Calibri"/>
        </w:rPr>
        <w:t>Delivery enabling services</w:t>
      </w:r>
      <w:r w:rsidRPr="00D46D20">
        <w:rPr>
          <w:rFonts w:ascii="Calibri" w:eastAsia="Times New Roman" w:hAnsi="Calibri" w:cs="Calibri"/>
          <w:color w:val="000000"/>
          <w:lang w:val="en-GB"/>
        </w:rPr>
        <w:t xml:space="preserve"> project</w:t>
      </w:r>
      <w:r>
        <w:rPr>
          <w:rFonts w:ascii="Calibri" w:eastAsia="Times New Roman" w:hAnsi="Calibri" w:cs="Calibri"/>
          <w:color w:val="000000"/>
          <w:lang w:val="en-GB"/>
        </w:rPr>
        <w:t>s</w:t>
      </w:r>
      <w:r w:rsidRPr="00D46D20">
        <w:rPr>
          <w:rFonts w:ascii="Calibri" w:eastAsia="Times New Roman" w:hAnsi="Calibri" w:cs="Calibri"/>
          <w:color w:val="000000"/>
          <w:lang w:val="en-GB"/>
        </w:rPr>
        <w:t xml:space="preserve"> can be pre-financed from the following sources:</w:t>
      </w:r>
    </w:p>
    <w:p w14:paraId="1DEDF8EE" w14:textId="77777777" w:rsidR="003F4EF7" w:rsidRPr="003C34AE" w:rsidRDefault="003F4EF7" w:rsidP="003F4EF7">
      <w:pPr>
        <w:pStyle w:val="ListParagraph"/>
        <w:numPr>
          <w:ilvl w:val="0"/>
          <w:numId w:val="2"/>
        </w:numPr>
        <w:spacing w:before="240" w:after="0" w:line="240" w:lineRule="auto"/>
        <w:contextualSpacing w:val="0"/>
        <w:jc w:val="both"/>
        <w:textAlignment w:val="baseline"/>
        <w:rPr>
          <w:rFonts w:ascii="Calibri" w:eastAsia="Times New Roman" w:hAnsi="Calibri" w:cs="Calibri"/>
          <w:color w:val="000000"/>
          <w:lang w:val="en-GB"/>
        </w:rPr>
      </w:pPr>
      <w:r w:rsidRPr="006A0C44">
        <w:rPr>
          <w:rFonts w:ascii="Calibri" w:eastAsia="Times New Roman" w:hAnsi="Calibri" w:cs="Calibri"/>
          <w:color w:val="000000"/>
          <w:lang w:val="en-GB"/>
        </w:rPr>
        <w:t xml:space="preserve">Funds transfer from </w:t>
      </w:r>
      <w:r>
        <w:rPr>
          <w:rFonts w:ascii="Calibri" w:eastAsia="Times New Roman" w:hAnsi="Calibri" w:cs="Calibri"/>
          <w:color w:val="000000"/>
          <w:lang w:val="en-GB"/>
        </w:rPr>
        <w:t>C</w:t>
      </w:r>
      <w:r w:rsidRPr="006A0C44">
        <w:rPr>
          <w:rFonts w:ascii="Calibri" w:eastAsia="Times New Roman" w:hAnsi="Calibri" w:cs="Calibri"/>
          <w:color w:val="000000"/>
          <w:lang w:val="en-GB"/>
        </w:rPr>
        <w:t xml:space="preserve">ountry </w:t>
      </w:r>
      <w:r>
        <w:rPr>
          <w:rFonts w:ascii="Calibri" w:eastAsia="Times New Roman" w:hAnsi="Calibri" w:cs="Calibri"/>
          <w:color w:val="000000"/>
          <w:lang w:val="en-GB"/>
        </w:rPr>
        <w:t>C</w:t>
      </w:r>
      <w:r w:rsidRPr="006A0C44">
        <w:rPr>
          <w:rFonts w:ascii="Calibri" w:eastAsia="Times New Roman" w:hAnsi="Calibri" w:cs="Calibri"/>
          <w:color w:val="000000"/>
          <w:lang w:val="en-GB"/>
        </w:rPr>
        <w:t>o-</w:t>
      </w:r>
      <w:r>
        <w:rPr>
          <w:rFonts w:ascii="Calibri" w:eastAsia="Times New Roman" w:hAnsi="Calibri" w:cs="Calibri"/>
          <w:color w:val="000000"/>
          <w:lang w:val="en-GB"/>
        </w:rPr>
        <w:t>F</w:t>
      </w:r>
      <w:r w:rsidRPr="006A0C44">
        <w:rPr>
          <w:rFonts w:ascii="Calibri" w:eastAsia="Times New Roman" w:hAnsi="Calibri" w:cs="Calibri"/>
          <w:color w:val="000000"/>
          <w:lang w:val="en-GB"/>
        </w:rPr>
        <w:t>inancing cost-sharing (11888)</w:t>
      </w:r>
      <w:r>
        <w:rPr>
          <w:rFonts w:ascii="Calibri" w:eastAsia="Times New Roman" w:hAnsi="Calibri" w:cs="Calibri"/>
          <w:color w:val="000000"/>
          <w:lang w:val="en-GB"/>
        </w:rPr>
        <w:t>: O</w:t>
      </w:r>
      <w:r w:rsidRPr="003C34AE">
        <w:rPr>
          <w:rFonts w:ascii="Calibri" w:eastAsia="Times New Roman" w:hAnsi="Calibri" w:cs="Calibri"/>
          <w:color w:val="000000"/>
          <w:lang w:val="en-GB"/>
        </w:rPr>
        <w:t>ffices should transfer the resources from 11888 to their project and fund 11309, controlled by cash at the project, fund, and donor (00012) level.</w:t>
      </w:r>
    </w:p>
    <w:p w14:paraId="4D738539" w14:textId="77777777" w:rsidR="003F4EF7" w:rsidRPr="00C31C74" w:rsidRDefault="003F4EF7" w:rsidP="003F4EF7">
      <w:pPr>
        <w:pStyle w:val="ListParagraph"/>
        <w:numPr>
          <w:ilvl w:val="0"/>
          <w:numId w:val="2"/>
        </w:numPr>
        <w:spacing w:before="240" w:after="0" w:line="240" w:lineRule="auto"/>
        <w:contextualSpacing w:val="0"/>
        <w:jc w:val="both"/>
        <w:textAlignment w:val="baseline"/>
        <w:rPr>
          <w:rFonts w:ascii="Calibri" w:eastAsia="Times New Roman" w:hAnsi="Calibri" w:cs="Calibri"/>
          <w:color w:val="000000"/>
          <w:lang w:val="en-GB"/>
        </w:rPr>
      </w:pPr>
      <w:r w:rsidRPr="00BA607E">
        <w:rPr>
          <w:rFonts w:ascii="Calibri" w:eastAsia="Times New Roman" w:hAnsi="Calibri" w:cs="Calibri"/>
          <w:color w:val="000000"/>
          <w:lang w:val="en-GB"/>
        </w:rPr>
        <w:t>ASL from XB (GMS)</w:t>
      </w:r>
      <w:r>
        <w:rPr>
          <w:rFonts w:ascii="Calibri" w:eastAsia="Times New Roman" w:hAnsi="Calibri" w:cs="Calibri"/>
          <w:color w:val="000000"/>
          <w:lang w:val="en-GB"/>
        </w:rPr>
        <w:t xml:space="preserve">: </w:t>
      </w:r>
      <w:r w:rsidRPr="00BA607E">
        <w:rPr>
          <w:rFonts w:ascii="Calibri" w:eastAsia="Times New Roman" w:hAnsi="Calibri" w:cs="Calibri"/>
          <w:color w:val="000000"/>
          <w:lang w:val="en-GB"/>
        </w:rPr>
        <w:t xml:space="preserve"> </w:t>
      </w:r>
      <w:r>
        <w:rPr>
          <w:rFonts w:ascii="Calibri" w:eastAsia="Times New Roman" w:hAnsi="Calibri" w:cs="Calibri"/>
          <w:color w:val="000000"/>
          <w:lang w:val="en-GB"/>
        </w:rPr>
        <w:t>T</w:t>
      </w:r>
      <w:r w:rsidRPr="00BA607E">
        <w:rPr>
          <w:rFonts w:ascii="Calibri" w:eastAsia="Times New Roman" w:hAnsi="Calibri" w:cs="Calibri"/>
          <w:color w:val="000000"/>
          <w:lang w:val="en-GB"/>
        </w:rPr>
        <w:t xml:space="preserve">he CO should enter a budget revision in the project with XB funds (such as 11300). No transfer of funds via GLJE is required to </w:t>
      </w:r>
      <w:r>
        <w:rPr>
          <w:rFonts w:ascii="Calibri" w:eastAsia="Calibri" w:hAnsi="Calibri" w:cs="Calibri"/>
        </w:rPr>
        <w:t>delivery enabling services</w:t>
      </w:r>
      <w:r w:rsidRPr="00BA607E">
        <w:rPr>
          <w:rFonts w:ascii="Calibri" w:eastAsia="Times New Roman" w:hAnsi="Calibri" w:cs="Calibri"/>
          <w:color w:val="000000"/>
          <w:lang w:val="en-GB"/>
        </w:rPr>
        <w:t xml:space="preserve"> pre-financing (11309) from XB funds (11300/11301/11303).  </w:t>
      </w:r>
      <w:r w:rsidRPr="00BA607E">
        <w:rPr>
          <w:rFonts w:ascii="Calibri" w:eastAsia="Times New Roman" w:hAnsi="Calibri" w:cs="Calibri"/>
          <w:color w:val="000000"/>
        </w:rPr>
        <w:t> </w:t>
      </w:r>
    </w:p>
    <w:p w14:paraId="63CAAF7A" w14:textId="77777777" w:rsidR="003F4EF7" w:rsidRPr="00AE363A" w:rsidRDefault="003F4EF7" w:rsidP="003F4EF7">
      <w:pPr>
        <w:pStyle w:val="ListParagraph"/>
        <w:numPr>
          <w:ilvl w:val="0"/>
          <w:numId w:val="2"/>
        </w:numPr>
        <w:spacing w:before="240" w:after="0" w:line="240" w:lineRule="auto"/>
        <w:contextualSpacing w:val="0"/>
        <w:jc w:val="both"/>
        <w:textAlignment w:val="baseline"/>
        <w:rPr>
          <w:rFonts w:ascii="Calibri" w:eastAsia="Times New Roman" w:hAnsi="Calibri" w:cs="Calibri"/>
          <w:color w:val="000000"/>
          <w:lang w:val="en-GB"/>
        </w:rPr>
      </w:pPr>
      <w:r>
        <w:rPr>
          <w:rFonts w:ascii="Calibri" w:eastAsia="Times New Roman" w:hAnsi="Calibri" w:cs="Calibri"/>
          <w:color w:val="000000"/>
        </w:rPr>
        <w:t>Other Core Programme resources:</w:t>
      </w:r>
      <w:r w:rsidRPr="00BA607E">
        <w:rPr>
          <w:rFonts w:ascii="Calibri" w:eastAsia="Times New Roman" w:hAnsi="Calibri" w:cs="Calibri"/>
          <w:color w:val="000000"/>
          <w:lang w:val="en-GB"/>
        </w:rPr>
        <w:t xml:space="preserve"> </w:t>
      </w:r>
      <w:r>
        <w:rPr>
          <w:rFonts w:ascii="Calibri" w:eastAsia="Times New Roman" w:hAnsi="Calibri" w:cs="Calibri"/>
          <w:color w:val="000000"/>
          <w:lang w:val="en-GB"/>
        </w:rPr>
        <w:t>T</w:t>
      </w:r>
      <w:r w:rsidRPr="00BA607E">
        <w:rPr>
          <w:rFonts w:ascii="Calibri" w:eastAsia="Times New Roman" w:hAnsi="Calibri" w:cs="Calibri"/>
          <w:color w:val="000000"/>
          <w:lang w:val="en-GB"/>
        </w:rPr>
        <w:t xml:space="preserve">he CO should enter a budget revision in the project with </w:t>
      </w:r>
      <w:r>
        <w:rPr>
          <w:rFonts w:ascii="Calibri" w:eastAsia="Times New Roman" w:hAnsi="Calibri" w:cs="Calibri"/>
          <w:color w:val="000000"/>
          <w:lang w:val="en-GB"/>
        </w:rPr>
        <w:t>the appropriate</w:t>
      </w:r>
      <w:r w:rsidRPr="00BA607E">
        <w:rPr>
          <w:rFonts w:ascii="Calibri" w:eastAsia="Times New Roman" w:hAnsi="Calibri" w:cs="Calibri"/>
          <w:color w:val="000000"/>
          <w:lang w:val="en-GB"/>
        </w:rPr>
        <w:t xml:space="preserve"> fund</w:t>
      </w:r>
      <w:r>
        <w:rPr>
          <w:rFonts w:ascii="Calibri" w:eastAsia="Times New Roman" w:hAnsi="Calibri" w:cs="Calibri"/>
          <w:color w:val="000000"/>
          <w:lang w:val="en-GB"/>
        </w:rPr>
        <w:t xml:space="preserve"> code</w:t>
      </w:r>
      <w:r w:rsidRPr="00BA607E">
        <w:rPr>
          <w:rFonts w:ascii="Calibri" w:eastAsia="Times New Roman" w:hAnsi="Calibri" w:cs="Calibri"/>
          <w:color w:val="000000"/>
          <w:lang w:val="en-GB"/>
        </w:rPr>
        <w:t xml:space="preserve"> (such as </w:t>
      </w:r>
      <w:r>
        <w:rPr>
          <w:rFonts w:ascii="Calibri" w:eastAsia="Times New Roman" w:hAnsi="Calibri" w:cs="Calibri"/>
          <w:color w:val="000000"/>
          <w:lang w:val="en-GB"/>
        </w:rPr>
        <w:t>04100</w:t>
      </w:r>
      <w:r w:rsidRPr="00BA607E">
        <w:rPr>
          <w:rFonts w:ascii="Calibri" w:eastAsia="Times New Roman" w:hAnsi="Calibri" w:cs="Calibri"/>
          <w:color w:val="000000"/>
          <w:lang w:val="en-GB"/>
        </w:rPr>
        <w:t>).</w:t>
      </w:r>
      <w:r>
        <w:rPr>
          <w:rFonts w:ascii="Calibri" w:eastAsia="Times New Roman" w:hAnsi="Calibri" w:cs="Calibri"/>
          <w:color w:val="000000"/>
          <w:lang w:val="en-GB"/>
        </w:rPr>
        <w:t xml:space="preserve"> </w:t>
      </w:r>
      <w:r w:rsidRPr="00BA607E">
        <w:rPr>
          <w:rFonts w:ascii="Calibri" w:eastAsia="Times New Roman" w:hAnsi="Calibri" w:cs="Calibri"/>
          <w:color w:val="000000"/>
          <w:lang w:val="en-GB"/>
        </w:rPr>
        <w:t xml:space="preserve">No transfer of funds via GLJE is required to </w:t>
      </w:r>
      <w:r>
        <w:rPr>
          <w:rFonts w:ascii="Calibri" w:eastAsia="Calibri" w:hAnsi="Calibri" w:cs="Calibri"/>
        </w:rPr>
        <w:t>delivery enabling services</w:t>
      </w:r>
      <w:r w:rsidRPr="00BA607E">
        <w:rPr>
          <w:rFonts w:ascii="Calibri" w:eastAsia="Times New Roman" w:hAnsi="Calibri" w:cs="Calibri"/>
          <w:color w:val="000000"/>
          <w:lang w:val="en-GB"/>
        </w:rPr>
        <w:t xml:space="preserve"> pre-financing (11309) from</w:t>
      </w:r>
      <w:r>
        <w:rPr>
          <w:rFonts w:ascii="Calibri" w:eastAsia="Times New Roman" w:hAnsi="Calibri" w:cs="Calibri"/>
          <w:color w:val="000000"/>
          <w:lang w:val="en-GB"/>
        </w:rPr>
        <w:t xml:space="preserve"> these fund codes</w:t>
      </w:r>
      <w:r w:rsidRPr="00BA607E">
        <w:rPr>
          <w:rFonts w:ascii="Calibri" w:eastAsia="Times New Roman" w:hAnsi="Calibri" w:cs="Calibri"/>
          <w:color w:val="000000"/>
          <w:lang w:val="en-GB"/>
        </w:rPr>
        <w:t>.  </w:t>
      </w:r>
      <w:r w:rsidRPr="00BA607E">
        <w:rPr>
          <w:rFonts w:ascii="Calibri" w:eastAsia="Times New Roman" w:hAnsi="Calibri" w:cs="Calibri"/>
          <w:color w:val="000000"/>
        </w:rPr>
        <w:t> </w:t>
      </w:r>
    </w:p>
    <w:p w14:paraId="71BAB801" w14:textId="244A7FE9" w:rsidR="003F4EF7" w:rsidRPr="00AE6BCB" w:rsidRDefault="00933643" w:rsidP="50007B4D">
      <w:pPr>
        <w:pStyle w:val="ListParagraph"/>
        <w:numPr>
          <w:ilvl w:val="0"/>
          <w:numId w:val="1"/>
        </w:numPr>
        <w:spacing w:before="240" w:after="0" w:line="240" w:lineRule="auto"/>
        <w:jc w:val="both"/>
        <w:textAlignment w:val="baseline"/>
        <w:rPr>
          <w:rFonts w:ascii="Segoe UI" w:eastAsia="Times New Roman" w:hAnsi="Segoe UI" w:cs="Segoe UI"/>
          <w:color w:val="000000"/>
          <w:sz w:val="18"/>
          <w:szCs w:val="18"/>
        </w:rPr>
      </w:pPr>
      <w:r>
        <w:rPr>
          <w:rFonts w:ascii="Calibri" w:eastAsia="Times New Roman" w:hAnsi="Calibri" w:cs="Calibri"/>
          <w:color w:val="000000" w:themeColor="text1"/>
          <w:lang w:val="en-GB"/>
        </w:rPr>
        <w:t>P</w:t>
      </w:r>
      <w:r w:rsidRPr="6B0D51CE">
        <w:rPr>
          <w:rFonts w:ascii="Calibri" w:eastAsia="Times New Roman" w:hAnsi="Calibri" w:cs="Calibri"/>
          <w:color w:val="000000" w:themeColor="text1"/>
          <w:lang w:val="en-GB"/>
        </w:rPr>
        <w:t xml:space="preserve">roject </w:t>
      </w:r>
      <w:r w:rsidR="003F4EF7" w:rsidRPr="6B0D51CE">
        <w:rPr>
          <w:rFonts w:ascii="Calibri" w:eastAsia="Times New Roman" w:hAnsi="Calibri" w:cs="Calibri"/>
          <w:color w:val="000000" w:themeColor="text1"/>
          <w:lang w:val="en-GB"/>
        </w:rPr>
        <w:t xml:space="preserve">type, “Management” should be used when setting up a </w:t>
      </w:r>
      <w:r w:rsidR="003F4EF7" w:rsidRPr="6B0D51CE">
        <w:rPr>
          <w:rFonts w:ascii="Calibri" w:eastAsia="Calibri" w:hAnsi="Calibri" w:cs="Calibri"/>
        </w:rPr>
        <w:t>delivery enabling services</w:t>
      </w:r>
      <w:r w:rsidR="003F4EF7" w:rsidRPr="6B0D51CE">
        <w:rPr>
          <w:rFonts w:ascii="Calibri" w:eastAsia="Times New Roman" w:hAnsi="Calibri" w:cs="Calibri"/>
          <w:color w:val="000000" w:themeColor="text1"/>
          <w:lang w:val="en-GB"/>
        </w:rPr>
        <w:t xml:space="preserve"> project in </w:t>
      </w:r>
      <w:r w:rsidR="002F282F">
        <w:rPr>
          <w:rFonts w:ascii="Calibri" w:eastAsia="Times New Roman" w:hAnsi="Calibri" w:cs="Calibri"/>
          <w:color w:val="000000" w:themeColor="text1"/>
          <w:lang w:val="en-GB"/>
        </w:rPr>
        <w:t>Quantum</w:t>
      </w:r>
      <w:r w:rsidR="003F4EF7" w:rsidRPr="6B0D51CE">
        <w:rPr>
          <w:rFonts w:ascii="Calibri" w:eastAsia="Times New Roman" w:hAnsi="Calibri" w:cs="Calibri"/>
          <w:color w:val="000000" w:themeColor="text1"/>
          <w:lang w:val="en-GB"/>
        </w:rPr>
        <w:t xml:space="preserve">. All </w:t>
      </w:r>
      <w:r w:rsidR="003F4EF7" w:rsidRPr="6B0D51CE">
        <w:rPr>
          <w:rFonts w:ascii="Calibri" w:eastAsia="Calibri" w:hAnsi="Calibri" w:cs="Calibri"/>
        </w:rPr>
        <w:t>delivery enabling services</w:t>
      </w:r>
      <w:r w:rsidR="003F4EF7" w:rsidRPr="6B0D51CE">
        <w:rPr>
          <w:rFonts w:ascii="Calibri" w:eastAsia="Times New Roman" w:hAnsi="Calibri" w:cs="Calibri"/>
          <w:color w:val="000000" w:themeColor="text1"/>
          <w:lang w:val="en-GB"/>
        </w:rPr>
        <w:t xml:space="preserve"> projects should bear the long description, “Unit Name </w:t>
      </w:r>
      <w:r w:rsidR="003F4EF7" w:rsidRPr="6B0D51CE">
        <w:rPr>
          <w:rFonts w:ascii="Calibri" w:eastAsia="Times New Roman" w:hAnsi="Calibri" w:cs="Calibri"/>
          <w:color w:val="000000" w:themeColor="text1"/>
          <w:lang w:val="en-GB"/>
        </w:rPr>
        <w:lastRenderedPageBreak/>
        <w:t xml:space="preserve">- </w:t>
      </w:r>
      <w:r w:rsidR="003F4EF7" w:rsidRPr="6B0D51CE">
        <w:rPr>
          <w:rFonts w:ascii="Calibri" w:eastAsia="Calibri" w:hAnsi="Calibri" w:cs="Calibri"/>
        </w:rPr>
        <w:t>Delivery Enabling Services</w:t>
      </w:r>
      <w:r w:rsidR="003F4EF7" w:rsidRPr="6B0D51CE">
        <w:rPr>
          <w:rFonts w:ascii="Calibri" w:eastAsia="Times New Roman" w:hAnsi="Calibri" w:cs="Calibri"/>
          <w:color w:val="000000" w:themeColor="text1"/>
          <w:lang w:val="en-GB"/>
        </w:rPr>
        <w:t xml:space="preserve"> Project Advance,” in </w:t>
      </w:r>
      <w:r w:rsidR="002F282F">
        <w:rPr>
          <w:rFonts w:ascii="Calibri" w:eastAsia="Times New Roman" w:hAnsi="Calibri" w:cs="Calibri"/>
          <w:color w:val="000000" w:themeColor="text1"/>
          <w:lang w:val="en-GB"/>
        </w:rPr>
        <w:t>Quantum</w:t>
      </w:r>
      <w:r w:rsidRPr="6B0D51CE">
        <w:rPr>
          <w:rFonts w:ascii="Calibri" w:eastAsia="Times New Roman" w:hAnsi="Calibri" w:cs="Calibri"/>
          <w:color w:val="000000" w:themeColor="text1"/>
          <w:lang w:val="en-GB"/>
        </w:rPr>
        <w:t xml:space="preserve"> </w:t>
      </w:r>
      <w:r w:rsidR="003F4EF7" w:rsidRPr="6B0D51CE">
        <w:rPr>
          <w:rFonts w:ascii="Calibri" w:eastAsia="Times New Roman" w:hAnsi="Calibri" w:cs="Calibri"/>
          <w:color w:val="000000" w:themeColor="text1"/>
          <w:lang w:val="en-GB"/>
        </w:rPr>
        <w:t>to facilitate corporate-level monitoring. </w:t>
      </w:r>
      <w:r w:rsidR="003F4EF7" w:rsidRPr="6B0D51CE">
        <w:rPr>
          <w:rFonts w:ascii="Calibri" w:eastAsia="Times New Roman" w:hAnsi="Calibri" w:cs="Calibri"/>
          <w:color w:val="000000" w:themeColor="text1"/>
        </w:rPr>
        <w:t> </w:t>
      </w:r>
      <w:r w:rsidR="003F4EF7" w:rsidRPr="6B0D51CE">
        <w:rPr>
          <w:rFonts w:ascii="Calibri" w:eastAsia="Times New Roman" w:hAnsi="Calibri" w:cs="Calibri"/>
          <w:color w:val="000000" w:themeColor="text1"/>
          <w:lang w:val="en-GB"/>
        </w:rPr>
        <w:t> </w:t>
      </w:r>
      <w:r w:rsidR="003F4EF7" w:rsidRPr="6B0D51CE">
        <w:rPr>
          <w:rFonts w:ascii="Calibri" w:eastAsia="Times New Roman" w:hAnsi="Calibri" w:cs="Calibri"/>
          <w:color w:val="000000" w:themeColor="text1"/>
        </w:rPr>
        <w:t> </w:t>
      </w:r>
    </w:p>
    <w:p w14:paraId="2331F2A7" w14:textId="77777777" w:rsidR="003F4EF7" w:rsidRPr="00E41B14" w:rsidRDefault="003F4EF7" w:rsidP="003F4EF7">
      <w:pPr>
        <w:pStyle w:val="ListParagraph"/>
        <w:numPr>
          <w:ilvl w:val="0"/>
          <w:numId w:val="1"/>
        </w:numPr>
        <w:spacing w:before="240" w:after="0" w:line="240" w:lineRule="auto"/>
        <w:contextualSpacing w:val="0"/>
        <w:jc w:val="both"/>
        <w:textAlignment w:val="baseline"/>
        <w:rPr>
          <w:rFonts w:ascii="Calibri" w:eastAsia="Times New Roman" w:hAnsi="Calibri" w:cs="Calibri"/>
          <w:color w:val="000000"/>
        </w:rPr>
      </w:pPr>
      <w:r w:rsidRPr="6B0D51CE">
        <w:rPr>
          <w:rFonts w:ascii="Calibri" w:eastAsia="Times New Roman" w:hAnsi="Calibri" w:cs="Calibri"/>
          <w:color w:val="000000" w:themeColor="text1"/>
          <w:lang w:val="en-GB"/>
        </w:rPr>
        <w:t xml:space="preserve">A </w:t>
      </w:r>
      <w:r w:rsidRPr="6B0D51CE">
        <w:rPr>
          <w:rFonts w:ascii="Calibri" w:eastAsia="Calibri" w:hAnsi="Calibri" w:cs="Calibri"/>
        </w:rPr>
        <w:t>delivery enabling services</w:t>
      </w:r>
      <w:r w:rsidRPr="6B0D51CE">
        <w:rPr>
          <w:rFonts w:ascii="Calibri" w:eastAsia="Times New Roman" w:hAnsi="Calibri" w:cs="Calibri"/>
          <w:color w:val="000000" w:themeColor="text1"/>
          <w:lang w:val="en-GB"/>
        </w:rPr>
        <w:t xml:space="preserve"> project does not require government approval even if pre-funding comes from programme resources. Project expenses will be attributed on a regular basis back to the relevant development projects.  </w:t>
      </w:r>
      <w:r w:rsidRPr="6B0D51CE">
        <w:rPr>
          <w:rFonts w:ascii="Calibri" w:eastAsia="Times New Roman" w:hAnsi="Calibri" w:cs="Calibri"/>
          <w:color w:val="000000" w:themeColor="text1"/>
        </w:rPr>
        <w:t> </w:t>
      </w:r>
    </w:p>
    <w:p w14:paraId="4E36C6E9" w14:textId="5919D98C" w:rsidR="003F4EF7" w:rsidRPr="00042542" w:rsidRDefault="003F4EF7" w:rsidP="003F4EF7">
      <w:pPr>
        <w:pStyle w:val="ListParagraph"/>
        <w:numPr>
          <w:ilvl w:val="0"/>
          <w:numId w:val="1"/>
        </w:numPr>
        <w:spacing w:before="240" w:after="0" w:line="240" w:lineRule="auto"/>
        <w:contextualSpacing w:val="0"/>
        <w:jc w:val="both"/>
        <w:textAlignment w:val="baseline"/>
        <w:rPr>
          <w:rFonts w:ascii="Calibri" w:eastAsia="Times New Roman" w:hAnsi="Calibri" w:cs="Calibri"/>
          <w:color w:val="000000"/>
        </w:rPr>
      </w:pPr>
      <w:r w:rsidRPr="6B0D51CE">
        <w:rPr>
          <w:rFonts w:ascii="Calibri" w:eastAsia="Times New Roman" w:hAnsi="Calibri" w:cs="Calibri"/>
          <w:color w:val="000000" w:themeColor="text1"/>
          <w:lang w:val="en-GB"/>
        </w:rPr>
        <w:t xml:space="preserve">In the HR module, the office would assign the COAs of the </w:t>
      </w:r>
      <w:r w:rsidRPr="6B0D51CE">
        <w:rPr>
          <w:rFonts w:ascii="Calibri" w:eastAsia="Calibri" w:hAnsi="Calibri" w:cs="Calibri"/>
        </w:rPr>
        <w:t>delivery enabling services</w:t>
      </w:r>
      <w:r w:rsidRPr="6B0D51CE">
        <w:rPr>
          <w:rFonts w:ascii="Calibri" w:eastAsia="Times New Roman" w:hAnsi="Calibri" w:cs="Calibri"/>
          <w:color w:val="000000" w:themeColor="text1"/>
          <w:lang w:val="en-GB"/>
        </w:rPr>
        <w:t xml:space="preserve"> project to the office positions (FTAs, TAs or SCs/PSA) that provide </w:t>
      </w:r>
      <w:r w:rsidRPr="6B0D51CE">
        <w:rPr>
          <w:rFonts w:ascii="Calibri" w:eastAsia="Calibri" w:hAnsi="Calibri" w:cs="Calibri"/>
        </w:rPr>
        <w:t>delivery enabling services</w:t>
      </w:r>
      <w:r w:rsidRPr="6B0D51CE">
        <w:rPr>
          <w:rFonts w:ascii="Calibri" w:eastAsia="Times New Roman" w:hAnsi="Calibri" w:cs="Calibri"/>
          <w:color w:val="000000" w:themeColor="text1"/>
          <w:lang w:val="en-GB"/>
        </w:rPr>
        <w:t xml:space="preserve">. For consultants, a purchase order should be created and paid from the </w:t>
      </w:r>
      <w:r w:rsidRPr="6B0D51CE">
        <w:rPr>
          <w:rFonts w:ascii="Calibri" w:eastAsia="Calibri" w:hAnsi="Calibri" w:cs="Calibri"/>
        </w:rPr>
        <w:t>delivery enabling services</w:t>
      </w:r>
      <w:r w:rsidRPr="6B0D51CE">
        <w:rPr>
          <w:rFonts w:ascii="Calibri" w:eastAsia="Times New Roman" w:hAnsi="Calibri" w:cs="Calibri"/>
          <w:color w:val="000000" w:themeColor="text1"/>
          <w:lang w:val="en-GB"/>
        </w:rPr>
        <w:t xml:space="preserve"> project COA.  </w:t>
      </w:r>
      <w:r w:rsidRPr="6B0D51CE">
        <w:rPr>
          <w:rFonts w:ascii="Calibri" w:eastAsia="Times New Roman" w:hAnsi="Calibri" w:cs="Calibri"/>
          <w:color w:val="000000" w:themeColor="text1"/>
        </w:rPr>
        <w:t> </w:t>
      </w:r>
    </w:p>
    <w:p w14:paraId="2679B51C" w14:textId="77777777" w:rsidR="003F4EF7" w:rsidRPr="007777C4" w:rsidRDefault="003F4EF7" w:rsidP="003F4EF7">
      <w:pPr>
        <w:pStyle w:val="ListParagraph"/>
        <w:numPr>
          <w:ilvl w:val="0"/>
          <w:numId w:val="1"/>
        </w:numPr>
        <w:spacing w:before="240" w:after="0" w:line="240" w:lineRule="auto"/>
        <w:contextualSpacing w:val="0"/>
        <w:jc w:val="both"/>
        <w:textAlignment w:val="baseline"/>
        <w:rPr>
          <w:rFonts w:ascii="Calibri" w:eastAsia="Times New Roman" w:hAnsi="Calibri" w:cs="Calibri"/>
          <w:color w:val="000000"/>
        </w:rPr>
      </w:pPr>
      <w:r w:rsidRPr="6B0D51CE">
        <w:rPr>
          <w:rFonts w:ascii="Calibri" w:eastAsia="Times New Roman" w:hAnsi="Calibri" w:cs="Calibri"/>
          <w:color w:val="000000" w:themeColor="text1"/>
          <w:lang w:val="en-GB"/>
        </w:rPr>
        <w:t>Service providers and requesters should review and agree on the charges to be recovered from each development project for services provided through delivery enabling services on a regular basis and make adjustments as needed.</w:t>
      </w:r>
      <w:r w:rsidRPr="6B0D51CE">
        <w:rPr>
          <w:rFonts w:ascii="Segoe UI" w:eastAsia="Times New Roman" w:hAnsi="Segoe UI" w:cs="Segoe UI"/>
          <w:color w:val="000000" w:themeColor="text1"/>
          <w:sz w:val="18"/>
          <w:szCs w:val="18"/>
        </w:rPr>
        <w:t xml:space="preserve"> </w:t>
      </w:r>
    </w:p>
    <w:p w14:paraId="2625AC32" w14:textId="77777777" w:rsidR="003F4EF7" w:rsidRPr="008D1D3D" w:rsidRDefault="003F4EF7" w:rsidP="003F4EF7">
      <w:pPr>
        <w:pStyle w:val="ListParagraph"/>
        <w:numPr>
          <w:ilvl w:val="0"/>
          <w:numId w:val="1"/>
        </w:numPr>
        <w:spacing w:before="240" w:after="0" w:line="240" w:lineRule="auto"/>
        <w:contextualSpacing w:val="0"/>
        <w:jc w:val="both"/>
      </w:pPr>
      <w:r w:rsidRPr="008D1D3D">
        <w:rPr>
          <w:rFonts w:ascii="Calibri" w:eastAsia="Calibri" w:hAnsi="Calibri" w:cs="Calibri"/>
        </w:rPr>
        <w:t xml:space="preserve">Any </w:t>
      </w:r>
      <w:r>
        <w:t>delivery enabling services</w:t>
      </w:r>
      <w:r w:rsidRPr="008D1D3D">
        <w:rPr>
          <w:rFonts w:ascii="Calibri" w:eastAsia="Calibri" w:hAnsi="Calibri" w:cs="Calibri"/>
        </w:rPr>
        <w:t xml:space="preserve"> </w:t>
      </w:r>
      <w:r>
        <w:rPr>
          <w:rFonts w:ascii="Calibri" w:eastAsia="Calibri" w:hAnsi="Calibri" w:cs="Calibri"/>
        </w:rPr>
        <w:t>p</w:t>
      </w:r>
      <w:r w:rsidRPr="008D1D3D">
        <w:rPr>
          <w:rFonts w:ascii="Calibri" w:eastAsia="Calibri" w:hAnsi="Calibri" w:cs="Calibri"/>
        </w:rPr>
        <w:t>roject or interim account</w:t>
      </w:r>
      <w:r>
        <w:rPr>
          <w:rFonts w:ascii="Calibri" w:eastAsia="Calibri" w:hAnsi="Calibri" w:cs="Calibri"/>
        </w:rPr>
        <w:t xml:space="preserve"> deficits </w:t>
      </w:r>
      <w:r w:rsidRPr="008D1D3D">
        <w:rPr>
          <w:rFonts w:ascii="Calibri" w:eastAsia="Calibri" w:hAnsi="Calibri" w:cs="Calibri"/>
        </w:rPr>
        <w:t xml:space="preserve">to preposition </w:t>
      </w:r>
      <w:r>
        <w:rPr>
          <w:rFonts w:ascii="Calibri" w:eastAsia="Calibri" w:hAnsi="Calibri" w:cs="Calibri"/>
        </w:rPr>
        <w:t>staff</w:t>
      </w:r>
      <w:r w:rsidRPr="008D1D3D">
        <w:rPr>
          <w:rFonts w:ascii="Calibri" w:eastAsia="Calibri" w:hAnsi="Calibri" w:cs="Calibri"/>
        </w:rPr>
        <w:t xml:space="preserve"> capacities</w:t>
      </w:r>
      <w:r>
        <w:rPr>
          <w:rFonts w:ascii="Calibri" w:eastAsia="Calibri" w:hAnsi="Calibri" w:cs="Calibri"/>
        </w:rPr>
        <w:t>,</w:t>
      </w:r>
      <w:r w:rsidRPr="008D1D3D">
        <w:rPr>
          <w:rFonts w:ascii="Calibri" w:eastAsia="Calibri" w:hAnsi="Calibri" w:cs="Calibri"/>
        </w:rPr>
        <w:t xml:space="preserve"> not fully recovered through projects by </w:t>
      </w:r>
      <w:r>
        <w:rPr>
          <w:rFonts w:ascii="Calibri" w:eastAsia="Calibri" w:hAnsi="Calibri" w:cs="Calibri"/>
        </w:rPr>
        <w:t>year-end,</w:t>
      </w:r>
      <w:r w:rsidRPr="008D1D3D">
        <w:rPr>
          <w:rFonts w:ascii="Calibri" w:eastAsia="Calibri" w:hAnsi="Calibri" w:cs="Calibri"/>
        </w:rPr>
        <w:t xml:space="preserve"> must be covered through internal </w:t>
      </w:r>
      <w:r>
        <w:rPr>
          <w:rFonts w:ascii="Calibri" w:eastAsia="Calibri" w:hAnsi="Calibri" w:cs="Calibri"/>
        </w:rPr>
        <w:t xml:space="preserve">unit </w:t>
      </w:r>
      <w:r w:rsidRPr="008D1D3D">
        <w:rPr>
          <w:rFonts w:ascii="Calibri" w:eastAsia="Calibri" w:hAnsi="Calibri" w:cs="Calibri"/>
        </w:rPr>
        <w:t>resources.</w:t>
      </w:r>
    </w:p>
    <w:p w14:paraId="09A18F1F" w14:textId="4451B95B" w:rsidR="003F4EF7" w:rsidRPr="00AE6BCB" w:rsidRDefault="003F4EF7" w:rsidP="50007B4D">
      <w:pPr>
        <w:pStyle w:val="ListParagraph"/>
        <w:numPr>
          <w:ilvl w:val="0"/>
          <w:numId w:val="1"/>
        </w:numPr>
        <w:spacing w:before="240" w:after="0" w:line="240" w:lineRule="auto"/>
        <w:jc w:val="both"/>
        <w:textAlignment w:val="baseline"/>
        <w:rPr>
          <w:rFonts w:ascii="Calibri" w:eastAsia="Times New Roman" w:hAnsi="Calibri" w:cs="Calibri"/>
          <w:color w:val="000000"/>
        </w:rPr>
      </w:pPr>
      <w:r w:rsidRPr="50007B4D">
        <w:rPr>
          <w:rFonts w:ascii="Calibri" w:eastAsia="Times New Roman" w:hAnsi="Calibri" w:cs="Calibri"/>
          <w:color w:val="000000" w:themeColor="text1"/>
          <w:lang w:val="en-GB"/>
        </w:rPr>
        <w:t xml:space="preserve">The </w:t>
      </w:r>
      <w:r>
        <w:rPr>
          <w:rFonts w:ascii="Calibri" w:eastAsia="Calibri" w:hAnsi="Calibri" w:cs="Calibri"/>
        </w:rPr>
        <w:t>delivery enabling services</w:t>
      </w:r>
      <w:r w:rsidRPr="003C34AE">
        <w:rPr>
          <w:rFonts w:ascii="Calibri" w:eastAsia="Calibri" w:hAnsi="Calibri" w:cs="Calibri"/>
        </w:rPr>
        <w:t xml:space="preserve"> </w:t>
      </w:r>
      <w:r>
        <w:rPr>
          <w:rFonts w:ascii="Calibri" w:eastAsia="Calibri" w:hAnsi="Calibri" w:cs="Calibri"/>
        </w:rPr>
        <w:t>project</w:t>
      </w:r>
      <w:r w:rsidRPr="50007B4D">
        <w:rPr>
          <w:rFonts w:ascii="Calibri" w:eastAsia="Times New Roman" w:hAnsi="Calibri" w:cs="Calibri"/>
          <w:color w:val="000000" w:themeColor="text1"/>
          <w:lang w:val="en-GB"/>
        </w:rPr>
        <w:t xml:space="preserve"> shall remain active in </w:t>
      </w:r>
      <w:r w:rsidR="0051152F">
        <w:rPr>
          <w:rFonts w:ascii="Calibri" w:eastAsia="Times New Roman" w:hAnsi="Calibri" w:cs="Calibri"/>
          <w:color w:val="000000" w:themeColor="text1"/>
          <w:lang w:val="en-GB"/>
        </w:rPr>
        <w:t>Quantum</w:t>
      </w:r>
      <w:r w:rsidRPr="50007B4D">
        <w:rPr>
          <w:rFonts w:ascii="Calibri" w:eastAsia="Times New Roman" w:hAnsi="Calibri" w:cs="Calibri"/>
          <w:color w:val="000000" w:themeColor="text1"/>
          <w:lang w:val="en-GB"/>
        </w:rPr>
        <w:t xml:space="preserve">, to be used in subsequent years, unless it is no longer needed for pre-financing </w:t>
      </w:r>
      <w:r>
        <w:rPr>
          <w:rFonts w:ascii="Calibri" w:eastAsia="Calibri" w:hAnsi="Calibri" w:cs="Calibri"/>
        </w:rPr>
        <w:t>delivery enabling services</w:t>
      </w:r>
      <w:r w:rsidRPr="50007B4D">
        <w:rPr>
          <w:rFonts w:ascii="Calibri" w:eastAsia="Times New Roman" w:hAnsi="Calibri" w:cs="Calibri"/>
          <w:color w:val="000000" w:themeColor="text1"/>
          <w:lang w:val="en-GB"/>
        </w:rPr>
        <w:t xml:space="preserve"> to other development projects. As the </w:t>
      </w:r>
      <w:r>
        <w:rPr>
          <w:rFonts w:ascii="Calibri" w:eastAsia="Calibri" w:hAnsi="Calibri" w:cs="Calibri"/>
        </w:rPr>
        <w:t>delivery enabling services</w:t>
      </w:r>
      <w:r w:rsidRPr="003C34AE">
        <w:rPr>
          <w:rFonts w:ascii="Calibri" w:eastAsia="Calibri" w:hAnsi="Calibri" w:cs="Calibri"/>
        </w:rPr>
        <w:t xml:space="preserve"> </w:t>
      </w:r>
      <w:r w:rsidRPr="50007B4D">
        <w:rPr>
          <w:rFonts w:ascii="Calibri" w:eastAsia="Times New Roman" w:hAnsi="Calibri" w:cs="Calibri"/>
          <w:color w:val="000000" w:themeColor="text1"/>
          <w:lang w:val="en-GB"/>
        </w:rPr>
        <w:t xml:space="preserve">project expense is offset at year-end, an information audit trail of costs charged to the </w:t>
      </w:r>
      <w:r>
        <w:rPr>
          <w:rFonts w:ascii="Calibri" w:eastAsia="Calibri" w:hAnsi="Calibri" w:cs="Calibri"/>
        </w:rPr>
        <w:t>delivery enabling services</w:t>
      </w:r>
      <w:r w:rsidRPr="003C34AE">
        <w:rPr>
          <w:rFonts w:ascii="Calibri" w:eastAsia="Calibri" w:hAnsi="Calibri" w:cs="Calibri"/>
        </w:rPr>
        <w:t xml:space="preserve"> </w:t>
      </w:r>
      <w:r w:rsidRPr="50007B4D">
        <w:rPr>
          <w:rFonts w:ascii="Calibri" w:eastAsia="Times New Roman" w:hAnsi="Calibri" w:cs="Calibri"/>
          <w:color w:val="000000" w:themeColor="text1"/>
          <w:lang w:val="en-GB"/>
        </w:rPr>
        <w:t>project and costs attributed to the development projects will remain.  </w:t>
      </w:r>
      <w:r w:rsidRPr="50007B4D">
        <w:rPr>
          <w:rFonts w:ascii="Calibri" w:eastAsia="Times New Roman" w:hAnsi="Calibri" w:cs="Calibri"/>
          <w:color w:val="000000" w:themeColor="text1"/>
        </w:rPr>
        <w:t> </w:t>
      </w:r>
    </w:p>
    <w:p w14:paraId="15FC5BDA" w14:textId="77777777" w:rsidR="003F4EF7" w:rsidRPr="00AE6BCB" w:rsidRDefault="003F4EF7" w:rsidP="003F4EF7">
      <w:pPr>
        <w:pStyle w:val="ListParagraph"/>
        <w:numPr>
          <w:ilvl w:val="0"/>
          <w:numId w:val="1"/>
        </w:numPr>
        <w:spacing w:before="240" w:after="0" w:line="240" w:lineRule="auto"/>
        <w:contextualSpacing w:val="0"/>
        <w:jc w:val="both"/>
        <w:textAlignment w:val="baseline"/>
        <w:rPr>
          <w:rFonts w:ascii="Calibri" w:eastAsia="Times New Roman" w:hAnsi="Calibri" w:cs="Calibri"/>
          <w:color w:val="000000"/>
        </w:rPr>
      </w:pPr>
      <w:r w:rsidRPr="00100780">
        <w:rPr>
          <w:rFonts w:ascii="Calibri" w:eastAsia="Times New Roman" w:hAnsi="Calibri" w:cs="Calibri"/>
          <w:color w:val="000000"/>
          <w:lang w:val="en-GB"/>
        </w:rPr>
        <w:t xml:space="preserve">The </w:t>
      </w:r>
      <w:r>
        <w:rPr>
          <w:rFonts w:ascii="Calibri" w:eastAsia="Calibri" w:hAnsi="Calibri" w:cs="Calibri"/>
        </w:rPr>
        <w:t>delivery enabling services</w:t>
      </w:r>
      <w:r w:rsidRPr="003C34AE">
        <w:rPr>
          <w:rFonts w:ascii="Calibri" w:eastAsia="Calibri" w:hAnsi="Calibri" w:cs="Calibri"/>
        </w:rPr>
        <w:t xml:space="preserve"> </w:t>
      </w:r>
      <w:r>
        <w:rPr>
          <w:rFonts w:ascii="Calibri" w:eastAsia="Times New Roman" w:hAnsi="Calibri" w:cs="Calibri"/>
          <w:color w:val="000000"/>
          <w:lang w:val="en-GB"/>
        </w:rPr>
        <w:t xml:space="preserve">project </w:t>
      </w:r>
      <w:r w:rsidRPr="00100780">
        <w:rPr>
          <w:rFonts w:ascii="Calibri" w:eastAsia="Times New Roman" w:hAnsi="Calibri" w:cs="Calibri"/>
          <w:color w:val="000000"/>
          <w:lang w:val="en-GB"/>
        </w:rPr>
        <w:t xml:space="preserve">shall be subject to review for compliance with the </w:t>
      </w:r>
      <w:r>
        <w:rPr>
          <w:rFonts w:ascii="Calibri" w:eastAsia="Calibri" w:hAnsi="Calibri" w:cs="Calibri"/>
        </w:rPr>
        <w:t>full costing and budgeting</w:t>
      </w:r>
      <w:r w:rsidRPr="003C34AE">
        <w:rPr>
          <w:rFonts w:ascii="Calibri" w:eastAsia="Calibri" w:hAnsi="Calibri" w:cs="Calibri"/>
        </w:rPr>
        <w:t xml:space="preserve"> </w:t>
      </w:r>
      <w:r>
        <w:rPr>
          <w:rFonts w:ascii="Calibri" w:eastAsia="Times New Roman" w:hAnsi="Calibri" w:cs="Calibri"/>
          <w:color w:val="000000"/>
          <w:lang w:val="en-GB"/>
        </w:rPr>
        <w:t>p</w:t>
      </w:r>
      <w:r w:rsidRPr="00100780">
        <w:rPr>
          <w:rFonts w:ascii="Calibri" w:eastAsia="Times New Roman" w:hAnsi="Calibri" w:cs="Calibri"/>
          <w:color w:val="000000"/>
          <w:lang w:val="en-GB"/>
        </w:rPr>
        <w:t>olicy during audits by the Office of Audit and Investigations</w:t>
      </w:r>
      <w:r>
        <w:rPr>
          <w:rFonts w:ascii="Calibri" w:eastAsia="Times New Roman" w:hAnsi="Calibri" w:cs="Calibri"/>
          <w:color w:val="000000"/>
          <w:lang w:val="en-GB"/>
        </w:rPr>
        <w:t xml:space="preserve"> or</w:t>
      </w:r>
      <w:r w:rsidRPr="00100780">
        <w:rPr>
          <w:rFonts w:ascii="Calibri" w:eastAsia="Times New Roman" w:hAnsi="Calibri" w:cs="Calibri"/>
          <w:color w:val="000000"/>
          <w:lang w:val="en-GB"/>
        </w:rPr>
        <w:t xml:space="preserve"> UNBOA.  </w:t>
      </w:r>
      <w:r w:rsidRPr="00100780">
        <w:rPr>
          <w:rFonts w:ascii="Calibri" w:eastAsia="Times New Roman" w:hAnsi="Calibri" w:cs="Calibri"/>
          <w:color w:val="000000"/>
        </w:rPr>
        <w:t> </w:t>
      </w:r>
    </w:p>
    <w:p w14:paraId="7B7D80D7" w14:textId="4148F955" w:rsidR="00C63770" w:rsidRPr="003F4EF7" w:rsidRDefault="003F4EF7" w:rsidP="003F4EF7">
      <w:pPr>
        <w:pStyle w:val="ListParagraph"/>
        <w:numPr>
          <w:ilvl w:val="0"/>
          <w:numId w:val="1"/>
        </w:numPr>
        <w:spacing w:before="240" w:after="0" w:line="240" w:lineRule="auto"/>
        <w:contextualSpacing w:val="0"/>
        <w:jc w:val="both"/>
        <w:textAlignment w:val="baseline"/>
        <w:rPr>
          <w:rFonts w:ascii="Calibri" w:eastAsia="Times New Roman" w:hAnsi="Calibri" w:cs="Calibri"/>
          <w:color w:val="000000"/>
        </w:rPr>
      </w:pPr>
      <w:r>
        <w:rPr>
          <w:rFonts w:ascii="Calibri" w:eastAsia="Times New Roman" w:hAnsi="Calibri" w:cs="Calibri"/>
          <w:color w:val="000000"/>
          <w:lang w:val="en-GB"/>
        </w:rPr>
        <w:t>O</w:t>
      </w:r>
      <w:r w:rsidRPr="00BF02C5">
        <w:rPr>
          <w:rFonts w:ascii="Calibri" w:eastAsia="Times New Roman" w:hAnsi="Calibri" w:cs="Calibri"/>
          <w:color w:val="000000"/>
          <w:lang w:val="en-GB"/>
        </w:rPr>
        <w:t>ffices should submit certifications as part of the year-end closing process</w:t>
      </w:r>
      <w:r>
        <w:rPr>
          <w:rFonts w:ascii="Calibri" w:eastAsia="Times New Roman" w:hAnsi="Calibri" w:cs="Calibri"/>
          <w:color w:val="000000"/>
          <w:lang w:val="en-GB"/>
        </w:rPr>
        <w:t>,</w:t>
      </w:r>
      <w:r w:rsidRPr="00BF02C5">
        <w:rPr>
          <w:rFonts w:ascii="Calibri" w:eastAsia="Times New Roman" w:hAnsi="Calibri" w:cs="Calibri"/>
          <w:color w:val="000000"/>
          <w:lang w:val="en-GB"/>
        </w:rPr>
        <w:t xml:space="preserve"> confirming and justifying any balances in the delivery enabling services project. </w:t>
      </w:r>
      <w:r w:rsidRPr="00BF02C5">
        <w:rPr>
          <w:rFonts w:ascii="Calibri" w:eastAsia="Times New Roman" w:hAnsi="Calibri" w:cs="Calibri"/>
          <w:color w:val="000000"/>
        </w:rPr>
        <w:t> </w:t>
      </w:r>
    </w:p>
    <w:sectPr w:rsidR="00C63770" w:rsidRPr="003F4EF7" w:rsidSect="00360C33">
      <w:headerReference w:type="default" r:id="rId10"/>
      <w:foot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F33B" w14:textId="77777777" w:rsidR="00C171CD" w:rsidRDefault="00C171CD" w:rsidP="00406BAE">
      <w:pPr>
        <w:spacing w:after="0" w:line="240" w:lineRule="auto"/>
      </w:pPr>
      <w:r>
        <w:separator/>
      </w:r>
    </w:p>
  </w:endnote>
  <w:endnote w:type="continuationSeparator" w:id="0">
    <w:p w14:paraId="46FB3372" w14:textId="77777777" w:rsidR="00C171CD" w:rsidRDefault="00C171CD" w:rsidP="00406BAE">
      <w:pPr>
        <w:spacing w:after="0" w:line="240" w:lineRule="auto"/>
      </w:pPr>
      <w:r>
        <w:continuationSeparator/>
      </w:r>
    </w:p>
  </w:endnote>
  <w:endnote w:type="continuationNotice" w:id="1">
    <w:p w14:paraId="247D5FD6" w14:textId="77777777" w:rsidR="00C171CD" w:rsidRDefault="00C17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007B4D" w14:paraId="3DCBC3FC" w14:textId="77777777" w:rsidTr="00D44458">
      <w:tc>
        <w:tcPr>
          <w:tcW w:w="3120" w:type="dxa"/>
        </w:tcPr>
        <w:p w14:paraId="41E9C14A" w14:textId="39E0EF8C" w:rsidR="50007B4D" w:rsidRDefault="50007B4D" w:rsidP="00D44458">
          <w:pPr>
            <w:pStyle w:val="Header"/>
            <w:ind w:left="-115"/>
          </w:pPr>
        </w:p>
      </w:tc>
      <w:tc>
        <w:tcPr>
          <w:tcW w:w="3120" w:type="dxa"/>
        </w:tcPr>
        <w:p w14:paraId="5E2EB809" w14:textId="7488D692" w:rsidR="50007B4D" w:rsidRDefault="50007B4D" w:rsidP="00D44458">
          <w:pPr>
            <w:pStyle w:val="Header"/>
            <w:jc w:val="center"/>
          </w:pPr>
        </w:p>
      </w:tc>
      <w:tc>
        <w:tcPr>
          <w:tcW w:w="3120" w:type="dxa"/>
        </w:tcPr>
        <w:p w14:paraId="6E20FEA4" w14:textId="3EC67983" w:rsidR="50007B4D" w:rsidRDefault="50007B4D" w:rsidP="00D44458">
          <w:pPr>
            <w:pStyle w:val="Header"/>
            <w:ind w:right="-115"/>
            <w:jc w:val="right"/>
          </w:pPr>
        </w:p>
      </w:tc>
    </w:tr>
  </w:tbl>
  <w:p w14:paraId="37030E91" w14:textId="4F994972" w:rsidR="00406BAE" w:rsidRDefault="0040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9486" w14:textId="77777777" w:rsidR="00C171CD" w:rsidRDefault="00C171CD" w:rsidP="00406BAE">
      <w:pPr>
        <w:spacing w:after="0" w:line="240" w:lineRule="auto"/>
      </w:pPr>
      <w:r>
        <w:separator/>
      </w:r>
    </w:p>
  </w:footnote>
  <w:footnote w:type="continuationSeparator" w:id="0">
    <w:p w14:paraId="4BED2DC1" w14:textId="77777777" w:rsidR="00C171CD" w:rsidRDefault="00C171CD" w:rsidP="00406BAE">
      <w:pPr>
        <w:spacing w:after="0" w:line="240" w:lineRule="auto"/>
      </w:pPr>
      <w:r>
        <w:continuationSeparator/>
      </w:r>
    </w:p>
  </w:footnote>
  <w:footnote w:type="continuationNotice" w:id="1">
    <w:p w14:paraId="78A575F2" w14:textId="77777777" w:rsidR="00C171CD" w:rsidRDefault="00C17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007B4D" w14:paraId="5CB19349" w14:textId="77777777" w:rsidTr="00D44458">
      <w:tc>
        <w:tcPr>
          <w:tcW w:w="3120" w:type="dxa"/>
        </w:tcPr>
        <w:p w14:paraId="155D533D" w14:textId="72549F77" w:rsidR="50007B4D" w:rsidRDefault="50007B4D" w:rsidP="00D44458">
          <w:pPr>
            <w:pStyle w:val="Header"/>
            <w:ind w:left="-115"/>
          </w:pPr>
        </w:p>
      </w:tc>
      <w:tc>
        <w:tcPr>
          <w:tcW w:w="3120" w:type="dxa"/>
        </w:tcPr>
        <w:p w14:paraId="7355F015" w14:textId="5F86284E" w:rsidR="50007B4D" w:rsidRDefault="50007B4D" w:rsidP="00D44458">
          <w:pPr>
            <w:pStyle w:val="Header"/>
            <w:jc w:val="center"/>
          </w:pPr>
        </w:p>
      </w:tc>
      <w:tc>
        <w:tcPr>
          <w:tcW w:w="3120" w:type="dxa"/>
        </w:tcPr>
        <w:p w14:paraId="470DA88B" w14:textId="563E5398" w:rsidR="50007B4D" w:rsidRDefault="50007B4D" w:rsidP="00D44458">
          <w:pPr>
            <w:pStyle w:val="Header"/>
            <w:ind w:right="-115"/>
            <w:jc w:val="right"/>
          </w:pPr>
        </w:p>
      </w:tc>
    </w:tr>
  </w:tbl>
  <w:p w14:paraId="514CD395" w14:textId="18E5F40A" w:rsidR="00406BAE" w:rsidRDefault="0040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90947"/>
    <w:multiLevelType w:val="hybridMultilevel"/>
    <w:tmpl w:val="943E9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E02D8"/>
    <w:multiLevelType w:val="hybridMultilevel"/>
    <w:tmpl w:val="9908422E"/>
    <w:lvl w:ilvl="0" w:tplc="2BB40CBE">
      <w:start w:val="1"/>
      <w:numFmt w:val="lowerLetter"/>
      <w:lvlText w:val="%1."/>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2113132">
    <w:abstractNumId w:val="0"/>
  </w:num>
  <w:num w:numId="2" w16cid:durableId="1508203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F7"/>
    <w:rsid w:val="001850E4"/>
    <w:rsid w:val="00224582"/>
    <w:rsid w:val="0029465A"/>
    <w:rsid w:val="002F282F"/>
    <w:rsid w:val="0031148F"/>
    <w:rsid w:val="00324288"/>
    <w:rsid w:val="00366A1D"/>
    <w:rsid w:val="00373694"/>
    <w:rsid w:val="00395307"/>
    <w:rsid w:val="003F4EF7"/>
    <w:rsid w:val="00406BAE"/>
    <w:rsid w:val="004F39D7"/>
    <w:rsid w:val="0051152F"/>
    <w:rsid w:val="0055605B"/>
    <w:rsid w:val="00605913"/>
    <w:rsid w:val="006B052C"/>
    <w:rsid w:val="007D59B4"/>
    <w:rsid w:val="00933643"/>
    <w:rsid w:val="00A85C7B"/>
    <w:rsid w:val="00B7063B"/>
    <w:rsid w:val="00C171CD"/>
    <w:rsid w:val="00C63770"/>
    <w:rsid w:val="00CC79EF"/>
    <w:rsid w:val="00CD3DDD"/>
    <w:rsid w:val="00CE3323"/>
    <w:rsid w:val="00D44458"/>
    <w:rsid w:val="00DF6203"/>
    <w:rsid w:val="1B2E0F69"/>
    <w:rsid w:val="32B61F89"/>
    <w:rsid w:val="4B52B35A"/>
    <w:rsid w:val="4DE41C7E"/>
    <w:rsid w:val="50007B4D"/>
    <w:rsid w:val="62C9AED0"/>
    <w:rsid w:val="684D1AE7"/>
    <w:rsid w:val="70CADDB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9F7C"/>
  <w15:chartTrackingRefBased/>
  <w15:docId w15:val="{D9029641-31CE-4A4D-A1F3-9FB868CE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EF7"/>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autoRedefine/>
    <w:uiPriority w:val="9"/>
    <w:qFormat/>
    <w:rsid w:val="00D44458"/>
    <w:pPr>
      <w:keepNext/>
      <w:keepLines/>
      <w:widowControl w:val="0"/>
      <w:pBdr>
        <w:bottom w:val="single" w:sz="4" w:space="1" w:color="auto"/>
      </w:pBdr>
      <w:overflowPunct w:val="0"/>
      <w:adjustRightInd w:val="0"/>
      <w:spacing w:before="360" w:after="100" w:afterAutospacing="1" w:line="240" w:lineRule="auto"/>
      <w:ind w:left="360" w:hanging="360"/>
      <w:jc w:val="center"/>
      <w:outlineLvl w:val="0"/>
    </w:pPr>
    <w:rPr>
      <w:rFonts w:ascii="Segoe UI" w:eastAsia="Times New Roman" w:hAnsi="Segoe UI" w:cs="Segoe UI"/>
      <w:b/>
      <w:bCs/>
      <w:caps/>
      <w:noProof/>
      <w:color w:val="0070C0"/>
      <w:spacing w:val="32"/>
      <w:kern w:val="32"/>
      <w:sz w:val="32"/>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458"/>
    <w:rPr>
      <w:rFonts w:ascii="Segoe UI" w:eastAsia="Times New Roman" w:hAnsi="Segoe UI" w:cs="Segoe UI"/>
      <w:b/>
      <w:bCs/>
      <w:caps/>
      <w:noProof/>
      <w:color w:val="0070C0"/>
      <w:spacing w:val="32"/>
      <w:kern w:val="32"/>
      <w:sz w:val="32"/>
      <w:szCs w:val="28"/>
      <w:lang w:val="en-GB"/>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3F4EF7"/>
    <w:pPr>
      <w:ind w:left="720"/>
      <w:contextualSpacing/>
    </w:p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3F4EF7"/>
    <w:rPr>
      <w:rFonts w:asciiTheme="minorHAnsi" w:hAnsiTheme="minorHAnsi" w:cstheme="minorBidi"/>
      <w:sz w:val="22"/>
      <w:szCs w:val="22"/>
    </w:rPr>
  </w:style>
  <w:style w:type="paragraph" w:styleId="Header">
    <w:name w:val="header"/>
    <w:basedOn w:val="Normal"/>
    <w:link w:val="HeaderChar"/>
    <w:uiPriority w:val="99"/>
    <w:unhideWhenUsed/>
    <w:rsid w:val="00406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BAE"/>
    <w:rPr>
      <w:rFonts w:asciiTheme="minorHAnsi" w:hAnsiTheme="minorHAnsi" w:cstheme="minorBidi"/>
      <w:sz w:val="22"/>
      <w:szCs w:val="22"/>
    </w:rPr>
  </w:style>
  <w:style w:type="paragraph" w:styleId="Footer">
    <w:name w:val="footer"/>
    <w:basedOn w:val="Normal"/>
    <w:link w:val="FooterChar"/>
    <w:uiPriority w:val="99"/>
    <w:unhideWhenUsed/>
    <w:rsid w:val="00406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BAE"/>
    <w:rPr>
      <w:rFonts w:asciiTheme="minorHAnsi" w:hAnsiTheme="minorHAnsi" w:cstheme="minorBidi"/>
      <w:sz w:val="22"/>
      <w:szCs w:val="22"/>
    </w:rPr>
  </w:style>
  <w:style w:type="table" w:styleId="TableGrid">
    <w:name w:val="Table Grid"/>
    <w:basedOn w:val="TableNormal"/>
    <w:uiPriority w:val="59"/>
    <w:rsid w:val="00406B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24582"/>
    <w:rPr>
      <w:sz w:val="16"/>
      <w:szCs w:val="16"/>
    </w:rPr>
  </w:style>
  <w:style w:type="paragraph" w:styleId="CommentText">
    <w:name w:val="annotation text"/>
    <w:basedOn w:val="Normal"/>
    <w:link w:val="CommentTextChar"/>
    <w:uiPriority w:val="99"/>
    <w:semiHidden/>
    <w:unhideWhenUsed/>
    <w:rsid w:val="00224582"/>
    <w:pPr>
      <w:spacing w:line="240" w:lineRule="auto"/>
    </w:pPr>
    <w:rPr>
      <w:sz w:val="20"/>
      <w:szCs w:val="20"/>
    </w:rPr>
  </w:style>
  <w:style w:type="character" w:customStyle="1" w:styleId="CommentTextChar">
    <w:name w:val="Comment Text Char"/>
    <w:basedOn w:val="DefaultParagraphFont"/>
    <w:link w:val="CommentText"/>
    <w:uiPriority w:val="99"/>
    <w:semiHidden/>
    <w:rsid w:val="00224582"/>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24582"/>
    <w:rPr>
      <w:b/>
      <w:bCs/>
    </w:rPr>
  </w:style>
  <w:style w:type="character" w:customStyle="1" w:styleId="CommentSubjectChar">
    <w:name w:val="Comment Subject Char"/>
    <w:basedOn w:val="CommentTextChar"/>
    <w:link w:val="CommentSubject"/>
    <w:uiPriority w:val="99"/>
    <w:semiHidden/>
    <w:rsid w:val="00224582"/>
    <w:rPr>
      <w:rFonts w:asciiTheme="minorHAnsi" w:hAnsiTheme="minorHAnsi" w:cstheme="minorBidi"/>
      <w:b/>
      <w:bCs/>
      <w:sz w:val="20"/>
      <w:szCs w:val="20"/>
    </w:rPr>
  </w:style>
  <w:style w:type="paragraph" w:styleId="Revision">
    <w:name w:val="Revision"/>
    <w:hidden/>
    <w:uiPriority w:val="99"/>
    <w:semiHidden/>
    <w:rsid w:val="0029465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 xsi:nil="true"/>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Annex 1: Managing a Delivery Enabling Services Project for Pre-Positioning Capabilities Until Information on Projects to be Charged Becomes Available</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09/01/2023                                                Version #: {POPPRefItemVersion}</DLCPolicyLabelValue>
    <UNDP_POPP_EFFECTIVEDATE xmlns="8264c5cc-ec60-4b56-8111-ce635d3d139a">2023-01-08T23:00:00+00:00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POPP-11-3553</_dlc_DocId>
    <_dlc_DocIdUrl xmlns="8264c5cc-ec60-4b56-8111-ce635d3d139a">
      <Url>https://popp.undp.org/_layouts/15/DocIdRedir.aspx?ID=POPP-11-3553</Url>
      <Description>POPP-11-3553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0EA44A6-B6A2-4969-BC11-7549F5C27A30}"/>
</file>

<file path=customXml/itemProps2.xml><?xml version="1.0" encoding="utf-8"?>
<ds:datastoreItem xmlns:ds="http://schemas.openxmlformats.org/officeDocument/2006/customXml" ds:itemID="{54652068-B076-4D40-9F61-9E399331A1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93E325-04D8-44FF-BA7F-F775344E1FB1}">
  <ds:schemaRefs>
    <ds:schemaRef ds:uri="http://schemas.microsoft.com/sharepoint/v3/contenttype/forms"/>
  </ds:schemaRefs>
</ds:datastoreItem>
</file>

<file path=customXml/itemProps4.xml><?xml version="1.0" encoding="utf-8"?>
<ds:datastoreItem xmlns:ds="http://schemas.openxmlformats.org/officeDocument/2006/customXml" ds:itemID="{EFFA445F-B392-486D-BC16-982F435E9135}"/>
</file>

<file path=customXml/itemProps5.xml><?xml version="1.0" encoding="utf-8"?>
<ds:datastoreItem xmlns:ds="http://schemas.openxmlformats.org/officeDocument/2006/customXml" ds:itemID="{2C21218B-28EF-44F2-A743-31E2C58A5499}"/>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Gagne</dc:creator>
  <cp:keywords/>
  <dc:description/>
  <cp:lastModifiedBy>Pablo Morete</cp:lastModifiedBy>
  <cp:revision>3</cp:revision>
  <dcterms:created xsi:type="dcterms:W3CDTF">2023-01-09T14:15:00Z</dcterms:created>
  <dcterms:modified xsi:type="dcterms:W3CDTF">2023-01-09T14:25:00Z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1a951f51-2945-4a42-b522-b03b950febc5</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UNDP_POPP_BUSINESSPROCESS_HIDDEN">
    <vt:lpwstr/>
  </property>
  <property fmtid="{D5CDD505-2E9C-101B-9397-08002B2CF9AE}" pid="14" name="TaxCatchAll">
    <vt:lpwstr>350;#Financial Resources Management|682d4c54-a288-412d-bfec-ce5587bbd25c</vt:lpwstr>
  </property>
  <property fmtid="{D5CDD505-2E9C-101B-9397-08002B2CF9AE}" pid="19" name="l0e6ef0c43e74560bd7f3acd1f5e8571">
    <vt:lpwstr>Financial Resources Management|682d4c54-a288-412d-bfec-ce5587bbd25c</vt:lpwstr>
  </property>
  <property fmtid="{D5CDD505-2E9C-101B-9397-08002B2CF9AE}" pid="20" name="DLCPolicyLabelValue">
    <vt:lpwstr>Effective Date: {Effective Date}                                                Version #: {POPPRefItemVersion}</vt:lpwstr>
  </property>
</Properties>
</file>