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02BE6" w14:textId="373FEC63" w:rsidR="00A80C0D" w:rsidRPr="002615E7" w:rsidRDefault="00263DD3">
      <w:pPr>
        <w:spacing w:after="260"/>
        <w:rPr>
          <w:color w:val="auto"/>
        </w:rPr>
      </w:pPr>
      <w:r>
        <w:rPr>
          <w:b/>
          <w:color w:val="auto"/>
          <w:sz w:val="28"/>
        </w:rPr>
        <w:t xml:space="preserve">Gestión de Fondos Mancomunados  </w:t>
      </w:r>
    </w:p>
    <w:p w14:paraId="75902BE7" w14:textId="6A470B6A" w:rsidR="00A80C0D" w:rsidRPr="002B3156" w:rsidRDefault="00263DD3" w:rsidP="008078DC">
      <w:pPr>
        <w:numPr>
          <w:ilvl w:val="0"/>
          <w:numId w:val="1"/>
        </w:numPr>
        <w:spacing w:after="43" w:line="240" w:lineRule="auto"/>
        <w:ind w:right="456" w:hanging="360"/>
      </w:pPr>
      <w:r>
        <w:rPr>
          <w:color w:val="auto"/>
        </w:rPr>
        <w:t xml:space="preserve">En la Gestión de Fondos Mancomunados, las organizaciones participantes de la ONU juntan sus fondos en una organización de la ONU, llamada </w:t>
      </w:r>
      <w:r>
        <w:rPr>
          <w:b/>
          <w:color w:val="auto"/>
        </w:rPr>
        <w:t>el Agente Gestor (MA)</w:t>
      </w:r>
      <w:r>
        <w:rPr>
          <w:color w:val="auto"/>
        </w:rPr>
        <w:t xml:space="preserve">, elegido conjuntamente por las organizaciones participantes de la ONU en colaboración con el asociado (sub)nacional. El MA apoyará al asociado (sub)nacional en la gestión del programa. Esta opción puede ser el enfoque más efectivo y eficiente cuando las organizaciones participantes de la ONU trabajan en pos de resultados comunes con un asociado nacional o subnacional común (p. ej., Departamento, oficina provincial, ONG) y/o en un área geográfica común. </w:t>
      </w:r>
      <w:r>
        <w:t xml:space="preserve">Para la participación con ONG bajo Fondos Mancomunados de Países Concretos para el apoyo humanitario y de desarrollo, consultar las </w:t>
      </w:r>
      <w:hyperlink r:id="rId12" w:history="1">
        <w:r w:rsidRPr="002D72CA">
          <w:rPr>
            <w:rStyle w:val="Hyperlink"/>
          </w:rPr>
          <w:t>Directrices del PNUD para la Participación con ONG bajo Fondos Mancomunados de Países Concretos (2016).</w:t>
        </w:r>
      </w:hyperlink>
    </w:p>
    <w:p w14:paraId="16B192F2" w14:textId="4854AA21" w:rsidR="002B3156" w:rsidRPr="00D60BC7" w:rsidRDefault="002B3156" w:rsidP="002B3156">
      <w:pPr>
        <w:spacing w:after="43" w:line="240" w:lineRule="auto"/>
        <w:ind w:left="720" w:right="456"/>
      </w:pPr>
    </w:p>
    <w:p w14:paraId="75902BE8" w14:textId="4D41BB56" w:rsidR="00A80C0D" w:rsidRPr="00D60BC7" w:rsidRDefault="00263DD3">
      <w:pPr>
        <w:numPr>
          <w:ilvl w:val="0"/>
          <w:numId w:val="1"/>
        </w:numPr>
        <w:spacing w:after="43" w:line="258" w:lineRule="auto"/>
        <w:ind w:right="456" w:hanging="360"/>
      </w:pPr>
      <w:r>
        <w:t xml:space="preserve">Se encuentran disponibles detalles adicionales en la </w:t>
      </w:r>
      <w:hyperlink r:id="rId13" w:history="1">
        <w:r w:rsidRPr="002D72CA">
          <w:rPr>
            <w:rStyle w:val="Hyperlink"/>
            <w:u w:color="0563C1"/>
          </w:rPr>
          <w:t>Nota Orientativa del Grupo de las Naciones Unidas para el Desarrollo (GNUD</w:t>
        </w:r>
        <w:r w:rsidR="006634DE">
          <w:rPr>
            <w:rStyle w:val="Hyperlink"/>
            <w:u w:color="0563C1"/>
          </w:rPr>
          <w:t>D</w:t>
        </w:r>
        <w:r w:rsidRPr="002D72CA">
          <w:rPr>
            <w:rStyle w:val="Hyperlink"/>
            <w:u w:color="0563C1"/>
          </w:rPr>
          <w:t>) sobre Modalidades de Financiación de Programas Conjuntos</w:t>
        </w:r>
      </w:hyperlink>
      <w:r w:rsidR="006634DE">
        <w:rPr>
          <w:rStyle w:val="Hyperlink"/>
          <w:u w:color="0563C1"/>
        </w:rPr>
        <w:t xml:space="preserve"> (Octubre 2022)</w:t>
      </w:r>
      <w:r>
        <w:rPr>
          <w:color w:val="0563C1"/>
          <w:u w:val="single" w:color="0563C1"/>
        </w:rPr>
        <w:t>.</w:t>
      </w:r>
      <w:r>
        <w:rPr>
          <w:color w:val="0072BC"/>
        </w:rPr>
        <w:t xml:space="preserve">  </w:t>
      </w:r>
    </w:p>
    <w:p w14:paraId="66C7CA53" w14:textId="0459DC66" w:rsidR="002B3156" w:rsidRPr="002B3156" w:rsidRDefault="002B3156" w:rsidP="002B3156">
      <w:pPr>
        <w:spacing w:after="0" w:line="251" w:lineRule="auto"/>
        <w:ind w:left="720" w:right="456"/>
      </w:pPr>
    </w:p>
    <w:p w14:paraId="75902BE9" w14:textId="4152D9A3" w:rsidR="00A80C0D" w:rsidRPr="00D60BC7" w:rsidRDefault="00263DD3">
      <w:pPr>
        <w:numPr>
          <w:ilvl w:val="0"/>
          <w:numId w:val="1"/>
        </w:numPr>
        <w:spacing w:after="0" w:line="251" w:lineRule="auto"/>
        <w:ind w:right="456" w:hanging="360"/>
      </w:pPr>
      <w:r>
        <w:t xml:space="preserve">Para ver el papel de los Mecanismos de Financiación Mancomunados para entregar la Agenda 2030 para el Desarrollo Sostenible, véase el </w:t>
      </w:r>
      <w:hyperlink r:id="rId14" w:history="1">
        <w:r w:rsidRPr="00FB6164">
          <w:rPr>
            <w:rStyle w:val="Hyperlink"/>
            <w:u w:color="0563C1"/>
          </w:rPr>
          <w:t>Documento del GNUD sobre Financiación Mancomunada para la Agenda 2030.</w:t>
        </w:r>
      </w:hyperlink>
      <w:r>
        <w:rPr>
          <w:color w:val="333333"/>
        </w:rPr>
        <w:t xml:space="preserve"> </w:t>
      </w:r>
    </w:p>
    <w:p w14:paraId="3485F141" w14:textId="46BC6020" w:rsidR="00263DD3" w:rsidRPr="002B3156" w:rsidRDefault="001C3DE6" w:rsidP="002B3156">
      <w:pPr>
        <w:spacing w:after="173"/>
        <w:jc w:val="right"/>
      </w:pPr>
      <w:r>
        <w:rPr>
          <w:noProof/>
          <w:lang w:val="en-US" w:eastAsia="en-US" w:bidi="ar-SA"/>
        </w:rPr>
        <w:drawing>
          <wp:anchor distT="0" distB="0" distL="114300" distR="114300" simplePos="0" relativeHeight="251658240" behindDoc="0" locked="0" layoutInCell="1" allowOverlap="1" wp14:anchorId="06704157" wp14:editId="4D5280F6">
            <wp:simplePos x="0" y="0"/>
            <wp:positionH relativeFrom="column">
              <wp:posOffset>315122</wp:posOffset>
            </wp:positionH>
            <wp:positionV relativeFrom="paragraph">
              <wp:posOffset>133350</wp:posOffset>
            </wp:positionV>
            <wp:extent cx="5902839" cy="4019107"/>
            <wp:effectExtent l="0" t="0" r="3175" b="635"/>
            <wp:wrapNone/>
            <wp:docPr id="190" name="Pictu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15">
                      <a:extLst>
                        <a:ext uri="{28A0092B-C50C-407E-A947-70E740481C1C}">
                          <a14:useLocalDpi xmlns:a14="http://schemas.microsoft.com/office/drawing/2010/main" val="0"/>
                        </a:ext>
                      </a:extLst>
                    </a:blip>
                    <a:stretch>
                      <a:fillRect/>
                    </a:stretch>
                  </pic:blipFill>
                  <pic:spPr>
                    <a:xfrm>
                      <a:off x="0" y="0"/>
                      <a:ext cx="5902839" cy="4019107"/>
                    </a:xfrm>
                    <a:prstGeom prst="rect">
                      <a:avLst/>
                    </a:prstGeom>
                  </pic:spPr>
                </pic:pic>
              </a:graphicData>
            </a:graphic>
            <wp14:sizeRelH relativeFrom="margin">
              <wp14:pctWidth>0</wp14:pctWidth>
            </wp14:sizeRelH>
            <wp14:sizeRelV relativeFrom="margin">
              <wp14:pctHeight>0</wp14:pctHeight>
            </wp14:sizeRelV>
          </wp:anchor>
        </w:drawing>
      </w:r>
    </w:p>
    <w:p w14:paraId="6E492750" w14:textId="77777777" w:rsidR="001C3DE6" w:rsidRDefault="001C3DE6">
      <w:pPr>
        <w:spacing w:after="201"/>
        <w:rPr>
          <w:b/>
          <w:color w:val="auto"/>
        </w:rPr>
      </w:pPr>
    </w:p>
    <w:p w14:paraId="0776098C" w14:textId="77777777" w:rsidR="001C3DE6" w:rsidRDefault="001C3DE6">
      <w:pPr>
        <w:spacing w:after="201"/>
        <w:rPr>
          <w:b/>
          <w:color w:val="auto"/>
        </w:rPr>
      </w:pPr>
    </w:p>
    <w:p w14:paraId="5658FF79" w14:textId="77777777" w:rsidR="001C3DE6" w:rsidRDefault="001C3DE6">
      <w:pPr>
        <w:spacing w:after="201"/>
        <w:rPr>
          <w:b/>
          <w:color w:val="auto"/>
        </w:rPr>
      </w:pPr>
    </w:p>
    <w:p w14:paraId="2F4DA6F7" w14:textId="77777777" w:rsidR="001C3DE6" w:rsidRDefault="001C3DE6">
      <w:pPr>
        <w:spacing w:after="201"/>
        <w:rPr>
          <w:b/>
          <w:color w:val="auto"/>
        </w:rPr>
      </w:pPr>
    </w:p>
    <w:p w14:paraId="510B1BAF" w14:textId="77777777" w:rsidR="001C3DE6" w:rsidRDefault="001C3DE6">
      <w:pPr>
        <w:spacing w:after="201"/>
        <w:rPr>
          <w:b/>
          <w:color w:val="auto"/>
        </w:rPr>
      </w:pPr>
    </w:p>
    <w:p w14:paraId="3231ED21" w14:textId="77777777" w:rsidR="001C3DE6" w:rsidRDefault="001C3DE6">
      <w:pPr>
        <w:spacing w:after="201"/>
        <w:rPr>
          <w:b/>
          <w:color w:val="auto"/>
        </w:rPr>
      </w:pPr>
    </w:p>
    <w:p w14:paraId="4062DBB0" w14:textId="77777777" w:rsidR="001C3DE6" w:rsidRDefault="001C3DE6">
      <w:pPr>
        <w:spacing w:after="201"/>
        <w:rPr>
          <w:b/>
          <w:color w:val="auto"/>
        </w:rPr>
      </w:pPr>
    </w:p>
    <w:p w14:paraId="2B92BA77" w14:textId="77777777" w:rsidR="001C3DE6" w:rsidRDefault="001C3DE6">
      <w:pPr>
        <w:spacing w:after="201"/>
        <w:rPr>
          <w:b/>
          <w:color w:val="auto"/>
        </w:rPr>
      </w:pPr>
    </w:p>
    <w:p w14:paraId="370844AB" w14:textId="77777777" w:rsidR="001C3DE6" w:rsidRDefault="001C3DE6">
      <w:pPr>
        <w:spacing w:after="201"/>
        <w:rPr>
          <w:b/>
          <w:color w:val="auto"/>
        </w:rPr>
      </w:pPr>
    </w:p>
    <w:p w14:paraId="533F1B01" w14:textId="77777777" w:rsidR="001C3DE6" w:rsidRDefault="001C3DE6">
      <w:pPr>
        <w:spacing w:after="201"/>
        <w:rPr>
          <w:b/>
          <w:color w:val="auto"/>
        </w:rPr>
      </w:pPr>
    </w:p>
    <w:p w14:paraId="36FBC8C2" w14:textId="77777777" w:rsidR="001C3DE6" w:rsidRDefault="001C3DE6">
      <w:pPr>
        <w:spacing w:after="201"/>
        <w:rPr>
          <w:b/>
          <w:color w:val="auto"/>
        </w:rPr>
      </w:pPr>
    </w:p>
    <w:p w14:paraId="74519AAE" w14:textId="77777777" w:rsidR="001C3DE6" w:rsidRDefault="001C3DE6">
      <w:pPr>
        <w:spacing w:after="201"/>
        <w:rPr>
          <w:b/>
          <w:color w:val="auto"/>
        </w:rPr>
      </w:pPr>
    </w:p>
    <w:p w14:paraId="75902BEE" w14:textId="77777777" w:rsidR="00A80C0D" w:rsidRPr="002615E7" w:rsidRDefault="00263DD3">
      <w:pPr>
        <w:spacing w:after="201"/>
        <w:rPr>
          <w:color w:val="auto"/>
        </w:rPr>
      </w:pPr>
      <w:r>
        <w:rPr>
          <w:b/>
          <w:color w:val="auto"/>
        </w:rPr>
        <w:t xml:space="preserve">Rendición de Cuentas  </w:t>
      </w:r>
    </w:p>
    <w:p w14:paraId="75902BEF" w14:textId="7AF0441D" w:rsidR="00A80C0D" w:rsidRDefault="00263DD3">
      <w:pPr>
        <w:numPr>
          <w:ilvl w:val="0"/>
          <w:numId w:val="1"/>
        </w:numPr>
        <w:spacing w:after="0" w:line="251" w:lineRule="auto"/>
        <w:ind w:right="456" w:hanging="360"/>
        <w:rPr>
          <w:color w:val="auto"/>
        </w:rPr>
      </w:pPr>
      <w:r>
        <w:rPr>
          <w:color w:val="auto"/>
        </w:rPr>
        <w:lastRenderedPageBreak/>
        <w:t xml:space="preserve">La completa rendición de cuentas financiera y de programas recae sobre el Agente Gestor (MA). Cuando el PNUD es el MA, rige su rendición de cuentas estándar para sus recursos de programas (según lo establecido en las Políticas y los Procedimientos para Presupuesto y Finanzas, y Gestión de Resultados del PNUD). </w:t>
      </w:r>
    </w:p>
    <w:p w14:paraId="6E720E3C" w14:textId="1827C5C5" w:rsidR="00603CEC" w:rsidRDefault="00603CEC" w:rsidP="00603CEC">
      <w:pPr>
        <w:spacing w:after="0" w:line="251" w:lineRule="auto"/>
        <w:ind w:right="456"/>
        <w:rPr>
          <w:color w:val="auto"/>
        </w:rPr>
      </w:pPr>
    </w:p>
    <w:p w14:paraId="48DAD402" w14:textId="77777777" w:rsidR="00603CEC" w:rsidRDefault="00603CEC" w:rsidP="00603CEC">
      <w:pPr>
        <w:spacing w:after="0" w:line="251" w:lineRule="auto"/>
        <w:ind w:right="456"/>
        <w:rPr>
          <w:color w:val="auto"/>
        </w:rPr>
      </w:pPr>
    </w:p>
    <w:p w14:paraId="62F591C0" w14:textId="77777777" w:rsidR="00603CEC" w:rsidRDefault="00603CEC" w:rsidP="00603CEC">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01E56180" w14:textId="77777777" w:rsidR="00603CEC" w:rsidRDefault="00603CEC" w:rsidP="00603CEC">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bdr w:val="none" w:sz="0" w:space="0" w:color="auto" w:frame="1"/>
        </w:rPr>
        <w:t> </w:t>
      </w:r>
    </w:p>
    <w:p w14:paraId="57DA0A72" w14:textId="77777777" w:rsidR="00603CEC" w:rsidRPr="00603CEC" w:rsidRDefault="00603CEC" w:rsidP="00603CEC">
      <w:pPr>
        <w:pStyle w:val="NormalWeb"/>
        <w:shd w:val="clear" w:color="auto" w:fill="FFFFFF"/>
        <w:spacing w:before="0" w:beforeAutospacing="0" w:after="0" w:afterAutospacing="0"/>
        <w:jc w:val="center"/>
        <w:rPr>
          <w:rFonts w:ascii="Calibri" w:hAnsi="Calibri" w:cs="Calibri"/>
          <w:color w:val="201F1E"/>
          <w:sz w:val="23"/>
          <w:szCs w:val="23"/>
          <w:lang w:val="es-ES"/>
        </w:rPr>
      </w:pPr>
      <w:r>
        <w:rPr>
          <w:rFonts w:ascii="Calibri" w:hAnsi="Calibri" w:cs="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cs="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104E3C08" w14:textId="77777777" w:rsidR="00603CEC" w:rsidRPr="002615E7" w:rsidRDefault="00603CEC" w:rsidP="00603CEC">
      <w:pPr>
        <w:spacing w:after="0" w:line="251" w:lineRule="auto"/>
        <w:ind w:right="456"/>
        <w:rPr>
          <w:color w:val="auto"/>
        </w:rPr>
      </w:pPr>
    </w:p>
    <w:sectPr w:rsidR="00603CEC" w:rsidRPr="002615E7">
      <w:headerReference w:type="even" r:id="rId16"/>
      <w:headerReference w:type="default" r:id="rId17"/>
      <w:footerReference w:type="even" r:id="rId18"/>
      <w:footerReference w:type="default" r:id="rId19"/>
      <w:headerReference w:type="first" r:id="rId20"/>
      <w:footerReference w:type="first" r:id="rId21"/>
      <w:pgSz w:w="12240" w:h="15840"/>
      <w:pgMar w:top="1440" w:right="89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FCEC0" w14:textId="77777777" w:rsidR="0022328F" w:rsidRDefault="0022328F" w:rsidP="00FC429F">
      <w:pPr>
        <w:spacing w:after="0" w:line="240" w:lineRule="auto"/>
      </w:pPr>
      <w:r>
        <w:separator/>
      </w:r>
    </w:p>
  </w:endnote>
  <w:endnote w:type="continuationSeparator" w:id="0">
    <w:p w14:paraId="0604DCD8" w14:textId="77777777" w:rsidR="0022328F" w:rsidRDefault="0022328F" w:rsidP="00FC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BE454" w14:textId="77777777" w:rsidR="00670EE9" w:rsidRDefault="00670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17596" w14:textId="7A066309" w:rsidR="00FC429F" w:rsidRDefault="00D60BC7">
    <w:pPr>
      <w:pStyle w:val="Footer"/>
    </w:pPr>
    <w:r>
      <w:t xml:space="preserve">Página </w:t>
    </w:r>
    <w:r>
      <w:rPr>
        <w:b/>
      </w:rPr>
      <w:fldChar w:fldCharType="begin"/>
    </w:r>
    <w:r>
      <w:rPr>
        <w:b/>
      </w:rPr>
      <w:instrText xml:space="preserve"> PAGE  \* Arabic  \* MERGEFORMAT </w:instrText>
    </w:r>
    <w:r>
      <w:rPr>
        <w:b/>
      </w:rPr>
      <w:fldChar w:fldCharType="separate"/>
    </w:r>
    <w:r w:rsidR="00CD2245">
      <w:rPr>
        <w:b/>
        <w:noProof/>
      </w:rPr>
      <w:t>2</w:t>
    </w:r>
    <w:r>
      <w:rPr>
        <w:b/>
      </w:rPr>
      <w:fldChar w:fldCharType="end"/>
    </w:r>
    <w:r>
      <w:t xml:space="preserve"> de </w:t>
    </w:r>
    <w:r>
      <w:rPr>
        <w:b/>
      </w:rPr>
      <w:fldChar w:fldCharType="begin"/>
    </w:r>
    <w:r>
      <w:rPr>
        <w:b/>
      </w:rPr>
      <w:instrText xml:space="preserve"> NUMPAGES  \* Arabic  \* MERGEFORMAT </w:instrText>
    </w:r>
    <w:r>
      <w:rPr>
        <w:b/>
      </w:rPr>
      <w:fldChar w:fldCharType="separate"/>
    </w:r>
    <w:r w:rsidR="00CD2245">
      <w:rPr>
        <w:b/>
        <w:noProof/>
      </w:rPr>
      <w:t>2</w:t>
    </w:r>
    <w:r>
      <w:rPr>
        <w:b/>
      </w:rPr>
      <w:fldChar w:fldCharType="end"/>
    </w:r>
    <w:r>
      <w:ptab w:relativeTo="margin" w:alignment="center" w:leader="none"/>
    </w:r>
    <w:r>
      <w:t xml:space="preserve">Fecha de entrada en vigor: </w:t>
    </w:r>
    <w:r w:rsidR="00834D2F">
      <w:t>01/01/2012</w:t>
    </w:r>
    <w:r>
      <w:ptab w:relativeTo="margin" w:alignment="right" w:leader="none"/>
    </w:r>
    <w:r>
      <w:t>Versión n</w:t>
    </w:r>
    <w:r w:rsidR="00B72DEC">
      <w:t>. °</w:t>
    </w:r>
    <w:r>
      <w:t xml:space="preserve">: </w:t>
    </w:r>
    <w:sdt>
      <w:sdtPr>
        <w:alias w:val="POPPRefItemVersion"/>
        <w:tag w:val="UNDP_POPP_REFITEM_VERSION"/>
        <w:id w:val="-652832159"/>
        <w:placeholder>
          <w:docPart w:val="A25D49D55E5643F1AC249C1B0799144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6E7DA4C-A4B3-499E-8FC7-9CDC785D700C}"/>
        <w:text/>
      </w:sdtPr>
      <w:sdtContent>
        <w:r w:rsidR="00E0748F">
          <w:t>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7B0D2" w14:textId="77777777" w:rsidR="00670EE9" w:rsidRDefault="00670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1E8C5" w14:textId="77777777" w:rsidR="0022328F" w:rsidRDefault="0022328F" w:rsidP="00FC429F">
      <w:pPr>
        <w:spacing w:after="0" w:line="240" w:lineRule="auto"/>
      </w:pPr>
      <w:r>
        <w:separator/>
      </w:r>
    </w:p>
  </w:footnote>
  <w:footnote w:type="continuationSeparator" w:id="0">
    <w:p w14:paraId="44E48AC0" w14:textId="77777777" w:rsidR="0022328F" w:rsidRDefault="0022328F" w:rsidP="00FC4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F37CC" w14:textId="77777777" w:rsidR="00670EE9" w:rsidRDefault="00670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26A9F" w14:textId="53F099A6" w:rsidR="00FC429F" w:rsidRDefault="00670EE9">
    <w:pPr>
      <w:pStyle w:val="Header"/>
    </w:pPr>
    <w:r>
      <w:tab/>
    </w:r>
    <w:r>
      <w:tab/>
    </w:r>
    <w:r>
      <w:rPr>
        <w:noProof/>
      </w:rPr>
      <w:drawing>
        <wp:inline distT="0" distB="0" distL="0" distR="0" wp14:anchorId="50434541" wp14:editId="3FC4A12F">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22D0E" w14:textId="77777777" w:rsidR="00670EE9" w:rsidRDefault="00670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055C3"/>
    <w:multiLevelType w:val="hybridMultilevel"/>
    <w:tmpl w:val="B874DD74"/>
    <w:lvl w:ilvl="0" w:tplc="3FF8800E">
      <w:start w:val="1"/>
      <w:numFmt w:val="decimal"/>
      <w:lvlText w:val="%1."/>
      <w:lvlJc w:val="left"/>
      <w:pPr>
        <w:ind w:left="720"/>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1" w:tplc="C4CEB556">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066160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62B2D50A">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702E1DA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F2A7C7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361401E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71EB84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7158DEA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135333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0D"/>
    <w:rsid w:val="000947D2"/>
    <w:rsid w:val="000A14A9"/>
    <w:rsid w:val="001A0417"/>
    <w:rsid w:val="001C3DE6"/>
    <w:rsid w:val="0022328F"/>
    <w:rsid w:val="002615E7"/>
    <w:rsid w:val="00263DD3"/>
    <w:rsid w:val="002B3156"/>
    <w:rsid w:val="002D72CA"/>
    <w:rsid w:val="0033535F"/>
    <w:rsid w:val="00414D1F"/>
    <w:rsid w:val="00427BDD"/>
    <w:rsid w:val="004437BC"/>
    <w:rsid w:val="00471632"/>
    <w:rsid w:val="00603CEC"/>
    <w:rsid w:val="006634DE"/>
    <w:rsid w:val="00670EE9"/>
    <w:rsid w:val="006A6385"/>
    <w:rsid w:val="008078DC"/>
    <w:rsid w:val="00834D2F"/>
    <w:rsid w:val="009651D8"/>
    <w:rsid w:val="00A80C0D"/>
    <w:rsid w:val="00AE41A3"/>
    <w:rsid w:val="00B13933"/>
    <w:rsid w:val="00B72DEC"/>
    <w:rsid w:val="00B77FDC"/>
    <w:rsid w:val="00BF4712"/>
    <w:rsid w:val="00CD2245"/>
    <w:rsid w:val="00D14070"/>
    <w:rsid w:val="00D60BC7"/>
    <w:rsid w:val="00E0748F"/>
    <w:rsid w:val="00E33AD8"/>
    <w:rsid w:val="00EA653F"/>
    <w:rsid w:val="00FB2956"/>
    <w:rsid w:val="00FB6164"/>
    <w:rsid w:val="00FC4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02BE6"/>
  <w15:docId w15:val="{0184EC3B-5918-414F-A6B9-0E49132A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29F"/>
    <w:rPr>
      <w:rFonts w:ascii="Calibri" w:eastAsia="Calibri" w:hAnsi="Calibri" w:cs="Calibri"/>
      <w:color w:val="000000"/>
    </w:rPr>
  </w:style>
  <w:style w:type="paragraph" w:styleId="Footer">
    <w:name w:val="footer"/>
    <w:basedOn w:val="Normal"/>
    <w:link w:val="FooterChar"/>
    <w:uiPriority w:val="99"/>
    <w:unhideWhenUsed/>
    <w:rsid w:val="00FC4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29F"/>
    <w:rPr>
      <w:rFonts w:ascii="Calibri" w:eastAsia="Calibri" w:hAnsi="Calibri" w:cs="Calibri"/>
      <w:color w:val="000000"/>
    </w:rPr>
  </w:style>
  <w:style w:type="character" w:styleId="PlaceholderText">
    <w:name w:val="Placeholder Text"/>
    <w:basedOn w:val="DefaultParagraphFont"/>
    <w:uiPriority w:val="99"/>
    <w:semiHidden/>
    <w:rsid w:val="00FC429F"/>
    <w:rPr>
      <w:color w:val="808080"/>
    </w:rPr>
  </w:style>
  <w:style w:type="paragraph" w:styleId="BalloonText">
    <w:name w:val="Balloon Text"/>
    <w:basedOn w:val="Normal"/>
    <w:link w:val="BalloonTextChar"/>
    <w:uiPriority w:val="99"/>
    <w:semiHidden/>
    <w:unhideWhenUsed/>
    <w:rsid w:val="00D60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BC7"/>
    <w:rPr>
      <w:rFonts w:ascii="Tahoma" w:eastAsia="Calibri" w:hAnsi="Tahoma" w:cs="Tahoma"/>
      <w:color w:val="000000"/>
      <w:sz w:val="16"/>
      <w:szCs w:val="16"/>
    </w:rPr>
  </w:style>
  <w:style w:type="character" w:styleId="Hyperlink">
    <w:name w:val="Hyperlink"/>
    <w:basedOn w:val="DefaultParagraphFont"/>
    <w:uiPriority w:val="99"/>
    <w:unhideWhenUsed/>
    <w:rsid w:val="002B3156"/>
    <w:rPr>
      <w:color w:val="0563C1" w:themeColor="hyperlink"/>
      <w:u w:val="single"/>
    </w:rPr>
  </w:style>
  <w:style w:type="character" w:styleId="FollowedHyperlink">
    <w:name w:val="FollowedHyperlink"/>
    <w:basedOn w:val="DefaultParagraphFont"/>
    <w:uiPriority w:val="99"/>
    <w:semiHidden/>
    <w:unhideWhenUsed/>
    <w:rsid w:val="00FB6164"/>
    <w:rPr>
      <w:color w:val="954F72" w:themeColor="followedHyperlink"/>
      <w:u w:val="single"/>
    </w:rPr>
  </w:style>
  <w:style w:type="paragraph" w:styleId="NormalWeb">
    <w:name w:val="Normal (Web)"/>
    <w:basedOn w:val="Normal"/>
    <w:uiPriority w:val="99"/>
    <w:semiHidden/>
    <w:unhideWhenUsed/>
    <w:rsid w:val="00603CEC"/>
    <w:pPr>
      <w:spacing w:before="100" w:beforeAutospacing="1" w:after="100" w:afterAutospacing="1" w:line="240" w:lineRule="auto"/>
    </w:pPr>
    <w:rPr>
      <w:rFonts w:ascii="Times New Roman" w:eastAsia="Times New Roman" w:hAnsi="Times New Roman" w:cs="Times New Roman"/>
      <w:color w:val="auto"/>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482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sdg.un.org/resources/annexes-guidance-note-new-generation-joint-progamm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popp.undp.org/node/265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5071"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5D49D55E5643F1AC249C1B07991446"/>
        <w:category>
          <w:name w:val="General"/>
          <w:gallery w:val="placeholder"/>
        </w:category>
        <w:types>
          <w:type w:val="bbPlcHdr"/>
        </w:types>
        <w:behaviors>
          <w:behavior w:val="content"/>
        </w:behaviors>
        <w:guid w:val="{B33D838C-89BF-4EE0-BD11-36DAB0D7CEAC}"/>
      </w:docPartPr>
      <w:docPartBody>
        <w:p w:rsidR="001978C7" w:rsidRDefault="00106A7E">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D53"/>
    <w:rsid w:val="00106A7E"/>
    <w:rsid w:val="00153D53"/>
    <w:rsid w:val="001978C7"/>
    <w:rsid w:val="00336675"/>
    <w:rsid w:val="004B09E5"/>
    <w:rsid w:val="005E3CF5"/>
    <w:rsid w:val="006A1CE2"/>
    <w:rsid w:val="009651D8"/>
    <w:rsid w:val="00C376AA"/>
    <w:rsid w:val="00D6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AAA29C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A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UNITBMS-1904581467-185</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31/12/2011                                                Version #: 8</DLCPolicyLabelValue>
    <UNDP_POPP_EFFECTIVEDATE xmlns="8264c5cc-ec60-4b56-8111-ce635d3d139a">2011-12-30T23:00:00+00:00</UNDP_POPP_EFFECTIVEDATE>
    <UNDP_POPP_FILEVERSION xmlns="8264c5cc-ec60-4b56-8111-ce635d3d139a">1536</UNDP_POPP_FILEVERSION>
    <UNDP_POPP_REFITEM_VERSION xmlns="8264c5cc-ec60-4b56-8111-ce635d3d139a">8</UNDP_POPP_REFITEM_VERSION>
    <UNDP_POPP_ISACTIVE xmlns="8264c5cc-ec60-4b56-8111-ce635d3d139a">true</UNDP_POPP_ISACTIVE>
    <UNDP_POPP_TITLE_EN xmlns="8264c5cc-ec60-4b56-8111-ce635d3d139a">Recouvrement des coûts provenant d’autres ressources : appui général à la gestion</UNDP_POPP_TITLE_EN>
    <_dlc_DocIdUrl xmlns="8264c5cc-ec60-4b56-8111-ce635d3d139a">
      <Url>https://intranet.undp.org/unit/bms/dir/internal/init_popp/_layouts/15/DocIdRedir.aspx?ID=UNITBMS-1904581467-185</Url>
      <Description>UNITBMS-1904581467-185</Description>
    </_dlc_DocIdUrl>
    <DLCPolicyLabelLock xmlns="e560140e-7b2f-4392-90df-e7567e3021a3" xsi:nil="true"/>
    <DLCPolicyLabelClientValue xmlns="e560140e-7b2f-4392-90df-e7567e3021a3">Effective Date: 31/12/2011                                                Version #: 8.0</DLCPolicyLabelClientValue>
    <UNDP_POPP_BUSINESSUNITID_HIDDEN xmlns="8264c5cc-ec60-4b56-8111-ce635d3d139a"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B137FD88-63AF-4027-976D-2A85EE0FC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7DA4C-A4B3-499E-8FC7-9CDC785D700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55335172-A8B2-4090-9122-72DA329A18FE}">
  <ds:schemaRefs>
    <ds:schemaRef ds:uri="http://schemas.microsoft.com/sharepoint/events"/>
  </ds:schemaRefs>
</ds:datastoreItem>
</file>

<file path=customXml/itemProps4.xml><?xml version="1.0" encoding="utf-8"?>
<ds:datastoreItem xmlns:ds="http://schemas.openxmlformats.org/officeDocument/2006/customXml" ds:itemID="{D3E19A3D-2E19-4870-A78B-BE520CACAF4C}">
  <ds:schemaRefs>
    <ds:schemaRef ds:uri="http://schemas.microsoft.com/sharepoint/v3/contenttype/forms"/>
  </ds:schemaRefs>
</ds:datastoreItem>
</file>

<file path=customXml/itemProps5.xml><?xml version="1.0" encoding="utf-8"?>
<ds:datastoreItem xmlns:ds="http://schemas.openxmlformats.org/officeDocument/2006/customXml" ds:itemID="{27740510-4CB0-419A-85C2-E3B5BBF4F02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1929</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4</cp:revision>
  <dcterms:created xsi:type="dcterms:W3CDTF">2023-02-02T10:41:00Z</dcterms:created>
  <dcterms:modified xsi:type="dcterms:W3CDTF">2024-06-03T11:11:00Z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ffb5e3db-a731-433e-8c8c-5feb425c5b07</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Crisis Response|158d9cf4-4e8a-4f7d-8485-d74e7b72b494</vt:lpwstr>
  </property>
  <property fmtid="{D5CDD505-2E9C-101B-9397-08002B2CF9AE}" pid="15" name="DLCPolicyLabelValue">
    <vt:lpwstr>Effective Date: {Effective Date}                                                Version #: {POPPRefItemVersion}</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EFFECTIVEDATE">
    <vt:filetime>2011-12-31T23:00:00Z</vt:filetime>
  </property>
  <property fmtid="{D5CDD505-2E9C-101B-9397-08002B2CF9AE}" pid="20" name="UNDP_POPP_FILEVERSION">
    <vt:r8>1536</vt:r8>
  </property>
  <property fmtid="{D5CDD505-2E9C-101B-9397-08002B2CF9AE}" pid="21" name="UNDP_POPP_REFITEM_VERSION">
    <vt:r8>2</vt:r8>
  </property>
  <property fmtid="{D5CDD505-2E9C-101B-9397-08002B2CF9AE}" pid="22" name="UndpDocStatus">
    <vt:lpwstr>Draft</vt:lpwstr>
  </property>
  <property fmtid="{D5CDD505-2E9C-101B-9397-08002B2CF9AE}" pid="23" name="UndpClassificationLevel">
    <vt:lpwstr>Internal Use Only</vt:lpwstr>
  </property>
  <property fmtid="{D5CDD505-2E9C-101B-9397-08002B2CF9AE}" pid="24" name="UndpIsTemplate">
    <vt:lpwstr>No</vt:lpwstr>
  </property>
</Properties>
</file>