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02BE6" w14:textId="77777777" w:rsidR="00A80C0D" w:rsidRPr="002615E7" w:rsidRDefault="00263DD3">
      <w:pPr>
        <w:spacing w:after="260"/>
        <w:rPr>
          <w:color w:val="auto"/>
          <w:lang w:val="en-GB"/>
        </w:rPr>
      </w:pPr>
      <w:r w:rsidRPr="002615E7">
        <w:rPr>
          <w:b/>
          <w:color w:val="auto"/>
          <w:sz w:val="28"/>
          <w:lang w:val="en-GB"/>
        </w:rPr>
        <w:t xml:space="preserve">Pooled Fund Management  </w:t>
      </w:r>
    </w:p>
    <w:p w14:paraId="75902BE7" w14:textId="769B87D0" w:rsidR="00A80C0D" w:rsidRPr="002B3156" w:rsidRDefault="00263DD3" w:rsidP="008078DC">
      <w:pPr>
        <w:numPr>
          <w:ilvl w:val="0"/>
          <w:numId w:val="1"/>
        </w:numPr>
        <w:spacing w:after="43" w:line="240" w:lineRule="auto"/>
        <w:ind w:right="456" w:hanging="360"/>
        <w:rPr>
          <w:lang w:val="en-GB"/>
        </w:rPr>
      </w:pPr>
      <w:r w:rsidRPr="002615E7">
        <w:rPr>
          <w:color w:val="auto"/>
          <w:lang w:val="en-GB"/>
        </w:rPr>
        <w:t xml:space="preserve">Under Pooled Fund Management, participating UN organizations pool funds together to one UN organization, called </w:t>
      </w:r>
      <w:r w:rsidRPr="002615E7">
        <w:rPr>
          <w:b/>
          <w:color w:val="auto"/>
          <w:lang w:val="en-GB"/>
        </w:rPr>
        <w:t>the Managing Agent (MA</w:t>
      </w:r>
      <w:r w:rsidRPr="002615E7">
        <w:rPr>
          <w:color w:val="auto"/>
          <w:lang w:val="en-GB"/>
        </w:rPr>
        <w:t>), chosen jointly by the participating UN organizations in consultation with the (sub-) national partner. The MA will support the (sub-) national partner in managing the programme. This option is likely to be the most effective and efficient approach when participating UN organizations work for common results with a common national or sub-national partner (e.g. Department, provincial office, NGO) and/or i</w:t>
      </w:r>
      <w:r w:rsidR="00BF4712" w:rsidRPr="002615E7">
        <w:rPr>
          <w:color w:val="auto"/>
          <w:lang w:val="en-GB"/>
        </w:rPr>
        <w:t>n a common geographical area.</w:t>
      </w:r>
      <w:r w:rsidR="002B3156" w:rsidRPr="002615E7">
        <w:rPr>
          <w:color w:val="auto"/>
          <w:lang w:val="en-GB"/>
        </w:rPr>
        <w:t xml:space="preserve"> </w:t>
      </w:r>
      <w:r w:rsidR="008078DC" w:rsidRPr="002615E7">
        <w:rPr>
          <w:color w:val="auto"/>
          <w:lang w:val="en-GB"/>
        </w:rPr>
        <w:t xml:space="preserve">For engagement with NGOs under Country Based Pooled Funds for humanitarian and development support, please refer to the </w:t>
      </w:r>
      <w:hyperlink r:id="rId12" w:history="1">
        <w:r w:rsidR="002B3156" w:rsidRPr="002B3156">
          <w:rPr>
            <w:rStyle w:val="Hyperlink"/>
            <w:lang w:val="en-GB"/>
          </w:rPr>
          <w:t>UNDP Guidelines for Engagement with NGOs under Country Based Pooled Funds</w:t>
        </w:r>
      </w:hyperlink>
      <w:r w:rsidR="008078DC">
        <w:rPr>
          <w:rStyle w:val="Hyperlink"/>
          <w:lang w:val="en-GB"/>
        </w:rPr>
        <w:t xml:space="preserve"> (2016)</w:t>
      </w:r>
      <w:r w:rsidR="002B3156">
        <w:rPr>
          <w:color w:val="333333"/>
          <w:lang w:val="en-GB"/>
        </w:rPr>
        <w:t>.</w:t>
      </w:r>
    </w:p>
    <w:p w14:paraId="16B192F2" w14:textId="77777777" w:rsidR="002B3156" w:rsidRPr="00D60BC7" w:rsidRDefault="002B3156" w:rsidP="002B3156">
      <w:pPr>
        <w:spacing w:after="43" w:line="240" w:lineRule="auto"/>
        <w:ind w:left="720" w:right="456"/>
        <w:rPr>
          <w:lang w:val="en-GB"/>
        </w:rPr>
      </w:pPr>
    </w:p>
    <w:p w14:paraId="75902BE8" w14:textId="688FC510" w:rsidR="00A80C0D" w:rsidRPr="00D60BC7" w:rsidRDefault="00263DD3">
      <w:pPr>
        <w:numPr>
          <w:ilvl w:val="0"/>
          <w:numId w:val="1"/>
        </w:numPr>
        <w:spacing w:after="43" w:line="258" w:lineRule="auto"/>
        <w:ind w:right="456" w:hanging="360"/>
        <w:rPr>
          <w:lang w:val="en-GB"/>
        </w:rPr>
      </w:pPr>
      <w:r w:rsidRPr="002615E7">
        <w:rPr>
          <w:color w:val="auto"/>
          <w:lang w:val="en-GB"/>
        </w:rPr>
        <w:t xml:space="preserve">Further details are available in the </w:t>
      </w:r>
      <w:hyperlink r:id="rId13" w:tgtFrame="_blank" w:history="1">
        <w:r w:rsidR="00E44116">
          <w:rPr>
            <w:rStyle w:val="normaltextrun"/>
            <w:color w:val="0563C1"/>
            <w:u w:val="single"/>
            <w:shd w:val="clear" w:color="auto" w:fill="FFFFFF"/>
          </w:rPr>
          <w:t>UNSDG Guidance Note on a New Generation of Joint Programmes</w:t>
        </w:r>
      </w:hyperlink>
      <w:r w:rsidR="00E44116">
        <w:rPr>
          <w:rStyle w:val="normaltextrun"/>
          <w:shd w:val="clear" w:color="auto" w:fill="FFFFFF"/>
        </w:rPr>
        <w:t xml:space="preserve"> (October 2022) and </w:t>
      </w:r>
      <w:hyperlink r:id="rId14" w:tgtFrame="_blank" w:history="1">
        <w:r w:rsidR="00E44116">
          <w:rPr>
            <w:rStyle w:val="normaltextrun"/>
            <w:color w:val="0563C1"/>
            <w:u w:val="single"/>
            <w:shd w:val="clear" w:color="auto" w:fill="FFFFFF"/>
          </w:rPr>
          <w:t>associated annexes</w:t>
        </w:r>
      </w:hyperlink>
      <w:r w:rsidR="00E44116">
        <w:rPr>
          <w:rStyle w:val="normaltextrun"/>
          <w:shd w:val="clear" w:color="auto" w:fill="FFFFFF"/>
        </w:rPr>
        <w:t xml:space="preserve">. </w:t>
      </w:r>
      <w:r w:rsidRPr="009C60CA">
        <w:rPr>
          <w:color w:val="auto"/>
          <w:lang w:val="en-GB"/>
        </w:rPr>
        <w:t>.</w:t>
      </w:r>
      <w:hyperlink r:id="rId15">
        <w:r w:rsidRPr="00D60BC7">
          <w:rPr>
            <w:color w:val="0563C1"/>
            <w:lang w:val="en-GB"/>
          </w:rPr>
          <w:t xml:space="preserve"> </w:t>
        </w:r>
      </w:hyperlink>
      <w:hyperlink r:id="rId16">
        <w:r w:rsidRPr="00D60BC7">
          <w:rPr>
            <w:color w:val="0072BC"/>
            <w:lang w:val="en-GB"/>
          </w:rPr>
          <w:t xml:space="preserve"> </w:t>
        </w:r>
      </w:hyperlink>
      <w:r w:rsidRPr="00D60BC7">
        <w:rPr>
          <w:color w:val="0072BC"/>
          <w:lang w:val="en-GB"/>
        </w:rPr>
        <w:t xml:space="preserve"> </w:t>
      </w:r>
    </w:p>
    <w:p w14:paraId="66C7CA53" w14:textId="77777777" w:rsidR="002B3156" w:rsidRPr="002B3156" w:rsidRDefault="002B3156" w:rsidP="002B3156">
      <w:pPr>
        <w:spacing w:after="0" w:line="251" w:lineRule="auto"/>
        <w:ind w:left="720" w:right="456"/>
        <w:rPr>
          <w:lang w:val="en-GB"/>
        </w:rPr>
      </w:pPr>
    </w:p>
    <w:p w14:paraId="75902BE9" w14:textId="56434E32" w:rsidR="00A80C0D" w:rsidRPr="00D60BC7" w:rsidRDefault="00263DD3">
      <w:pPr>
        <w:numPr>
          <w:ilvl w:val="0"/>
          <w:numId w:val="1"/>
        </w:numPr>
        <w:spacing w:after="0" w:line="251" w:lineRule="auto"/>
        <w:ind w:right="456" w:hanging="360"/>
        <w:rPr>
          <w:lang w:val="en-GB"/>
        </w:rPr>
      </w:pPr>
      <w:r w:rsidRPr="002615E7">
        <w:rPr>
          <w:color w:val="auto"/>
          <w:lang w:val="en-GB"/>
        </w:rPr>
        <w:t xml:space="preserve">On the role of UN Pooled Financing Mechanisms to deliver the 2030 Sustainable Development Agenda, please see </w:t>
      </w:r>
      <w:hyperlink r:id="rId17">
        <w:r w:rsidRPr="00D60BC7">
          <w:rPr>
            <w:color w:val="0563C1"/>
            <w:u w:val="single" w:color="0563C1"/>
            <w:lang w:val="en-GB"/>
          </w:rPr>
          <w:t>UNDG Paper on Pooled Financing for Agenda 2030</w:t>
        </w:r>
      </w:hyperlink>
      <w:hyperlink r:id="rId18">
        <w:r w:rsidRPr="00D60BC7">
          <w:rPr>
            <w:color w:val="333333"/>
            <w:lang w:val="en-GB"/>
          </w:rPr>
          <w:t xml:space="preserve"> </w:t>
        </w:r>
      </w:hyperlink>
    </w:p>
    <w:p w14:paraId="75902BEC" w14:textId="6D4DB1F7" w:rsidR="00A80C0D" w:rsidRPr="00D60BC7" w:rsidRDefault="00263DD3" w:rsidP="00E44116">
      <w:pPr>
        <w:spacing w:after="0"/>
        <w:rPr>
          <w:lang w:val="en-GB"/>
        </w:rPr>
      </w:pPr>
      <w:r w:rsidRPr="00D60BC7">
        <w:rPr>
          <w:color w:val="333333"/>
          <w:lang w:val="en-GB"/>
        </w:rPr>
        <w:t xml:space="preserve"> </w:t>
      </w:r>
    </w:p>
    <w:p w14:paraId="3485F141" w14:textId="5B00599A" w:rsidR="00263DD3" w:rsidRPr="002B3156" w:rsidRDefault="00263DD3" w:rsidP="002B3156">
      <w:pPr>
        <w:spacing w:after="173"/>
        <w:jc w:val="right"/>
        <w:rPr>
          <w:lang w:val="en-GB"/>
        </w:rPr>
      </w:pPr>
      <w:r w:rsidRPr="00D60BC7">
        <w:rPr>
          <w:noProof/>
        </w:rPr>
        <w:drawing>
          <wp:inline distT="0" distB="0" distL="0" distR="0" wp14:anchorId="75902BF0" wp14:editId="16B7F07C">
            <wp:extent cx="5753100" cy="3870325"/>
            <wp:effectExtent l="0" t="0" r="0" b="0"/>
            <wp:docPr id="190" name="Picture 190"/>
            <wp:cNvGraphicFramePr/>
            <a:graphic xmlns:a="http://schemas.openxmlformats.org/drawingml/2006/main">
              <a:graphicData uri="http://schemas.openxmlformats.org/drawingml/2006/picture">
                <pic:pic xmlns:pic="http://schemas.openxmlformats.org/drawingml/2006/picture">
                  <pic:nvPicPr>
                    <pic:cNvPr id="190" name="Picture 190"/>
                    <pic:cNvPicPr/>
                  </pic:nvPicPr>
                  <pic:blipFill>
                    <a:blip r:embed="rId19"/>
                    <a:stretch>
                      <a:fillRect/>
                    </a:stretch>
                  </pic:blipFill>
                  <pic:spPr>
                    <a:xfrm>
                      <a:off x="0" y="0"/>
                      <a:ext cx="5753100" cy="3870325"/>
                    </a:xfrm>
                    <a:prstGeom prst="rect">
                      <a:avLst/>
                    </a:prstGeom>
                  </pic:spPr>
                </pic:pic>
              </a:graphicData>
            </a:graphic>
          </wp:inline>
        </w:drawing>
      </w:r>
    </w:p>
    <w:p w14:paraId="75902BEE" w14:textId="77777777" w:rsidR="00A80C0D" w:rsidRPr="002615E7" w:rsidRDefault="00263DD3">
      <w:pPr>
        <w:spacing w:after="201"/>
        <w:rPr>
          <w:color w:val="auto"/>
          <w:lang w:val="en-GB"/>
        </w:rPr>
      </w:pPr>
      <w:r w:rsidRPr="002615E7">
        <w:rPr>
          <w:b/>
          <w:color w:val="auto"/>
          <w:lang w:val="en-GB"/>
        </w:rPr>
        <w:t xml:space="preserve">Accountability  </w:t>
      </w:r>
    </w:p>
    <w:p w14:paraId="75902BEF" w14:textId="77777777" w:rsidR="00A80C0D" w:rsidRPr="002615E7" w:rsidRDefault="00263DD3">
      <w:pPr>
        <w:numPr>
          <w:ilvl w:val="0"/>
          <w:numId w:val="1"/>
        </w:numPr>
        <w:spacing w:after="0" w:line="251" w:lineRule="auto"/>
        <w:ind w:right="456" w:hanging="360"/>
        <w:rPr>
          <w:color w:val="auto"/>
          <w:lang w:val="en-GB"/>
        </w:rPr>
      </w:pPr>
      <w:r w:rsidRPr="002615E7">
        <w:rPr>
          <w:color w:val="auto"/>
          <w:lang w:val="en-GB"/>
        </w:rPr>
        <w:lastRenderedPageBreak/>
        <w:t xml:space="preserve">Complete programme and financial accountability rests with the Managing Agent (MA). Where UNDP is the MA, its standard accountability for its programme resources applies (as set out in UNDP’s Results Management, and Finance and Budget Policies and Procedures). </w:t>
      </w:r>
    </w:p>
    <w:sectPr w:rsidR="00A80C0D" w:rsidRPr="002615E7">
      <w:headerReference w:type="even" r:id="rId20"/>
      <w:headerReference w:type="default" r:id="rId21"/>
      <w:footerReference w:type="even" r:id="rId22"/>
      <w:footerReference w:type="default" r:id="rId23"/>
      <w:headerReference w:type="first" r:id="rId24"/>
      <w:footerReference w:type="first" r:id="rId25"/>
      <w:pgSz w:w="12240" w:h="15840"/>
      <w:pgMar w:top="1440" w:right="896"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DE359" w14:textId="77777777" w:rsidR="006D07E1" w:rsidRDefault="006D07E1" w:rsidP="00FC429F">
      <w:pPr>
        <w:spacing w:after="0" w:line="240" w:lineRule="auto"/>
      </w:pPr>
      <w:r>
        <w:separator/>
      </w:r>
    </w:p>
  </w:endnote>
  <w:endnote w:type="continuationSeparator" w:id="0">
    <w:p w14:paraId="57557C3B" w14:textId="77777777" w:rsidR="006D07E1" w:rsidRDefault="006D07E1" w:rsidP="00FC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CC1E4" w14:textId="77777777" w:rsidR="006F3F96" w:rsidRDefault="006F3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17596" w14:textId="071571B9" w:rsidR="00FC429F" w:rsidRDefault="00D60BC7">
    <w:pPr>
      <w:pStyle w:val="Footer"/>
    </w:pPr>
    <w:r>
      <w:t xml:space="preserve">Page </w:t>
    </w:r>
    <w:r>
      <w:rPr>
        <w:b/>
      </w:rPr>
      <w:fldChar w:fldCharType="begin"/>
    </w:r>
    <w:r>
      <w:rPr>
        <w:b/>
      </w:rPr>
      <w:instrText xml:space="preserve"> PAGE  \* Arabic  \* MERGEFORMAT </w:instrText>
    </w:r>
    <w:r>
      <w:rPr>
        <w:b/>
      </w:rPr>
      <w:fldChar w:fldCharType="separate"/>
    </w:r>
    <w:r w:rsidR="003A152C">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3A152C">
      <w:rPr>
        <w:b/>
        <w:noProof/>
      </w:rPr>
      <w:t>2</w:t>
    </w:r>
    <w:r>
      <w:rPr>
        <w:b/>
      </w:rPr>
      <w:fldChar w:fldCharType="end"/>
    </w:r>
    <w:r>
      <w:ptab w:relativeTo="margin" w:alignment="center" w:leader="none"/>
    </w:r>
    <w:r w:rsidRPr="00D60BC7">
      <w:t>Effective Date:</w:t>
    </w:r>
    <w:r>
      <w:t xml:space="preserve"> </w:t>
    </w:r>
    <w:r w:rsidR="00091115" w:rsidRPr="00091115">
      <w:t>01/01/2012</w:t>
    </w:r>
    <w:r w:rsidR="00091115" w:rsidRPr="00091115">
      <w:t xml:space="preserve"> </w:t>
    </w:r>
    <w:r>
      <w:ptab w:relativeTo="margin" w:alignment="right" w:leader="none"/>
    </w:r>
    <w:r w:rsidRPr="00D60BC7">
      <w:t>Version #:</w:t>
    </w:r>
    <w:r>
      <w:t xml:space="preserve"> </w:t>
    </w:r>
    <w:sdt>
      <w:sdtPr>
        <w:alias w:val="POPPRefItemVersion"/>
        <w:tag w:val="UNDP_POPP_REFITEM_VERSION"/>
        <w:id w:val="-652832159"/>
        <w:placeholder>
          <w:docPart w:val="A25D49D55E5643F1AC249C1B07991446"/>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76E7DA4C-A4B3-499E-8FC7-9CDC785D700C}"/>
        <w:text/>
      </w:sdtPr>
      <w:sdtContent>
        <w:r w:rsidR="00C8620C">
          <w:t>8</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39F8D" w14:textId="77777777" w:rsidR="006F3F96" w:rsidRDefault="006F3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F239F" w14:textId="77777777" w:rsidR="006D07E1" w:rsidRDefault="006D07E1" w:rsidP="00FC429F">
      <w:pPr>
        <w:spacing w:after="0" w:line="240" w:lineRule="auto"/>
      </w:pPr>
      <w:r>
        <w:separator/>
      </w:r>
    </w:p>
  </w:footnote>
  <w:footnote w:type="continuationSeparator" w:id="0">
    <w:p w14:paraId="5BF2FA73" w14:textId="77777777" w:rsidR="006D07E1" w:rsidRDefault="006D07E1" w:rsidP="00FC4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7623C" w14:textId="77777777" w:rsidR="006F3F96" w:rsidRDefault="006F3F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7BA58" w14:textId="39B2454F" w:rsidR="00FC429F" w:rsidRDefault="00FC429F" w:rsidP="00FC429F">
    <w:pPr>
      <w:pStyle w:val="Header"/>
      <w:spacing w:before="100" w:beforeAutospacing="1" w:after="100" w:afterAutospacing="1"/>
      <w:ind w:left="9360" w:right="43"/>
    </w:pPr>
    <w:r w:rsidRPr="00FC429F">
      <w:rPr>
        <w:noProof/>
        <w:color w:val="333333"/>
      </w:rPr>
      <w:drawing>
        <wp:inline distT="0" distB="0" distL="0" distR="0" wp14:anchorId="505773F4" wp14:editId="4F2E2C52">
          <wp:extent cx="299022" cy="59371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l="1" r="1877" b="15539"/>
                  <a:stretch/>
                </pic:blipFill>
                <pic:spPr bwMode="auto">
                  <a:xfrm>
                    <a:off x="0" y="0"/>
                    <a:ext cx="302740" cy="601092"/>
                  </a:xfrm>
                  <a:prstGeom prst="rect">
                    <a:avLst/>
                  </a:prstGeom>
                  <a:ln>
                    <a:noFill/>
                  </a:ln>
                  <a:extLst>
                    <a:ext uri="{53640926-AAD7-44D8-BBD7-CCE9431645EC}">
                      <a14:shadowObscured xmlns:a14="http://schemas.microsoft.com/office/drawing/2010/main"/>
                    </a:ext>
                  </a:extLst>
                </pic:spPr>
              </pic:pic>
            </a:graphicData>
          </a:graphic>
        </wp:inline>
      </w:drawing>
    </w:r>
  </w:p>
  <w:p w14:paraId="50526A9F" w14:textId="77777777" w:rsidR="00FC429F" w:rsidRDefault="00FC42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100E6" w14:textId="77777777" w:rsidR="006F3F96" w:rsidRDefault="006F3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F055C3"/>
    <w:multiLevelType w:val="hybridMultilevel"/>
    <w:tmpl w:val="B874DD74"/>
    <w:lvl w:ilvl="0" w:tplc="3FF8800E">
      <w:start w:val="1"/>
      <w:numFmt w:val="decimal"/>
      <w:lvlText w:val="%1."/>
      <w:lvlJc w:val="left"/>
      <w:pPr>
        <w:ind w:left="720"/>
      </w:pPr>
      <w:rPr>
        <w:rFonts w:ascii="Calibri" w:eastAsia="Calibri" w:hAnsi="Calibri" w:cs="Calibri"/>
        <w:b w:val="0"/>
        <w:i w:val="0"/>
        <w:strike w:val="0"/>
        <w:dstrike w:val="0"/>
        <w:color w:val="auto"/>
        <w:sz w:val="22"/>
        <w:szCs w:val="22"/>
        <w:u w:val="none" w:color="000000"/>
        <w:bdr w:val="none" w:sz="0" w:space="0" w:color="auto"/>
        <w:shd w:val="clear" w:color="auto" w:fill="auto"/>
        <w:vertAlign w:val="baseline"/>
      </w:rPr>
    </w:lvl>
    <w:lvl w:ilvl="1" w:tplc="C4CEB556">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40661600">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62B2D50A">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702E1DA2">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4F2A7C70">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361401E0">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471EB842">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7158DEAA">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1342202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C0D"/>
    <w:rsid w:val="00091115"/>
    <w:rsid w:val="000C75ED"/>
    <w:rsid w:val="002615E7"/>
    <w:rsid w:val="00263DD3"/>
    <w:rsid w:val="00280966"/>
    <w:rsid w:val="002B3156"/>
    <w:rsid w:val="0033535F"/>
    <w:rsid w:val="003A152C"/>
    <w:rsid w:val="004E4968"/>
    <w:rsid w:val="00615407"/>
    <w:rsid w:val="006D07E1"/>
    <w:rsid w:val="006F3F96"/>
    <w:rsid w:val="0070036D"/>
    <w:rsid w:val="008078DC"/>
    <w:rsid w:val="009A4993"/>
    <w:rsid w:val="009C60CA"/>
    <w:rsid w:val="009E5D77"/>
    <w:rsid w:val="00A80C0D"/>
    <w:rsid w:val="00AE41A3"/>
    <w:rsid w:val="00BF4712"/>
    <w:rsid w:val="00C812A5"/>
    <w:rsid w:val="00C8620C"/>
    <w:rsid w:val="00D06541"/>
    <w:rsid w:val="00D60BC7"/>
    <w:rsid w:val="00DD11B9"/>
    <w:rsid w:val="00E0140C"/>
    <w:rsid w:val="00E44116"/>
    <w:rsid w:val="00FC429F"/>
    <w:rsid w:val="00FE6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02BE6"/>
  <w15:docId w15:val="{0184EC3B-5918-414F-A6B9-0E49132AD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2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29F"/>
    <w:rPr>
      <w:rFonts w:ascii="Calibri" w:eastAsia="Calibri" w:hAnsi="Calibri" w:cs="Calibri"/>
      <w:color w:val="000000"/>
    </w:rPr>
  </w:style>
  <w:style w:type="paragraph" w:styleId="Footer">
    <w:name w:val="footer"/>
    <w:basedOn w:val="Normal"/>
    <w:link w:val="FooterChar"/>
    <w:uiPriority w:val="99"/>
    <w:unhideWhenUsed/>
    <w:rsid w:val="00FC42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29F"/>
    <w:rPr>
      <w:rFonts w:ascii="Calibri" w:eastAsia="Calibri" w:hAnsi="Calibri" w:cs="Calibri"/>
      <w:color w:val="000000"/>
    </w:rPr>
  </w:style>
  <w:style w:type="character" w:styleId="PlaceholderText">
    <w:name w:val="Placeholder Text"/>
    <w:basedOn w:val="DefaultParagraphFont"/>
    <w:uiPriority w:val="99"/>
    <w:semiHidden/>
    <w:rsid w:val="00FC429F"/>
    <w:rPr>
      <w:color w:val="808080"/>
    </w:rPr>
  </w:style>
  <w:style w:type="paragraph" w:styleId="BalloonText">
    <w:name w:val="Balloon Text"/>
    <w:basedOn w:val="Normal"/>
    <w:link w:val="BalloonTextChar"/>
    <w:uiPriority w:val="99"/>
    <w:semiHidden/>
    <w:unhideWhenUsed/>
    <w:rsid w:val="00D60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BC7"/>
    <w:rPr>
      <w:rFonts w:ascii="Tahoma" w:eastAsia="Calibri" w:hAnsi="Tahoma" w:cs="Tahoma"/>
      <w:color w:val="000000"/>
      <w:sz w:val="16"/>
      <w:szCs w:val="16"/>
    </w:rPr>
  </w:style>
  <w:style w:type="character" w:styleId="Hyperlink">
    <w:name w:val="Hyperlink"/>
    <w:basedOn w:val="DefaultParagraphFont"/>
    <w:uiPriority w:val="99"/>
    <w:unhideWhenUsed/>
    <w:rsid w:val="002B3156"/>
    <w:rPr>
      <w:color w:val="0563C1" w:themeColor="hyperlink"/>
      <w:u w:val="single"/>
    </w:rPr>
  </w:style>
  <w:style w:type="character" w:styleId="FollowedHyperlink">
    <w:name w:val="FollowedHyperlink"/>
    <w:basedOn w:val="DefaultParagraphFont"/>
    <w:uiPriority w:val="99"/>
    <w:semiHidden/>
    <w:unhideWhenUsed/>
    <w:rsid w:val="003A152C"/>
    <w:rPr>
      <w:color w:val="954F72" w:themeColor="followedHyperlink"/>
      <w:u w:val="single"/>
    </w:rPr>
  </w:style>
  <w:style w:type="character" w:customStyle="1" w:styleId="normaltextrun">
    <w:name w:val="normaltextrun"/>
    <w:basedOn w:val="DefaultParagraphFont"/>
    <w:rsid w:val="00E44116"/>
  </w:style>
  <w:style w:type="paragraph" w:styleId="Revision">
    <w:name w:val="Revision"/>
    <w:hidden/>
    <w:uiPriority w:val="99"/>
    <w:semiHidden/>
    <w:rsid w:val="004E4968"/>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sdg.un.org/resources/guidance-note-new-generation-joint-programmes" TargetMode="External"/><Relationship Id="rId18" Type="http://schemas.openxmlformats.org/officeDocument/2006/relationships/hyperlink" Target="https://popp.undp.org/UNDP_POPP_DOCUMENT_LIBRARY/UNDG%20Paper%20on%20Pooled%20Financing%20for%20Agenda%202030.pdf?Web=1"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popp.undp.org/node/2656" TargetMode="External"/><Relationship Id="rId17" Type="http://schemas.openxmlformats.org/officeDocument/2006/relationships/hyperlink" Target="https://popp.undp.org/node/5071"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undg.org/wp-content/uploads/2015/02/Guidance-Note-on-Joint-Programme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undg.org/wp-content/uploads/2015/02/Guidance-Note-on-Joint-Programmes.pdf"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sdg.un.org/resources/annexes-guidance-note-new-generation-joint-progammes"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5D49D55E5643F1AC249C1B07991446"/>
        <w:category>
          <w:name w:val="General"/>
          <w:gallery w:val="placeholder"/>
        </w:category>
        <w:types>
          <w:type w:val="bbPlcHdr"/>
        </w:types>
        <w:behaviors>
          <w:behavior w:val="content"/>
        </w:behaviors>
        <w:guid w:val="{B33D838C-89BF-4EE0-BD11-36DAB0D7CEAC}"/>
      </w:docPartPr>
      <w:docPartBody>
        <w:p w:rsidR="001978C7" w:rsidRDefault="00106A7E">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3D53"/>
    <w:rsid w:val="000B1744"/>
    <w:rsid w:val="000C75ED"/>
    <w:rsid w:val="00106A7E"/>
    <w:rsid w:val="00153D53"/>
    <w:rsid w:val="00196CB4"/>
    <w:rsid w:val="001978C7"/>
    <w:rsid w:val="00EF3A0A"/>
    <w:rsid w:val="00F07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AAA29C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6A7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REFITEM_VERSION xmlns="8264c5cc-ec60-4b56-8111-ce635d3d139a">8</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Pool Fund Management</UNDP_POPP_TITLE_EN>
    <Location xmlns="e560140e-7b2f-4392-90df-e7567e3021a3" xsi:nil="true"/>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01/01/2012                                                Version #: 8</DLCPolicyLabelValue>
    <UNDP_POPP_EFFECTIVEDATE xmlns="8264c5cc-ec60-4b56-8111-ce635d3d139a">2011-12-31T23:00:00+00:00</UNDP_POPP_EFFECTIVEDATE>
    <DLCPolicyLabelLock xmlns="e560140e-7b2f-4392-90df-e7567e3021a3" xsi:nil="true"/>
    <DLCPolicyLabelClientValue xmlns="e560140e-7b2f-4392-90df-e7567e3021a3" xsi:nil="true"/>
    <UNDP_POPP_BUSINESSUNITID_HIDDEN xmlns="8264c5cc-ec60-4b56-8111-ce635d3d139a" xsi:nil="true"/>
    <_dlc_DocId xmlns="8264c5cc-ec60-4b56-8111-ce635d3d139a">POPP-11-2203</_dlc_DocId>
    <_dlc_DocIdUrl xmlns="8264c5cc-ec60-4b56-8111-ce635d3d139a">
      <Url>https://popp.undp.org/_layouts/15/DocIdRedir.aspx?ID=POPP-11-2203</Url>
      <Description>POPP-11-2203</Description>
    </_dlc_DocIdUrl>
  </documentManagement>
</p:properties>
</file>

<file path=customXml/itemProps1.xml><?xml version="1.0" encoding="utf-8"?>
<ds:datastoreItem xmlns:ds="http://schemas.openxmlformats.org/officeDocument/2006/customXml" ds:itemID="{D3E19A3D-2E19-4870-A78B-BE520CACAF4C}">
  <ds:schemaRefs>
    <ds:schemaRef ds:uri="http://schemas.microsoft.com/sharepoint/v3/contenttype/forms"/>
  </ds:schemaRefs>
</ds:datastoreItem>
</file>

<file path=customXml/itemProps2.xml><?xml version="1.0" encoding="utf-8"?>
<ds:datastoreItem xmlns:ds="http://schemas.openxmlformats.org/officeDocument/2006/customXml" ds:itemID="{BB2F84FD-B7C5-4073-94A2-63DE4E5CB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D25FB5-FF4D-4A90-8E94-C589D9272CD0}">
  <ds:schemaRefs>
    <ds:schemaRef ds:uri="office.server.policy"/>
  </ds:schemaRefs>
</ds:datastoreItem>
</file>

<file path=customXml/itemProps4.xml><?xml version="1.0" encoding="utf-8"?>
<ds:datastoreItem xmlns:ds="http://schemas.openxmlformats.org/officeDocument/2006/customXml" ds:itemID="{467A7649-BE7C-41E5-9D69-2808C6BE7DE8}">
  <ds:schemaRefs>
    <ds:schemaRef ds:uri="http://schemas.microsoft.com/sharepoint/events"/>
  </ds:schemaRefs>
</ds:datastoreItem>
</file>

<file path=customXml/itemProps5.xml><?xml version="1.0" encoding="utf-8"?>
<ds:datastoreItem xmlns:ds="http://schemas.openxmlformats.org/officeDocument/2006/customXml" ds:itemID="{76E7DA4C-A4B3-499E-8FC7-9CDC785D700C}">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Haileslassie</dc:creator>
  <cp:keywords/>
  <cp:lastModifiedBy>Pablo Morete</cp:lastModifiedBy>
  <cp:revision>4</cp:revision>
  <dcterms:created xsi:type="dcterms:W3CDTF">2023-01-09T18:15:00Z</dcterms:created>
  <dcterms:modified xsi:type="dcterms:W3CDTF">2024-06-03T11:00:00Z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4ac11213-2199-47e5-8a76-55081076e159</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_POPP_BUSINESSPROCESS_HIDDEN">
    <vt:lpwstr/>
  </property>
  <property fmtid="{D5CDD505-2E9C-101B-9397-08002B2CF9AE}" pid="7" name="TaxCatchAll">
    <vt:lpwstr>350;#Financial Resources Management|682d4c54-a288-412d-bfec-ce5587bbd25c</vt:lpwstr>
  </property>
  <property fmtid="{D5CDD505-2E9C-101B-9397-08002B2CF9AE}" pid="8" name="l0e6ef0c43e74560bd7f3acd1f5e8571">
    <vt:lpwstr>Financial Resources Management|682d4c54-a288-412d-bfec-ce5587bbd25c</vt:lpwstr>
  </property>
  <property fmtid="{D5CDD505-2E9C-101B-9397-08002B2CF9AE}" pid="9" name="DLCPolicyLabelValue">
    <vt:lpwstr>Effective Date: {Effective Date}                                                Version #: {POPPRefItemVersion}</vt:lpwstr>
  </property>
</Properties>
</file>