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EDEB1" w14:textId="77777777" w:rsidR="00BD534D" w:rsidRPr="00F26E2F" w:rsidRDefault="00BD534D" w:rsidP="00125A97">
      <w:pPr>
        <w:shd w:val="clear" w:color="auto" w:fill="FFFFFF"/>
        <w:spacing w:line="360" w:lineRule="auto"/>
        <w:jc w:val="both"/>
        <w:textAlignment w:val="top"/>
        <w:rPr>
          <w:rFonts w:eastAsia="Times New Roman" w:cs="Arial"/>
          <w:b/>
          <w:bCs/>
          <w:sz w:val="28"/>
          <w:szCs w:val="24"/>
        </w:rPr>
      </w:pPr>
      <w:r>
        <w:rPr>
          <w:b/>
          <w:bCs/>
          <w:sz w:val="28"/>
          <w:szCs w:val="24"/>
        </w:rPr>
        <w:t xml:space="preserve">Cierre financiero de fondos fiduciarios </w:t>
      </w:r>
    </w:p>
    <w:p w14:paraId="283EDEB3" w14:textId="740AF665" w:rsidR="0065688C" w:rsidRPr="00F26E2F" w:rsidRDefault="003722FC" w:rsidP="4B1D9D53">
      <w:pPr>
        <w:pStyle w:val="ListParagraph"/>
        <w:numPr>
          <w:ilvl w:val="0"/>
          <w:numId w:val="1"/>
        </w:numPr>
        <w:shd w:val="clear" w:color="auto" w:fill="FFFFFF" w:themeFill="background1"/>
        <w:spacing w:after="0" w:line="240" w:lineRule="auto"/>
        <w:jc w:val="both"/>
        <w:textAlignment w:val="top"/>
        <w:rPr>
          <w:rFonts w:eastAsia="Times New Roman" w:cs="Arial"/>
          <w:color w:val="333333"/>
        </w:rPr>
      </w:pPr>
      <w:r w:rsidRPr="4B1D9D53">
        <w:rPr>
          <w:rFonts w:eastAsia="Times New Roman" w:cs="Arial"/>
          <w:vanish/>
          <w:color w:val="333333"/>
        </w:rPr>
        <w:t>Elemento de la estructura - Descripción</w:t>
      </w:r>
      <w:r w:rsidR="00BD534D" w:rsidRPr="4B1D9D53">
        <w:rPr>
          <w:color w:val="333333"/>
        </w:rPr>
        <w:t>La sección proporciona orientación sobre la gestión del cierre financiero de fondos fiduciarios.</w:t>
      </w:r>
      <w:r w:rsidRPr="4B1D9D53">
        <w:rPr>
          <w:color w:val="333333"/>
        </w:rPr>
        <w:t xml:space="preserve"> </w:t>
      </w:r>
      <w:r w:rsidRPr="4B1D9D53">
        <w:rPr>
          <w:rFonts w:eastAsia="Times New Roman" w:cs="Arial"/>
          <w:vanish/>
          <w:color w:val="333333"/>
        </w:rPr>
        <w:t xml:space="preserve">Elemento de la estructura </w:t>
      </w:r>
      <w:r w:rsidR="00BD534D" w:rsidRPr="4B1D9D53">
        <w:rPr>
          <w:vanish/>
          <w:color w:val="333333"/>
          <w:lang w:val="es-AR"/>
        </w:rPr>
        <w:t>-</w:t>
      </w:r>
      <w:r w:rsidRPr="4B1D9D53">
        <w:rPr>
          <w:vanish/>
          <w:color w:val="333333"/>
          <w:lang w:val="es-AR"/>
        </w:rPr>
        <w:t xml:space="preserve"> Políticas Pertinentes </w:t>
      </w:r>
      <w:r w:rsidR="00BD534D" w:rsidRPr="4B1D9D53">
        <w:rPr>
          <w:color w:val="333333"/>
        </w:rPr>
        <w:t xml:space="preserve">Los gerentes de fondos fiduciarios son responsables de identificar y autorizar el cierre de fondos fiduciarios inactivos. Los fondos fiduciarios inactivos son aquellos fondos fiduciarios que no han tenido ingresos, excepto los ingresos por intereses (cuenta 53045), o gastos a lo largo del año actual o el anterior. </w:t>
      </w:r>
    </w:p>
    <w:p w14:paraId="283EDEB4" w14:textId="77777777" w:rsidR="0065688C" w:rsidRPr="003722FC" w:rsidRDefault="0065688C" w:rsidP="0065688C">
      <w:pPr>
        <w:pStyle w:val="ListParagraph"/>
        <w:shd w:val="clear" w:color="auto" w:fill="FFFFFF"/>
        <w:spacing w:after="0" w:line="360" w:lineRule="auto"/>
        <w:jc w:val="both"/>
        <w:textAlignment w:val="top"/>
        <w:rPr>
          <w:rFonts w:eastAsia="Times New Roman" w:cs="Arial"/>
          <w:color w:val="333333"/>
          <w:szCs w:val="24"/>
          <w:lang w:val="es-AR"/>
        </w:rPr>
      </w:pPr>
    </w:p>
    <w:p w14:paraId="283EDEB5" w14:textId="77777777" w:rsidR="0065688C" w:rsidRPr="00F26E2F" w:rsidRDefault="00BD534D" w:rsidP="009179D8">
      <w:pPr>
        <w:pStyle w:val="ListParagraph"/>
        <w:numPr>
          <w:ilvl w:val="0"/>
          <w:numId w:val="1"/>
        </w:numPr>
        <w:shd w:val="clear" w:color="auto" w:fill="FFFFFF"/>
        <w:spacing w:after="0" w:line="240" w:lineRule="auto"/>
        <w:jc w:val="both"/>
        <w:textAlignment w:val="top"/>
        <w:rPr>
          <w:rFonts w:eastAsia="Times New Roman" w:cs="Arial"/>
          <w:color w:val="333333"/>
          <w:szCs w:val="24"/>
        </w:rPr>
      </w:pPr>
      <w:r>
        <w:rPr>
          <w:color w:val="333333"/>
          <w:szCs w:val="24"/>
        </w:rPr>
        <w:t>Cuando los términos de referencia (TdR) del fondo fiduciario especifican una fecha de finalización, el gerente del fondo fiduciario verifica que todas las actividades se completen en esta fecha o antes.</w:t>
      </w:r>
    </w:p>
    <w:p w14:paraId="283EDEB6" w14:textId="77777777" w:rsidR="0065688C" w:rsidRPr="003722FC" w:rsidRDefault="0065688C" w:rsidP="0065688C">
      <w:pPr>
        <w:shd w:val="clear" w:color="auto" w:fill="FFFFFF"/>
        <w:spacing w:after="0" w:line="360" w:lineRule="auto"/>
        <w:jc w:val="both"/>
        <w:textAlignment w:val="top"/>
        <w:rPr>
          <w:rFonts w:eastAsia="Times New Roman" w:cs="Arial"/>
          <w:color w:val="333333"/>
          <w:szCs w:val="24"/>
          <w:lang w:val="es-AR"/>
        </w:rPr>
      </w:pPr>
    </w:p>
    <w:p w14:paraId="283EDEB7" w14:textId="7FFF1932" w:rsidR="0065688C" w:rsidRPr="00F26E2F" w:rsidRDefault="00BD534D" w:rsidP="009179D8">
      <w:pPr>
        <w:pStyle w:val="ListParagraph"/>
        <w:numPr>
          <w:ilvl w:val="0"/>
          <w:numId w:val="1"/>
        </w:numPr>
        <w:shd w:val="clear" w:color="auto" w:fill="FFFFFF"/>
        <w:spacing w:after="0" w:line="240" w:lineRule="auto"/>
        <w:jc w:val="both"/>
        <w:textAlignment w:val="top"/>
        <w:rPr>
          <w:rFonts w:eastAsia="Times New Roman" w:cs="Arial"/>
          <w:color w:val="333333"/>
          <w:szCs w:val="24"/>
        </w:rPr>
      </w:pPr>
      <w:r>
        <w:rPr>
          <w:color w:val="333333"/>
          <w:szCs w:val="24"/>
        </w:rPr>
        <w:t xml:space="preserve">Para confirmar que se han completado todos los pasos de cierre necesarios y que todos los ingresos y gastos se han registrado en su totalidad en </w:t>
      </w:r>
      <w:r w:rsidR="0041748C">
        <w:rPr>
          <w:color w:val="333333"/>
          <w:szCs w:val="24"/>
        </w:rPr>
        <w:t>Quantum</w:t>
      </w:r>
      <w:r>
        <w:rPr>
          <w:color w:val="333333"/>
          <w:szCs w:val="24"/>
        </w:rPr>
        <w:t>, el gerente del fondo fiduciario debe firmar la</w:t>
      </w:r>
      <w:r>
        <w:t xml:space="preserve"> </w:t>
      </w:r>
      <w:hyperlink r:id="rId12" w:history="1">
        <w:r>
          <w:rPr>
            <w:rStyle w:val="Hyperlink"/>
          </w:rPr>
          <w:t>lista de verificación de finalización de fondo fiduciario</w:t>
        </w:r>
      </w:hyperlink>
      <w:r>
        <w:rPr>
          <w:b/>
          <w:bCs/>
          <w:color w:val="333333"/>
          <w:szCs w:val="24"/>
        </w:rPr>
        <w:t>.</w:t>
      </w:r>
    </w:p>
    <w:p w14:paraId="283EDEB8" w14:textId="77777777" w:rsidR="0065688C" w:rsidRPr="003722FC" w:rsidRDefault="0065688C" w:rsidP="0065688C">
      <w:pPr>
        <w:pStyle w:val="ListParagraph"/>
        <w:rPr>
          <w:rFonts w:eastAsia="Times New Roman" w:cs="Arial"/>
          <w:color w:val="333333"/>
          <w:szCs w:val="24"/>
          <w:lang w:val="es-AR"/>
        </w:rPr>
      </w:pPr>
    </w:p>
    <w:p w14:paraId="283EDEBA" w14:textId="03BEA381" w:rsidR="0065688C" w:rsidRPr="00F26E2F" w:rsidRDefault="00BD534D" w:rsidP="001C32C9">
      <w:pPr>
        <w:pStyle w:val="ListParagraph"/>
        <w:numPr>
          <w:ilvl w:val="0"/>
          <w:numId w:val="1"/>
        </w:numPr>
        <w:shd w:val="clear" w:color="auto" w:fill="FFFFFF"/>
        <w:spacing w:after="0" w:line="360" w:lineRule="auto"/>
        <w:jc w:val="both"/>
        <w:textAlignment w:val="top"/>
        <w:rPr>
          <w:rFonts w:eastAsia="Times New Roman" w:cs="Arial"/>
          <w:color w:val="333333"/>
          <w:szCs w:val="24"/>
        </w:rPr>
      </w:pPr>
      <w:r>
        <w:rPr>
          <w:color w:val="333333"/>
          <w:szCs w:val="24"/>
        </w:rPr>
        <w:t>Si existe un déficit a nivel del fondo fiduciario, se deben implementar las siguientes opciones:</w:t>
      </w:r>
    </w:p>
    <w:p w14:paraId="283EDEBB" w14:textId="77777777" w:rsidR="0065688C" w:rsidRPr="00F26E2F" w:rsidRDefault="00BD534D" w:rsidP="00EB553A">
      <w:pPr>
        <w:pStyle w:val="ListParagraph"/>
        <w:numPr>
          <w:ilvl w:val="0"/>
          <w:numId w:val="4"/>
        </w:numPr>
        <w:shd w:val="clear" w:color="auto" w:fill="FFFFFF"/>
        <w:spacing w:after="0" w:line="240" w:lineRule="auto"/>
        <w:jc w:val="both"/>
        <w:textAlignment w:val="top"/>
        <w:rPr>
          <w:rFonts w:eastAsia="Times New Roman" w:cs="Arial"/>
          <w:color w:val="333333"/>
          <w:szCs w:val="24"/>
        </w:rPr>
      </w:pPr>
      <w:r>
        <w:rPr>
          <w:color w:val="333333"/>
          <w:szCs w:val="24"/>
        </w:rPr>
        <w:t>Transferir otros fondos del programa (otro donante) al fondo fiduciario, si lo permite el acuerdo con el donante o si se obtiene el consentimiento del donante.</w:t>
      </w:r>
    </w:p>
    <w:p w14:paraId="283EDEBC" w14:textId="77777777" w:rsidR="0065688C" w:rsidRPr="00F26E2F" w:rsidRDefault="00BD534D" w:rsidP="00EB553A">
      <w:pPr>
        <w:pStyle w:val="ListParagraph"/>
        <w:numPr>
          <w:ilvl w:val="0"/>
          <w:numId w:val="4"/>
        </w:numPr>
        <w:shd w:val="clear" w:color="auto" w:fill="FFFFFF"/>
        <w:spacing w:after="0" w:line="240" w:lineRule="auto"/>
        <w:jc w:val="both"/>
        <w:textAlignment w:val="top"/>
        <w:rPr>
          <w:rFonts w:eastAsia="Times New Roman" w:cs="Arial"/>
          <w:color w:val="333333"/>
          <w:szCs w:val="24"/>
        </w:rPr>
      </w:pPr>
      <w:r>
        <w:rPr>
          <w:color w:val="333333"/>
          <w:szCs w:val="24"/>
        </w:rPr>
        <w:t>Transferir fondos extrapresupuestarios al fondo fiduciario.</w:t>
      </w:r>
    </w:p>
    <w:p w14:paraId="283EDEBD" w14:textId="72455C71" w:rsidR="00BD534D" w:rsidRPr="00F26E2F" w:rsidRDefault="00BD534D" w:rsidP="00EB553A">
      <w:pPr>
        <w:pStyle w:val="ListParagraph"/>
        <w:numPr>
          <w:ilvl w:val="0"/>
          <w:numId w:val="4"/>
        </w:numPr>
        <w:shd w:val="clear" w:color="auto" w:fill="FFFFFF"/>
        <w:spacing w:after="0" w:line="240" w:lineRule="auto"/>
        <w:jc w:val="both"/>
        <w:textAlignment w:val="top"/>
        <w:rPr>
          <w:rFonts w:eastAsia="Times New Roman" w:cs="Arial"/>
          <w:color w:val="333333"/>
          <w:szCs w:val="24"/>
        </w:rPr>
      </w:pPr>
      <w:r>
        <w:rPr>
          <w:color w:val="333333"/>
          <w:szCs w:val="24"/>
        </w:rPr>
        <w:t>Si persiste el déficit, se deben iniciar los procedimientos para cargar los TRAC 1 y 2 actuales o futuros (fondo 04000)</w:t>
      </w:r>
      <w:r w:rsidR="00F67A93">
        <w:rPr>
          <w:color w:val="333333"/>
          <w:szCs w:val="24"/>
        </w:rPr>
        <w:t>,</w:t>
      </w:r>
      <w:r>
        <w:rPr>
          <w:color w:val="333333"/>
          <w:szCs w:val="24"/>
        </w:rPr>
        <w:t xml:space="preserve"> el Fondo de participación en los gastos de la cofinanciación de país (fondo 11888), </w:t>
      </w:r>
      <w:r w:rsidR="00423930">
        <w:rPr>
          <w:color w:val="333333"/>
          <w:szCs w:val="24"/>
        </w:rPr>
        <w:t xml:space="preserve">o </w:t>
      </w:r>
      <w:r w:rsidR="00EA0426">
        <w:rPr>
          <w:color w:val="333333"/>
          <w:szCs w:val="24"/>
        </w:rPr>
        <w:t>s</w:t>
      </w:r>
      <w:r w:rsidR="00EA0426" w:rsidRPr="00EA0426">
        <w:rPr>
          <w:color w:val="333333"/>
          <w:szCs w:val="24"/>
        </w:rPr>
        <w:t>aldos residuales del proyecto de cofinanciamiento del país (fondo 11890)</w:t>
      </w:r>
      <w:r w:rsidR="00EA0426">
        <w:rPr>
          <w:color w:val="333333"/>
          <w:szCs w:val="24"/>
        </w:rPr>
        <w:t xml:space="preserve"> </w:t>
      </w:r>
      <w:r>
        <w:rPr>
          <w:color w:val="333333"/>
          <w:szCs w:val="24"/>
        </w:rPr>
        <w:t>de acuerdo con las directrices</w:t>
      </w:r>
      <w:r w:rsidR="005426D4">
        <w:rPr>
          <w:color w:val="333333"/>
          <w:szCs w:val="24"/>
        </w:rPr>
        <w:t xml:space="preserve"> </w:t>
      </w:r>
      <w:r w:rsidR="005426D4" w:rsidRPr="005426D4">
        <w:rPr>
          <w:color w:val="333333"/>
          <w:szCs w:val="24"/>
        </w:rPr>
        <w:t>aprobadas</w:t>
      </w:r>
      <w:r>
        <w:rPr>
          <w:color w:val="333333"/>
          <w:szCs w:val="24"/>
        </w:rPr>
        <w:t xml:space="preserve">. </w:t>
      </w:r>
    </w:p>
    <w:p w14:paraId="283EDEBE" w14:textId="77777777" w:rsidR="00BD534D" w:rsidRPr="003722FC" w:rsidRDefault="00BD534D" w:rsidP="00125A97">
      <w:pPr>
        <w:shd w:val="clear" w:color="auto" w:fill="FFFFFF"/>
        <w:spacing w:after="0" w:line="360" w:lineRule="auto"/>
        <w:jc w:val="both"/>
        <w:textAlignment w:val="top"/>
        <w:rPr>
          <w:rFonts w:eastAsia="Times New Roman" w:cs="Arial"/>
          <w:color w:val="333333"/>
          <w:sz w:val="10"/>
          <w:szCs w:val="10"/>
          <w:lang w:val="es-AR"/>
        </w:rPr>
      </w:pPr>
    </w:p>
    <w:p w14:paraId="283EDEBF" w14:textId="73A0DD2B" w:rsidR="00BD534D" w:rsidRPr="00F26E2F" w:rsidRDefault="00F5522D" w:rsidP="00F5522D">
      <w:pPr>
        <w:pStyle w:val="ListParagraph"/>
        <w:numPr>
          <w:ilvl w:val="0"/>
          <w:numId w:val="1"/>
        </w:numPr>
        <w:shd w:val="clear" w:color="auto" w:fill="FFFFFF"/>
        <w:spacing w:after="0" w:line="240" w:lineRule="auto"/>
        <w:jc w:val="both"/>
        <w:textAlignment w:val="top"/>
        <w:rPr>
          <w:rFonts w:eastAsia="Times New Roman" w:cs="Arial"/>
          <w:color w:val="333333"/>
          <w:szCs w:val="24"/>
        </w:rPr>
      </w:pPr>
      <w:r>
        <w:rPr>
          <w:color w:val="333333"/>
          <w:szCs w:val="24"/>
        </w:rPr>
        <w:t xml:space="preserve">Se debe notificar a la </w:t>
      </w:r>
      <w:r w:rsidR="00127659">
        <w:rPr>
          <w:color w:val="333333"/>
          <w:szCs w:val="24"/>
        </w:rPr>
        <w:t>Centro</w:t>
      </w:r>
      <w:r>
        <w:rPr>
          <w:color w:val="333333"/>
          <w:szCs w:val="24"/>
        </w:rPr>
        <w:t xml:space="preserve"> Mundial de Servicios Compartidos (GSS</w:t>
      </w:r>
      <w:r w:rsidR="00127659">
        <w:rPr>
          <w:color w:val="333333"/>
          <w:szCs w:val="24"/>
        </w:rPr>
        <w:t>C</w:t>
      </w:r>
      <w:r>
        <w:rPr>
          <w:color w:val="333333"/>
          <w:szCs w:val="24"/>
        </w:rPr>
        <w:t xml:space="preserve">, </w:t>
      </w:r>
      <w:r>
        <w:rPr>
          <w:i/>
          <w:color w:val="333333"/>
          <w:szCs w:val="24"/>
        </w:rPr>
        <w:t xml:space="preserve">Global Shared Services </w:t>
      </w:r>
      <w:r w:rsidR="00127659">
        <w:rPr>
          <w:i/>
          <w:color w:val="333333"/>
          <w:szCs w:val="24"/>
        </w:rPr>
        <w:t>Centre</w:t>
      </w:r>
      <w:r>
        <w:rPr>
          <w:color w:val="333333"/>
          <w:szCs w:val="24"/>
        </w:rPr>
        <w:t xml:space="preserve"> por sus siglas en inglés) y solicitarle que cierre cualquier contrato asociado creado en el módulo de contratos. El gerente del fondo fiduciario transfiere la lista de verificación de finalización de fondo fiduciario completada a sus respectivos burós, quienes deben revisarla, autorizarla y presentarla a Gestión e Informe de Desempeño Financiero (FPMR, </w:t>
      </w:r>
      <w:r>
        <w:rPr>
          <w:i/>
          <w:color w:val="333333"/>
          <w:szCs w:val="24"/>
        </w:rPr>
        <w:t>Financial Performance Management and Reporting</w:t>
      </w:r>
      <w:r>
        <w:rPr>
          <w:color w:val="333333"/>
          <w:szCs w:val="24"/>
        </w:rPr>
        <w:t xml:space="preserve">, por sus siglas en inglés) de la Oficina de Gestión de Recursos Financieros (OFM, </w:t>
      </w:r>
      <w:r>
        <w:rPr>
          <w:i/>
          <w:color w:val="333333"/>
          <w:szCs w:val="24"/>
        </w:rPr>
        <w:t>Office of Financial Management</w:t>
      </w:r>
      <w:r>
        <w:rPr>
          <w:color w:val="333333"/>
          <w:szCs w:val="24"/>
        </w:rPr>
        <w:t xml:space="preserve">, por sus siglas en inglés), junto con los documentos y el análisis de respaldo pertinentes (i) para reembolsar o transferir el saldo de recursos restante del fondo fiduciario y (ii) para el cierre financiero del fondo fiduciario en </w:t>
      </w:r>
      <w:r w:rsidR="00127659">
        <w:rPr>
          <w:color w:val="333333"/>
          <w:szCs w:val="24"/>
        </w:rPr>
        <w:t>Quantum</w:t>
      </w:r>
      <w:r>
        <w:rPr>
          <w:color w:val="333333"/>
          <w:szCs w:val="24"/>
        </w:rPr>
        <w:t xml:space="preserve">. </w:t>
      </w:r>
    </w:p>
    <w:p w14:paraId="283EDEC0" w14:textId="77777777" w:rsidR="00F5522D" w:rsidRPr="003722FC" w:rsidRDefault="00F5522D" w:rsidP="00F5522D">
      <w:pPr>
        <w:pStyle w:val="ListParagraph"/>
        <w:shd w:val="clear" w:color="auto" w:fill="FFFFFF"/>
        <w:spacing w:after="0" w:line="240" w:lineRule="auto"/>
        <w:jc w:val="both"/>
        <w:textAlignment w:val="top"/>
        <w:rPr>
          <w:rFonts w:eastAsia="Times New Roman" w:cs="Arial"/>
          <w:color w:val="333333"/>
          <w:szCs w:val="24"/>
          <w:lang w:val="es-AR"/>
        </w:rPr>
      </w:pPr>
    </w:p>
    <w:p w14:paraId="283EDEC1" w14:textId="3408644D" w:rsidR="00A53E45" w:rsidRPr="00F26E2F" w:rsidRDefault="00BD534D" w:rsidP="00F5522D">
      <w:pPr>
        <w:pStyle w:val="ListParagraph"/>
        <w:numPr>
          <w:ilvl w:val="0"/>
          <w:numId w:val="1"/>
        </w:numPr>
        <w:shd w:val="clear" w:color="auto" w:fill="FFFFFF"/>
        <w:spacing w:after="0" w:line="240" w:lineRule="auto"/>
        <w:jc w:val="both"/>
        <w:textAlignment w:val="top"/>
        <w:rPr>
          <w:rFonts w:eastAsia="Times New Roman" w:cs="Arial"/>
          <w:color w:val="333333"/>
          <w:szCs w:val="24"/>
        </w:rPr>
      </w:pPr>
      <w:r>
        <w:rPr>
          <w:color w:val="333333"/>
          <w:szCs w:val="24"/>
        </w:rPr>
        <w:t xml:space="preserve">El acuerdo de contribución con el donante y los TdR del fondo fiduciario determinarán si los saldos no utilizados se reembolsan o se transfieren. Consultar las </w:t>
      </w:r>
      <w:r>
        <w:rPr>
          <w:bCs/>
          <w:color w:val="333333"/>
          <w:szCs w:val="24"/>
        </w:rPr>
        <w:t xml:space="preserve">secciones (i) </w:t>
      </w:r>
      <w:hyperlink r:id="rId13" w:history="1">
        <w:r>
          <w:rPr>
            <w:rStyle w:val="Hyperlink"/>
          </w:rPr>
          <w:t>reembolso a los donantes</w:t>
        </w:r>
      </w:hyperlink>
      <w:r>
        <w:t xml:space="preserve"> </w:t>
      </w:r>
      <w:r>
        <w:rPr>
          <w:szCs w:val="24"/>
        </w:rPr>
        <w:t>o (</w:t>
      </w:r>
      <w:r>
        <w:rPr>
          <w:color w:val="333333"/>
          <w:szCs w:val="24"/>
        </w:rPr>
        <w:t>ii)</w:t>
      </w:r>
      <w:r>
        <w:t xml:space="preserve"> </w:t>
      </w:r>
      <w:hyperlink r:id="rId14" w:history="1">
        <w:r>
          <w:rPr>
            <w:rStyle w:val="Hyperlink"/>
          </w:rPr>
          <w:t>transferencias donde no se reembolsan los saldos no utilizados</w:t>
        </w:r>
      </w:hyperlink>
      <w:r>
        <w:t>.</w:t>
      </w:r>
    </w:p>
    <w:p w14:paraId="283EDEC2" w14:textId="77777777" w:rsidR="0015697F" w:rsidRPr="003722FC" w:rsidRDefault="0015697F" w:rsidP="0015697F">
      <w:pPr>
        <w:pStyle w:val="ListParagraph"/>
        <w:shd w:val="clear" w:color="auto" w:fill="FFFFFF"/>
        <w:spacing w:after="0" w:line="360" w:lineRule="auto"/>
        <w:jc w:val="both"/>
        <w:textAlignment w:val="top"/>
        <w:rPr>
          <w:rFonts w:eastAsia="Times New Roman" w:cs="Arial"/>
          <w:color w:val="333333"/>
          <w:szCs w:val="24"/>
          <w:lang w:val="es-AR"/>
        </w:rPr>
      </w:pPr>
    </w:p>
    <w:p w14:paraId="283EDEC3" w14:textId="6FE0BFFB" w:rsidR="00CA2F92" w:rsidRPr="0007117D" w:rsidRDefault="00F5522D" w:rsidP="00F5522D">
      <w:pPr>
        <w:pStyle w:val="ListParagraph"/>
        <w:numPr>
          <w:ilvl w:val="0"/>
          <w:numId w:val="1"/>
        </w:numPr>
        <w:shd w:val="clear" w:color="auto" w:fill="FFFFFF"/>
        <w:spacing w:after="0" w:line="240" w:lineRule="auto"/>
        <w:jc w:val="both"/>
        <w:textAlignment w:val="top"/>
        <w:rPr>
          <w:rFonts w:eastAsia="Times New Roman" w:cs="Arial"/>
          <w:color w:val="333333"/>
          <w:szCs w:val="24"/>
        </w:rPr>
      </w:pPr>
      <w:r>
        <w:rPr>
          <w:color w:val="333333"/>
          <w:szCs w:val="24"/>
        </w:rPr>
        <w:t xml:space="preserve">La OFM es responsable de cambiar el estado del fondo fiduciario en </w:t>
      </w:r>
      <w:r w:rsidR="00CA2F92">
        <w:rPr>
          <w:color w:val="333333"/>
          <w:szCs w:val="24"/>
        </w:rPr>
        <w:t>Quantum</w:t>
      </w:r>
      <w:r>
        <w:rPr>
          <w:color w:val="333333"/>
          <w:szCs w:val="24"/>
        </w:rPr>
        <w:t xml:space="preserve"> desactivando los códigos de fondo, luego de obtener la aprobación del gerente del fondo fiduciario y después de que los saldos del fondo hayan sido reembolsados o transferidos del fondo fiduciario.</w:t>
      </w:r>
    </w:p>
    <w:p w14:paraId="22E37901" w14:textId="77777777" w:rsidR="0007117D" w:rsidRDefault="0007117D" w:rsidP="0007117D">
      <w:pPr>
        <w:shd w:val="clear" w:color="auto" w:fill="FFFFFF"/>
        <w:spacing w:after="0" w:line="240" w:lineRule="auto"/>
        <w:jc w:val="both"/>
        <w:textAlignment w:val="top"/>
        <w:rPr>
          <w:rFonts w:eastAsia="Times New Roman" w:cs="Arial"/>
          <w:color w:val="333333"/>
          <w:szCs w:val="24"/>
        </w:rPr>
      </w:pPr>
    </w:p>
    <w:p w14:paraId="25E43708" w14:textId="77777777" w:rsidR="0007117D" w:rsidRDefault="0007117D" w:rsidP="0007117D">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bdr w:val="none" w:sz="0" w:space="0" w:color="auto" w:frame="1"/>
        </w:rPr>
        <w:lastRenderedPageBreak/>
        <w:t>Disclaimer: This document was translated from English into Spanish. In the event of any discrepancy between this translation and the original English document, the original English document shall prevail.</w:t>
      </w:r>
    </w:p>
    <w:p w14:paraId="3F1FED25" w14:textId="77777777" w:rsidR="0007117D" w:rsidRDefault="0007117D" w:rsidP="0007117D">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bdr w:val="none" w:sz="0" w:space="0" w:color="auto" w:frame="1"/>
        </w:rPr>
        <w:t> </w:t>
      </w:r>
    </w:p>
    <w:p w14:paraId="46D989F8" w14:textId="77777777" w:rsidR="0007117D" w:rsidRPr="0007117D" w:rsidRDefault="0007117D" w:rsidP="0007117D">
      <w:pPr>
        <w:pStyle w:val="NormalWeb"/>
        <w:shd w:val="clear" w:color="auto" w:fill="FFFFFF"/>
        <w:spacing w:before="0" w:beforeAutospacing="0" w:after="0" w:afterAutospacing="0"/>
        <w:jc w:val="center"/>
        <w:rPr>
          <w:rFonts w:ascii="Calibri" w:hAnsi="Calibri"/>
          <w:color w:val="201F1E"/>
          <w:sz w:val="23"/>
          <w:szCs w:val="23"/>
          <w:lang w:val="es-ES_tradnl"/>
        </w:rPr>
      </w:pPr>
      <w:r>
        <w:rPr>
          <w:rFonts w:ascii="Calibri" w:hAnsi="Calibri"/>
          <w:i/>
          <w:iCs/>
          <w:color w:val="000000"/>
          <w:bdr w:val="none" w:sz="0" w:space="0" w:color="auto" w:frame="1"/>
          <w:shd w:val="clear" w:color="auto" w:fill="FFFFFF"/>
          <w:lang w:val="es-ES_tradnl"/>
        </w:rPr>
        <w:t>Descargo de responsabilidad: esta es una traducción de un documento original en inglés. </w:t>
      </w:r>
      <w:r>
        <w:rPr>
          <w:rFonts w:ascii="Calibri" w:hAnsi="Calibri"/>
          <w:i/>
          <w:iCs/>
          <w:color w:val="000000"/>
          <w:bdr w:val="none" w:sz="0" w:space="0" w:color="auto" w:frame="1"/>
          <w:shd w:val="clear" w:color="auto" w:fill="FFFFFF"/>
          <w:lang w:val="es-UY"/>
        </w:rPr>
        <w:t>En caso de discrepancias entre esta traducción y el documento original en inglés, prevalecerá el documento original en inglés.</w:t>
      </w:r>
    </w:p>
    <w:p w14:paraId="1CBBCF7A" w14:textId="77777777" w:rsidR="0007117D" w:rsidRPr="0007117D" w:rsidRDefault="0007117D" w:rsidP="0007117D">
      <w:pPr>
        <w:shd w:val="clear" w:color="auto" w:fill="FFFFFF"/>
        <w:spacing w:after="0" w:line="240" w:lineRule="auto"/>
        <w:jc w:val="both"/>
        <w:textAlignment w:val="top"/>
        <w:rPr>
          <w:rFonts w:eastAsia="Times New Roman" w:cs="Arial"/>
          <w:color w:val="333333"/>
          <w:szCs w:val="24"/>
          <w:lang w:val="es-ES_tradnl"/>
        </w:rPr>
      </w:pPr>
    </w:p>
    <w:sectPr w:rsidR="0007117D" w:rsidRPr="0007117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F3911" w14:textId="77777777" w:rsidR="00B249B7" w:rsidRDefault="00B249B7" w:rsidP="00F259BB">
      <w:pPr>
        <w:spacing w:after="0" w:line="240" w:lineRule="auto"/>
      </w:pPr>
      <w:r>
        <w:separator/>
      </w:r>
    </w:p>
  </w:endnote>
  <w:endnote w:type="continuationSeparator" w:id="0">
    <w:p w14:paraId="5FBC4EDF" w14:textId="77777777" w:rsidR="00B249B7" w:rsidRDefault="00B249B7" w:rsidP="00F25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DEC9" w14:textId="66C17BCB" w:rsidR="00F259BB" w:rsidRDefault="00F26E2F">
    <w:pPr>
      <w:pStyle w:val="Footer"/>
    </w:pPr>
    <w:r>
      <w:t xml:space="preserve">Página </w:t>
    </w:r>
    <w:r>
      <w:rPr>
        <w:b/>
      </w:rPr>
      <w:fldChar w:fldCharType="begin"/>
    </w:r>
    <w:r>
      <w:rPr>
        <w:b/>
      </w:rPr>
      <w:instrText xml:space="preserve"> PAGE  \* Arabic  \* MERGEFORMAT </w:instrText>
    </w:r>
    <w:r>
      <w:rPr>
        <w:b/>
      </w:rPr>
      <w:fldChar w:fldCharType="separate"/>
    </w:r>
    <w:r w:rsidR="0007117D">
      <w:rPr>
        <w:b/>
        <w:noProof/>
      </w:rPr>
      <w:t>2</w:t>
    </w:r>
    <w:r>
      <w:rPr>
        <w:b/>
      </w:rPr>
      <w:fldChar w:fldCharType="end"/>
    </w:r>
    <w:r>
      <w:t xml:space="preserve"> de </w:t>
    </w:r>
    <w:r>
      <w:rPr>
        <w:b/>
      </w:rPr>
      <w:fldChar w:fldCharType="begin"/>
    </w:r>
    <w:r>
      <w:rPr>
        <w:b/>
      </w:rPr>
      <w:instrText xml:space="preserve"> NUMPAGES  \* Arabic  \* MERGEFORMAT </w:instrText>
    </w:r>
    <w:r>
      <w:rPr>
        <w:b/>
      </w:rPr>
      <w:fldChar w:fldCharType="separate"/>
    </w:r>
    <w:r w:rsidR="0007117D">
      <w:rPr>
        <w:b/>
        <w:noProof/>
      </w:rPr>
      <w:t>2</w:t>
    </w:r>
    <w:r>
      <w:rPr>
        <w:b/>
      </w:rPr>
      <w:fldChar w:fldCharType="end"/>
    </w:r>
    <w:r>
      <w:ptab w:relativeTo="margin" w:alignment="center" w:leader="none"/>
    </w:r>
    <w:r>
      <w:t xml:space="preserve">Fecha de entrada en vigor: </w:t>
    </w:r>
    <w:r w:rsidR="00570BE8">
      <w:t>01/01/2023</w:t>
    </w:r>
    <w:r>
      <w:ptab w:relativeTo="margin" w:alignment="right" w:leader="none"/>
    </w:r>
    <w:r>
      <w:t xml:space="preserve">Versión #: </w:t>
    </w:r>
    <w:sdt>
      <w:sdtPr>
        <w:alias w:val="POPPRefItemVersion"/>
        <w:tag w:val="UNDP_POPP_REFITEM_VERSION"/>
        <w:id w:val="-1890021562"/>
        <w:placeholder>
          <w:docPart w:val="783C816632024CE19F6614D097B54743"/>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E41FB9E2-8E54-4E2C-A404-1902C79ABE44}"/>
        <w:text/>
      </w:sdtPr>
      <w:sdtEndPr/>
      <w:sdtContent>
        <w:r w:rsidR="009C18E9">
          <w:t>6</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D2151" w14:textId="77777777" w:rsidR="00B249B7" w:rsidRDefault="00B249B7" w:rsidP="00F259BB">
      <w:pPr>
        <w:spacing w:after="0" w:line="240" w:lineRule="auto"/>
      </w:pPr>
      <w:r>
        <w:separator/>
      </w:r>
    </w:p>
  </w:footnote>
  <w:footnote w:type="continuationSeparator" w:id="0">
    <w:p w14:paraId="6E5457FE" w14:textId="77777777" w:rsidR="00B249B7" w:rsidRDefault="00B249B7" w:rsidP="00F25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461FB" w14:textId="5CCA333E" w:rsidR="00001CC8" w:rsidRDefault="002978FA" w:rsidP="002978FA">
    <w:pPr>
      <w:pStyle w:val="Header"/>
      <w:jc w:val="right"/>
    </w:pPr>
    <w:r>
      <w:rPr>
        <w:noProof/>
      </w:rPr>
      <w:drawing>
        <wp:inline distT="0" distB="0" distL="0" distR="0" wp14:anchorId="541CB900" wp14:editId="6CF208EB">
          <wp:extent cx="293370" cy="578485"/>
          <wp:effectExtent l="0" t="0" r="0" b="0"/>
          <wp:docPr id="28897184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7184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554" b="17704"/>
                  <a:stretch/>
                </pic:blipFill>
                <pic:spPr bwMode="auto">
                  <a:xfrm>
                    <a:off x="0" y="0"/>
                    <a:ext cx="293370" cy="57848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3CF"/>
    <w:multiLevelType w:val="hybridMultilevel"/>
    <w:tmpl w:val="2BD6175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CB6133"/>
    <w:multiLevelType w:val="hybridMultilevel"/>
    <w:tmpl w:val="46DCFA0E"/>
    <w:lvl w:ilvl="0" w:tplc="0409000F">
      <w:start w:val="1"/>
      <w:numFmt w:val="decimal"/>
      <w:lvlText w:val="%1."/>
      <w:lvlJc w:val="left"/>
      <w:pPr>
        <w:ind w:left="720" w:hanging="360"/>
      </w:pPr>
    </w:lvl>
    <w:lvl w:ilvl="1" w:tplc="0BD4095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3470E4"/>
    <w:multiLevelType w:val="hybridMultilevel"/>
    <w:tmpl w:val="39DAB6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2239E1"/>
    <w:multiLevelType w:val="hybridMultilevel"/>
    <w:tmpl w:val="3656E8A6"/>
    <w:lvl w:ilvl="0" w:tplc="E71CB7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3642477">
    <w:abstractNumId w:val="1"/>
  </w:num>
  <w:num w:numId="2" w16cid:durableId="1788353849">
    <w:abstractNumId w:val="3"/>
  </w:num>
  <w:num w:numId="3" w16cid:durableId="1558593645">
    <w:abstractNumId w:val="0"/>
  </w:num>
  <w:num w:numId="4" w16cid:durableId="6903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34D"/>
    <w:rsid w:val="00001CC8"/>
    <w:rsid w:val="0007117D"/>
    <w:rsid w:val="000B3647"/>
    <w:rsid w:val="000C0FCF"/>
    <w:rsid w:val="00125A97"/>
    <w:rsid w:val="00127659"/>
    <w:rsid w:val="0015697F"/>
    <w:rsid w:val="001A3FCE"/>
    <w:rsid w:val="001C32C9"/>
    <w:rsid w:val="002132B9"/>
    <w:rsid w:val="0026052A"/>
    <w:rsid w:val="002978FA"/>
    <w:rsid w:val="003722FC"/>
    <w:rsid w:val="0041748C"/>
    <w:rsid w:val="00423930"/>
    <w:rsid w:val="00533BD5"/>
    <w:rsid w:val="005426D4"/>
    <w:rsid w:val="00570BE8"/>
    <w:rsid w:val="0060596B"/>
    <w:rsid w:val="0065688C"/>
    <w:rsid w:val="007755FE"/>
    <w:rsid w:val="008D2EA0"/>
    <w:rsid w:val="009179D8"/>
    <w:rsid w:val="00974D39"/>
    <w:rsid w:val="009C18E9"/>
    <w:rsid w:val="009E1735"/>
    <w:rsid w:val="009F52DD"/>
    <w:rsid w:val="00A15C03"/>
    <w:rsid w:val="00A53E45"/>
    <w:rsid w:val="00AB5F09"/>
    <w:rsid w:val="00AD6BA3"/>
    <w:rsid w:val="00AE5077"/>
    <w:rsid w:val="00B249B7"/>
    <w:rsid w:val="00BD534D"/>
    <w:rsid w:val="00C52C38"/>
    <w:rsid w:val="00CA2F92"/>
    <w:rsid w:val="00D039D5"/>
    <w:rsid w:val="00DE217E"/>
    <w:rsid w:val="00EA0426"/>
    <w:rsid w:val="00EB553A"/>
    <w:rsid w:val="00F259BB"/>
    <w:rsid w:val="00F26E2F"/>
    <w:rsid w:val="00F51B61"/>
    <w:rsid w:val="00F5522D"/>
    <w:rsid w:val="00F67A93"/>
    <w:rsid w:val="00FC7C27"/>
    <w:rsid w:val="0C33FB28"/>
    <w:rsid w:val="0E85F027"/>
    <w:rsid w:val="34C5E588"/>
    <w:rsid w:val="4B1D9D53"/>
    <w:rsid w:val="77995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3EDEB1"/>
  <w15:docId w15:val="{F62F443E-E7B3-4241-8CB2-64E9524B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3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534D"/>
    <w:rPr>
      <w:color w:val="0563C1"/>
      <w:u w:val="single"/>
    </w:rPr>
  </w:style>
  <w:style w:type="paragraph" w:styleId="ListParagraph">
    <w:name w:val="List Paragraph"/>
    <w:basedOn w:val="Normal"/>
    <w:uiPriority w:val="34"/>
    <w:qFormat/>
    <w:rsid w:val="00125A97"/>
    <w:pPr>
      <w:ind w:left="720"/>
      <w:contextualSpacing/>
    </w:pPr>
  </w:style>
  <w:style w:type="paragraph" w:styleId="Header">
    <w:name w:val="header"/>
    <w:basedOn w:val="Normal"/>
    <w:link w:val="HeaderChar"/>
    <w:uiPriority w:val="99"/>
    <w:unhideWhenUsed/>
    <w:rsid w:val="00F25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9BB"/>
  </w:style>
  <w:style w:type="paragraph" w:styleId="Footer">
    <w:name w:val="footer"/>
    <w:basedOn w:val="Normal"/>
    <w:link w:val="FooterChar"/>
    <w:uiPriority w:val="99"/>
    <w:unhideWhenUsed/>
    <w:rsid w:val="00F25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9BB"/>
  </w:style>
  <w:style w:type="character" w:styleId="FollowedHyperlink">
    <w:name w:val="FollowedHyperlink"/>
    <w:basedOn w:val="DefaultParagraphFont"/>
    <w:uiPriority w:val="99"/>
    <w:semiHidden/>
    <w:unhideWhenUsed/>
    <w:rsid w:val="00FC7C27"/>
    <w:rPr>
      <w:color w:val="954F72" w:themeColor="followedHyperlink"/>
      <w:u w:val="single"/>
    </w:rPr>
  </w:style>
  <w:style w:type="character" w:styleId="PlaceholderText">
    <w:name w:val="Placeholder Text"/>
    <w:basedOn w:val="DefaultParagraphFont"/>
    <w:uiPriority w:val="99"/>
    <w:semiHidden/>
    <w:rsid w:val="00001CC8"/>
    <w:rPr>
      <w:color w:val="808080"/>
    </w:rPr>
  </w:style>
  <w:style w:type="paragraph" w:styleId="BalloonText">
    <w:name w:val="Balloon Text"/>
    <w:basedOn w:val="Normal"/>
    <w:link w:val="BalloonTextChar"/>
    <w:uiPriority w:val="99"/>
    <w:semiHidden/>
    <w:unhideWhenUsed/>
    <w:rsid w:val="00F26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E2F"/>
    <w:rPr>
      <w:rFonts w:ascii="Tahoma" w:hAnsi="Tahoma" w:cs="Tahoma"/>
      <w:sz w:val="16"/>
      <w:szCs w:val="16"/>
    </w:rPr>
  </w:style>
  <w:style w:type="paragraph" w:styleId="NormalWeb">
    <w:name w:val="Normal (Web)"/>
    <w:basedOn w:val="Normal"/>
    <w:uiPriority w:val="99"/>
    <w:semiHidden/>
    <w:unhideWhenUsed/>
    <w:rsid w:val="0007117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53934">
      <w:bodyDiv w:val="1"/>
      <w:marLeft w:val="0"/>
      <w:marRight w:val="0"/>
      <w:marTop w:val="0"/>
      <w:marBottom w:val="0"/>
      <w:divBdr>
        <w:top w:val="none" w:sz="0" w:space="0" w:color="auto"/>
        <w:left w:val="none" w:sz="0" w:space="0" w:color="auto"/>
        <w:bottom w:val="none" w:sz="0" w:space="0" w:color="auto"/>
        <w:right w:val="none" w:sz="0" w:space="0" w:color="auto"/>
      </w:divBdr>
    </w:div>
    <w:div w:id="189854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es/node/11431"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opp.undp.org/node/506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111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C816632024CE19F6614D097B54743"/>
        <w:category>
          <w:name w:val="General"/>
          <w:gallery w:val="placeholder"/>
        </w:category>
        <w:types>
          <w:type w:val="bbPlcHdr"/>
        </w:types>
        <w:behaviors>
          <w:behavior w:val="content"/>
        </w:behaviors>
        <w:guid w:val="{FAFE65F1-9A04-4602-8042-F04F3FA46E0E}"/>
      </w:docPartPr>
      <w:docPartBody>
        <w:p w:rsidR="000C0C20" w:rsidRDefault="000B3647">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580"/>
    <w:rsid w:val="0005072F"/>
    <w:rsid w:val="000B3647"/>
    <w:rsid w:val="000C0C20"/>
    <w:rsid w:val="002A3F34"/>
    <w:rsid w:val="004B0E2D"/>
    <w:rsid w:val="004F4580"/>
    <w:rsid w:val="00D20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3B925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364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cation xmlns="e560140e-7b2f-4392-90df-e7567e3021a3">Public</Location>
    <UNDP_POPP_NOTE xmlns="8264c5cc-ec60-4b56-8111-ce635d3d139a" xsi:nil="true"/>
    <TaxCatchAll xmlns="8264c5cc-ec60-4b56-8111-ce635d3d139a">
      <Value>350</Value>
    </TaxCatchAll>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2011-12-31T23:00:00+00:00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Cierre financiero de fondos fiduciarios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POPP-11-3161</_dlc_DocId>
    <_dlc_DocIdUrl xmlns="8264c5cc-ec60-4b56-8111-ce635d3d139a">
      <Url>https://popp.undp.org/_layouts/15/DocIdRedir.aspx?ID=POPP-11-3161</Url>
      <Description>POPP-11-3161</Description>
    </_dlc_DocIdUrl>
    <UNDP_POPP_REFITEM_VERSION xmlns="8264c5cc-ec60-4b56-8111-ce635d3d139a">6</UNDP_POPP_REFITEM_VERSION>
    <DLCPolicyLabelLock xmlns="e560140e-7b2f-4392-90df-e7567e3021a3" xsi:nil="true"/>
    <DLCPolicyLabelClientValue xmlns="e560140e-7b2f-4392-90df-e7567e3021a3">Effective Date: 12/31/2011                                                Version #: 6.0</DLCPolicyLabelClientValue>
    <UNDP_POPP_LASTMODIFIED xmlns="8264c5cc-ec60-4b56-8111-ce635d3d139a" xsi:nil="true"/>
    <DLCPolicyLabelValue xmlns="e560140e-7b2f-4392-90df-e7567e3021a3">Effective Date: 12/31/2011                                                Version #: 6.0</DLCPolicyLabelValue>
    <UNDP_POPP_REJECT_COMMENTS xmlns="8264c5cc-ec60-4b56-8111-ce635d3d139a" xsi:nil="true"/>
    <POPPIsArchived xmlns="e560140e-7b2f-4392-90df-e7567e3021a3">false</POPPIsArchive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CE2576-AE29-4B3B-8D1C-5AC2A7C9FE6A}">
  <ds:schemaRefs>
    <ds:schemaRef ds:uri="office.server.policy"/>
  </ds:schemaRefs>
</ds:datastoreItem>
</file>

<file path=customXml/itemProps2.xml><?xml version="1.0" encoding="utf-8"?>
<ds:datastoreItem xmlns:ds="http://schemas.openxmlformats.org/officeDocument/2006/customXml" ds:itemID="{8D6EAD6B-F51D-49AA-B8FF-4F39973A0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9AFF9-CECF-447E-ACA8-6FB5A36F0ADB}">
  <ds:schemaRefs>
    <ds:schemaRef ds:uri="http://schemas.microsoft.com/sharepoint/v3/contenttype/forms"/>
  </ds:schemaRefs>
</ds:datastoreItem>
</file>

<file path=customXml/itemProps4.xml><?xml version="1.0" encoding="utf-8"?>
<ds:datastoreItem xmlns:ds="http://schemas.openxmlformats.org/officeDocument/2006/customXml" ds:itemID="{E41FB9E2-8E54-4E2C-A404-1902C79ABE44}">
  <ds:schemaRefs>
    <ds:schemaRef ds:uri="http://purl.org/dc/dcmitype/"/>
    <ds:schemaRef ds:uri="http://schemas.microsoft.com/office/2006/metadata/properties"/>
    <ds:schemaRef ds:uri="http://www.w3.org/XML/1998/namespace"/>
    <ds:schemaRef ds:uri="http://schemas.microsoft.com/office/infopath/2007/PartnerControls"/>
    <ds:schemaRef ds:uri="8264c5cc-ec60-4b56-8111-ce635d3d139a"/>
    <ds:schemaRef ds:uri="http://purl.org/dc/elements/1.1/"/>
    <ds:schemaRef ds:uri="http://schemas.microsoft.com/office/2006/documentManagement/types"/>
    <ds:schemaRef ds:uri="http://schemas.openxmlformats.org/package/2006/metadata/core-properties"/>
    <ds:schemaRef ds:uri="e560140e-7b2f-4392-90df-e7567e3021a3"/>
    <ds:schemaRef ds:uri="http://schemas.microsoft.com/sharepoint/v3"/>
    <ds:schemaRef ds:uri="http://purl.org/dc/terms/"/>
  </ds:schemaRefs>
</ds:datastoreItem>
</file>

<file path=customXml/itemProps5.xml><?xml version="1.0" encoding="utf-8"?>
<ds:datastoreItem xmlns:ds="http://schemas.openxmlformats.org/officeDocument/2006/customXml" ds:itemID="{D29184C5-273E-4668-9389-708748B574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Rahel Haileslassie</dc:creator>
  <cp:lastModifiedBy>Emiliana Zhivkova</cp:lastModifiedBy>
  <cp:revision>16</cp:revision>
  <dcterms:created xsi:type="dcterms:W3CDTF">2019-08-22T23:17:00Z</dcterms:created>
  <dcterms:modified xsi:type="dcterms:W3CDTF">2023-08-11T09:02:00Z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e49c395e-a971-4d1c-91f1-cf34968e5687</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