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52CD9" w14:textId="77777777" w:rsidR="008D2D93" w:rsidRPr="003B7591" w:rsidRDefault="008D2D93" w:rsidP="008D2D93">
      <w:pPr>
        <w:spacing w:after="132" w:line="259" w:lineRule="auto"/>
        <w:ind w:left="0" w:right="0" w:firstLine="0"/>
        <w:jc w:val="left"/>
        <w:rPr>
          <w:color w:val="auto"/>
          <w:lang w:val="en-GB"/>
        </w:rPr>
      </w:pPr>
      <w:r w:rsidRPr="003B7591">
        <w:rPr>
          <w:b/>
          <w:color w:val="auto"/>
          <w:sz w:val="28"/>
          <w:lang w:val="en-GB"/>
        </w:rPr>
        <w:t xml:space="preserve">Direct Payments  </w:t>
      </w:r>
    </w:p>
    <w:p w14:paraId="5E766C6D" w14:textId="042CA697" w:rsidR="008D2D93" w:rsidRPr="008A4006" w:rsidRDefault="008D2D93" w:rsidP="008A4006">
      <w:pPr>
        <w:numPr>
          <w:ilvl w:val="0"/>
          <w:numId w:val="1"/>
        </w:numPr>
        <w:spacing w:line="259" w:lineRule="auto"/>
        <w:ind w:left="706" w:right="-14" w:hanging="360"/>
        <w:rPr>
          <w:color w:val="auto"/>
          <w:lang w:val="en-GB"/>
        </w:rPr>
      </w:pPr>
      <w:r w:rsidRPr="008A4006">
        <w:rPr>
          <w:color w:val="auto"/>
          <w:lang w:val="en-GB"/>
        </w:rPr>
        <w:t>For Partners (</w:t>
      </w:r>
      <w:r w:rsidR="005846D0">
        <w:rPr>
          <w:color w:val="auto"/>
          <w:lang w:val="en-GB"/>
        </w:rPr>
        <w:t>I</w:t>
      </w:r>
      <w:r w:rsidRPr="008A4006">
        <w:rPr>
          <w:color w:val="auto"/>
          <w:lang w:val="en-GB"/>
        </w:rPr>
        <w:t xml:space="preserve">mplementing </w:t>
      </w:r>
      <w:r w:rsidR="005846D0">
        <w:rPr>
          <w:color w:val="auto"/>
          <w:lang w:val="en-GB"/>
        </w:rPr>
        <w:t>P</w:t>
      </w:r>
      <w:r w:rsidRPr="008A4006">
        <w:rPr>
          <w:color w:val="auto"/>
          <w:lang w:val="en-GB"/>
        </w:rPr>
        <w:t>artner</w:t>
      </w:r>
      <w:r w:rsidR="00122F31">
        <w:rPr>
          <w:color w:val="auto"/>
          <w:lang w:val="en-GB"/>
        </w:rPr>
        <w:t xml:space="preserve"> [IP]</w:t>
      </w:r>
      <w:r w:rsidRPr="008A4006">
        <w:rPr>
          <w:color w:val="auto"/>
          <w:lang w:val="en-GB"/>
        </w:rPr>
        <w:t xml:space="preserve"> or </w:t>
      </w:r>
      <w:r w:rsidR="005846D0">
        <w:rPr>
          <w:color w:val="auto"/>
          <w:lang w:val="en-GB"/>
        </w:rPr>
        <w:t>R</w:t>
      </w:r>
      <w:r w:rsidRPr="008A4006">
        <w:rPr>
          <w:color w:val="auto"/>
          <w:lang w:val="en-GB"/>
        </w:rPr>
        <w:t xml:space="preserve">esponsible </w:t>
      </w:r>
      <w:r w:rsidR="005846D0">
        <w:rPr>
          <w:color w:val="auto"/>
          <w:lang w:val="en-GB"/>
        </w:rPr>
        <w:t>P</w:t>
      </w:r>
      <w:r w:rsidRPr="008A4006">
        <w:rPr>
          <w:color w:val="auto"/>
          <w:lang w:val="en-GB"/>
        </w:rPr>
        <w:t>arty</w:t>
      </w:r>
      <w:r w:rsidR="00122F31">
        <w:rPr>
          <w:color w:val="auto"/>
          <w:lang w:val="en-GB"/>
        </w:rPr>
        <w:t xml:space="preserve"> [RP]</w:t>
      </w:r>
      <w:r w:rsidRPr="008A4006">
        <w:rPr>
          <w:color w:val="auto"/>
          <w:lang w:val="en-GB"/>
        </w:rPr>
        <w:t xml:space="preserve">) who meet UNDP’s HACT micro assessment threshold, the </w:t>
      </w:r>
      <w:r w:rsidR="009348D1">
        <w:rPr>
          <w:color w:val="auto"/>
          <w:lang w:val="en-GB"/>
        </w:rPr>
        <w:t>D</w:t>
      </w:r>
      <w:r w:rsidR="009348D1" w:rsidRPr="008A4006">
        <w:rPr>
          <w:color w:val="auto"/>
          <w:lang w:val="en-GB"/>
        </w:rPr>
        <w:t xml:space="preserve">irect </w:t>
      </w:r>
      <w:r w:rsidR="009348D1">
        <w:rPr>
          <w:color w:val="auto"/>
          <w:lang w:val="en-GB"/>
        </w:rPr>
        <w:t>P</w:t>
      </w:r>
      <w:r w:rsidR="009348D1" w:rsidRPr="008A4006">
        <w:rPr>
          <w:color w:val="auto"/>
          <w:lang w:val="en-GB"/>
        </w:rPr>
        <w:t xml:space="preserve">ayment </w:t>
      </w:r>
      <w:r w:rsidR="003539FE">
        <w:rPr>
          <w:color w:val="auto"/>
          <w:lang w:val="en-GB"/>
        </w:rPr>
        <w:t>C</w:t>
      </w:r>
      <w:r w:rsidR="003539FE" w:rsidRPr="008A4006">
        <w:rPr>
          <w:color w:val="auto"/>
          <w:lang w:val="en-GB"/>
        </w:rPr>
        <w:t xml:space="preserve">ash </w:t>
      </w:r>
      <w:r w:rsidR="003539FE">
        <w:rPr>
          <w:color w:val="auto"/>
          <w:lang w:val="en-GB"/>
        </w:rPr>
        <w:t>T</w:t>
      </w:r>
      <w:r w:rsidRPr="008A4006">
        <w:rPr>
          <w:color w:val="auto"/>
          <w:lang w:val="en-GB"/>
        </w:rPr>
        <w:t xml:space="preserve">ransfer </w:t>
      </w:r>
      <w:r w:rsidR="003539FE">
        <w:rPr>
          <w:color w:val="auto"/>
          <w:lang w:val="en-GB"/>
        </w:rPr>
        <w:t>M</w:t>
      </w:r>
      <w:r w:rsidR="003539FE" w:rsidRPr="008A4006">
        <w:rPr>
          <w:color w:val="auto"/>
          <w:lang w:val="en-GB"/>
        </w:rPr>
        <w:t>odality</w:t>
      </w:r>
      <w:r w:rsidR="003539FE">
        <w:rPr>
          <w:color w:val="auto"/>
          <w:lang w:val="en-GB"/>
        </w:rPr>
        <w:t xml:space="preserve"> (CTM)</w:t>
      </w:r>
      <w:r w:rsidR="003539FE" w:rsidRPr="008A4006">
        <w:rPr>
          <w:color w:val="auto"/>
          <w:lang w:val="en-GB"/>
        </w:rPr>
        <w:t xml:space="preserve"> </w:t>
      </w:r>
      <w:r w:rsidRPr="008A4006">
        <w:rPr>
          <w:color w:val="auto"/>
          <w:lang w:val="en-GB"/>
        </w:rPr>
        <w:t xml:space="preserve">is selected when an </w:t>
      </w:r>
      <w:r w:rsidR="00EB56EC">
        <w:rPr>
          <w:color w:val="auto"/>
          <w:lang w:val="en-GB"/>
        </w:rPr>
        <w:t>Office</w:t>
      </w:r>
      <w:r w:rsidRPr="008A4006">
        <w:rPr>
          <w:color w:val="auto"/>
          <w:lang w:val="en-GB"/>
        </w:rPr>
        <w:t xml:space="preserve"> has carried out the HACT micro assessment of the Partner’s financial management capacity, including accounting, procurement, reporting and internal controls, and determined that the principles do not contradict those of UNDP.  For Partners below UNDP’s micro assessment threshold, </w:t>
      </w:r>
      <w:r w:rsidR="00EB56EC">
        <w:rPr>
          <w:color w:val="auto"/>
          <w:lang w:val="en-GB"/>
        </w:rPr>
        <w:t>Office</w:t>
      </w:r>
      <w:r w:rsidRPr="008A4006">
        <w:rPr>
          <w:color w:val="auto"/>
          <w:lang w:val="en-GB"/>
        </w:rPr>
        <w:t xml:space="preserve"> may select </w:t>
      </w:r>
      <w:r w:rsidR="00775AED">
        <w:rPr>
          <w:color w:val="auto"/>
          <w:lang w:val="en-GB"/>
        </w:rPr>
        <w:t>D</w:t>
      </w:r>
      <w:r w:rsidR="00775AED" w:rsidRPr="008A4006">
        <w:rPr>
          <w:color w:val="auto"/>
          <w:lang w:val="en-GB"/>
        </w:rPr>
        <w:t xml:space="preserve">irect </w:t>
      </w:r>
      <w:r w:rsidR="00775AED">
        <w:rPr>
          <w:color w:val="auto"/>
          <w:lang w:val="en-GB"/>
        </w:rPr>
        <w:t>P</w:t>
      </w:r>
      <w:r w:rsidR="00775AED" w:rsidRPr="008A4006">
        <w:rPr>
          <w:color w:val="auto"/>
          <w:lang w:val="en-GB"/>
        </w:rPr>
        <w:t xml:space="preserve">ayment </w:t>
      </w:r>
      <w:r w:rsidR="00775AED">
        <w:rPr>
          <w:color w:val="auto"/>
          <w:lang w:val="en-GB"/>
        </w:rPr>
        <w:t>C</w:t>
      </w:r>
      <w:r w:rsidR="00775AED" w:rsidRPr="008A4006">
        <w:rPr>
          <w:color w:val="auto"/>
          <w:lang w:val="en-GB"/>
        </w:rPr>
        <w:t xml:space="preserve">ash </w:t>
      </w:r>
      <w:r w:rsidR="00775AED">
        <w:rPr>
          <w:color w:val="auto"/>
          <w:lang w:val="en-GB"/>
        </w:rPr>
        <w:t>T</w:t>
      </w:r>
      <w:r w:rsidR="00775AED" w:rsidRPr="008A4006">
        <w:rPr>
          <w:color w:val="auto"/>
          <w:lang w:val="en-GB"/>
        </w:rPr>
        <w:t xml:space="preserve">ransfer </w:t>
      </w:r>
      <w:r w:rsidR="00775AED">
        <w:rPr>
          <w:color w:val="auto"/>
          <w:lang w:val="en-GB"/>
        </w:rPr>
        <w:t>M</w:t>
      </w:r>
      <w:r w:rsidR="00775AED" w:rsidRPr="008A4006">
        <w:rPr>
          <w:color w:val="auto"/>
          <w:lang w:val="en-GB"/>
        </w:rPr>
        <w:t>odality</w:t>
      </w:r>
      <w:r w:rsidR="00775AED">
        <w:rPr>
          <w:color w:val="auto"/>
          <w:lang w:val="en-GB"/>
        </w:rPr>
        <w:t xml:space="preserve"> </w:t>
      </w:r>
      <w:r w:rsidRPr="008A4006">
        <w:rPr>
          <w:color w:val="auto"/>
          <w:lang w:val="en-GB"/>
        </w:rPr>
        <w:t>if it’s the most appropriate modality taking into consideration any known risk factors.</w:t>
      </w:r>
      <w:r w:rsidR="00222AEC">
        <w:rPr>
          <w:color w:val="auto"/>
          <w:lang w:val="en-GB"/>
        </w:rPr>
        <w:t xml:space="preserve"> Refer </w:t>
      </w:r>
      <w:r w:rsidR="00222AEC" w:rsidRPr="00962852">
        <w:rPr>
          <w:color w:val="auto"/>
          <w:lang w:val="en-GB"/>
        </w:rPr>
        <w:t xml:space="preserve">to </w:t>
      </w:r>
      <w:hyperlink r:id="rId10" w:history="1">
        <w:r w:rsidR="00B04D70" w:rsidRPr="00962852">
          <w:rPr>
            <w:color w:val="0000FF"/>
            <w:u w:val="single"/>
          </w:rPr>
          <w:t>Harmonized Approach to Cash Transfers (HACT)</w:t>
        </w:r>
      </w:hyperlink>
      <w:r w:rsidR="00EE603A">
        <w:t xml:space="preserve"> paragraph 32</w:t>
      </w:r>
      <w:r w:rsidR="004E0799">
        <w:t>.</w:t>
      </w:r>
    </w:p>
    <w:p w14:paraId="002A8B83" w14:textId="33CFB273" w:rsidR="008D2D93" w:rsidRDefault="008D2D93" w:rsidP="008A4006">
      <w:pPr>
        <w:numPr>
          <w:ilvl w:val="0"/>
          <w:numId w:val="1"/>
        </w:numPr>
        <w:shd w:val="clear" w:color="auto" w:fill="FFFFFF"/>
        <w:spacing w:line="259" w:lineRule="auto"/>
        <w:ind w:left="706" w:right="-14" w:hanging="360"/>
        <w:textAlignment w:val="top"/>
        <w:rPr>
          <w:color w:val="auto"/>
          <w:lang w:val="en-GB"/>
        </w:rPr>
      </w:pPr>
      <w:r w:rsidRPr="00A65DEA">
        <w:rPr>
          <w:color w:val="auto"/>
          <w:lang w:val="en-GB"/>
        </w:rPr>
        <w:t xml:space="preserve">Direct </w:t>
      </w:r>
      <w:r w:rsidR="004F6A63">
        <w:rPr>
          <w:color w:val="auto"/>
          <w:lang w:val="en-GB"/>
        </w:rPr>
        <w:t>P</w:t>
      </w:r>
      <w:r w:rsidR="004F6A63" w:rsidRPr="008A4006">
        <w:rPr>
          <w:color w:val="auto"/>
          <w:lang w:val="en-GB"/>
        </w:rPr>
        <w:t xml:space="preserve">ayment </w:t>
      </w:r>
      <w:r w:rsidR="008A4006" w:rsidRPr="008A4006">
        <w:rPr>
          <w:color w:val="auto"/>
          <w:lang w:val="en-GB"/>
        </w:rPr>
        <w:t>should not be confused with</w:t>
      </w:r>
      <w:r w:rsidR="00512129">
        <w:rPr>
          <w:color w:val="auto"/>
          <w:lang w:val="en-GB"/>
        </w:rPr>
        <w:t xml:space="preserve"> payments made under</w:t>
      </w:r>
      <w:r w:rsidR="008A4006" w:rsidRPr="008A4006">
        <w:rPr>
          <w:color w:val="auto"/>
          <w:lang w:val="en-GB"/>
        </w:rPr>
        <w:t xml:space="preserve"> UNDP </w:t>
      </w:r>
      <w:r w:rsidR="00E96DDD">
        <w:rPr>
          <w:color w:val="auto"/>
          <w:lang w:val="en-GB"/>
        </w:rPr>
        <w:t>Country S</w:t>
      </w:r>
      <w:r w:rsidR="008A4006" w:rsidRPr="008A4006">
        <w:rPr>
          <w:color w:val="auto"/>
          <w:lang w:val="en-GB"/>
        </w:rPr>
        <w:t>upport</w:t>
      </w:r>
      <w:r w:rsidR="00E96DDD">
        <w:rPr>
          <w:color w:val="auto"/>
          <w:lang w:val="en-GB"/>
        </w:rPr>
        <w:t xml:space="preserve"> to NIM</w:t>
      </w:r>
      <w:r w:rsidR="008A4006" w:rsidRPr="008A4006">
        <w:rPr>
          <w:color w:val="auto"/>
          <w:lang w:val="en-GB"/>
        </w:rPr>
        <w:t xml:space="preserve">. In both cases, payments are made by UNDP from a UNDP bank account. </w:t>
      </w:r>
      <w:r w:rsidR="00E275EC">
        <w:rPr>
          <w:color w:val="auto"/>
          <w:lang w:val="en-GB"/>
        </w:rPr>
        <w:t>In the case of</w:t>
      </w:r>
      <w:r w:rsidR="006C0CFC">
        <w:rPr>
          <w:color w:val="auto"/>
          <w:lang w:val="en-GB"/>
        </w:rPr>
        <w:t xml:space="preserve"> </w:t>
      </w:r>
      <w:r w:rsidR="00672F07">
        <w:rPr>
          <w:color w:val="auto"/>
          <w:lang w:val="en-GB"/>
        </w:rPr>
        <w:t>D</w:t>
      </w:r>
      <w:r w:rsidR="00672F07" w:rsidRPr="008A4006">
        <w:rPr>
          <w:color w:val="auto"/>
          <w:lang w:val="en-GB"/>
        </w:rPr>
        <w:t xml:space="preserve">irect </w:t>
      </w:r>
      <w:r w:rsidR="00672F07">
        <w:rPr>
          <w:color w:val="auto"/>
          <w:lang w:val="en-GB"/>
        </w:rPr>
        <w:t>P</w:t>
      </w:r>
      <w:r w:rsidR="00672F07" w:rsidRPr="008A4006">
        <w:rPr>
          <w:color w:val="auto"/>
          <w:lang w:val="en-GB"/>
        </w:rPr>
        <w:t>ayment</w:t>
      </w:r>
      <w:r w:rsidR="006C0CFC">
        <w:rPr>
          <w:color w:val="auto"/>
          <w:lang w:val="en-GB"/>
        </w:rPr>
        <w:t xml:space="preserve"> </w:t>
      </w:r>
      <w:r w:rsidR="006E6987">
        <w:rPr>
          <w:color w:val="auto"/>
          <w:lang w:val="en-GB"/>
        </w:rPr>
        <w:t>for a government</w:t>
      </w:r>
      <w:r w:rsidR="006C0CFC">
        <w:rPr>
          <w:color w:val="auto"/>
          <w:lang w:val="en-GB"/>
        </w:rPr>
        <w:t xml:space="preserve"> </w:t>
      </w:r>
      <w:r w:rsidR="006E6987">
        <w:rPr>
          <w:color w:val="auto"/>
          <w:lang w:val="en-GB"/>
        </w:rPr>
        <w:t>Partner</w:t>
      </w:r>
      <w:r w:rsidR="008A4006" w:rsidRPr="008A4006">
        <w:rPr>
          <w:color w:val="auto"/>
          <w:lang w:val="en-GB"/>
        </w:rPr>
        <w:t>, the government</w:t>
      </w:r>
      <w:r w:rsidR="00A177F7">
        <w:rPr>
          <w:color w:val="auto"/>
          <w:lang w:val="en-GB"/>
        </w:rPr>
        <w:t xml:space="preserve"> (Partner)</w:t>
      </w:r>
      <w:r w:rsidR="008A4006" w:rsidRPr="008A4006">
        <w:rPr>
          <w:color w:val="auto"/>
          <w:lang w:val="en-GB"/>
        </w:rPr>
        <w:t xml:space="preserve"> assumes responsibility for the contracting process, performs recruitment or procurement, and signs the contract according to its own rules and regulations (whose principles should conform to those of UNDP). The request for </w:t>
      </w:r>
      <w:r w:rsidR="003539FE">
        <w:rPr>
          <w:color w:val="auto"/>
          <w:lang w:val="en-GB"/>
        </w:rPr>
        <w:t>D</w:t>
      </w:r>
      <w:r w:rsidR="003539FE" w:rsidRPr="008A4006">
        <w:rPr>
          <w:color w:val="auto"/>
          <w:lang w:val="en-GB"/>
        </w:rPr>
        <w:t xml:space="preserve">irect </w:t>
      </w:r>
      <w:r w:rsidR="003539FE">
        <w:rPr>
          <w:color w:val="auto"/>
          <w:lang w:val="en-GB"/>
        </w:rPr>
        <w:t>P</w:t>
      </w:r>
      <w:r w:rsidR="003539FE" w:rsidRPr="008A4006">
        <w:rPr>
          <w:color w:val="auto"/>
          <w:lang w:val="en-GB"/>
        </w:rPr>
        <w:t xml:space="preserve">ayment </w:t>
      </w:r>
      <w:r w:rsidR="008A4006" w:rsidRPr="008A4006">
        <w:rPr>
          <w:color w:val="auto"/>
          <w:lang w:val="en-GB"/>
        </w:rPr>
        <w:t xml:space="preserve">must be </w:t>
      </w:r>
      <w:r w:rsidR="00D41549">
        <w:rPr>
          <w:color w:val="auto"/>
          <w:lang w:val="en-GB"/>
        </w:rPr>
        <w:t>submitted</w:t>
      </w:r>
      <w:r w:rsidR="00D41549" w:rsidRPr="008A4006">
        <w:rPr>
          <w:color w:val="auto"/>
          <w:lang w:val="en-GB"/>
        </w:rPr>
        <w:t xml:space="preserve"> </w:t>
      </w:r>
      <w:r w:rsidR="008A4006" w:rsidRPr="008A4006">
        <w:rPr>
          <w:color w:val="auto"/>
          <w:lang w:val="en-GB"/>
        </w:rPr>
        <w:t xml:space="preserve">through the approved FACE form, requesting UNDP to make </w:t>
      </w:r>
      <w:r w:rsidR="000F4592">
        <w:rPr>
          <w:color w:val="auto"/>
          <w:lang w:val="en-GB"/>
        </w:rPr>
        <w:t xml:space="preserve">the </w:t>
      </w:r>
      <w:r w:rsidR="008A4006" w:rsidRPr="008A4006">
        <w:rPr>
          <w:color w:val="auto"/>
          <w:lang w:val="en-GB"/>
        </w:rPr>
        <w:t xml:space="preserve">payment directly to the </w:t>
      </w:r>
      <w:r w:rsidR="00D91BFF">
        <w:rPr>
          <w:color w:val="auto"/>
          <w:lang w:val="en-GB"/>
        </w:rPr>
        <w:t>supplier</w:t>
      </w:r>
      <w:r w:rsidR="008A4006" w:rsidRPr="008A4006">
        <w:rPr>
          <w:color w:val="auto"/>
          <w:lang w:val="en-GB"/>
        </w:rPr>
        <w:t xml:space="preserve"> on behalf of the Partner. Complete </w:t>
      </w:r>
      <w:r w:rsidR="00D91BFF">
        <w:rPr>
          <w:color w:val="auto"/>
          <w:lang w:val="en-GB"/>
        </w:rPr>
        <w:t>supplier</w:t>
      </w:r>
      <w:r w:rsidR="008A4006" w:rsidRPr="008A4006">
        <w:rPr>
          <w:color w:val="auto"/>
          <w:lang w:val="en-GB"/>
        </w:rPr>
        <w:t xml:space="preserve"> banking details approved by the Partner’s authorized signatory should be attached to the FACE form. FACE forms should be accompanied by a completed Itemised Cost Estimate (ICE) showing the actual </w:t>
      </w:r>
      <w:r w:rsidR="00EE14DB">
        <w:rPr>
          <w:color w:val="auto"/>
          <w:lang w:val="en-GB"/>
        </w:rPr>
        <w:t>expenditure</w:t>
      </w:r>
      <w:r w:rsidR="008A4006" w:rsidRPr="008A4006">
        <w:rPr>
          <w:color w:val="auto"/>
          <w:lang w:val="en-GB"/>
        </w:rPr>
        <w:t xml:space="preserve"> for the reported period including price and quantities. Click </w:t>
      </w:r>
      <w:hyperlink r:id="rId11" w:history="1">
        <w:r w:rsidR="008A4006" w:rsidRPr="000F15BE">
          <w:rPr>
            <w:rStyle w:val="Hyperlink"/>
            <w:lang w:val="en-GB"/>
          </w:rPr>
          <w:t>here</w:t>
        </w:r>
      </w:hyperlink>
      <w:r w:rsidR="008A4006" w:rsidRPr="008A4006">
        <w:rPr>
          <w:color w:val="auto"/>
          <w:lang w:val="en-GB"/>
        </w:rPr>
        <w:t xml:space="preserve"> for the </w:t>
      </w:r>
      <w:r w:rsidR="000D1E2F" w:rsidRPr="00BB2642">
        <w:t>link</w:t>
      </w:r>
      <w:r w:rsidRPr="002A31D9">
        <w:rPr>
          <w:rFonts w:eastAsia="Times New Roman" w:cs="Arial"/>
          <w:bCs/>
          <w:color w:val="333333"/>
          <w:lang w:val="en-GB"/>
        </w:rPr>
        <w:t xml:space="preserve"> </w:t>
      </w:r>
      <w:r w:rsidRPr="008A4006">
        <w:rPr>
          <w:rFonts w:eastAsia="Times New Roman" w:cs="Arial"/>
          <w:bCs/>
          <w:color w:val="auto"/>
          <w:lang w:val="en-GB"/>
        </w:rPr>
        <w:t>to UNDP’s ICE template.</w:t>
      </w:r>
      <w:r w:rsidR="00D6324A">
        <w:rPr>
          <w:rFonts w:eastAsia="Times New Roman" w:cs="Arial"/>
          <w:bCs/>
          <w:color w:val="auto"/>
          <w:lang w:val="en-GB"/>
        </w:rPr>
        <w:t xml:space="preserve"> </w:t>
      </w:r>
      <w:r w:rsidR="00D6324A" w:rsidRPr="00BA793A">
        <w:rPr>
          <w:rFonts w:asciiTheme="minorHAnsi" w:eastAsia="Times New Roman" w:hAnsiTheme="minorHAnsi" w:cs="Arial"/>
          <w:bCs/>
          <w:color w:val="auto"/>
        </w:rPr>
        <w:t xml:space="preserve">FACE forms </w:t>
      </w:r>
      <w:r w:rsidR="00D6324A" w:rsidRPr="00F103B4">
        <w:rPr>
          <w:rFonts w:eastAsia="Times New Roman" w:cs="Arial"/>
          <w:bCs/>
        </w:rPr>
        <w:t xml:space="preserve">including the ICE </w:t>
      </w:r>
      <w:r w:rsidR="008E239B">
        <w:rPr>
          <w:rFonts w:eastAsia="Times New Roman" w:cs="Arial"/>
          <w:bCs/>
        </w:rPr>
        <w:t xml:space="preserve">form </w:t>
      </w:r>
      <w:r w:rsidR="00D6324A" w:rsidRPr="00BA793A">
        <w:rPr>
          <w:rFonts w:asciiTheme="minorHAnsi" w:eastAsia="Times New Roman" w:hAnsiTheme="minorHAnsi" w:cs="Arial"/>
          <w:bCs/>
          <w:color w:val="auto"/>
        </w:rPr>
        <w:t xml:space="preserve">should be submitted to UNDP no later than 15 days after the end of each quarter. </w:t>
      </w:r>
      <w:r w:rsidR="00D6324A">
        <w:rPr>
          <w:rFonts w:eastAsia="Times New Roman" w:cs="Arial"/>
          <w:bCs/>
        </w:rPr>
        <w:t>Office</w:t>
      </w:r>
      <w:r w:rsidR="00D6324A" w:rsidRPr="00BA793A">
        <w:rPr>
          <w:rFonts w:asciiTheme="minorHAnsi" w:eastAsia="Times New Roman" w:hAnsiTheme="minorHAnsi" w:cs="Arial"/>
          <w:bCs/>
          <w:color w:val="auto"/>
        </w:rPr>
        <w:t xml:space="preserve">s may agree </w:t>
      </w:r>
      <w:r w:rsidR="000D1E2F">
        <w:rPr>
          <w:rFonts w:asciiTheme="minorHAnsi" w:eastAsia="Times New Roman" w:hAnsiTheme="minorHAnsi" w:cs="Arial"/>
          <w:bCs/>
          <w:color w:val="auto"/>
        </w:rPr>
        <w:t>on</w:t>
      </w:r>
      <w:r w:rsidR="000D1E2F" w:rsidRPr="00BA793A">
        <w:rPr>
          <w:rFonts w:asciiTheme="minorHAnsi" w:eastAsia="Times New Roman" w:hAnsiTheme="minorHAnsi" w:cs="Arial"/>
          <w:bCs/>
          <w:color w:val="auto"/>
        </w:rPr>
        <w:t xml:space="preserve"> </w:t>
      </w:r>
      <w:r w:rsidR="00D6324A" w:rsidRPr="00BA793A">
        <w:rPr>
          <w:rFonts w:asciiTheme="minorHAnsi" w:eastAsia="Times New Roman" w:hAnsiTheme="minorHAnsi" w:cs="Arial"/>
          <w:bCs/>
          <w:color w:val="auto"/>
        </w:rPr>
        <w:t xml:space="preserve">reasonable extension to this deadline after consultation with </w:t>
      </w:r>
      <w:r w:rsidR="00D6324A">
        <w:rPr>
          <w:rFonts w:eastAsia="Times New Roman" w:cs="Arial"/>
          <w:bCs/>
        </w:rPr>
        <w:t>OFM CFRA (</w:t>
      </w:r>
      <w:hyperlink r:id="rId12" w:history="1">
        <w:r w:rsidR="00D6324A">
          <w:rPr>
            <w:rStyle w:val="Hyperlink"/>
          </w:rPr>
          <w:t>cfra.kl@undp.org</w:t>
        </w:r>
      </w:hyperlink>
      <w:r w:rsidR="00D6324A">
        <w:rPr>
          <w:rFonts w:eastAsia="Times New Roman" w:cs="Arial"/>
          <w:bCs/>
        </w:rPr>
        <w:t>)</w:t>
      </w:r>
      <w:r w:rsidR="00D6324A" w:rsidRPr="00BA793A">
        <w:rPr>
          <w:rFonts w:asciiTheme="minorHAnsi" w:eastAsia="Times New Roman" w:hAnsiTheme="minorHAnsi" w:cs="Arial"/>
          <w:bCs/>
          <w:color w:val="auto"/>
        </w:rPr>
        <w:t xml:space="preserve"> but any extension should take into account the need to have the </w:t>
      </w:r>
      <w:r w:rsidR="00D6324A">
        <w:rPr>
          <w:rFonts w:eastAsia="Times New Roman" w:cs="Arial"/>
          <w:bCs/>
        </w:rPr>
        <w:t>expenditure</w:t>
      </w:r>
      <w:r w:rsidR="00D6324A" w:rsidRPr="00BA793A">
        <w:rPr>
          <w:rFonts w:asciiTheme="minorHAnsi" w:eastAsia="Times New Roman" w:hAnsiTheme="minorHAnsi" w:cs="Arial"/>
          <w:bCs/>
          <w:color w:val="auto"/>
        </w:rPr>
        <w:t xml:space="preserve"> recorded before the quarterly closure of financial ledgers in Quantum.</w:t>
      </w:r>
      <w:r w:rsidR="00D6324A" w:rsidRPr="00F103B4">
        <w:rPr>
          <w:rFonts w:eastAsia="Times New Roman" w:cs="Arial"/>
          <w:bCs/>
        </w:rPr>
        <w:t xml:space="preserve"> </w:t>
      </w:r>
      <w:r w:rsidR="00D6324A">
        <w:rPr>
          <w:rFonts w:eastAsia="Times New Roman" w:cs="Arial"/>
          <w:bCs/>
        </w:rPr>
        <w:t>Office</w:t>
      </w:r>
      <w:r w:rsidR="00D6324A" w:rsidRPr="00BA793A">
        <w:rPr>
          <w:rFonts w:asciiTheme="minorHAnsi" w:eastAsia="Times New Roman" w:hAnsiTheme="minorHAnsi" w:cs="Arial"/>
          <w:bCs/>
          <w:color w:val="auto"/>
        </w:rPr>
        <w:t>s should ensure FACE forms are signed by designated officials as indicated in the annual work plan.</w:t>
      </w:r>
      <w:r w:rsidR="00D6324A" w:rsidRPr="00F103B4">
        <w:rPr>
          <w:rFonts w:eastAsia="Times New Roman" w:cs="Arial"/>
          <w:bCs/>
        </w:rPr>
        <w:t xml:space="preserve"> Reported </w:t>
      </w:r>
      <w:r w:rsidR="00D6324A">
        <w:rPr>
          <w:rFonts w:eastAsia="Times New Roman" w:cs="Arial"/>
          <w:bCs/>
        </w:rPr>
        <w:t>expenditure</w:t>
      </w:r>
      <w:r w:rsidR="00D6324A" w:rsidRPr="00F103B4">
        <w:rPr>
          <w:rFonts w:eastAsia="Times New Roman" w:cs="Arial"/>
          <w:bCs/>
        </w:rPr>
        <w:t xml:space="preserve"> in the FACE form</w:t>
      </w:r>
      <w:r w:rsidR="00D6324A" w:rsidRPr="00BA793A">
        <w:rPr>
          <w:rFonts w:eastAsia="Times New Roman" w:cs="Arial"/>
          <w:bCs/>
          <w:color w:val="auto"/>
        </w:rPr>
        <w:t xml:space="preserve"> should be recorded in Quantum in the period they were incurred by the </w:t>
      </w:r>
      <w:r w:rsidR="00D6324A" w:rsidRPr="00F103B4">
        <w:rPr>
          <w:rFonts w:eastAsia="Times New Roman" w:cs="Arial"/>
          <w:bCs/>
        </w:rPr>
        <w:t>P</w:t>
      </w:r>
      <w:r w:rsidR="00D6324A" w:rsidRPr="00BA793A">
        <w:rPr>
          <w:rFonts w:eastAsia="Times New Roman" w:cs="Arial"/>
          <w:bCs/>
          <w:color w:val="auto"/>
        </w:rPr>
        <w:t xml:space="preserve">artner. </w:t>
      </w:r>
      <w:r w:rsidR="00D6324A">
        <w:rPr>
          <w:rFonts w:eastAsia="Times New Roman" w:cs="Arial"/>
          <w:bCs/>
        </w:rPr>
        <w:t>Office</w:t>
      </w:r>
      <w:r w:rsidR="00D6324A" w:rsidRPr="00BA793A">
        <w:rPr>
          <w:rFonts w:eastAsia="Times New Roman" w:cs="Arial"/>
          <w:bCs/>
          <w:color w:val="auto"/>
        </w:rPr>
        <w:t xml:space="preserve">s should ensure timely reporting from </w:t>
      </w:r>
      <w:r w:rsidR="00D6324A" w:rsidRPr="00F103B4">
        <w:rPr>
          <w:rFonts w:eastAsia="Times New Roman" w:cs="Arial"/>
          <w:bCs/>
        </w:rPr>
        <w:t>P</w:t>
      </w:r>
      <w:r w:rsidR="00D6324A" w:rsidRPr="00BA793A">
        <w:rPr>
          <w:rFonts w:eastAsia="Times New Roman" w:cs="Arial"/>
          <w:bCs/>
          <w:color w:val="auto"/>
        </w:rPr>
        <w:t xml:space="preserve">artners to enable timely and accurate reporting of </w:t>
      </w:r>
      <w:r w:rsidR="00D6324A">
        <w:rPr>
          <w:rFonts w:eastAsia="Times New Roman" w:cs="Arial"/>
          <w:bCs/>
        </w:rPr>
        <w:t>expenditure</w:t>
      </w:r>
      <w:r w:rsidR="00D6324A" w:rsidRPr="00BA793A">
        <w:rPr>
          <w:rFonts w:eastAsia="Times New Roman" w:cs="Arial"/>
          <w:bCs/>
          <w:color w:val="auto"/>
        </w:rPr>
        <w:t xml:space="preserve"> in UNDP accounts</w:t>
      </w:r>
      <w:r w:rsidR="00D6324A">
        <w:rPr>
          <w:rFonts w:eastAsia="Times New Roman" w:cs="Arial"/>
          <w:bCs/>
          <w:color w:val="auto"/>
        </w:rPr>
        <w:t>.</w:t>
      </w:r>
      <w:r w:rsidRPr="008A4006">
        <w:rPr>
          <w:rFonts w:eastAsia="Times New Roman" w:cs="Arial"/>
          <w:bCs/>
          <w:color w:val="auto"/>
          <w:lang w:val="en-GB"/>
        </w:rPr>
        <w:t xml:space="preserve"> </w:t>
      </w:r>
      <w:r w:rsidRPr="008A4006">
        <w:rPr>
          <w:color w:val="auto"/>
          <w:lang w:val="en-GB"/>
        </w:rPr>
        <w:t xml:space="preserve">The </w:t>
      </w:r>
      <w:r w:rsidR="00E96DDD">
        <w:rPr>
          <w:color w:val="auto"/>
          <w:lang w:val="en-GB"/>
        </w:rPr>
        <w:t xml:space="preserve">Partner </w:t>
      </w:r>
      <w:r w:rsidRPr="008A4006">
        <w:rPr>
          <w:color w:val="auto"/>
          <w:lang w:val="en-GB"/>
        </w:rPr>
        <w:t>code</w:t>
      </w:r>
      <w:r w:rsidR="00E0169E">
        <w:rPr>
          <w:color w:val="auto"/>
          <w:lang w:val="en-GB"/>
        </w:rPr>
        <w:t xml:space="preserve"> (Quantum </w:t>
      </w:r>
      <w:r w:rsidR="00E0169E" w:rsidRPr="007B6455">
        <w:rPr>
          <w:color w:val="auto"/>
          <w:lang w:val="en-GB"/>
        </w:rPr>
        <w:t>R</w:t>
      </w:r>
      <w:r w:rsidR="00A6209C">
        <w:rPr>
          <w:color w:val="auto"/>
          <w:lang w:val="en-GB"/>
        </w:rPr>
        <w:t>e</w:t>
      </w:r>
      <w:r w:rsidR="00E0169E" w:rsidRPr="007B6455">
        <w:rPr>
          <w:color w:val="auto"/>
          <w:lang w:val="en-GB"/>
        </w:rPr>
        <w:t>sponsible Party)</w:t>
      </w:r>
      <w:r w:rsidRPr="007B6455">
        <w:rPr>
          <w:color w:val="auto"/>
          <w:lang w:val="en-GB"/>
        </w:rPr>
        <w:t xml:space="preserve"> in the </w:t>
      </w:r>
      <w:r w:rsidR="00FF54BC" w:rsidRPr="009D3758">
        <w:rPr>
          <w:color w:val="auto"/>
          <w:lang w:val="en-GB"/>
        </w:rPr>
        <w:t>Quantum</w:t>
      </w:r>
      <w:r w:rsidR="00737E4E" w:rsidRPr="009D3758">
        <w:rPr>
          <w:color w:val="auto"/>
          <w:lang w:val="en-GB"/>
        </w:rPr>
        <w:t xml:space="preserve"> Accounts Payable</w:t>
      </w:r>
      <w:r w:rsidR="00FF54BC" w:rsidRPr="009D3758">
        <w:rPr>
          <w:color w:val="auto"/>
          <w:lang w:val="en-GB"/>
        </w:rPr>
        <w:t xml:space="preserve"> Distribution Line</w:t>
      </w:r>
      <w:r w:rsidRPr="007B6455">
        <w:rPr>
          <w:color w:val="auto"/>
          <w:lang w:val="en-GB"/>
        </w:rPr>
        <w:t xml:space="preserve"> must</w:t>
      </w:r>
      <w:r w:rsidRPr="008A4006">
        <w:rPr>
          <w:color w:val="auto"/>
          <w:lang w:val="en-GB"/>
        </w:rPr>
        <w:t xml:space="preserve"> be the Partner’s</w:t>
      </w:r>
      <w:r w:rsidR="00E230B7">
        <w:rPr>
          <w:color w:val="auto"/>
          <w:lang w:val="en-GB"/>
        </w:rPr>
        <w:t xml:space="preserve"> </w:t>
      </w:r>
      <w:r w:rsidR="00EB603D">
        <w:rPr>
          <w:color w:val="auto"/>
          <w:lang w:val="en-GB"/>
        </w:rPr>
        <w:t>R</w:t>
      </w:r>
      <w:r w:rsidR="00BE5F8D">
        <w:rPr>
          <w:color w:val="auto"/>
          <w:lang w:val="en-GB"/>
        </w:rPr>
        <w:t>esponsib</w:t>
      </w:r>
      <w:r w:rsidR="00180A39">
        <w:rPr>
          <w:color w:val="auto"/>
          <w:lang w:val="en-GB"/>
        </w:rPr>
        <w:t>le</w:t>
      </w:r>
      <w:r w:rsidR="00BE5F8D">
        <w:rPr>
          <w:color w:val="auto"/>
          <w:lang w:val="en-GB"/>
        </w:rPr>
        <w:t xml:space="preserve"> </w:t>
      </w:r>
      <w:r w:rsidR="00EB603D">
        <w:rPr>
          <w:color w:val="auto"/>
          <w:lang w:val="en-GB"/>
        </w:rPr>
        <w:t>P</w:t>
      </w:r>
      <w:r w:rsidR="00BE5F8D">
        <w:rPr>
          <w:color w:val="auto"/>
          <w:lang w:val="en-GB"/>
        </w:rPr>
        <w:t>arty</w:t>
      </w:r>
      <w:r w:rsidR="00EB603D">
        <w:rPr>
          <w:color w:val="auto"/>
          <w:lang w:val="en-GB"/>
        </w:rPr>
        <w:t xml:space="preserve"> code</w:t>
      </w:r>
      <w:r w:rsidRPr="008A4006">
        <w:rPr>
          <w:color w:val="auto"/>
          <w:lang w:val="en-GB"/>
        </w:rPr>
        <w:t xml:space="preserve"> and not code ‘001981’ (UNDP)</w:t>
      </w:r>
      <w:r w:rsidR="00492A0D">
        <w:rPr>
          <w:color w:val="auto"/>
          <w:lang w:val="en-GB"/>
        </w:rPr>
        <w:t xml:space="preserve"> since this is a payment on behalf of the Partner</w:t>
      </w:r>
      <w:r w:rsidRPr="008A4006">
        <w:rPr>
          <w:color w:val="auto"/>
          <w:lang w:val="en-GB"/>
        </w:rPr>
        <w:t xml:space="preserve">. Where </w:t>
      </w:r>
      <w:r w:rsidR="00605792">
        <w:rPr>
          <w:color w:val="auto"/>
          <w:lang w:val="en-GB"/>
        </w:rPr>
        <w:t xml:space="preserve">a </w:t>
      </w:r>
      <w:r w:rsidRPr="008A4006">
        <w:rPr>
          <w:color w:val="auto"/>
          <w:lang w:val="en-GB"/>
        </w:rPr>
        <w:t>Partner request</w:t>
      </w:r>
      <w:r w:rsidR="00605792">
        <w:rPr>
          <w:color w:val="auto"/>
          <w:lang w:val="en-GB"/>
        </w:rPr>
        <w:t>s</w:t>
      </w:r>
      <w:r w:rsidRPr="008A4006">
        <w:rPr>
          <w:color w:val="auto"/>
          <w:lang w:val="en-GB"/>
        </w:rPr>
        <w:t xml:space="preserve"> UNDP to support in the implementation of some activities for the project, for example recruitment and procurement support, UNDP assumes responsibility for the contracting process according to its rules and regulations and the budget component for this support must recorded using UNDP </w:t>
      </w:r>
      <w:r w:rsidR="0079693C">
        <w:rPr>
          <w:color w:val="auto"/>
          <w:lang w:val="en-GB"/>
        </w:rPr>
        <w:t>R</w:t>
      </w:r>
      <w:r w:rsidR="00854464">
        <w:rPr>
          <w:color w:val="auto"/>
          <w:lang w:val="en-GB"/>
        </w:rPr>
        <w:t>esponsib</w:t>
      </w:r>
      <w:r w:rsidR="00004BFF">
        <w:rPr>
          <w:color w:val="auto"/>
          <w:lang w:val="en-GB"/>
        </w:rPr>
        <w:t xml:space="preserve">le </w:t>
      </w:r>
      <w:r w:rsidR="0079693C">
        <w:rPr>
          <w:color w:val="auto"/>
          <w:lang w:val="en-GB"/>
        </w:rPr>
        <w:t>P</w:t>
      </w:r>
      <w:r w:rsidR="00004BFF">
        <w:rPr>
          <w:color w:val="auto"/>
          <w:lang w:val="en-GB"/>
        </w:rPr>
        <w:t>arty</w:t>
      </w:r>
      <w:r w:rsidR="00B46612">
        <w:rPr>
          <w:color w:val="auto"/>
          <w:lang w:val="en-GB"/>
        </w:rPr>
        <w:t xml:space="preserve"> </w:t>
      </w:r>
      <w:r w:rsidRPr="008A4006">
        <w:rPr>
          <w:color w:val="auto"/>
          <w:lang w:val="en-GB"/>
        </w:rPr>
        <w:t xml:space="preserve">code </w:t>
      </w:r>
      <w:r w:rsidR="00B46612">
        <w:rPr>
          <w:color w:val="auto"/>
          <w:lang w:val="en-GB"/>
        </w:rPr>
        <w:t>‘</w:t>
      </w:r>
      <w:r w:rsidRPr="008A4006">
        <w:rPr>
          <w:color w:val="auto"/>
          <w:lang w:val="en-GB"/>
        </w:rPr>
        <w:t>001981</w:t>
      </w:r>
      <w:r w:rsidR="00B46612">
        <w:rPr>
          <w:color w:val="auto"/>
          <w:lang w:val="en-GB"/>
        </w:rPr>
        <w:t>’</w:t>
      </w:r>
      <w:r w:rsidRPr="008A4006">
        <w:rPr>
          <w:color w:val="auto"/>
          <w:lang w:val="en-GB"/>
        </w:rPr>
        <w:t>.</w:t>
      </w:r>
    </w:p>
    <w:p w14:paraId="7B36C201" w14:textId="4847FEAC" w:rsidR="008D2D93" w:rsidRDefault="008D2D93" w:rsidP="008D2D93">
      <w:pPr>
        <w:numPr>
          <w:ilvl w:val="0"/>
          <w:numId w:val="1"/>
        </w:numPr>
        <w:spacing w:after="4" w:line="250" w:lineRule="auto"/>
        <w:ind w:right="-13" w:hanging="360"/>
        <w:rPr>
          <w:color w:val="auto"/>
          <w:lang w:val="en-GB"/>
        </w:rPr>
      </w:pPr>
      <w:r w:rsidRPr="003B7591">
        <w:rPr>
          <w:color w:val="auto"/>
          <w:lang w:val="en-GB"/>
        </w:rPr>
        <w:t>UNDP should not be considered a mere ‘administrator’ of funds of nationally implemented projects. Support services should assist the government in achieving clear development goals and foster capacities in national institutions.</w:t>
      </w:r>
    </w:p>
    <w:p w14:paraId="7EBDA103" w14:textId="0773CF86" w:rsidR="008D2D93" w:rsidRPr="003B7591" w:rsidRDefault="00EB56EC" w:rsidP="008D2D93">
      <w:pPr>
        <w:numPr>
          <w:ilvl w:val="0"/>
          <w:numId w:val="1"/>
        </w:numPr>
        <w:spacing w:after="4" w:line="250" w:lineRule="auto"/>
        <w:ind w:right="-13" w:hanging="360"/>
        <w:rPr>
          <w:color w:val="auto"/>
          <w:lang w:val="en-GB"/>
        </w:rPr>
      </w:pPr>
      <w:r w:rsidRPr="4E3DCB7A">
        <w:rPr>
          <w:color w:val="auto"/>
          <w:lang w:val="en-GB"/>
        </w:rPr>
        <w:t>Office</w:t>
      </w:r>
      <w:r w:rsidR="008D2D93" w:rsidRPr="4E3DCB7A">
        <w:rPr>
          <w:color w:val="auto"/>
          <w:lang w:val="en-GB"/>
        </w:rPr>
        <w:t xml:space="preserve">s should ensure that costs of processing </w:t>
      </w:r>
      <w:r w:rsidR="00E835A0" w:rsidRPr="4E3DCB7A">
        <w:rPr>
          <w:color w:val="auto"/>
          <w:lang w:val="en-GB"/>
        </w:rPr>
        <w:t xml:space="preserve">Direct Payment </w:t>
      </w:r>
      <w:r w:rsidR="008D2D93" w:rsidRPr="4E3DCB7A">
        <w:rPr>
          <w:color w:val="auto"/>
          <w:lang w:val="en-GB"/>
        </w:rPr>
        <w:t>or providing support services are fully recovered by directly charging them to the project budget.</w:t>
      </w:r>
    </w:p>
    <w:p w14:paraId="4BD6FA08" w14:textId="5E261DEC" w:rsidR="008D2D93" w:rsidRPr="003B7591" w:rsidRDefault="008D2D93" w:rsidP="008D2D93">
      <w:pPr>
        <w:numPr>
          <w:ilvl w:val="0"/>
          <w:numId w:val="1"/>
        </w:numPr>
        <w:ind w:right="-13" w:hanging="360"/>
        <w:rPr>
          <w:color w:val="auto"/>
          <w:lang w:val="en-GB"/>
        </w:rPr>
      </w:pPr>
      <w:r w:rsidRPr="003B7591">
        <w:rPr>
          <w:color w:val="auto"/>
          <w:lang w:val="en-GB"/>
        </w:rPr>
        <w:t xml:space="preserve">For </w:t>
      </w:r>
      <w:r w:rsidR="005E0CBE">
        <w:rPr>
          <w:color w:val="auto"/>
          <w:lang w:val="en-GB"/>
        </w:rPr>
        <w:t>D</w:t>
      </w:r>
      <w:r w:rsidR="005E0CBE" w:rsidRPr="003B7591">
        <w:rPr>
          <w:color w:val="auto"/>
          <w:lang w:val="en-GB"/>
        </w:rPr>
        <w:t xml:space="preserve">irect </w:t>
      </w:r>
      <w:r w:rsidR="005E0CBE">
        <w:rPr>
          <w:color w:val="auto"/>
          <w:lang w:val="en-GB"/>
        </w:rPr>
        <w:t>P</w:t>
      </w:r>
      <w:r w:rsidR="005E0CBE" w:rsidRPr="003B7591">
        <w:rPr>
          <w:color w:val="auto"/>
          <w:lang w:val="en-GB"/>
        </w:rPr>
        <w:t>ayments</w:t>
      </w:r>
      <w:r w:rsidRPr="003B7591">
        <w:rPr>
          <w:color w:val="auto"/>
          <w:lang w:val="en-GB"/>
        </w:rPr>
        <w:t>, e</w:t>
      </w:r>
      <w:r w:rsidR="00D765F1">
        <w:rPr>
          <w:color w:val="auto"/>
          <w:lang w:val="en-GB"/>
        </w:rPr>
        <w:t>xpenditure</w:t>
      </w:r>
      <w:r w:rsidRPr="003B7591">
        <w:rPr>
          <w:color w:val="auto"/>
          <w:lang w:val="en-GB"/>
        </w:rPr>
        <w:t xml:space="preserve">s </w:t>
      </w:r>
      <w:r w:rsidR="00F23747">
        <w:rPr>
          <w:color w:val="auto"/>
          <w:lang w:val="en-GB"/>
        </w:rPr>
        <w:t>are</w:t>
      </w:r>
      <w:r w:rsidRPr="003B7591">
        <w:rPr>
          <w:color w:val="auto"/>
          <w:lang w:val="en-GB"/>
        </w:rPr>
        <w:t xml:space="preserve"> recognized </w:t>
      </w:r>
      <w:r w:rsidR="003F7A10" w:rsidRPr="003F7A10">
        <w:rPr>
          <w:color w:val="auto"/>
          <w:lang w:val="en-GB"/>
        </w:rPr>
        <w:t>in the period they were incurred by the Partner</w:t>
      </w:r>
      <w:r w:rsidR="006C06B7">
        <w:rPr>
          <w:color w:val="auto"/>
          <w:lang w:val="en-GB"/>
        </w:rPr>
        <w:t xml:space="preserve"> as reported in the FACE form</w:t>
      </w:r>
      <w:r w:rsidR="003F7A10" w:rsidRPr="003F7A10">
        <w:rPr>
          <w:color w:val="auto"/>
          <w:lang w:val="en-GB"/>
        </w:rPr>
        <w:t>.</w:t>
      </w:r>
      <w:r w:rsidRPr="003B7591">
        <w:rPr>
          <w:color w:val="auto"/>
          <w:lang w:val="en-GB"/>
        </w:rPr>
        <w:t xml:space="preserve"> </w:t>
      </w:r>
    </w:p>
    <w:p w14:paraId="1142EE2F" w14:textId="3D6C2E41" w:rsidR="008D2D93" w:rsidRPr="00737E4E" w:rsidRDefault="00C73388" w:rsidP="008D2D93">
      <w:pPr>
        <w:numPr>
          <w:ilvl w:val="0"/>
          <w:numId w:val="1"/>
        </w:numPr>
        <w:spacing w:after="164"/>
        <w:ind w:right="-13" w:hanging="360"/>
        <w:rPr>
          <w:color w:val="auto"/>
          <w:lang w:val="en-GB"/>
        </w:rPr>
      </w:pPr>
      <w:r>
        <w:rPr>
          <w:color w:val="auto"/>
          <w:lang w:val="en-GB"/>
        </w:rPr>
        <w:lastRenderedPageBreak/>
        <w:t xml:space="preserve">The expenditure recognition shall be in line with the </w:t>
      </w:r>
      <w:r w:rsidR="009A16F6">
        <w:rPr>
          <w:color w:val="auto"/>
          <w:lang w:val="en-GB"/>
        </w:rPr>
        <w:t xml:space="preserve">POPP chapters </w:t>
      </w:r>
      <w:r w:rsidR="009A16F6" w:rsidRPr="00737E4E">
        <w:rPr>
          <w:color w:val="auto"/>
          <w:lang w:val="en-GB"/>
        </w:rPr>
        <w:t xml:space="preserve">on </w:t>
      </w:r>
      <w:hyperlink r:id="rId13">
        <w:r w:rsidR="009A16F6" w:rsidRPr="00737E4E">
          <w:rPr>
            <w:color w:val="0070C0"/>
            <w:u w:val="single"/>
            <w:lang w:val="en-GB"/>
          </w:rPr>
          <w:t>Expense Management</w:t>
        </w:r>
      </w:hyperlink>
      <w:r w:rsidR="009A16F6">
        <w:rPr>
          <w:color w:val="0070C0"/>
          <w:u w:val="single"/>
          <w:lang w:val="en-GB"/>
        </w:rPr>
        <w:t xml:space="preserve"> such as </w:t>
      </w:r>
      <w:r w:rsidR="008D2D93" w:rsidRPr="00737E4E">
        <w:rPr>
          <w:color w:val="auto"/>
          <w:lang w:val="en-GB"/>
        </w:rPr>
        <w:t xml:space="preserve"> </w:t>
      </w:r>
      <w:hyperlink r:id="rId14" w:history="1">
        <w:r w:rsidR="008D2D93" w:rsidRPr="00737E4E">
          <w:rPr>
            <w:rStyle w:val="Hyperlink"/>
            <w:lang w:val="en-GB"/>
          </w:rPr>
          <w:t>POs/Commitments</w:t>
        </w:r>
      </w:hyperlink>
      <w:r w:rsidR="008D2D93" w:rsidRPr="00737E4E">
        <w:rPr>
          <w:color w:val="auto"/>
          <w:lang w:val="en-GB"/>
        </w:rPr>
        <w:t xml:space="preserve">, </w:t>
      </w:r>
      <w:hyperlink r:id="rId15" w:history="1">
        <w:r w:rsidR="008D2D93" w:rsidRPr="00737E4E">
          <w:rPr>
            <w:rStyle w:val="Hyperlink"/>
            <w:lang w:val="en-GB"/>
          </w:rPr>
          <w:t>Accounts Payable</w:t>
        </w:r>
      </w:hyperlink>
      <w:r w:rsidR="008D2D93" w:rsidRPr="00737E4E">
        <w:rPr>
          <w:color w:val="auto"/>
          <w:lang w:val="en-GB"/>
        </w:rPr>
        <w:t xml:space="preserve"> and </w:t>
      </w:r>
      <w:hyperlink r:id="rId16" w:history="1">
        <w:r w:rsidR="008D2D93" w:rsidRPr="00737E4E">
          <w:rPr>
            <w:rStyle w:val="Hyperlink"/>
            <w:lang w:val="en-GB"/>
          </w:rPr>
          <w:t>Disbursing Funds</w:t>
        </w:r>
      </w:hyperlink>
      <w:r w:rsidR="008D2D93" w:rsidRPr="00737E4E">
        <w:rPr>
          <w:color w:val="auto"/>
          <w:lang w:val="en-GB"/>
        </w:rPr>
        <w:t xml:space="preserve"> in the POPP chapter on </w:t>
      </w:r>
      <w:hyperlink r:id="rId17">
        <w:r w:rsidR="008D2D93" w:rsidRPr="00737E4E">
          <w:rPr>
            <w:color w:val="0070C0"/>
            <w:u w:val="single"/>
            <w:lang w:val="en-GB"/>
          </w:rPr>
          <w:t>Expense Management</w:t>
        </w:r>
      </w:hyperlink>
      <w:r w:rsidR="008D2D93" w:rsidRPr="00737E4E">
        <w:rPr>
          <w:color w:val="auto"/>
        </w:rPr>
        <w:t>.</w:t>
      </w:r>
      <w:hyperlink r:id="rId18">
        <w:r w:rsidR="008D2D93" w:rsidRPr="00737E4E">
          <w:rPr>
            <w:color w:val="auto"/>
            <w:lang w:val="en-GB"/>
          </w:rPr>
          <w:t xml:space="preserve"> </w:t>
        </w:r>
      </w:hyperlink>
      <w:r w:rsidR="008D2D93" w:rsidRPr="00737E4E">
        <w:rPr>
          <w:color w:val="auto"/>
          <w:lang w:val="en-GB"/>
        </w:rPr>
        <w:t xml:space="preserve">Also see the UNDP </w:t>
      </w:r>
      <w:hyperlink r:id="rId19">
        <w:r w:rsidR="00D555D9" w:rsidRPr="00962852">
          <w:rPr>
            <w:color w:val="0070C0"/>
            <w:u w:val="single"/>
            <w:lang w:val="en-GB"/>
          </w:rPr>
          <w:t>I</w:t>
        </w:r>
        <w:r w:rsidR="008D2D93" w:rsidRPr="00962852">
          <w:rPr>
            <w:color w:val="0070C0"/>
            <w:u w:val="single"/>
            <w:lang w:val="en-GB"/>
          </w:rPr>
          <w:t xml:space="preserve">nternal </w:t>
        </w:r>
        <w:r w:rsidR="00D555D9" w:rsidRPr="00962852">
          <w:rPr>
            <w:color w:val="0070C0"/>
            <w:u w:val="single"/>
            <w:lang w:val="en-GB"/>
          </w:rPr>
          <w:t>C</w:t>
        </w:r>
        <w:r w:rsidR="008D2D93" w:rsidRPr="00962852">
          <w:rPr>
            <w:color w:val="0070C0"/>
            <w:u w:val="single"/>
            <w:lang w:val="en-GB"/>
          </w:rPr>
          <w:t xml:space="preserve">ontrol </w:t>
        </w:r>
        <w:r w:rsidR="00D555D9" w:rsidRPr="00962852">
          <w:rPr>
            <w:color w:val="0070C0"/>
            <w:u w:val="single"/>
            <w:lang w:val="en-GB"/>
          </w:rPr>
          <w:t>F</w:t>
        </w:r>
        <w:r w:rsidR="008D2D93" w:rsidRPr="00962852">
          <w:rPr>
            <w:color w:val="0070C0"/>
            <w:u w:val="single"/>
            <w:lang w:val="en-GB"/>
          </w:rPr>
          <w:t>ramewor</w:t>
        </w:r>
        <w:r w:rsidR="00D555D9" w:rsidRPr="00962852">
          <w:rPr>
            <w:color w:val="0070C0"/>
            <w:u w:val="single"/>
            <w:lang w:val="en-GB"/>
          </w:rPr>
          <w:t>k Operational Guide</w:t>
        </w:r>
      </w:hyperlink>
      <w:hyperlink r:id="rId20">
        <w:r w:rsidR="008D2D93" w:rsidRPr="00962852">
          <w:rPr>
            <w:color w:val="auto"/>
            <w:lang w:val="en-GB"/>
          </w:rPr>
          <w:t xml:space="preserve"> </w:t>
        </w:r>
      </w:hyperlink>
      <w:r w:rsidR="008D2D93" w:rsidRPr="00737E4E">
        <w:rPr>
          <w:color w:val="auto"/>
          <w:lang w:val="en-GB"/>
        </w:rPr>
        <w:t xml:space="preserve">– Transactions at the request of a Partner (government or NGO). </w:t>
      </w:r>
    </w:p>
    <w:p w14:paraId="4FB83C6B" w14:textId="77777777" w:rsidR="008D2D93" w:rsidRPr="003B7591" w:rsidRDefault="008D2D93" w:rsidP="008D2D93">
      <w:pPr>
        <w:pStyle w:val="Heading1"/>
        <w:ind w:left="-5"/>
        <w:rPr>
          <w:color w:val="auto"/>
          <w:lang w:val="en-GB"/>
        </w:rPr>
      </w:pPr>
      <w:r w:rsidRPr="003B7591">
        <w:rPr>
          <w:color w:val="auto"/>
          <w:lang w:val="en-GB"/>
        </w:rPr>
        <w:t xml:space="preserve">Responsibility </w:t>
      </w:r>
    </w:p>
    <w:p w14:paraId="69F2A950" w14:textId="1810E99E" w:rsidR="008D2D93" w:rsidRPr="00D95B4C" w:rsidRDefault="008D2D93" w:rsidP="008D2D93">
      <w:pPr>
        <w:numPr>
          <w:ilvl w:val="0"/>
          <w:numId w:val="1"/>
        </w:numPr>
        <w:ind w:right="-13" w:hanging="360"/>
        <w:rPr>
          <w:color w:val="auto"/>
          <w:lang w:val="en-GB"/>
        </w:rPr>
      </w:pPr>
      <w:r w:rsidRPr="003B7591">
        <w:rPr>
          <w:color w:val="auto"/>
          <w:lang w:val="en-GB"/>
        </w:rPr>
        <w:t xml:space="preserve">Under the </w:t>
      </w:r>
      <w:r w:rsidR="00796669" w:rsidRPr="228C13AF">
        <w:rPr>
          <w:color w:val="auto"/>
          <w:lang w:val="en-GB"/>
        </w:rPr>
        <w:t xml:space="preserve">Direct Payment </w:t>
      </w:r>
      <w:r w:rsidRPr="003B7591">
        <w:rPr>
          <w:color w:val="auto"/>
          <w:lang w:val="en-GB"/>
        </w:rPr>
        <w:t xml:space="preserve">modality, the </w:t>
      </w:r>
      <w:r>
        <w:rPr>
          <w:color w:val="auto"/>
          <w:lang w:val="en-GB"/>
        </w:rPr>
        <w:t>P</w:t>
      </w:r>
      <w:r w:rsidRPr="003B7591">
        <w:rPr>
          <w:color w:val="auto"/>
          <w:lang w:val="en-GB"/>
        </w:rPr>
        <w:t xml:space="preserve">artner is solely responsible for procurement;. In conducting </w:t>
      </w:r>
      <w:r>
        <w:rPr>
          <w:color w:val="auto"/>
          <w:lang w:val="en-GB"/>
        </w:rPr>
        <w:t xml:space="preserve">partner capacity </w:t>
      </w:r>
      <w:r w:rsidRPr="003B7591">
        <w:rPr>
          <w:color w:val="auto"/>
          <w:lang w:val="en-GB"/>
        </w:rPr>
        <w:t>assessment</w:t>
      </w:r>
      <w:r>
        <w:rPr>
          <w:color w:val="auto"/>
          <w:lang w:val="en-GB"/>
        </w:rPr>
        <w:t>s</w:t>
      </w:r>
      <w:r w:rsidRPr="003B7591">
        <w:rPr>
          <w:color w:val="auto"/>
          <w:lang w:val="en-GB"/>
        </w:rPr>
        <w:t xml:space="preserve"> and assurance activities, </w:t>
      </w:r>
      <w:r w:rsidR="00EB56EC">
        <w:rPr>
          <w:color w:val="auto"/>
          <w:lang w:val="en-GB"/>
        </w:rPr>
        <w:t>Office</w:t>
      </w:r>
      <w:r>
        <w:rPr>
          <w:color w:val="auto"/>
          <w:lang w:val="en-GB"/>
        </w:rPr>
        <w:t xml:space="preserve"> </w:t>
      </w:r>
      <w:r w:rsidRPr="003B7591">
        <w:rPr>
          <w:color w:val="auto"/>
          <w:lang w:val="en-GB"/>
        </w:rPr>
        <w:t xml:space="preserve">should ensure it has reasonable confidence that the </w:t>
      </w:r>
      <w:r>
        <w:rPr>
          <w:color w:val="auto"/>
          <w:lang w:val="en-GB"/>
        </w:rPr>
        <w:t>P</w:t>
      </w:r>
      <w:r w:rsidRPr="003B7591">
        <w:rPr>
          <w:color w:val="auto"/>
          <w:lang w:val="en-GB"/>
        </w:rPr>
        <w:t xml:space="preserve">artner is conducting procurement to standards compatible with </w:t>
      </w:r>
      <w:r>
        <w:rPr>
          <w:color w:val="auto"/>
          <w:lang w:val="en-GB"/>
        </w:rPr>
        <w:t>UNDP’s</w:t>
      </w:r>
      <w:r w:rsidRPr="003B7591">
        <w:rPr>
          <w:color w:val="auto"/>
          <w:lang w:val="en-GB"/>
        </w:rPr>
        <w:t xml:space="preserve"> </w:t>
      </w:r>
      <w:r>
        <w:rPr>
          <w:color w:val="auto"/>
          <w:lang w:val="en-GB"/>
        </w:rPr>
        <w:t>standards</w:t>
      </w:r>
      <w:r w:rsidRPr="003B7591">
        <w:rPr>
          <w:color w:val="auto"/>
          <w:lang w:val="en-GB"/>
        </w:rPr>
        <w:t xml:space="preserve">. Should that not be the case, the </w:t>
      </w:r>
      <w:r w:rsidR="00D4543C" w:rsidRPr="228C13AF">
        <w:rPr>
          <w:color w:val="auto"/>
          <w:lang w:val="en-GB"/>
        </w:rPr>
        <w:t>P</w:t>
      </w:r>
      <w:r w:rsidR="00163678" w:rsidRPr="228C13AF">
        <w:rPr>
          <w:color w:val="auto"/>
          <w:lang w:val="en-GB"/>
        </w:rPr>
        <w:t xml:space="preserve">artner </w:t>
      </w:r>
      <w:r w:rsidR="00D4543C" w:rsidRPr="228C13AF">
        <w:rPr>
          <w:color w:val="auto"/>
          <w:lang w:val="en-GB"/>
        </w:rPr>
        <w:t>R</w:t>
      </w:r>
      <w:r w:rsidR="00163678" w:rsidRPr="228C13AF">
        <w:rPr>
          <w:color w:val="auto"/>
          <w:lang w:val="en-GB"/>
        </w:rPr>
        <w:t xml:space="preserve">isk </w:t>
      </w:r>
      <w:r w:rsidR="00D4543C" w:rsidRPr="228C13AF">
        <w:rPr>
          <w:color w:val="auto"/>
          <w:lang w:val="en-GB"/>
        </w:rPr>
        <w:t>R</w:t>
      </w:r>
      <w:r w:rsidR="00163678" w:rsidRPr="228C13AF">
        <w:rPr>
          <w:color w:val="auto"/>
          <w:lang w:val="en-GB"/>
        </w:rPr>
        <w:t>ating should be adjusted to reflect the</w:t>
      </w:r>
      <w:r w:rsidR="00805DF9" w:rsidRPr="228C13AF">
        <w:rPr>
          <w:color w:val="auto"/>
          <w:lang w:val="en-GB"/>
        </w:rPr>
        <w:t xml:space="preserve"> revised</w:t>
      </w:r>
      <w:r w:rsidR="00163678" w:rsidRPr="228C13AF">
        <w:rPr>
          <w:color w:val="auto"/>
          <w:lang w:val="en-GB"/>
        </w:rPr>
        <w:t xml:space="preserve"> risk</w:t>
      </w:r>
      <w:r w:rsidR="00993BE0" w:rsidRPr="228C13AF">
        <w:rPr>
          <w:color w:val="auto"/>
          <w:lang w:val="en-GB"/>
        </w:rPr>
        <w:t xml:space="preserve"> of the </w:t>
      </w:r>
      <w:r w:rsidR="00501CDC" w:rsidRPr="228C13AF">
        <w:rPr>
          <w:color w:val="auto"/>
          <w:lang w:val="en-GB"/>
        </w:rPr>
        <w:t>P</w:t>
      </w:r>
      <w:r w:rsidR="00993BE0" w:rsidRPr="228C13AF">
        <w:rPr>
          <w:color w:val="auto"/>
          <w:lang w:val="en-GB"/>
        </w:rPr>
        <w:t>artner and the appro</w:t>
      </w:r>
      <w:r w:rsidR="00116BAB" w:rsidRPr="228C13AF">
        <w:rPr>
          <w:color w:val="auto"/>
          <w:lang w:val="en-GB"/>
        </w:rPr>
        <w:t xml:space="preserve">priate </w:t>
      </w:r>
      <w:r w:rsidR="00EB5C6A" w:rsidRPr="228C13AF">
        <w:rPr>
          <w:color w:val="auto"/>
          <w:lang w:val="en-GB"/>
        </w:rPr>
        <w:t xml:space="preserve">cash </w:t>
      </w:r>
      <w:r w:rsidR="002F2C60" w:rsidRPr="228C13AF">
        <w:rPr>
          <w:color w:val="auto"/>
          <w:lang w:val="en-GB"/>
        </w:rPr>
        <w:t xml:space="preserve">transfer </w:t>
      </w:r>
      <w:r w:rsidRPr="003B7591">
        <w:rPr>
          <w:color w:val="auto"/>
          <w:lang w:val="en-GB"/>
        </w:rPr>
        <w:t>modality</w:t>
      </w:r>
      <w:r w:rsidR="0090401A" w:rsidRPr="228C13AF">
        <w:rPr>
          <w:color w:val="auto"/>
          <w:lang w:val="en-GB"/>
        </w:rPr>
        <w:t xml:space="preserve"> plus</w:t>
      </w:r>
      <w:r w:rsidR="005D5737" w:rsidRPr="228C13AF">
        <w:rPr>
          <w:color w:val="auto"/>
          <w:lang w:val="en-GB"/>
        </w:rPr>
        <w:t xml:space="preserve"> the decision to continue </w:t>
      </w:r>
      <w:r w:rsidR="00087E88" w:rsidRPr="228C13AF">
        <w:rPr>
          <w:color w:val="auto"/>
          <w:lang w:val="en-GB"/>
        </w:rPr>
        <w:t>working with the Partner for the</w:t>
      </w:r>
      <w:r w:rsidR="00EA0C4F" w:rsidRPr="228C13AF">
        <w:rPr>
          <w:color w:val="auto"/>
          <w:lang w:val="en-GB"/>
        </w:rPr>
        <w:t xml:space="preserve"> related task and/or project</w:t>
      </w:r>
      <w:r w:rsidR="00EB2811" w:rsidRPr="228C13AF">
        <w:rPr>
          <w:color w:val="auto"/>
          <w:lang w:val="en-GB"/>
        </w:rPr>
        <w:t xml:space="preserve"> </w:t>
      </w:r>
      <w:r w:rsidR="00BA1A7E" w:rsidRPr="228C13AF">
        <w:rPr>
          <w:color w:val="auto"/>
          <w:lang w:val="en-GB"/>
        </w:rPr>
        <w:t>should be reviewed</w:t>
      </w:r>
      <w:r w:rsidR="007D45BC" w:rsidRPr="228C13AF">
        <w:rPr>
          <w:color w:val="auto"/>
          <w:lang w:val="en-GB"/>
        </w:rPr>
        <w:t xml:space="preserve"> </w:t>
      </w:r>
      <w:r w:rsidR="00EB2811" w:rsidRPr="228C13AF">
        <w:rPr>
          <w:color w:val="auto"/>
          <w:lang w:val="en-GB"/>
        </w:rPr>
        <w:t>in lin</w:t>
      </w:r>
      <w:r w:rsidR="00D8717E" w:rsidRPr="228C13AF">
        <w:rPr>
          <w:color w:val="auto"/>
          <w:lang w:val="en-GB"/>
        </w:rPr>
        <w:t>e</w:t>
      </w:r>
      <w:r w:rsidR="00EB2811" w:rsidRPr="228C13AF">
        <w:rPr>
          <w:color w:val="auto"/>
          <w:lang w:val="en-GB"/>
        </w:rPr>
        <w:t xml:space="preserve"> with the </w:t>
      </w:r>
      <w:hyperlink r:id="rId21" w:history="1">
        <w:r w:rsidR="00EB2811" w:rsidRPr="228C13AF">
          <w:rPr>
            <w:rStyle w:val="Hyperlink"/>
            <w:lang w:val="en-GB"/>
          </w:rPr>
          <w:t>HACT POPP</w:t>
        </w:r>
      </w:hyperlink>
      <w:r w:rsidRPr="003B7591">
        <w:rPr>
          <w:color w:val="auto"/>
          <w:lang w:val="en-GB"/>
        </w:rPr>
        <w:t xml:space="preserve">. The </w:t>
      </w:r>
      <w:r>
        <w:rPr>
          <w:color w:val="auto"/>
          <w:lang w:val="en-GB"/>
        </w:rPr>
        <w:t>P</w:t>
      </w:r>
      <w:r w:rsidRPr="003B7591">
        <w:rPr>
          <w:color w:val="auto"/>
          <w:lang w:val="en-GB"/>
        </w:rPr>
        <w:t xml:space="preserve">artner’s technical, managerial, </w:t>
      </w:r>
      <w:r w:rsidR="007D45BC" w:rsidRPr="228C13AF">
        <w:rPr>
          <w:color w:val="auto"/>
          <w:lang w:val="en-GB"/>
        </w:rPr>
        <w:t>administrative,</w:t>
      </w:r>
      <w:r w:rsidRPr="003B7591">
        <w:rPr>
          <w:color w:val="auto"/>
          <w:lang w:val="en-GB"/>
        </w:rPr>
        <w:t xml:space="preserve"> and financial capacities should be reassessed </w:t>
      </w:r>
      <w:r w:rsidRPr="00D95B4C">
        <w:rPr>
          <w:color w:val="auto"/>
          <w:lang w:val="en-GB"/>
        </w:rPr>
        <w:t xml:space="preserve">throughout the life of the project during </w:t>
      </w:r>
      <w:r w:rsidR="004A0E21" w:rsidRPr="228C13AF">
        <w:rPr>
          <w:color w:val="auto"/>
          <w:lang w:val="en-GB"/>
        </w:rPr>
        <w:t>A</w:t>
      </w:r>
      <w:r w:rsidRPr="00D95B4C">
        <w:rPr>
          <w:color w:val="auto"/>
          <w:lang w:val="en-GB"/>
        </w:rPr>
        <w:t xml:space="preserve">ssurance </w:t>
      </w:r>
      <w:r w:rsidR="004A0E21" w:rsidRPr="228C13AF">
        <w:rPr>
          <w:color w:val="auto"/>
          <w:lang w:val="en-GB"/>
        </w:rPr>
        <w:t>Activities</w:t>
      </w:r>
      <w:r w:rsidRPr="00D95B4C">
        <w:rPr>
          <w:color w:val="auto"/>
          <w:lang w:val="en-GB"/>
        </w:rPr>
        <w:t xml:space="preserve">. </w:t>
      </w:r>
    </w:p>
    <w:p w14:paraId="1D56571A" w14:textId="1B088818" w:rsidR="008D2D93" w:rsidRPr="00D95B4C" w:rsidRDefault="008D2D93" w:rsidP="008D2D93">
      <w:pPr>
        <w:numPr>
          <w:ilvl w:val="0"/>
          <w:numId w:val="1"/>
        </w:numPr>
        <w:ind w:right="-13" w:hanging="360"/>
        <w:rPr>
          <w:color w:val="auto"/>
          <w:lang w:val="en-GB"/>
        </w:rPr>
      </w:pPr>
      <w:r w:rsidRPr="00D95B4C">
        <w:rPr>
          <w:color w:val="auto"/>
          <w:lang w:val="en-GB"/>
        </w:rPr>
        <w:t xml:space="preserve">If the </w:t>
      </w:r>
      <w:r w:rsidR="00887557">
        <w:rPr>
          <w:color w:val="auto"/>
          <w:lang w:val="en-GB"/>
        </w:rPr>
        <w:t xml:space="preserve">UNDP </w:t>
      </w:r>
      <w:r w:rsidRPr="00D95B4C">
        <w:rPr>
          <w:color w:val="auto"/>
          <w:lang w:val="en-GB"/>
        </w:rPr>
        <w:t xml:space="preserve">programme officer considers a greater level of oversight is necessary, and wishes to monitor project activities on a transactional basis, he/she should request the Partner to provide </w:t>
      </w:r>
      <w:r w:rsidR="00796669" w:rsidRPr="00D95B4C">
        <w:rPr>
          <w:color w:val="auto"/>
          <w:lang w:val="en-GB"/>
        </w:rPr>
        <w:t>supporting</w:t>
      </w:r>
      <w:r w:rsidRPr="00D95B4C">
        <w:rPr>
          <w:color w:val="auto"/>
          <w:lang w:val="en-GB"/>
        </w:rPr>
        <w:t xml:space="preserve"> documentation (i.e. copies of invoices, purchase orders, quotations and goods received notes) when reporting expenditures via FACE forms, otherwise verification of supporting documents should be performed during </w:t>
      </w:r>
      <w:r w:rsidR="00796669" w:rsidRPr="00D95B4C">
        <w:rPr>
          <w:color w:val="auto"/>
          <w:lang w:val="en-GB"/>
        </w:rPr>
        <w:t xml:space="preserve">Assurance Activities </w:t>
      </w:r>
      <w:r w:rsidRPr="00D95B4C">
        <w:rPr>
          <w:color w:val="auto"/>
          <w:lang w:val="en-GB"/>
        </w:rPr>
        <w:t>(audits and spot checks)</w:t>
      </w:r>
      <w:r w:rsidR="00796669" w:rsidRPr="00D95B4C">
        <w:rPr>
          <w:color w:val="auto"/>
          <w:lang w:val="en-GB"/>
        </w:rPr>
        <w:t xml:space="preserve"> in line with </w:t>
      </w:r>
      <w:hyperlink r:id="rId22" w:history="1">
        <w:r w:rsidR="00796669" w:rsidRPr="00D95B4C">
          <w:rPr>
            <w:rStyle w:val="Hyperlink"/>
            <w:lang w:val="en-GB"/>
          </w:rPr>
          <w:t>HACT POPP</w:t>
        </w:r>
      </w:hyperlink>
      <w:r w:rsidRPr="00D95B4C">
        <w:rPr>
          <w:color w:val="auto"/>
          <w:lang w:val="en-GB"/>
        </w:rPr>
        <w:t>. Nevertheless, care should be taken to ensure there is no confusion on where responsibility</w:t>
      </w:r>
      <w:r w:rsidR="00C7356E" w:rsidRPr="00D95B4C">
        <w:rPr>
          <w:color w:val="auto"/>
          <w:lang w:val="en-GB"/>
        </w:rPr>
        <w:t xml:space="preserve"> and accountability</w:t>
      </w:r>
      <w:r w:rsidRPr="00D95B4C">
        <w:rPr>
          <w:color w:val="auto"/>
          <w:lang w:val="en-GB"/>
        </w:rPr>
        <w:t xml:space="preserve"> for procurement lies, </w:t>
      </w:r>
      <w:r w:rsidR="000D71A1" w:rsidRPr="00D95B4C">
        <w:rPr>
          <w:color w:val="auto"/>
          <w:lang w:val="en-GB"/>
        </w:rPr>
        <w:t>i.e.,</w:t>
      </w:r>
      <w:r w:rsidRPr="00D95B4C">
        <w:rPr>
          <w:color w:val="auto"/>
          <w:lang w:val="en-GB"/>
        </w:rPr>
        <w:t xml:space="preserve"> with the Partner and not with UNDP. </w:t>
      </w:r>
    </w:p>
    <w:p w14:paraId="18440B3B" w14:textId="6726BF90" w:rsidR="009B2F58" w:rsidRPr="00962852" w:rsidRDefault="009B2F58" w:rsidP="009B2F58">
      <w:pPr>
        <w:pStyle w:val="ListParagraph"/>
        <w:numPr>
          <w:ilvl w:val="0"/>
          <w:numId w:val="1"/>
        </w:numPr>
        <w:rPr>
          <w:color w:val="000000" w:themeColor="text1"/>
        </w:rPr>
      </w:pPr>
      <w:r w:rsidRPr="00962852">
        <w:rPr>
          <w:color w:val="000000" w:themeColor="text1"/>
        </w:rPr>
        <w:t xml:space="preserve">Direct Payments for national implementation projects shall only be made in local currency.   Requests by the Partner to effect Direct Payments in non-local currency to international suppliers where obligation is in non-local currency should be reviewed by the Office and approved by the Head of Office in accordance with UNDP Financial Regulations and Rules (FRR) before settlement.  </w:t>
      </w:r>
    </w:p>
    <w:p w14:paraId="056F9A53" w14:textId="4F3BCFA7" w:rsidR="009B2F58" w:rsidRDefault="009B2F58" w:rsidP="009B2F58">
      <w:pPr>
        <w:pStyle w:val="ListParagraph"/>
        <w:ind w:left="705" w:firstLine="0"/>
        <w:rPr>
          <w:color w:val="000000" w:themeColor="text1"/>
        </w:rPr>
      </w:pPr>
      <w:r w:rsidRPr="6B7FD56B">
        <w:rPr>
          <w:color w:val="000000" w:themeColor="text1"/>
        </w:rPr>
        <w:t>Furthermore, where the Letter of Agreement (LOA), Responsible Party Agreement (RPA), Performance Based Payment Agreement (PBPA), or similar contracts or agreements, as well as the project document</w:t>
      </w:r>
      <w:r>
        <w:rPr>
          <w:color w:val="000000" w:themeColor="text1"/>
        </w:rPr>
        <w:t xml:space="preserve"> or </w:t>
      </w:r>
      <w:r w:rsidRPr="6B7FD56B">
        <w:rPr>
          <w:color w:val="000000" w:themeColor="text1"/>
        </w:rPr>
        <w:t>annual work plan, have clearly identified activities and expenditures to be incurred in non-local currency, such as payment to international consultants, or suppliers, UNDP HQ Treasury approval is not required</w:t>
      </w:r>
      <w:r>
        <w:rPr>
          <w:color w:val="000000" w:themeColor="text1"/>
        </w:rPr>
        <w:t xml:space="preserve"> for the Office</w:t>
      </w:r>
      <w:r w:rsidRPr="6B7FD56B">
        <w:rPr>
          <w:color w:val="000000" w:themeColor="text1"/>
        </w:rPr>
        <w:t xml:space="preserve"> to process the Direct Payments in non-local currency.  This provision is limited to the scope of such activities as specified in the agreement, contracts, or corresponding legally binding document, such that the contracts signed by the Partner comply with the principle of UNDP FRR and procurement rules that resulted to non-local currency obligations. All such cases should be approved by the Head of Office, and the Office should maintain relevant documents to support such rationale.</w:t>
      </w:r>
      <w:r>
        <w:rPr>
          <w:color w:val="000000" w:themeColor="text1"/>
        </w:rPr>
        <w:t xml:space="preserve"> </w:t>
      </w:r>
      <w:r w:rsidRPr="6B7FD56B">
        <w:rPr>
          <w:color w:val="000000" w:themeColor="text1"/>
        </w:rPr>
        <w:t>The Head of Office is not authorized to pay in non-local currency where the obligations are in local currency.</w:t>
      </w:r>
    </w:p>
    <w:p w14:paraId="2100A234" w14:textId="77777777" w:rsidR="009B2F58" w:rsidRPr="002678E9" w:rsidRDefault="009B2F58" w:rsidP="009B2F58">
      <w:pPr>
        <w:pStyle w:val="ListParagraph"/>
        <w:ind w:left="705" w:firstLine="0"/>
        <w:rPr>
          <w:color w:val="000000" w:themeColor="text1"/>
        </w:rPr>
      </w:pPr>
    </w:p>
    <w:p w14:paraId="258004FF" w14:textId="64667024" w:rsidR="009B2F58" w:rsidRDefault="009B2F58" w:rsidP="009B2F58">
      <w:pPr>
        <w:ind w:hanging="25"/>
        <w:rPr>
          <w:rFonts w:eastAsiaTheme="minorHAnsi"/>
          <w:sz w:val="24"/>
          <w:szCs w:val="24"/>
          <w:lang w:val="en-GB"/>
        </w:rPr>
      </w:pPr>
      <w:r w:rsidRPr="000D35B1">
        <w:rPr>
          <w:lang w:val="en-GB"/>
        </w:rPr>
        <w:t xml:space="preserve">The </w:t>
      </w:r>
      <w:r>
        <w:rPr>
          <w:lang w:val="en-GB"/>
        </w:rPr>
        <w:t>Office</w:t>
      </w:r>
      <w:r w:rsidRPr="000D35B1">
        <w:rPr>
          <w:lang w:val="en-GB"/>
        </w:rPr>
        <w:t xml:space="preserve"> should submit to GSSC signed copies of </w:t>
      </w:r>
      <w:r>
        <w:rPr>
          <w:lang w:val="en-GB"/>
        </w:rPr>
        <w:t xml:space="preserve">relevant </w:t>
      </w:r>
      <w:r w:rsidRPr="000D35B1">
        <w:rPr>
          <w:lang w:val="en-GB"/>
        </w:rPr>
        <w:t xml:space="preserve">contracts, agreements, POs, workplans and other supporting documents prepared in non-local currency and approved by the Head of Office and specifying that disbursements are required to be made in non-local currency. In the </w:t>
      </w:r>
      <w:r w:rsidRPr="000D35B1">
        <w:rPr>
          <w:lang w:val="en-GB"/>
        </w:rPr>
        <w:lastRenderedPageBreak/>
        <w:t xml:space="preserve">absence of the above supporting documents, GSSC will require the </w:t>
      </w:r>
      <w:r>
        <w:rPr>
          <w:lang w:val="en-GB"/>
        </w:rPr>
        <w:t>Office</w:t>
      </w:r>
      <w:r w:rsidRPr="000D35B1">
        <w:rPr>
          <w:lang w:val="en-GB"/>
        </w:rPr>
        <w:t xml:space="preserve"> to submit a waiver from HQ </w:t>
      </w:r>
      <w:r>
        <w:rPr>
          <w:lang w:val="en-GB"/>
        </w:rPr>
        <w:t>T</w:t>
      </w:r>
      <w:r w:rsidRPr="000D35B1">
        <w:rPr>
          <w:lang w:val="en-GB"/>
        </w:rPr>
        <w:t>reasury</w:t>
      </w:r>
      <w:r w:rsidR="001E7CED">
        <w:rPr>
          <w:lang w:val="en-GB"/>
        </w:rPr>
        <w:t>.</w:t>
      </w:r>
    </w:p>
    <w:p w14:paraId="1AF4468F" w14:textId="3DE898D1" w:rsidR="008D2D93" w:rsidRPr="003B7591" w:rsidRDefault="008D2D93" w:rsidP="00BB2642">
      <w:pPr>
        <w:pStyle w:val="ListParagraph"/>
        <w:numPr>
          <w:ilvl w:val="0"/>
          <w:numId w:val="1"/>
        </w:numPr>
        <w:rPr>
          <w:color w:val="auto"/>
          <w:lang w:val="en-GB"/>
        </w:rPr>
      </w:pPr>
      <w:r w:rsidRPr="003B7591">
        <w:rPr>
          <w:color w:val="auto"/>
          <w:lang w:val="en-GB"/>
        </w:rPr>
        <w:t xml:space="preserve">UNDP has a responsibility to accept appropriate requests for </w:t>
      </w:r>
      <w:r w:rsidR="00644E26">
        <w:rPr>
          <w:color w:val="auto"/>
          <w:lang w:val="en-GB"/>
        </w:rPr>
        <w:t>D</w:t>
      </w:r>
      <w:r w:rsidR="00644E26" w:rsidRPr="003B7591">
        <w:rPr>
          <w:color w:val="auto"/>
          <w:lang w:val="en-GB"/>
        </w:rPr>
        <w:t xml:space="preserve">irect </w:t>
      </w:r>
      <w:r w:rsidR="00644E26">
        <w:rPr>
          <w:color w:val="auto"/>
          <w:lang w:val="en-GB"/>
        </w:rPr>
        <w:t>P</w:t>
      </w:r>
      <w:r w:rsidR="00644E26" w:rsidRPr="003B7591">
        <w:rPr>
          <w:color w:val="auto"/>
          <w:lang w:val="en-GB"/>
        </w:rPr>
        <w:t xml:space="preserve">ayment </w:t>
      </w:r>
      <w:r w:rsidRPr="003B7591">
        <w:rPr>
          <w:color w:val="auto"/>
          <w:lang w:val="en-GB"/>
        </w:rPr>
        <w:t>consistent with the annual work plan and UNDP’s Financial Regulations</w:t>
      </w:r>
      <w:r w:rsidR="005674B8">
        <w:rPr>
          <w:color w:val="auto"/>
          <w:lang w:val="en-GB"/>
        </w:rPr>
        <w:t xml:space="preserve"> and Rules</w:t>
      </w:r>
      <w:r w:rsidRPr="003B7591">
        <w:rPr>
          <w:color w:val="auto"/>
          <w:lang w:val="en-GB"/>
        </w:rPr>
        <w:t>, and to reject requests</w:t>
      </w:r>
      <w:r w:rsidR="008875A7">
        <w:rPr>
          <w:color w:val="auto"/>
          <w:lang w:val="en-GB"/>
        </w:rPr>
        <w:t xml:space="preserve"> that do not meet these requirements</w:t>
      </w:r>
      <w:r w:rsidR="00470BAF">
        <w:rPr>
          <w:color w:val="auto"/>
          <w:lang w:val="en-GB"/>
        </w:rPr>
        <w:t xml:space="preserve"> (improper requests)</w:t>
      </w:r>
      <w:r w:rsidRPr="003B7591">
        <w:rPr>
          <w:color w:val="auto"/>
          <w:lang w:val="en-GB"/>
        </w:rPr>
        <w:t xml:space="preserve">. If new information questions the </w:t>
      </w:r>
      <w:r>
        <w:rPr>
          <w:color w:val="auto"/>
          <w:lang w:val="en-GB"/>
        </w:rPr>
        <w:t>validity</w:t>
      </w:r>
      <w:r w:rsidRPr="003B7591">
        <w:rPr>
          <w:color w:val="auto"/>
          <w:lang w:val="en-GB"/>
        </w:rPr>
        <w:t xml:space="preserve"> of </w:t>
      </w:r>
      <w:r w:rsidR="00C34423">
        <w:rPr>
          <w:color w:val="auto"/>
          <w:lang w:val="en-GB"/>
        </w:rPr>
        <w:t xml:space="preserve">a </w:t>
      </w:r>
      <w:r w:rsidR="009273BB">
        <w:rPr>
          <w:color w:val="auto"/>
          <w:lang w:val="en-GB"/>
        </w:rPr>
        <w:t>D</w:t>
      </w:r>
      <w:r w:rsidR="009273BB" w:rsidRPr="003B7591">
        <w:rPr>
          <w:color w:val="auto"/>
          <w:lang w:val="en-GB"/>
        </w:rPr>
        <w:t xml:space="preserve">irect </w:t>
      </w:r>
      <w:r w:rsidR="009273BB">
        <w:rPr>
          <w:color w:val="auto"/>
          <w:lang w:val="en-GB"/>
        </w:rPr>
        <w:t>P</w:t>
      </w:r>
      <w:r w:rsidR="009273BB" w:rsidRPr="003B7591">
        <w:rPr>
          <w:color w:val="auto"/>
          <w:lang w:val="en-GB"/>
        </w:rPr>
        <w:t xml:space="preserve">ayment </w:t>
      </w:r>
      <w:r w:rsidRPr="003B7591">
        <w:rPr>
          <w:color w:val="auto"/>
          <w:lang w:val="en-GB"/>
        </w:rPr>
        <w:t xml:space="preserve">already made, </w:t>
      </w:r>
      <w:r>
        <w:rPr>
          <w:color w:val="auto"/>
          <w:lang w:val="en-GB"/>
        </w:rPr>
        <w:t xml:space="preserve">UNDP should suspend further </w:t>
      </w:r>
      <w:r w:rsidR="00C34423">
        <w:rPr>
          <w:color w:val="auto"/>
          <w:lang w:val="en-GB"/>
        </w:rPr>
        <w:t xml:space="preserve">Direct Payment requests </w:t>
      </w:r>
      <w:r>
        <w:rPr>
          <w:color w:val="auto"/>
          <w:lang w:val="en-GB"/>
        </w:rPr>
        <w:t>until the issue is satisfactorily resolved with the Partner</w:t>
      </w:r>
      <w:r w:rsidRPr="003B7591">
        <w:rPr>
          <w:color w:val="auto"/>
          <w:lang w:val="en-GB"/>
        </w:rPr>
        <w:t xml:space="preserve">.  </w:t>
      </w:r>
    </w:p>
    <w:p w14:paraId="284398B8" w14:textId="3C717D32" w:rsidR="008D2D93" w:rsidRPr="003B7591" w:rsidRDefault="008D2D93" w:rsidP="00842874">
      <w:pPr>
        <w:numPr>
          <w:ilvl w:val="0"/>
          <w:numId w:val="1"/>
        </w:numPr>
        <w:spacing w:after="4" w:line="250" w:lineRule="auto"/>
        <w:ind w:right="-13" w:hanging="360"/>
        <w:rPr>
          <w:color w:val="auto"/>
          <w:lang w:val="en-GB"/>
        </w:rPr>
      </w:pPr>
      <w:r w:rsidRPr="003B7591">
        <w:rPr>
          <w:color w:val="auto"/>
          <w:lang w:val="en-GB"/>
        </w:rPr>
        <w:t xml:space="preserve">Improper </w:t>
      </w:r>
      <w:r w:rsidR="00A2616B">
        <w:rPr>
          <w:color w:val="auto"/>
          <w:lang w:val="en-GB"/>
        </w:rPr>
        <w:t xml:space="preserve">requests </w:t>
      </w:r>
      <w:r w:rsidR="00470BAF">
        <w:rPr>
          <w:color w:val="auto"/>
          <w:lang w:val="en-GB"/>
        </w:rPr>
        <w:t xml:space="preserve">or </w:t>
      </w:r>
      <w:r w:rsidRPr="003B7591">
        <w:rPr>
          <w:color w:val="auto"/>
          <w:lang w:val="en-GB"/>
        </w:rPr>
        <w:t xml:space="preserve">payments may occur when:  </w:t>
      </w:r>
    </w:p>
    <w:p w14:paraId="44468A3C" w14:textId="77777777" w:rsidR="008D2D93" w:rsidRDefault="008D2D93" w:rsidP="008D2D93">
      <w:pPr>
        <w:pStyle w:val="ListParagraph"/>
        <w:numPr>
          <w:ilvl w:val="0"/>
          <w:numId w:val="4"/>
        </w:numPr>
        <w:spacing w:after="4" w:line="250" w:lineRule="auto"/>
        <w:ind w:right="0"/>
        <w:jc w:val="left"/>
        <w:rPr>
          <w:color w:val="auto"/>
          <w:lang w:val="en-GB"/>
        </w:rPr>
      </w:pPr>
      <w:r>
        <w:rPr>
          <w:color w:val="auto"/>
          <w:lang w:val="en-GB"/>
        </w:rPr>
        <w:t xml:space="preserve">Payment is </w:t>
      </w:r>
      <w:r w:rsidRPr="003E2E24">
        <w:rPr>
          <w:color w:val="auto"/>
          <w:lang w:val="en-GB"/>
        </w:rPr>
        <w:t>not consistent with the annual work plan or project budget, or is not within available funding ceilings;</w:t>
      </w:r>
    </w:p>
    <w:p w14:paraId="6131ECE5" w14:textId="36A7197F" w:rsidR="008D2D93" w:rsidRPr="009D44BF" w:rsidRDefault="008D2D93" w:rsidP="008D2D93">
      <w:pPr>
        <w:pStyle w:val="ListParagraph"/>
        <w:numPr>
          <w:ilvl w:val="0"/>
          <w:numId w:val="4"/>
        </w:numPr>
        <w:spacing w:after="4" w:line="250" w:lineRule="auto"/>
        <w:ind w:right="0"/>
        <w:jc w:val="left"/>
        <w:rPr>
          <w:color w:val="auto"/>
          <w:lang w:val="en-GB"/>
        </w:rPr>
      </w:pPr>
      <w:r w:rsidRPr="009D44BF">
        <w:rPr>
          <w:color w:val="auto"/>
          <w:lang w:val="en-GB"/>
        </w:rPr>
        <w:t xml:space="preserve">Requested </w:t>
      </w:r>
      <w:r w:rsidR="00122A0E">
        <w:rPr>
          <w:color w:val="auto"/>
          <w:lang w:val="en-GB"/>
        </w:rPr>
        <w:t xml:space="preserve">supporting </w:t>
      </w:r>
      <w:r w:rsidRPr="009D44BF">
        <w:rPr>
          <w:color w:val="auto"/>
          <w:lang w:val="en-GB"/>
        </w:rPr>
        <w:t>documentation is missing;</w:t>
      </w:r>
    </w:p>
    <w:p w14:paraId="535A09DF" w14:textId="213F9E46" w:rsidR="008D2D93" w:rsidRPr="00875634" w:rsidRDefault="008D2D93" w:rsidP="008D2D93">
      <w:pPr>
        <w:pStyle w:val="ListParagraph"/>
        <w:numPr>
          <w:ilvl w:val="0"/>
          <w:numId w:val="4"/>
        </w:numPr>
        <w:spacing w:after="4" w:line="250" w:lineRule="auto"/>
        <w:ind w:right="0"/>
        <w:jc w:val="left"/>
        <w:rPr>
          <w:color w:val="auto"/>
          <w:lang w:val="en-GB"/>
        </w:rPr>
      </w:pPr>
      <w:r w:rsidRPr="00875634">
        <w:rPr>
          <w:color w:val="auto"/>
          <w:lang w:val="en-GB"/>
        </w:rPr>
        <w:t xml:space="preserve">Inconsistencies exist with regards to the </w:t>
      </w:r>
      <w:r w:rsidR="00D91BFF">
        <w:rPr>
          <w:color w:val="auto"/>
          <w:lang w:val="en-GB"/>
        </w:rPr>
        <w:t>supplier</w:t>
      </w:r>
      <w:r w:rsidRPr="00875634">
        <w:rPr>
          <w:color w:val="auto"/>
          <w:lang w:val="en-GB"/>
        </w:rPr>
        <w:t xml:space="preserve"> or Partner approval;</w:t>
      </w:r>
    </w:p>
    <w:p w14:paraId="40399371" w14:textId="77777777" w:rsidR="008D2D93" w:rsidRPr="00875634" w:rsidRDefault="008D2D93" w:rsidP="008D2D93">
      <w:pPr>
        <w:pStyle w:val="ListParagraph"/>
        <w:numPr>
          <w:ilvl w:val="0"/>
          <w:numId w:val="4"/>
        </w:numPr>
        <w:spacing w:after="4" w:line="250" w:lineRule="auto"/>
        <w:ind w:right="0"/>
        <w:jc w:val="left"/>
        <w:rPr>
          <w:color w:val="auto"/>
          <w:lang w:val="en-GB"/>
        </w:rPr>
      </w:pPr>
      <w:r w:rsidRPr="00875634">
        <w:rPr>
          <w:color w:val="auto"/>
          <w:lang w:val="en-GB"/>
        </w:rPr>
        <w:t>There are irregularities in the procurement practice;</w:t>
      </w:r>
    </w:p>
    <w:p w14:paraId="7BDA314F" w14:textId="1F3B61AB" w:rsidR="008D2D93" w:rsidRPr="00875634" w:rsidRDefault="008D2D93" w:rsidP="008D2D93">
      <w:pPr>
        <w:pStyle w:val="ListParagraph"/>
        <w:numPr>
          <w:ilvl w:val="0"/>
          <w:numId w:val="4"/>
        </w:numPr>
        <w:spacing w:after="4" w:line="250" w:lineRule="auto"/>
        <w:ind w:right="0"/>
        <w:jc w:val="left"/>
        <w:rPr>
          <w:color w:val="auto"/>
          <w:lang w:val="en-GB"/>
        </w:rPr>
      </w:pPr>
      <w:r w:rsidRPr="00875634">
        <w:rPr>
          <w:color w:val="auto"/>
          <w:lang w:val="en-GB"/>
        </w:rPr>
        <w:t xml:space="preserve">Funds </w:t>
      </w:r>
      <w:r w:rsidR="008706AC">
        <w:rPr>
          <w:color w:val="auto"/>
          <w:lang w:val="en-GB"/>
        </w:rPr>
        <w:t>are transferred to</w:t>
      </w:r>
      <w:r w:rsidRPr="00875634">
        <w:rPr>
          <w:color w:val="auto"/>
          <w:lang w:val="en-GB"/>
        </w:rPr>
        <w:t xml:space="preserve"> the wrong recipient;</w:t>
      </w:r>
    </w:p>
    <w:p w14:paraId="7CA2AD0A" w14:textId="441EAB7F" w:rsidR="008D2D93" w:rsidRPr="00875634" w:rsidRDefault="008D2D93" w:rsidP="008D2D93">
      <w:pPr>
        <w:pStyle w:val="ListParagraph"/>
        <w:numPr>
          <w:ilvl w:val="0"/>
          <w:numId w:val="4"/>
        </w:numPr>
        <w:spacing w:after="4" w:line="250" w:lineRule="auto"/>
        <w:ind w:right="0"/>
        <w:jc w:val="left"/>
        <w:rPr>
          <w:color w:val="auto"/>
          <w:lang w:val="en-GB"/>
        </w:rPr>
      </w:pPr>
      <w:r w:rsidRPr="00875634">
        <w:rPr>
          <w:color w:val="auto"/>
          <w:lang w:val="en-GB"/>
        </w:rPr>
        <w:t xml:space="preserve">The right recipient receives incorrect amount of funds including payments </w:t>
      </w:r>
      <w:r w:rsidRPr="0001374B">
        <w:rPr>
          <w:lang w:val="en-GB"/>
        </w:rPr>
        <w:t>not requested or properly approved by UNDP</w:t>
      </w:r>
      <w:r w:rsidRPr="00875634">
        <w:rPr>
          <w:color w:val="auto"/>
          <w:lang w:val="en-GB"/>
        </w:rPr>
        <w:t>;</w:t>
      </w:r>
    </w:p>
    <w:p w14:paraId="07D556E4" w14:textId="77777777" w:rsidR="008D2D93" w:rsidRPr="00875634" w:rsidRDefault="008D2D93" w:rsidP="008D2D93">
      <w:pPr>
        <w:pStyle w:val="ListParagraph"/>
        <w:numPr>
          <w:ilvl w:val="0"/>
          <w:numId w:val="4"/>
        </w:numPr>
        <w:spacing w:after="4" w:line="250" w:lineRule="auto"/>
        <w:ind w:right="0"/>
        <w:jc w:val="left"/>
        <w:rPr>
          <w:color w:val="auto"/>
          <w:lang w:val="en-GB"/>
        </w:rPr>
      </w:pPr>
      <w:r w:rsidRPr="00875634">
        <w:rPr>
          <w:color w:val="auto"/>
          <w:lang w:val="en-GB"/>
        </w:rPr>
        <w:t>Additional documentation is made available that would lead to UNDP questioning the validity or appropriateness of the payment</w:t>
      </w:r>
      <w:r>
        <w:rPr>
          <w:color w:val="auto"/>
          <w:lang w:val="en-GB"/>
        </w:rPr>
        <w:t xml:space="preserve"> including suspected fraud;</w:t>
      </w:r>
    </w:p>
    <w:p w14:paraId="1E731EDB" w14:textId="67A600D3" w:rsidR="008D2D93" w:rsidRPr="00875634" w:rsidRDefault="008D2D93" w:rsidP="008D2D93">
      <w:pPr>
        <w:pStyle w:val="ListParagraph"/>
        <w:numPr>
          <w:ilvl w:val="0"/>
          <w:numId w:val="4"/>
        </w:numPr>
        <w:spacing w:after="4" w:line="250" w:lineRule="auto"/>
        <w:ind w:right="0"/>
        <w:jc w:val="left"/>
        <w:rPr>
          <w:color w:val="auto"/>
          <w:lang w:val="en-GB"/>
        </w:rPr>
      </w:pPr>
      <w:r>
        <w:rPr>
          <w:color w:val="auto"/>
          <w:lang w:val="en-GB"/>
        </w:rPr>
        <w:t xml:space="preserve">The </w:t>
      </w:r>
      <w:r w:rsidR="00BF6F11">
        <w:rPr>
          <w:color w:val="auto"/>
          <w:lang w:val="en-GB"/>
        </w:rPr>
        <w:t xml:space="preserve">Partner </w:t>
      </w:r>
      <w:r>
        <w:rPr>
          <w:color w:val="auto"/>
          <w:lang w:val="en-GB"/>
        </w:rPr>
        <w:t>does not use the funds</w:t>
      </w:r>
      <w:r w:rsidRPr="003B7591">
        <w:rPr>
          <w:color w:val="auto"/>
          <w:lang w:val="en-GB"/>
        </w:rPr>
        <w:t xml:space="preserve"> towards the attainment of expected project outputs</w:t>
      </w:r>
      <w:r>
        <w:rPr>
          <w:color w:val="auto"/>
          <w:lang w:val="en-GB"/>
        </w:rPr>
        <w:t xml:space="preserve"> or uses the funds </w:t>
      </w:r>
      <w:r w:rsidRPr="003B7591">
        <w:rPr>
          <w:color w:val="auto"/>
          <w:lang w:val="en-GB"/>
        </w:rPr>
        <w:t>in an improper manner</w:t>
      </w:r>
      <w:r>
        <w:rPr>
          <w:color w:val="auto"/>
          <w:lang w:val="en-GB"/>
        </w:rPr>
        <w:t xml:space="preserve"> including fraudulent payments</w:t>
      </w:r>
      <w:r w:rsidRPr="00875634">
        <w:rPr>
          <w:color w:val="auto"/>
          <w:lang w:val="en-GB"/>
        </w:rPr>
        <w:t>.</w:t>
      </w:r>
    </w:p>
    <w:p w14:paraId="4173699C" w14:textId="05BC0E12" w:rsidR="008D2D93" w:rsidRDefault="008D2D93" w:rsidP="00842874">
      <w:pPr>
        <w:numPr>
          <w:ilvl w:val="0"/>
          <w:numId w:val="1"/>
        </w:numPr>
        <w:spacing w:after="4" w:line="250" w:lineRule="auto"/>
        <w:ind w:right="-13" w:hanging="360"/>
        <w:rPr>
          <w:color w:val="auto"/>
          <w:lang w:val="en-GB"/>
        </w:rPr>
      </w:pPr>
      <w:r w:rsidRPr="003B7591">
        <w:rPr>
          <w:color w:val="auto"/>
          <w:lang w:val="en-GB"/>
        </w:rPr>
        <w:t xml:space="preserve"> </w:t>
      </w:r>
      <w:r>
        <w:rPr>
          <w:color w:val="auto"/>
          <w:lang w:val="en-GB"/>
        </w:rPr>
        <w:t xml:space="preserve">If </w:t>
      </w:r>
      <w:r w:rsidR="00A55869">
        <w:rPr>
          <w:color w:val="auto"/>
          <w:lang w:val="en-GB"/>
        </w:rPr>
        <w:t xml:space="preserve">the </w:t>
      </w:r>
      <w:r w:rsidR="00EB56EC">
        <w:rPr>
          <w:color w:val="auto"/>
          <w:lang w:val="en-GB"/>
        </w:rPr>
        <w:t>Office</w:t>
      </w:r>
      <w:r w:rsidRPr="003B7591">
        <w:rPr>
          <w:color w:val="auto"/>
          <w:lang w:val="en-GB"/>
        </w:rPr>
        <w:t xml:space="preserve"> identifies improper </w:t>
      </w:r>
      <w:r w:rsidR="006703A0">
        <w:rPr>
          <w:color w:val="auto"/>
          <w:lang w:val="en-GB"/>
        </w:rPr>
        <w:t xml:space="preserve">requests or </w:t>
      </w:r>
      <w:r w:rsidRPr="003B7591">
        <w:rPr>
          <w:color w:val="auto"/>
          <w:lang w:val="en-GB"/>
        </w:rPr>
        <w:t xml:space="preserve">payments through the review and approval of the FACE forms submitted by </w:t>
      </w:r>
      <w:r>
        <w:rPr>
          <w:color w:val="auto"/>
          <w:lang w:val="en-GB"/>
        </w:rPr>
        <w:t>P</w:t>
      </w:r>
      <w:r w:rsidRPr="003B7591">
        <w:rPr>
          <w:color w:val="auto"/>
          <w:lang w:val="en-GB"/>
        </w:rPr>
        <w:t>artners</w:t>
      </w:r>
      <w:r>
        <w:rPr>
          <w:color w:val="auto"/>
          <w:lang w:val="en-GB"/>
        </w:rPr>
        <w:t xml:space="preserve"> or through</w:t>
      </w:r>
      <w:r w:rsidRPr="003B7591">
        <w:rPr>
          <w:color w:val="auto"/>
          <w:lang w:val="en-GB"/>
        </w:rPr>
        <w:t xml:space="preserve"> ongoing project monitoring and </w:t>
      </w:r>
      <w:r w:rsidR="00D64799">
        <w:rPr>
          <w:color w:val="auto"/>
          <w:lang w:val="en-GB"/>
        </w:rPr>
        <w:t>A</w:t>
      </w:r>
      <w:r w:rsidRPr="003B7591">
        <w:rPr>
          <w:color w:val="auto"/>
          <w:lang w:val="en-GB"/>
        </w:rPr>
        <w:t xml:space="preserve">ssurance </w:t>
      </w:r>
      <w:r w:rsidR="00D64799">
        <w:rPr>
          <w:color w:val="auto"/>
          <w:lang w:val="en-GB"/>
        </w:rPr>
        <w:t>A</w:t>
      </w:r>
      <w:r>
        <w:rPr>
          <w:color w:val="auto"/>
          <w:lang w:val="en-GB"/>
        </w:rPr>
        <w:t xml:space="preserve">ctivities, further </w:t>
      </w:r>
      <w:r w:rsidR="00D64799">
        <w:rPr>
          <w:color w:val="auto"/>
          <w:lang w:val="en-GB"/>
        </w:rPr>
        <w:t>Direct P</w:t>
      </w:r>
      <w:r>
        <w:rPr>
          <w:color w:val="auto"/>
          <w:lang w:val="en-GB"/>
        </w:rPr>
        <w:t>ayments should be suspended until the issue is resolved with the Partner to the satisfaction of UNDP</w:t>
      </w:r>
      <w:r w:rsidRPr="003B7591">
        <w:rPr>
          <w:color w:val="auto"/>
          <w:lang w:val="en-GB"/>
        </w:rPr>
        <w:t>.</w:t>
      </w:r>
      <w:r>
        <w:rPr>
          <w:color w:val="auto"/>
          <w:lang w:val="en-GB"/>
        </w:rPr>
        <w:t xml:space="preserve"> </w:t>
      </w:r>
    </w:p>
    <w:p w14:paraId="03A76C67" w14:textId="4B3D2125" w:rsidR="008D2D93" w:rsidRPr="000B56D5" w:rsidRDefault="008D2D93" w:rsidP="00BB2642">
      <w:pPr>
        <w:numPr>
          <w:ilvl w:val="0"/>
          <w:numId w:val="1"/>
        </w:numPr>
        <w:spacing w:before="100" w:beforeAutospacing="1" w:after="68" w:line="252" w:lineRule="auto"/>
        <w:ind w:right="0" w:hanging="360"/>
        <w:jc w:val="left"/>
        <w:rPr>
          <w:lang w:val="en-GB"/>
        </w:rPr>
      </w:pPr>
      <w:r w:rsidRPr="000B56D5">
        <w:rPr>
          <w:lang w:val="en-GB"/>
        </w:rPr>
        <w:t xml:space="preserve">When reviewing FACE forms, the </w:t>
      </w:r>
      <w:r w:rsidR="005D70C3">
        <w:rPr>
          <w:lang w:val="en-GB"/>
        </w:rPr>
        <w:t xml:space="preserve">UNDP </w:t>
      </w:r>
      <w:r w:rsidRPr="000B56D5">
        <w:rPr>
          <w:lang w:val="en-GB"/>
        </w:rPr>
        <w:t>Programme Officer, the Finance Officer and the Approving Manager should look out for potential signs of fraud or misuse of funds</w:t>
      </w:r>
      <w:r w:rsidR="000B56D5" w:rsidRPr="000B56D5">
        <w:rPr>
          <w:lang w:val="en-GB"/>
        </w:rPr>
        <w:t xml:space="preserve"> in line with the </w:t>
      </w:r>
      <w:hyperlink r:id="rId23" w:history="1">
        <w:r w:rsidR="000B56D5" w:rsidRPr="00BB2642">
          <w:rPr>
            <w:lang w:val="en-GB"/>
          </w:rPr>
          <w:t>Anti-Fraud Policy</w:t>
        </w:r>
      </w:hyperlink>
      <w:r w:rsidRPr="000B56D5">
        <w:rPr>
          <w:lang w:val="en-GB"/>
        </w:rPr>
        <w:t xml:space="preserve"> (see list of potential red flags below). A secondary review and investigation of transactions which have potential fraud red flags should </w:t>
      </w:r>
      <w:r w:rsidRPr="00875634">
        <w:t>be performed and documented</w:t>
      </w:r>
      <w:r w:rsidRPr="000B56D5">
        <w:rPr>
          <w:lang w:val="en-GB"/>
        </w:rPr>
        <w:t xml:space="preserve">. A request for Direct </w:t>
      </w:r>
      <w:r w:rsidR="00A75BAA" w:rsidRPr="000B56D5">
        <w:rPr>
          <w:lang w:val="en-GB"/>
        </w:rPr>
        <w:t xml:space="preserve">Payment </w:t>
      </w:r>
      <w:r w:rsidRPr="000B56D5">
        <w:rPr>
          <w:lang w:val="en-GB"/>
        </w:rPr>
        <w:t xml:space="preserve">should not be processed until the potential red flags are fully investigated and the transaction confirmed to be valid. </w:t>
      </w:r>
    </w:p>
    <w:p w14:paraId="48F66004" w14:textId="02E91F5F" w:rsidR="008D2D93" w:rsidRPr="00875634" w:rsidRDefault="008D2D93" w:rsidP="00BB2642">
      <w:pPr>
        <w:pStyle w:val="ListParagraph"/>
        <w:numPr>
          <w:ilvl w:val="0"/>
          <w:numId w:val="1"/>
        </w:numPr>
        <w:spacing w:after="68" w:line="252" w:lineRule="auto"/>
        <w:ind w:right="0" w:hanging="360"/>
        <w:rPr>
          <w:lang w:val="en-GB"/>
        </w:rPr>
      </w:pPr>
      <w:r>
        <w:rPr>
          <w:lang w:val="en-GB"/>
        </w:rPr>
        <w:t>Potential r</w:t>
      </w:r>
      <w:r w:rsidRPr="00875634">
        <w:rPr>
          <w:lang w:val="en-GB"/>
        </w:rPr>
        <w:t>ed flags which require secondary review and further investigation include: </w:t>
      </w:r>
    </w:p>
    <w:p w14:paraId="2ECE66ED" w14:textId="032D6343" w:rsidR="008D2D93" w:rsidRPr="00875634" w:rsidRDefault="008D2D93" w:rsidP="008D2D93">
      <w:pPr>
        <w:pStyle w:val="ListParagraph"/>
        <w:numPr>
          <w:ilvl w:val="0"/>
          <w:numId w:val="5"/>
        </w:numPr>
        <w:spacing w:after="68" w:line="252" w:lineRule="auto"/>
        <w:ind w:right="0"/>
        <w:rPr>
          <w:lang w:val="en-GB"/>
        </w:rPr>
      </w:pPr>
      <w:r w:rsidRPr="00875634">
        <w:t>Last minute changes to payment instructions prior to processing a payment including “change-back” requests</w:t>
      </w:r>
      <w:r>
        <w:t>;</w:t>
      </w:r>
      <w:r w:rsidRPr="00875634">
        <w:rPr>
          <w:lang w:val="en-GB"/>
        </w:rPr>
        <w:t> </w:t>
      </w:r>
    </w:p>
    <w:p w14:paraId="3F4F5409" w14:textId="4BB94BC9" w:rsidR="008D2D93" w:rsidRPr="00875634" w:rsidRDefault="008D2D93" w:rsidP="008D2D93">
      <w:pPr>
        <w:pStyle w:val="ListParagraph"/>
        <w:numPr>
          <w:ilvl w:val="0"/>
          <w:numId w:val="5"/>
        </w:numPr>
        <w:spacing w:after="68" w:line="252" w:lineRule="auto"/>
        <w:ind w:right="0"/>
      </w:pPr>
      <w:r w:rsidRPr="00875634">
        <w:t xml:space="preserve">Request to change the banking details close to </w:t>
      </w:r>
      <w:r w:rsidR="007060EB">
        <w:t>processing of</w:t>
      </w:r>
      <w:r w:rsidRPr="00875634">
        <w:t xml:space="preserve"> next payment whereas previous payments have been made to a different bank account</w:t>
      </w:r>
      <w:r>
        <w:t>;</w:t>
      </w:r>
    </w:p>
    <w:p w14:paraId="6157B11D" w14:textId="440826E8" w:rsidR="008D2D93" w:rsidRPr="00875634" w:rsidRDefault="008D2D93" w:rsidP="008D2D93">
      <w:pPr>
        <w:pStyle w:val="ListParagraph"/>
        <w:numPr>
          <w:ilvl w:val="0"/>
          <w:numId w:val="5"/>
        </w:numPr>
        <w:spacing w:after="68" w:line="252" w:lineRule="auto"/>
        <w:ind w:right="0"/>
      </w:pPr>
      <w:r w:rsidRPr="00875634">
        <w:t xml:space="preserve">Where bank account name is entirely different from the </w:t>
      </w:r>
      <w:r w:rsidR="00D91BFF">
        <w:t>supplier</w:t>
      </w:r>
      <w:r w:rsidRPr="00875634">
        <w:t xml:space="preserve"> name</w:t>
      </w:r>
      <w:r>
        <w:t>;</w:t>
      </w:r>
    </w:p>
    <w:p w14:paraId="7C328930" w14:textId="07C9696D" w:rsidR="008D2D93" w:rsidRPr="00875634" w:rsidRDefault="008D2D93" w:rsidP="008D2D93">
      <w:pPr>
        <w:pStyle w:val="ListParagraph"/>
        <w:numPr>
          <w:ilvl w:val="0"/>
          <w:numId w:val="5"/>
        </w:numPr>
        <w:spacing w:after="68" w:line="252" w:lineRule="auto"/>
        <w:ind w:right="0"/>
      </w:pPr>
      <w:r w:rsidRPr="00875634">
        <w:t xml:space="preserve">Requests from unknown persons or emails to change payment instructions and </w:t>
      </w:r>
      <w:r w:rsidR="00D91BFF">
        <w:t>supplier</w:t>
      </w:r>
      <w:r w:rsidRPr="00875634">
        <w:t xml:space="preserve"> details including staff</w:t>
      </w:r>
      <w:r>
        <w:t>;</w:t>
      </w:r>
    </w:p>
    <w:p w14:paraId="39C5E69B" w14:textId="77777777" w:rsidR="008D2D93" w:rsidRPr="00875634" w:rsidRDefault="008D2D93" w:rsidP="008D2D93">
      <w:pPr>
        <w:pStyle w:val="ListParagraph"/>
        <w:numPr>
          <w:ilvl w:val="0"/>
          <w:numId w:val="5"/>
        </w:numPr>
        <w:spacing w:after="68" w:line="252" w:lineRule="auto"/>
        <w:ind w:right="0"/>
      </w:pPr>
      <w:r w:rsidRPr="00875634">
        <w:t>Requests to change payment instruction purported to have been sent over the phone</w:t>
      </w:r>
      <w:r>
        <w:t>;</w:t>
      </w:r>
      <w:r w:rsidRPr="00875634">
        <w:t> </w:t>
      </w:r>
    </w:p>
    <w:p w14:paraId="782C9EFF" w14:textId="77777777" w:rsidR="008D2D93" w:rsidRPr="00875634" w:rsidRDefault="008D2D93" w:rsidP="008D2D93">
      <w:pPr>
        <w:pStyle w:val="ListParagraph"/>
        <w:numPr>
          <w:ilvl w:val="0"/>
          <w:numId w:val="5"/>
        </w:numPr>
        <w:spacing w:after="68" w:line="252" w:lineRule="auto"/>
        <w:ind w:right="0"/>
      </w:pPr>
      <w:r w:rsidRPr="00875634">
        <w:t>Requests from emails which closely mimic valid email addresses but have one or a few conspicuously missing or altered letters</w:t>
      </w:r>
      <w:r>
        <w:t>;</w:t>
      </w:r>
    </w:p>
    <w:p w14:paraId="62DCA2E8" w14:textId="77777777" w:rsidR="008D2D93" w:rsidRPr="00875634" w:rsidRDefault="008D2D93" w:rsidP="008D2D93">
      <w:pPr>
        <w:pStyle w:val="ListParagraph"/>
        <w:numPr>
          <w:ilvl w:val="0"/>
          <w:numId w:val="5"/>
        </w:numPr>
        <w:spacing w:after="68" w:line="252" w:lineRule="auto"/>
        <w:ind w:right="0"/>
      </w:pPr>
      <w:r w:rsidRPr="00875634">
        <w:lastRenderedPageBreak/>
        <w:t>Requests marked Urgent and Confidential which request for accelerated payment for no valid reason</w:t>
      </w:r>
      <w:r>
        <w:t>;</w:t>
      </w:r>
    </w:p>
    <w:p w14:paraId="45628B4D" w14:textId="77777777" w:rsidR="008D2D93" w:rsidRPr="00875634" w:rsidRDefault="008D2D93" w:rsidP="008D2D93">
      <w:pPr>
        <w:pStyle w:val="ListParagraph"/>
        <w:numPr>
          <w:ilvl w:val="0"/>
          <w:numId w:val="5"/>
        </w:numPr>
        <w:spacing w:after="68" w:line="252" w:lineRule="auto"/>
        <w:ind w:right="0"/>
      </w:pPr>
      <w:r w:rsidRPr="00875634">
        <w:t>Requests to send payments to foreign jurisdiction without valid reasons</w:t>
      </w:r>
      <w:r>
        <w:t>;</w:t>
      </w:r>
      <w:r w:rsidRPr="00875634">
        <w:t> </w:t>
      </w:r>
    </w:p>
    <w:p w14:paraId="7086EDD3" w14:textId="54DE3797" w:rsidR="008D2D93" w:rsidRPr="00875634" w:rsidRDefault="008D2D93" w:rsidP="008D2D93">
      <w:pPr>
        <w:pStyle w:val="ListParagraph"/>
        <w:numPr>
          <w:ilvl w:val="0"/>
          <w:numId w:val="5"/>
        </w:numPr>
        <w:spacing w:after="68" w:line="252" w:lineRule="auto"/>
        <w:ind w:right="0"/>
      </w:pPr>
      <w:r w:rsidRPr="00875634">
        <w:t xml:space="preserve">Duplicate invoices or invoice number which appears out of sequence with previously paid invoices of the same </w:t>
      </w:r>
      <w:r w:rsidR="00D91BFF">
        <w:t>supplier</w:t>
      </w:r>
      <w:r>
        <w:t>;</w:t>
      </w:r>
    </w:p>
    <w:p w14:paraId="035EA43A" w14:textId="77777777" w:rsidR="008D2D93" w:rsidRPr="00875634" w:rsidRDefault="008D2D93" w:rsidP="008D2D93">
      <w:pPr>
        <w:pStyle w:val="ListParagraph"/>
        <w:numPr>
          <w:ilvl w:val="0"/>
          <w:numId w:val="5"/>
        </w:numPr>
        <w:spacing w:after="68" w:line="252" w:lineRule="auto"/>
        <w:ind w:right="0"/>
      </w:pPr>
      <w:r w:rsidRPr="00875634">
        <w:t>Inflated or deflated invoices i.e. prices appear abnormally high or low</w:t>
      </w:r>
      <w:r>
        <w:t>;</w:t>
      </w:r>
    </w:p>
    <w:p w14:paraId="60CF0030" w14:textId="77777777" w:rsidR="008D2D93" w:rsidRPr="00875634" w:rsidRDefault="008D2D93" w:rsidP="008D2D93">
      <w:pPr>
        <w:pStyle w:val="ListParagraph"/>
        <w:numPr>
          <w:ilvl w:val="0"/>
          <w:numId w:val="5"/>
        </w:numPr>
        <w:spacing w:after="68" w:line="252" w:lineRule="auto"/>
        <w:ind w:right="0"/>
      </w:pPr>
      <w:r w:rsidRPr="00875634">
        <w:t>Invoices with arithmetic errors or even (rounded) amounts</w:t>
      </w:r>
      <w:r>
        <w:t>;</w:t>
      </w:r>
    </w:p>
    <w:p w14:paraId="00471758" w14:textId="77777777" w:rsidR="008D2D93" w:rsidRPr="00875634" w:rsidRDefault="008D2D93" w:rsidP="008D2D93">
      <w:pPr>
        <w:pStyle w:val="ListParagraph"/>
        <w:numPr>
          <w:ilvl w:val="0"/>
          <w:numId w:val="5"/>
        </w:numPr>
        <w:spacing w:after="68" w:line="252" w:lineRule="auto"/>
        <w:ind w:right="0"/>
      </w:pPr>
      <w:r w:rsidRPr="00875634">
        <w:t>Supporting documents appear altered, copied, forged (e.g. not on official letter head) and appear inadequate for the specific transaction</w:t>
      </w:r>
      <w:r>
        <w:t>;</w:t>
      </w:r>
    </w:p>
    <w:p w14:paraId="42573FA5" w14:textId="6C077026" w:rsidR="008D2D93" w:rsidRPr="00875634" w:rsidRDefault="008D2D93" w:rsidP="008D2D93">
      <w:pPr>
        <w:pStyle w:val="ListParagraph"/>
        <w:numPr>
          <w:ilvl w:val="0"/>
          <w:numId w:val="5"/>
        </w:numPr>
        <w:spacing w:after="68" w:line="252" w:lineRule="auto"/>
        <w:ind w:right="0"/>
      </w:pPr>
      <w:r w:rsidRPr="00875634">
        <w:t xml:space="preserve">Unexplained unusual high volume of payments to a specific </w:t>
      </w:r>
      <w:r w:rsidR="00D91BFF">
        <w:t>supplier</w:t>
      </w:r>
      <w:r>
        <w:t>;</w:t>
      </w:r>
      <w:r w:rsidRPr="00875634">
        <w:t> </w:t>
      </w:r>
    </w:p>
    <w:p w14:paraId="28316B05" w14:textId="746648E7" w:rsidR="008D2D93" w:rsidRPr="00875634" w:rsidRDefault="008D2D93" w:rsidP="008D2D93">
      <w:pPr>
        <w:pStyle w:val="ListParagraph"/>
        <w:numPr>
          <w:ilvl w:val="0"/>
          <w:numId w:val="5"/>
        </w:numPr>
        <w:spacing w:after="68" w:line="252" w:lineRule="auto"/>
        <w:ind w:right="0"/>
      </w:pPr>
      <w:r w:rsidRPr="00875634">
        <w:t xml:space="preserve">Payment requests by different </w:t>
      </w:r>
      <w:r w:rsidR="00D91BFF">
        <w:t>supplier</w:t>
      </w:r>
      <w:r w:rsidRPr="00875634">
        <w:t>s using the same bank account</w:t>
      </w:r>
      <w:r>
        <w:t>;</w:t>
      </w:r>
      <w:r w:rsidRPr="00875634">
        <w:t> </w:t>
      </w:r>
    </w:p>
    <w:p w14:paraId="0AE36B06" w14:textId="1307C3BA" w:rsidR="008D2D93" w:rsidRPr="00875634" w:rsidRDefault="008D2D93" w:rsidP="008D2D93">
      <w:pPr>
        <w:pStyle w:val="ListParagraph"/>
        <w:numPr>
          <w:ilvl w:val="0"/>
          <w:numId w:val="5"/>
        </w:numPr>
        <w:spacing w:after="68" w:line="252" w:lineRule="auto"/>
        <w:ind w:right="0"/>
      </w:pPr>
      <w:r w:rsidRPr="00875634">
        <w:t xml:space="preserve">Invoice details do not match payment terms, PO ref#, GRN ref #, delivery note ref # </w:t>
      </w:r>
      <w:r w:rsidR="000D71A1" w:rsidRPr="00875634">
        <w:t>etc.</w:t>
      </w:r>
      <w:r>
        <w:t>;</w:t>
      </w:r>
    </w:p>
    <w:p w14:paraId="518D6E3D" w14:textId="77777777" w:rsidR="008D2D93" w:rsidRPr="00875634" w:rsidRDefault="008D2D93" w:rsidP="008D2D93">
      <w:pPr>
        <w:pStyle w:val="ListParagraph"/>
        <w:numPr>
          <w:ilvl w:val="0"/>
          <w:numId w:val="5"/>
        </w:numPr>
        <w:spacing w:after="68" w:line="252" w:lineRule="auto"/>
        <w:ind w:right="0"/>
      </w:pPr>
      <w:r w:rsidRPr="00875634">
        <w:t>Multiple invoices at or just below internal threshold levels</w:t>
      </w:r>
      <w:r>
        <w:t>;</w:t>
      </w:r>
    </w:p>
    <w:p w14:paraId="39CB08AE" w14:textId="2BEC6926" w:rsidR="008D2D93" w:rsidRPr="00875634" w:rsidRDefault="008D2D93" w:rsidP="008D2D93">
      <w:pPr>
        <w:pStyle w:val="ListParagraph"/>
        <w:numPr>
          <w:ilvl w:val="0"/>
          <w:numId w:val="5"/>
        </w:numPr>
        <w:spacing w:after="68" w:line="252" w:lineRule="auto"/>
        <w:ind w:right="0"/>
      </w:pPr>
      <w:r w:rsidRPr="00875634">
        <w:t xml:space="preserve">Invoices lacking sufficient details e.g. no </w:t>
      </w:r>
      <w:r w:rsidR="00D91BFF">
        <w:t>supplier</w:t>
      </w:r>
      <w:r w:rsidRPr="00875634">
        <w:t xml:space="preserve"> address or contact details</w:t>
      </w:r>
      <w:r>
        <w:t>;</w:t>
      </w:r>
    </w:p>
    <w:p w14:paraId="3D18D1FA" w14:textId="77777777" w:rsidR="008D2D93" w:rsidRDefault="008D2D93" w:rsidP="008D2D93">
      <w:pPr>
        <w:pStyle w:val="ListParagraph"/>
        <w:numPr>
          <w:ilvl w:val="0"/>
          <w:numId w:val="5"/>
        </w:numPr>
        <w:spacing w:after="68" w:line="252" w:lineRule="auto"/>
        <w:ind w:right="0"/>
        <w:rPr>
          <w:rStyle w:val="eop"/>
          <w:rFonts w:ascii="Arial" w:hAnsi="Arial" w:cs="Arial"/>
          <w:sz w:val="20"/>
          <w:szCs w:val="20"/>
        </w:rPr>
      </w:pPr>
      <w:r w:rsidRPr="00875634">
        <w:t>Invoices that exceed approved purchase order amounts.</w:t>
      </w:r>
      <w:r>
        <w:rPr>
          <w:rStyle w:val="eop"/>
          <w:rFonts w:ascii="Arial" w:hAnsi="Arial" w:cs="Arial"/>
          <w:sz w:val="20"/>
          <w:szCs w:val="20"/>
        </w:rPr>
        <w:t> </w:t>
      </w:r>
    </w:p>
    <w:p w14:paraId="7C3C4AB2" w14:textId="67C9E1BD" w:rsidR="008D2D93" w:rsidRPr="0007030C" w:rsidRDefault="008D2D93" w:rsidP="008D2D93">
      <w:pPr>
        <w:spacing w:after="68" w:line="252" w:lineRule="auto"/>
        <w:ind w:left="705" w:right="0" w:firstLine="0"/>
        <w:rPr>
          <w:rFonts w:asciiTheme="minorHAnsi" w:hAnsiTheme="minorHAnsi" w:cstheme="minorHAnsi"/>
        </w:rPr>
      </w:pPr>
      <w:r w:rsidRPr="0007030C">
        <w:rPr>
          <w:rFonts w:asciiTheme="minorHAnsi" w:hAnsiTheme="minorHAnsi" w:cstheme="minorHAnsi"/>
        </w:rPr>
        <w:t>Offices should look out for above potential red flags when performing assurance activities conducted to verify supporting documents of reported expenditures.</w:t>
      </w:r>
    </w:p>
    <w:p w14:paraId="300A7791" w14:textId="2EC3B849" w:rsidR="008D2D93" w:rsidRPr="00954D1F" w:rsidRDefault="008D2D93" w:rsidP="00BB2642">
      <w:pPr>
        <w:pStyle w:val="ListParagraph"/>
        <w:numPr>
          <w:ilvl w:val="0"/>
          <w:numId w:val="1"/>
        </w:numPr>
        <w:spacing w:after="68" w:line="252" w:lineRule="auto"/>
        <w:ind w:right="0" w:hanging="360"/>
        <w:rPr>
          <w:lang w:val="en-GB"/>
        </w:rPr>
      </w:pPr>
      <w:r w:rsidRPr="00954D1F">
        <w:rPr>
          <w:color w:val="auto"/>
          <w:lang w:val="en-GB"/>
        </w:rPr>
        <w:t xml:space="preserve">Improper payments may result from a lack of </w:t>
      </w:r>
      <w:r w:rsidR="00E95EC4">
        <w:rPr>
          <w:color w:val="auto"/>
          <w:lang w:val="en-GB"/>
        </w:rPr>
        <w:t>supporting</w:t>
      </w:r>
      <w:r w:rsidRPr="00954D1F">
        <w:rPr>
          <w:color w:val="auto"/>
          <w:lang w:val="en-GB"/>
        </w:rPr>
        <w:t xml:space="preserve"> documentation, verification or administrative errors. The </w:t>
      </w:r>
      <w:r w:rsidR="005D70C3">
        <w:rPr>
          <w:color w:val="auto"/>
          <w:lang w:val="en-GB"/>
        </w:rPr>
        <w:t xml:space="preserve">UNDP </w:t>
      </w:r>
      <w:r w:rsidR="0045390D">
        <w:rPr>
          <w:color w:val="auto"/>
          <w:lang w:val="en-GB"/>
        </w:rPr>
        <w:t>P</w:t>
      </w:r>
      <w:r w:rsidR="0045390D" w:rsidRPr="00954D1F">
        <w:rPr>
          <w:color w:val="auto"/>
          <w:lang w:val="en-GB"/>
        </w:rPr>
        <w:t xml:space="preserve">rogramme </w:t>
      </w:r>
      <w:r w:rsidR="0045390D">
        <w:rPr>
          <w:color w:val="auto"/>
          <w:lang w:val="en-GB"/>
        </w:rPr>
        <w:t>O</w:t>
      </w:r>
      <w:r w:rsidR="0045390D" w:rsidRPr="00954D1F">
        <w:rPr>
          <w:color w:val="auto"/>
          <w:lang w:val="en-GB"/>
        </w:rPr>
        <w:t xml:space="preserve">fficer </w:t>
      </w:r>
      <w:r w:rsidRPr="00954D1F">
        <w:rPr>
          <w:color w:val="auto"/>
          <w:lang w:val="en-GB"/>
        </w:rPr>
        <w:t>should:</w:t>
      </w:r>
    </w:p>
    <w:p w14:paraId="1C99B48B" w14:textId="0C65B59C" w:rsidR="008D2D93" w:rsidRDefault="008D2D93" w:rsidP="008D2D93">
      <w:pPr>
        <w:numPr>
          <w:ilvl w:val="1"/>
          <w:numId w:val="3"/>
        </w:numPr>
        <w:spacing w:after="68" w:line="252" w:lineRule="auto"/>
        <w:ind w:right="0" w:hanging="367"/>
        <w:rPr>
          <w:lang w:val="en-GB"/>
        </w:rPr>
      </w:pPr>
      <w:r>
        <w:rPr>
          <w:lang w:val="en-GB"/>
        </w:rPr>
        <w:t xml:space="preserve">Seek adequate explanation from the Partner to the satisfaction of the </w:t>
      </w:r>
      <w:r w:rsidR="00EB56EC">
        <w:rPr>
          <w:lang w:val="en-GB"/>
        </w:rPr>
        <w:t>Office</w:t>
      </w:r>
      <w:r>
        <w:rPr>
          <w:lang w:val="en-GB"/>
        </w:rPr>
        <w:t xml:space="preserve"> and agree procedures that need to be put in place, including capacity building measures, to avert future issues;</w:t>
      </w:r>
    </w:p>
    <w:p w14:paraId="4FAFFB2F" w14:textId="760E19D2" w:rsidR="008D2D93" w:rsidRPr="0001374B" w:rsidRDefault="008D2D93" w:rsidP="008D2D93">
      <w:pPr>
        <w:numPr>
          <w:ilvl w:val="1"/>
          <w:numId w:val="3"/>
        </w:numPr>
        <w:spacing w:after="68" w:line="252" w:lineRule="auto"/>
        <w:ind w:right="0" w:hanging="367"/>
        <w:rPr>
          <w:lang w:val="en-GB"/>
        </w:rPr>
      </w:pPr>
      <w:r>
        <w:rPr>
          <w:lang w:val="en-GB"/>
        </w:rPr>
        <w:t>P</w:t>
      </w:r>
      <w:r w:rsidRPr="003E2E24">
        <w:rPr>
          <w:lang w:val="en-GB"/>
        </w:rPr>
        <w:t xml:space="preserve">erform additional </w:t>
      </w:r>
      <w:r w:rsidR="00F96877">
        <w:rPr>
          <w:lang w:val="en-GB"/>
        </w:rPr>
        <w:t>A</w:t>
      </w:r>
      <w:r w:rsidR="00F96877" w:rsidRPr="003E2E24">
        <w:rPr>
          <w:lang w:val="en-GB"/>
        </w:rPr>
        <w:t xml:space="preserve">ssurance </w:t>
      </w:r>
      <w:r w:rsidR="00F96877">
        <w:rPr>
          <w:lang w:val="en-GB"/>
        </w:rPr>
        <w:t>A</w:t>
      </w:r>
      <w:r w:rsidR="00F96877" w:rsidRPr="003E2E24">
        <w:rPr>
          <w:lang w:val="en-GB"/>
        </w:rPr>
        <w:t xml:space="preserve">ctivities </w:t>
      </w:r>
      <w:r w:rsidRPr="003E2E24">
        <w:rPr>
          <w:lang w:val="en-GB"/>
        </w:rPr>
        <w:t>to verify there are no more occurrences</w:t>
      </w:r>
      <w:r>
        <w:rPr>
          <w:lang w:val="en-GB"/>
        </w:rPr>
        <w:t xml:space="preserve"> of invalid or unsupported payments;</w:t>
      </w:r>
    </w:p>
    <w:p w14:paraId="2D4406E1" w14:textId="34F4EB67" w:rsidR="008D2D93" w:rsidRDefault="008D2D93" w:rsidP="008D2D93">
      <w:pPr>
        <w:numPr>
          <w:ilvl w:val="1"/>
          <w:numId w:val="3"/>
        </w:numPr>
        <w:spacing w:after="68" w:line="252" w:lineRule="auto"/>
        <w:ind w:right="0" w:hanging="367"/>
        <w:rPr>
          <w:lang w:val="en-GB"/>
        </w:rPr>
      </w:pPr>
      <w:r>
        <w:rPr>
          <w:lang w:val="en-GB"/>
        </w:rPr>
        <w:t xml:space="preserve">Consider performing alternative procedures </w:t>
      </w:r>
      <w:r w:rsidR="000D71A1">
        <w:rPr>
          <w:lang w:val="en-GB"/>
        </w:rPr>
        <w:t>e.g.,</w:t>
      </w:r>
      <w:r>
        <w:rPr>
          <w:lang w:val="en-GB"/>
        </w:rPr>
        <w:t xml:space="preserve"> verification of assets, seek confirmation from 3</w:t>
      </w:r>
      <w:r w:rsidRPr="00C43BDE">
        <w:rPr>
          <w:vertAlign w:val="superscript"/>
          <w:lang w:val="en-GB"/>
        </w:rPr>
        <w:t>rd</w:t>
      </w:r>
      <w:r>
        <w:rPr>
          <w:lang w:val="en-GB"/>
        </w:rPr>
        <w:t xml:space="preserve"> parties who might have been party to the transaction etc;</w:t>
      </w:r>
    </w:p>
    <w:p w14:paraId="25C8A02F" w14:textId="51B84DE3" w:rsidR="008D2D93" w:rsidRDefault="00DA783F" w:rsidP="008D2D93">
      <w:pPr>
        <w:numPr>
          <w:ilvl w:val="1"/>
          <w:numId w:val="3"/>
        </w:numPr>
        <w:spacing w:after="68" w:line="252" w:lineRule="auto"/>
        <w:ind w:right="0" w:hanging="367"/>
        <w:rPr>
          <w:lang w:val="en-GB"/>
        </w:rPr>
      </w:pPr>
      <w:r>
        <w:rPr>
          <w:lang w:val="en-GB"/>
        </w:rPr>
        <w:t xml:space="preserve">Corroborate </w:t>
      </w:r>
      <w:r w:rsidR="008D2D93">
        <w:rPr>
          <w:lang w:val="en-GB"/>
        </w:rPr>
        <w:t xml:space="preserve">information provided by the partner with other sources </w:t>
      </w:r>
      <w:r w:rsidR="000D71A1">
        <w:rPr>
          <w:lang w:val="en-GB"/>
        </w:rPr>
        <w:t>e.g.,</w:t>
      </w:r>
      <w:r w:rsidR="008D2D93">
        <w:rPr>
          <w:lang w:val="en-GB"/>
        </w:rPr>
        <w:t xml:space="preserve"> if </w:t>
      </w:r>
      <w:r w:rsidR="007F1033">
        <w:rPr>
          <w:lang w:val="en-GB"/>
        </w:rPr>
        <w:t xml:space="preserve">records </w:t>
      </w:r>
      <w:r w:rsidR="008D2D93">
        <w:rPr>
          <w:lang w:val="en-GB"/>
        </w:rPr>
        <w:t>were destroyed by a force majeure event such as floods or earthquake, review public information sources to collaborate the information.</w:t>
      </w:r>
    </w:p>
    <w:p w14:paraId="1CB5F8A1" w14:textId="2690D2E3" w:rsidR="008D2D93" w:rsidRDefault="008D2D93" w:rsidP="008D2D93">
      <w:pPr>
        <w:numPr>
          <w:ilvl w:val="1"/>
          <w:numId w:val="3"/>
        </w:numPr>
        <w:spacing w:after="68" w:line="252" w:lineRule="auto"/>
        <w:ind w:right="0" w:hanging="367"/>
        <w:rPr>
          <w:lang w:val="en-GB"/>
        </w:rPr>
      </w:pPr>
      <w:r>
        <w:rPr>
          <w:lang w:val="en-GB"/>
        </w:rPr>
        <w:t xml:space="preserve">In case of suspected fraud, request for valid explanations for usual payment instructions; contact </w:t>
      </w:r>
      <w:r w:rsidR="00D91BFF">
        <w:rPr>
          <w:lang w:val="en-GB"/>
        </w:rPr>
        <w:t>supplier</w:t>
      </w:r>
      <w:r>
        <w:rPr>
          <w:lang w:val="en-GB"/>
        </w:rPr>
        <w:t xml:space="preserve">s to verify supporting documents that appear suspicious or altered; request for additional supporting documents where necessary; request for payment confirmations from valid </w:t>
      </w:r>
      <w:r w:rsidR="00D91BFF">
        <w:rPr>
          <w:lang w:val="en-GB"/>
        </w:rPr>
        <w:t>supplier</w:t>
      </w:r>
      <w:r>
        <w:rPr>
          <w:lang w:val="en-GB"/>
        </w:rPr>
        <w:t xml:space="preserve"> contacts on file; escalate the issue to your manager/supervisor if adequate explanation </w:t>
      </w:r>
      <w:r w:rsidR="00E235B2">
        <w:rPr>
          <w:lang w:val="en-GB"/>
        </w:rPr>
        <w:t>or</w:t>
      </w:r>
      <w:r>
        <w:rPr>
          <w:lang w:val="en-GB"/>
        </w:rPr>
        <w:t xml:space="preserve"> assurance is not obtained.</w:t>
      </w:r>
      <w:r w:rsidR="009D1734">
        <w:rPr>
          <w:lang w:val="en-GB"/>
        </w:rPr>
        <w:t xml:space="preserve"> Th</w:t>
      </w:r>
      <w:r w:rsidR="007B2099">
        <w:rPr>
          <w:lang w:val="en-GB"/>
        </w:rPr>
        <w:t>is suspected fraud case</w:t>
      </w:r>
      <w:r w:rsidR="00DA5FA3">
        <w:rPr>
          <w:lang w:val="en-GB"/>
        </w:rPr>
        <w:t xml:space="preserve"> would need to be reported in line with </w:t>
      </w:r>
      <w:r w:rsidR="00860053" w:rsidRPr="000B56D5">
        <w:rPr>
          <w:lang w:val="en-GB"/>
        </w:rPr>
        <w:t xml:space="preserve">the </w:t>
      </w:r>
      <w:hyperlink r:id="rId24" w:history="1">
        <w:r w:rsidR="00860053" w:rsidRPr="00004646">
          <w:rPr>
            <w:lang w:val="en-GB"/>
          </w:rPr>
          <w:t>Anti-Fraud Policy</w:t>
        </w:r>
      </w:hyperlink>
      <w:r w:rsidR="00860053">
        <w:rPr>
          <w:lang w:val="en-GB"/>
        </w:rPr>
        <w:t>.</w:t>
      </w:r>
    </w:p>
    <w:p w14:paraId="0C0FEBE5" w14:textId="1CF704A4" w:rsidR="008D2D93" w:rsidRPr="001B0E2F" w:rsidRDefault="008D2D93" w:rsidP="008D2D93">
      <w:pPr>
        <w:spacing w:after="68"/>
        <w:ind w:right="0" w:hanging="18"/>
        <w:rPr>
          <w:color w:val="auto"/>
          <w:lang w:val="en-GB"/>
        </w:rPr>
      </w:pPr>
      <w:r>
        <w:rPr>
          <w:lang w:val="en-GB"/>
        </w:rPr>
        <w:t xml:space="preserve">If the explanation provided and alternative procedures performed provide adequate assurance to the </w:t>
      </w:r>
      <w:r w:rsidR="00EB56EC">
        <w:rPr>
          <w:lang w:val="en-GB"/>
        </w:rPr>
        <w:t>Office</w:t>
      </w:r>
      <w:r>
        <w:rPr>
          <w:lang w:val="en-GB"/>
        </w:rPr>
        <w:t xml:space="preserve">, the </w:t>
      </w:r>
      <w:r w:rsidR="00EB56EC">
        <w:rPr>
          <w:lang w:val="en-GB"/>
        </w:rPr>
        <w:t>O</w:t>
      </w:r>
      <w:r>
        <w:rPr>
          <w:lang w:val="en-GB"/>
        </w:rPr>
        <w:t xml:space="preserve">ffice should prepare a Note to File detailing the alternative procedures performed, and conclusions arrived at.  The Note to File should be signed by the Head of Office or his/her </w:t>
      </w:r>
      <w:r w:rsidR="003C4E22">
        <w:rPr>
          <w:lang w:val="en-GB"/>
        </w:rPr>
        <w:t>designee</w:t>
      </w:r>
      <w:r>
        <w:rPr>
          <w:lang w:val="en-GB"/>
        </w:rPr>
        <w:t xml:space="preserve">. </w:t>
      </w:r>
    </w:p>
    <w:p w14:paraId="59D95488" w14:textId="44A525C0" w:rsidR="008D2D93" w:rsidRPr="00284DB4" w:rsidRDefault="008D2D93" w:rsidP="00842874">
      <w:pPr>
        <w:numPr>
          <w:ilvl w:val="0"/>
          <w:numId w:val="1"/>
        </w:numPr>
        <w:spacing w:after="4" w:line="250" w:lineRule="auto"/>
        <w:ind w:right="-13" w:hanging="360"/>
        <w:rPr>
          <w:color w:val="auto"/>
          <w:lang w:val="en-GB"/>
        </w:rPr>
      </w:pPr>
      <w:r w:rsidRPr="00284DB4">
        <w:rPr>
          <w:lang w:val="en-GB"/>
        </w:rPr>
        <w:lastRenderedPageBreak/>
        <w:t xml:space="preserve">If the </w:t>
      </w:r>
      <w:r w:rsidRPr="00284DB4">
        <w:rPr>
          <w:color w:val="auto"/>
          <w:lang w:val="en-GB"/>
        </w:rPr>
        <w:t>explanations provided and alternative procedures performed do not provide adequate</w:t>
      </w:r>
      <w:r w:rsidRPr="00284DB4">
        <w:rPr>
          <w:lang w:val="en-GB"/>
        </w:rPr>
        <w:t xml:space="preserve"> assurance, the </w:t>
      </w:r>
      <w:r w:rsidR="00EB56EC">
        <w:rPr>
          <w:lang w:val="en-GB"/>
        </w:rPr>
        <w:t>Office</w:t>
      </w:r>
      <w:r w:rsidRPr="00284DB4">
        <w:rPr>
          <w:lang w:val="en-GB"/>
        </w:rPr>
        <w:t xml:space="preserve"> should reject the expenditures and request the </w:t>
      </w:r>
      <w:r w:rsidR="003A6BE7">
        <w:rPr>
          <w:lang w:val="en-GB"/>
        </w:rPr>
        <w:t>P</w:t>
      </w:r>
      <w:r w:rsidR="003A6BE7" w:rsidRPr="00284DB4">
        <w:rPr>
          <w:lang w:val="en-GB"/>
        </w:rPr>
        <w:t xml:space="preserve">artner </w:t>
      </w:r>
      <w:r w:rsidRPr="00284DB4">
        <w:rPr>
          <w:lang w:val="en-GB"/>
        </w:rPr>
        <w:t xml:space="preserve">to refund any cash that UNDP might have </w:t>
      </w:r>
      <w:r w:rsidR="00DE5F5D">
        <w:rPr>
          <w:lang w:val="en-GB"/>
        </w:rPr>
        <w:t>disbursed</w:t>
      </w:r>
      <w:r w:rsidRPr="00284DB4">
        <w:rPr>
          <w:lang w:val="en-GB"/>
        </w:rPr>
        <w:t xml:space="preserve">. The </w:t>
      </w:r>
      <w:r w:rsidR="00EB56EC">
        <w:rPr>
          <w:lang w:val="en-GB"/>
        </w:rPr>
        <w:t>Office</w:t>
      </w:r>
      <w:r w:rsidRPr="00284DB4">
        <w:rPr>
          <w:lang w:val="en-GB"/>
        </w:rPr>
        <w:t xml:space="preserve"> should ensure rejected items are not resubmitted as part of future reporting and are absorbed by the Partner. If </w:t>
      </w:r>
      <w:r w:rsidR="00B47A4E">
        <w:rPr>
          <w:lang w:val="en-GB"/>
        </w:rPr>
        <w:t>A</w:t>
      </w:r>
      <w:r w:rsidR="00B47A4E" w:rsidRPr="00284DB4">
        <w:rPr>
          <w:lang w:val="en-GB"/>
        </w:rPr>
        <w:t xml:space="preserve">ssurance </w:t>
      </w:r>
      <w:r w:rsidR="00B47A4E">
        <w:rPr>
          <w:lang w:val="en-GB"/>
        </w:rPr>
        <w:t>A</w:t>
      </w:r>
      <w:r w:rsidRPr="00284DB4">
        <w:rPr>
          <w:lang w:val="en-GB"/>
        </w:rPr>
        <w:t>ctivities consistently indicate the Partner is reporting invalid ex</w:t>
      </w:r>
      <w:r w:rsidR="00D765F1">
        <w:rPr>
          <w:lang w:val="en-GB"/>
        </w:rPr>
        <w:t>penditure</w:t>
      </w:r>
      <w:r w:rsidRPr="00284DB4">
        <w:rPr>
          <w:lang w:val="en-GB"/>
        </w:rPr>
        <w:t xml:space="preserve">s which cannot be explained or confirmed through alternative procedures, the </w:t>
      </w:r>
      <w:r w:rsidR="00EB56EC">
        <w:rPr>
          <w:lang w:val="en-GB"/>
        </w:rPr>
        <w:t>Office</w:t>
      </w:r>
      <w:r w:rsidRPr="00284DB4">
        <w:rPr>
          <w:lang w:val="en-GB"/>
        </w:rPr>
        <w:t xml:space="preserve"> should consider changing the implementation modality to DIM or </w:t>
      </w:r>
      <w:r w:rsidR="0055714D">
        <w:rPr>
          <w:lang w:val="en-GB"/>
        </w:rPr>
        <w:t>C</w:t>
      </w:r>
      <w:r w:rsidRPr="00284DB4">
        <w:rPr>
          <w:lang w:val="en-GB"/>
        </w:rPr>
        <w:t xml:space="preserve">ountry </w:t>
      </w:r>
      <w:r w:rsidR="00EB56EC">
        <w:rPr>
          <w:lang w:val="en-GB"/>
        </w:rPr>
        <w:t>Office</w:t>
      </w:r>
      <w:r w:rsidRPr="00284DB4">
        <w:rPr>
          <w:lang w:val="en-GB"/>
        </w:rPr>
        <w:t xml:space="preserve"> </w:t>
      </w:r>
      <w:r w:rsidR="0055714D">
        <w:rPr>
          <w:lang w:val="en-GB"/>
        </w:rPr>
        <w:t>S</w:t>
      </w:r>
      <w:r w:rsidRPr="00284DB4">
        <w:rPr>
          <w:lang w:val="en-GB"/>
        </w:rPr>
        <w:t>upport to NIM to manage the risk.</w:t>
      </w:r>
    </w:p>
    <w:p w14:paraId="018CC2EC" w14:textId="0D89D25D" w:rsidR="008D2D93" w:rsidRPr="00AE2DFF" w:rsidRDefault="008D2D93" w:rsidP="00BB2642">
      <w:pPr>
        <w:numPr>
          <w:ilvl w:val="0"/>
          <w:numId w:val="1"/>
        </w:numPr>
        <w:spacing w:before="100" w:beforeAutospacing="1" w:after="4" w:line="250" w:lineRule="auto"/>
        <w:ind w:right="-13" w:hanging="360"/>
        <w:jc w:val="left"/>
        <w:rPr>
          <w:color w:val="auto"/>
          <w:lang w:val="en-GB"/>
        </w:rPr>
      </w:pPr>
      <w:r w:rsidRPr="00AE2DFF">
        <w:rPr>
          <w:color w:val="auto"/>
          <w:lang w:val="en-GB"/>
        </w:rPr>
        <w:t>Where the Partner cannot absorb expen</w:t>
      </w:r>
      <w:r w:rsidR="00D765F1" w:rsidRPr="00AE2DFF">
        <w:rPr>
          <w:color w:val="auto"/>
          <w:lang w:val="en-GB"/>
        </w:rPr>
        <w:t>diture</w:t>
      </w:r>
      <w:r w:rsidRPr="00AE2DFF">
        <w:rPr>
          <w:color w:val="auto"/>
          <w:lang w:val="en-GB"/>
        </w:rPr>
        <w:t xml:space="preserve">s rejected by UNDP, the </w:t>
      </w:r>
      <w:r w:rsidR="00EB56EC" w:rsidRPr="00AE2DFF">
        <w:rPr>
          <w:color w:val="auto"/>
          <w:lang w:val="en-GB"/>
        </w:rPr>
        <w:t>Office</w:t>
      </w:r>
      <w:r w:rsidRPr="00AE2DFF">
        <w:rPr>
          <w:color w:val="auto"/>
          <w:lang w:val="en-GB"/>
        </w:rPr>
        <w:t xml:space="preserve"> should exercise due diligence and pursue all avenues to ensure financial liability is not assumed by UNDP. </w:t>
      </w:r>
      <w:r w:rsidR="00EE7465" w:rsidRPr="00AE2DFF">
        <w:rPr>
          <w:color w:val="auto"/>
          <w:lang w:val="en-GB"/>
        </w:rPr>
        <w:t>In</w:t>
      </w:r>
      <w:r w:rsidRPr="00AE2DFF">
        <w:rPr>
          <w:color w:val="auto"/>
          <w:lang w:val="en-GB"/>
        </w:rPr>
        <w:t xml:space="preserve"> the </w:t>
      </w:r>
      <w:r w:rsidR="00EE7465" w:rsidRPr="00AE2DFF">
        <w:rPr>
          <w:color w:val="auto"/>
          <w:lang w:val="en-GB"/>
        </w:rPr>
        <w:t xml:space="preserve">event </w:t>
      </w:r>
      <w:r w:rsidRPr="00AE2DFF">
        <w:rPr>
          <w:color w:val="auto"/>
          <w:lang w:val="en-GB"/>
        </w:rPr>
        <w:t xml:space="preserve">that </w:t>
      </w:r>
      <w:r w:rsidR="00EE7465" w:rsidRPr="00AE2DFF">
        <w:rPr>
          <w:color w:val="auto"/>
          <w:lang w:val="en-GB"/>
        </w:rPr>
        <w:t>the case</w:t>
      </w:r>
      <w:r w:rsidRPr="00AE2DFF">
        <w:rPr>
          <w:color w:val="auto"/>
          <w:lang w:val="en-GB"/>
        </w:rPr>
        <w:t xml:space="preserve"> cannot be favourably resolved, and the contentious amount is deemed irrecoverable, the </w:t>
      </w:r>
      <w:r w:rsidR="00EB56EC" w:rsidRPr="00AE2DFF">
        <w:rPr>
          <w:color w:val="auto"/>
          <w:lang w:val="en-GB"/>
        </w:rPr>
        <w:t>Office</w:t>
      </w:r>
      <w:r w:rsidRPr="00AE2DFF">
        <w:rPr>
          <w:color w:val="auto"/>
          <w:lang w:val="en-GB"/>
        </w:rPr>
        <w:t xml:space="preserve"> should fully document all actions taken to recover the funds, including description, causes and responsibility and this should be signed off by the Head of </w:t>
      </w:r>
      <w:r w:rsidR="00EB56EC" w:rsidRPr="00AE2DFF">
        <w:rPr>
          <w:color w:val="auto"/>
          <w:lang w:val="en-GB"/>
        </w:rPr>
        <w:t>Office</w:t>
      </w:r>
      <w:r w:rsidRPr="00AE2DFF">
        <w:rPr>
          <w:color w:val="auto"/>
          <w:lang w:val="en-GB"/>
        </w:rPr>
        <w:t xml:space="preserve"> and approved by the Regional Bureau (for country offices and regional hubs) </w:t>
      </w:r>
      <w:r w:rsidR="00C93B6B" w:rsidRPr="00DA180E">
        <w:t>who should assess the need for a write-off and ensure a request for write-off is submitted to OFM</w:t>
      </w:r>
      <w:r w:rsidR="00C93B6B">
        <w:t>/</w:t>
      </w:r>
      <w:r w:rsidR="00A710C4">
        <w:t>FPMR/</w:t>
      </w:r>
      <w:r w:rsidR="00C93B6B">
        <w:t>CFRA</w:t>
      </w:r>
      <w:r w:rsidR="00C93B6B" w:rsidRPr="00DA180E">
        <w:t xml:space="preserve"> for assessment (</w:t>
      </w:r>
      <w:hyperlink r:id="rId25" w:history="1">
        <w:r w:rsidR="00C93B6B" w:rsidRPr="00DA180E">
          <w:rPr>
            <w:rStyle w:val="Hyperlink"/>
          </w:rPr>
          <w:t>cfra.kl@undp.org</w:t>
        </w:r>
      </w:hyperlink>
      <w:r w:rsidR="00C93B6B" w:rsidRPr="00DA180E">
        <w:t>)</w:t>
      </w:r>
      <w:r w:rsidR="00C93B6B">
        <w:t xml:space="preserve"> in line with the</w:t>
      </w:r>
      <w:r w:rsidR="00C54FAB">
        <w:t xml:space="preserve"> POPPs on Write-Offs</w:t>
      </w:r>
      <w:r w:rsidR="00AE2DFF" w:rsidRPr="00AE2DFF">
        <w:rPr>
          <w:color w:val="auto"/>
          <w:lang w:val="en-GB"/>
        </w:rPr>
        <w:t>.</w:t>
      </w:r>
    </w:p>
    <w:p w14:paraId="101E7F3A" w14:textId="07C2CA1D" w:rsidR="008D2D93" w:rsidRPr="00FA42BB" w:rsidRDefault="00FF262A" w:rsidP="00842874">
      <w:pPr>
        <w:numPr>
          <w:ilvl w:val="0"/>
          <w:numId w:val="1"/>
        </w:numPr>
        <w:spacing w:after="4" w:line="250" w:lineRule="auto"/>
        <w:ind w:right="-13" w:hanging="360"/>
        <w:rPr>
          <w:color w:val="auto"/>
          <w:lang w:val="en-GB"/>
        </w:rPr>
      </w:pPr>
      <w:r w:rsidRPr="009D3758">
        <w:rPr>
          <w:color w:val="auto"/>
          <w:lang w:val="en-GB"/>
        </w:rPr>
        <w:t>U</w:t>
      </w:r>
      <w:r w:rsidR="008D2D93" w:rsidRPr="00FA42BB">
        <w:rPr>
          <w:color w:val="auto"/>
          <w:lang w:val="en-GB"/>
        </w:rPr>
        <w:t xml:space="preserve">pon review and approval of the FACE form, the </w:t>
      </w:r>
      <w:r w:rsidR="003F3BBE" w:rsidRPr="009D3758">
        <w:rPr>
          <w:color w:val="auto"/>
          <w:lang w:val="en-GB"/>
        </w:rPr>
        <w:t xml:space="preserve">FACE form will be processed as a </w:t>
      </w:r>
      <w:r w:rsidR="00FF0E51">
        <w:rPr>
          <w:color w:val="auto"/>
          <w:lang w:val="en-GB"/>
        </w:rPr>
        <w:t xml:space="preserve">Standard </w:t>
      </w:r>
      <w:r w:rsidR="4C430F2E" w:rsidRPr="009D3758">
        <w:rPr>
          <w:color w:val="auto"/>
          <w:lang w:val="en-GB"/>
        </w:rPr>
        <w:t xml:space="preserve"> </w:t>
      </w:r>
      <w:r w:rsidR="001C715C" w:rsidRPr="009D3758">
        <w:rPr>
          <w:color w:val="auto"/>
          <w:lang w:val="en-GB"/>
        </w:rPr>
        <w:t xml:space="preserve">Invoice </w:t>
      </w:r>
      <w:r w:rsidR="0037217C">
        <w:rPr>
          <w:color w:val="auto"/>
          <w:lang w:val="en-GB"/>
        </w:rPr>
        <w:t>in Quantum</w:t>
      </w:r>
      <w:r w:rsidR="001C715C" w:rsidRPr="009D3758">
        <w:rPr>
          <w:color w:val="auto"/>
          <w:lang w:val="en-GB"/>
        </w:rPr>
        <w:t>.</w:t>
      </w:r>
    </w:p>
    <w:p w14:paraId="7D037CFB" w14:textId="7516C474" w:rsidR="008D2D93" w:rsidRDefault="00EB56EC" w:rsidP="00842874">
      <w:pPr>
        <w:numPr>
          <w:ilvl w:val="0"/>
          <w:numId w:val="1"/>
        </w:numPr>
        <w:spacing w:after="4" w:line="250" w:lineRule="auto"/>
        <w:ind w:right="-13" w:hanging="360"/>
        <w:rPr>
          <w:color w:val="auto"/>
          <w:lang w:val="en-GB"/>
        </w:rPr>
      </w:pPr>
      <w:r>
        <w:rPr>
          <w:color w:val="auto"/>
          <w:lang w:val="en-GB"/>
        </w:rPr>
        <w:t>Office</w:t>
      </w:r>
      <w:r w:rsidR="008D2D93" w:rsidRPr="003B7591">
        <w:rPr>
          <w:color w:val="auto"/>
          <w:lang w:val="en-GB"/>
        </w:rPr>
        <w:t xml:space="preserve">s are responsible for regular project monitoring and </w:t>
      </w:r>
      <w:r w:rsidR="004777A5">
        <w:rPr>
          <w:color w:val="auto"/>
          <w:lang w:val="en-GB"/>
        </w:rPr>
        <w:t>A</w:t>
      </w:r>
      <w:r w:rsidR="004777A5" w:rsidRPr="003B7591">
        <w:rPr>
          <w:color w:val="auto"/>
          <w:lang w:val="en-GB"/>
        </w:rPr>
        <w:t xml:space="preserve">ssurance </w:t>
      </w:r>
      <w:r w:rsidR="004777A5">
        <w:rPr>
          <w:color w:val="auto"/>
          <w:lang w:val="en-GB"/>
        </w:rPr>
        <w:t>A</w:t>
      </w:r>
      <w:r w:rsidR="004777A5" w:rsidRPr="003B7591">
        <w:rPr>
          <w:color w:val="auto"/>
          <w:lang w:val="en-GB"/>
        </w:rPr>
        <w:t>ctivities</w:t>
      </w:r>
      <w:r w:rsidR="008D2D93" w:rsidRPr="003B7591">
        <w:rPr>
          <w:color w:val="auto"/>
          <w:lang w:val="en-GB"/>
        </w:rPr>
        <w:t>, including periodic monitoring visits and ‘spot checks’ of expe</w:t>
      </w:r>
      <w:r w:rsidR="00D765F1">
        <w:rPr>
          <w:color w:val="auto"/>
          <w:lang w:val="en-GB"/>
        </w:rPr>
        <w:t>nditur</w:t>
      </w:r>
      <w:r w:rsidR="008D2D93" w:rsidRPr="003B7591">
        <w:rPr>
          <w:color w:val="auto"/>
          <w:lang w:val="en-GB"/>
        </w:rPr>
        <w:t xml:space="preserve">es and results achieved, to ensure prompt detection of any deviations from the project work plan and budget. Ongoing monitoring and assurance actions must encompass operational and financial considerations, as well as programmatic ones.  </w:t>
      </w:r>
    </w:p>
    <w:p w14:paraId="09DE9545" w14:textId="47A112D1" w:rsidR="008D2D93" w:rsidRDefault="008D2D93" w:rsidP="00842874">
      <w:pPr>
        <w:numPr>
          <w:ilvl w:val="0"/>
          <w:numId w:val="1"/>
        </w:numPr>
        <w:ind w:right="-13" w:hanging="360"/>
        <w:rPr>
          <w:color w:val="auto"/>
          <w:lang w:val="en-GB"/>
        </w:rPr>
      </w:pPr>
      <w:r>
        <w:rPr>
          <w:color w:val="auto"/>
          <w:lang w:val="en-GB"/>
        </w:rPr>
        <w:t>P</w:t>
      </w:r>
      <w:r w:rsidR="00453576">
        <w:rPr>
          <w:color w:val="auto"/>
          <w:lang w:val="en-GB"/>
        </w:rPr>
        <w:t>artner</w:t>
      </w:r>
      <w:r>
        <w:rPr>
          <w:color w:val="auto"/>
          <w:lang w:val="en-GB"/>
        </w:rPr>
        <w:t xml:space="preserve"> activities are subject to HACT </w:t>
      </w:r>
      <w:r w:rsidR="003F7612">
        <w:rPr>
          <w:color w:val="auto"/>
          <w:lang w:val="en-GB"/>
        </w:rPr>
        <w:t xml:space="preserve">Assurance Activities </w:t>
      </w:r>
      <w:r w:rsidR="00B81586">
        <w:rPr>
          <w:color w:val="auto"/>
          <w:lang w:val="en-GB"/>
        </w:rPr>
        <w:t>(</w:t>
      </w:r>
      <w:r>
        <w:rPr>
          <w:color w:val="auto"/>
          <w:lang w:val="en-GB"/>
        </w:rPr>
        <w:t>spot checks</w:t>
      </w:r>
      <w:r w:rsidR="00B81586">
        <w:rPr>
          <w:color w:val="auto"/>
          <w:lang w:val="en-GB"/>
        </w:rPr>
        <w:t xml:space="preserve"> and audits)</w:t>
      </w:r>
      <w:r>
        <w:rPr>
          <w:color w:val="auto"/>
          <w:lang w:val="en-GB"/>
        </w:rPr>
        <w:t>, in accordance with UNDP HACT guidelines.</w:t>
      </w:r>
      <w:r w:rsidRPr="003B7591">
        <w:rPr>
          <w:color w:val="auto"/>
          <w:lang w:val="en-GB"/>
        </w:rPr>
        <w:t xml:space="preserve"> </w:t>
      </w:r>
      <w:r w:rsidR="00F047A7" w:rsidRPr="003B7591">
        <w:rPr>
          <w:color w:val="auto"/>
          <w:lang w:val="en-GB"/>
        </w:rPr>
        <w:t>UNDP policy requires each programme activity to be audited "at least once in its lifetime</w:t>
      </w:r>
      <w:r w:rsidR="00F047A7">
        <w:rPr>
          <w:color w:val="auto"/>
          <w:lang w:val="en-GB"/>
        </w:rPr>
        <w:t xml:space="preserve"> in accordance with OAI guidelines and OAI’s annual audit </w:t>
      </w:r>
      <w:r w:rsidR="00B8172E">
        <w:rPr>
          <w:color w:val="auto"/>
          <w:lang w:val="en-GB"/>
        </w:rPr>
        <w:t>Call Letter</w:t>
      </w:r>
      <w:r w:rsidR="00F047A7">
        <w:rPr>
          <w:color w:val="auto"/>
          <w:lang w:val="en-GB"/>
        </w:rPr>
        <w:t xml:space="preserve"> requirements</w:t>
      </w:r>
      <w:r w:rsidR="00F047A7" w:rsidRPr="003B7591">
        <w:rPr>
          <w:color w:val="auto"/>
          <w:lang w:val="en-GB"/>
        </w:rPr>
        <w:t>.</w:t>
      </w:r>
      <w:r w:rsidR="00F047A7">
        <w:rPr>
          <w:color w:val="auto"/>
          <w:lang w:val="en-GB"/>
        </w:rPr>
        <w:t xml:space="preserve"> </w:t>
      </w:r>
      <w:r w:rsidRPr="003B7591">
        <w:rPr>
          <w:color w:val="auto"/>
          <w:lang w:val="en-GB"/>
        </w:rPr>
        <w:t xml:space="preserve"> </w:t>
      </w:r>
    </w:p>
    <w:p w14:paraId="3B113F79" w14:textId="7286035C" w:rsidR="008D2D93" w:rsidRPr="003B7591" w:rsidRDefault="008D2D93" w:rsidP="00842874">
      <w:pPr>
        <w:numPr>
          <w:ilvl w:val="0"/>
          <w:numId w:val="1"/>
        </w:numPr>
        <w:spacing w:after="161" w:line="257" w:lineRule="auto"/>
        <w:ind w:right="-13" w:hanging="360"/>
        <w:rPr>
          <w:color w:val="auto"/>
          <w:lang w:val="en-GB"/>
        </w:rPr>
      </w:pPr>
      <w:r w:rsidRPr="003B7591">
        <w:rPr>
          <w:color w:val="auto"/>
          <w:lang w:val="en-GB"/>
        </w:rPr>
        <w:t xml:space="preserve">The </w:t>
      </w:r>
      <w:r w:rsidR="009978C8">
        <w:rPr>
          <w:color w:val="auto"/>
          <w:lang w:val="en-GB"/>
        </w:rPr>
        <w:t xml:space="preserve">UNDP </w:t>
      </w:r>
      <w:r w:rsidR="008B3D60">
        <w:rPr>
          <w:color w:val="auto"/>
          <w:lang w:val="en-GB"/>
        </w:rPr>
        <w:t>P</w:t>
      </w:r>
      <w:r w:rsidR="008B3D60" w:rsidRPr="003B7591">
        <w:rPr>
          <w:color w:val="auto"/>
          <w:lang w:val="en-GB"/>
        </w:rPr>
        <w:t xml:space="preserve">rogramme </w:t>
      </w:r>
      <w:r w:rsidR="008B3D60">
        <w:rPr>
          <w:color w:val="auto"/>
          <w:lang w:val="en-GB"/>
        </w:rPr>
        <w:t>O</w:t>
      </w:r>
      <w:r w:rsidR="008B3D60" w:rsidRPr="003B7591">
        <w:rPr>
          <w:color w:val="auto"/>
          <w:lang w:val="en-GB"/>
        </w:rPr>
        <w:t>fficer</w:t>
      </w:r>
      <w:r w:rsidRPr="003B7591">
        <w:rPr>
          <w:color w:val="auto"/>
          <w:lang w:val="en-GB"/>
        </w:rPr>
        <w:t xml:space="preserve"> has an obligation to review national implementation audit reports and </w:t>
      </w:r>
      <w:r>
        <w:rPr>
          <w:color w:val="auto"/>
          <w:lang w:val="en-GB"/>
        </w:rPr>
        <w:t xml:space="preserve">HACT </w:t>
      </w:r>
      <w:r w:rsidR="00F96D87">
        <w:rPr>
          <w:color w:val="auto"/>
          <w:lang w:val="en-GB"/>
        </w:rPr>
        <w:t xml:space="preserve">Assurance </w:t>
      </w:r>
      <w:r w:rsidR="00A40870">
        <w:rPr>
          <w:color w:val="auto"/>
          <w:lang w:val="en-GB"/>
        </w:rPr>
        <w:t xml:space="preserve">Activities </w:t>
      </w:r>
      <w:r>
        <w:rPr>
          <w:color w:val="auto"/>
          <w:lang w:val="en-GB"/>
        </w:rPr>
        <w:t xml:space="preserve">reports and </w:t>
      </w:r>
      <w:r w:rsidRPr="003B7591">
        <w:rPr>
          <w:color w:val="auto"/>
          <w:lang w:val="en-GB"/>
        </w:rPr>
        <w:t xml:space="preserve">ensure that the </w:t>
      </w:r>
      <w:r>
        <w:rPr>
          <w:color w:val="auto"/>
          <w:lang w:val="en-GB"/>
        </w:rPr>
        <w:t>P</w:t>
      </w:r>
      <w:r w:rsidRPr="003B7591">
        <w:rPr>
          <w:color w:val="auto"/>
          <w:lang w:val="en-GB"/>
        </w:rPr>
        <w:t xml:space="preserve">artner takes corrective actions to address audit recommendations, particularly in cases where qualified audit opinions are issued by the auditors. </w:t>
      </w:r>
    </w:p>
    <w:p w14:paraId="1FBCE2C5" w14:textId="77777777" w:rsidR="008D2D93" w:rsidRPr="003B7591" w:rsidRDefault="008D2D93" w:rsidP="008D2D93">
      <w:pPr>
        <w:pStyle w:val="Heading1"/>
        <w:ind w:left="-5"/>
        <w:rPr>
          <w:color w:val="auto"/>
          <w:lang w:val="en-GB"/>
        </w:rPr>
      </w:pPr>
      <w:r w:rsidRPr="003B7591">
        <w:rPr>
          <w:color w:val="auto"/>
          <w:lang w:val="en-GB"/>
        </w:rPr>
        <w:t xml:space="preserve">Exclusion of UNDP Letterheads or Reference in a Contract </w:t>
      </w:r>
    </w:p>
    <w:p w14:paraId="2C5462EE" w14:textId="6283926E" w:rsidR="008D2D93" w:rsidRPr="00F80D7F" w:rsidRDefault="008D2D93" w:rsidP="00BB2642">
      <w:pPr>
        <w:pStyle w:val="ListParagraph"/>
        <w:numPr>
          <w:ilvl w:val="0"/>
          <w:numId w:val="1"/>
        </w:numPr>
        <w:spacing w:after="161" w:line="257" w:lineRule="auto"/>
        <w:ind w:right="0" w:hanging="360"/>
        <w:jc w:val="left"/>
        <w:rPr>
          <w:color w:val="auto"/>
          <w:lang w:val="en-GB"/>
        </w:rPr>
      </w:pPr>
      <w:r w:rsidRPr="00F80D7F">
        <w:rPr>
          <w:color w:val="auto"/>
          <w:lang w:val="en-GB"/>
        </w:rPr>
        <w:t xml:space="preserve">Under the </w:t>
      </w:r>
      <w:r w:rsidR="00206DB4">
        <w:rPr>
          <w:color w:val="auto"/>
          <w:lang w:val="en-GB"/>
        </w:rPr>
        <w:t>D</w:t>
      </w:r>
      <w:r w:rsidR="00206DB4" w:rsidRPr="008A4006">
        <w:rPr>
          <w:color w:val="auto"/>
          <w:lang w:val="en-GB"/>
        </w:rPr>
        <w:t xml:space="preserve">irect </w:t>
      </w:r>
      <w:r w:rsidR="00206DB4">
        <w:rPr>
          <w:color w:val="auto"/>
          <w:lang w:val="en-GB"/>
        </w:rPr>
        <w:t>P</w:t>
      </w:r>
      <w:r w:rsidR="00206DB4" w:rsidRPr="008A4006">
        <w:rPr>
          <w:color w:val="auto"/>
          <w:lang w:val="en-GB"/>
        </w:rPr>
        <w:t xml:space="preserve">ayment </w:t>
      </w:r>
      <w:r w:rsidR="00206DB4">
        <w:rPr>
          <w:color w:val="auto"/>
          <w:lang w:val="en-GB"/>
        </w:rPr>
        <w:t>C</w:t>
      </w:r>
      <w:r w:rsidR="00206DB4" w:rsidRPr="008A4006">
        <w:rPr>
          <w:color w:val="auto"/>
          <w:lang w:val="en-GB"/>
        </w:rPr>
        <w:t xml:space="preserve">ash </w:t>
      </w:r>
      <w:r w:rsidR="00206DB4">
        <w:rPr>
          <w:color w:val="auto"/>
          <w:lang w:val="en-GB"/>
        </w:rPr>
        <w:t>T</w:t>
      </w:r>
      <w:r w:rsidR="00206DB4" w:rsidRPr="008A4006">
        <w:rPr>
          <w:color w:val="auto"/>
          <w:lang w:val="en-GB"/>
        </w:rPr>
        <w:t xml:space="preserve">ransfer </w:t>
      </w:r>
      <w:r w:rsidR="00206DB4">
        <w:rPr>
          <w:color w:val="auto"/>
          <w:lang w:val="en-GB"/>
        </w:rPr>
        <w:t>M</w:t>
      </w:r>
      <w:r w:rsidR="00206DB4" w:rsidRPr="008A4006">
        <w:rPr>
          <w:color w:val="auto"/>
          <w:lang w:val="en-GB"/>
        </w:rPr>
        <w:t>odality</w:t>
      </w:r>
      <w:r w:rsidRPr="00F80D7F">
        <w:rPr>
          <w:color w:val="auto"/>
          <w:lang w:val="en-GB"/>
        </w:rPr>
        <w:t xml:space="preserve">, Partners cannot use UNDP letterheads in procurement or recruitment processes. Any form of co-signing of contracts by UNDP and the Partner is prohibited. Partners cannot refer to UNDP as a party in the contract or purchase order.  </w:t>
      </w:r>
    </w:p>
    <w:p w14:paraId="3C640340" w14:textId="77777777" w:rsidR="008D2D93" w:rsidRPr="003B7591" w:rsidRDefault="008D2D93" w:rsidP="008D2D93">
      <w:pPr>
        <w:pStyle w:val="Heading1"/>
        <w:spacing w:after="0"/>
        <w:ind w:left="-5"/>
        <w:rPr>
          <w:color w:val="auto"/>
          <w:lang w:val="en-GB"/>
        </w:rPr>
      </w:pPr>
      <w:r w:rsidRPr="003B7591">
        <w:rPr>
          <w:color w:val="auto"/>
          <w:lang w:val="en-GB"/>
        </w:rPr>
        <w:lastRenderedPageBreak/>
        <w:t xml:space="preserve">Roles and Responsibilities </w:t>
      </w:r>
    </w:p>
    <w:tbl>
      <w:tblPr>
        <w:tblStyle w:val="TableGrid10"/>
        <w:tblW w:w="9141" w:type="dxa"/>
        <w:tblInd w:w="10" w:type="dxa"/>
        <w:tblCellMar>
          <w:top w:w="50" w:type="dxa"/>
          <w:left w:w="108" w:type="dxa"/>
          <w:right w:w="115" w:type="dxa"/>
        </w:tblCellMar>
        <w:tblLook w:val="04A0" w:firstRow="1" w:lastRow="0" w:firstColumn="1" w:lastColumn="0" w:noHBand="0" w:noVBand="1"/>
      </w:tblPr>
      <w:tblGrid>
        <w:gridCol w:w="2268"/>
        <w:gridCol w:w="3827"/>
        <w:gridCol w:w="3046"/>
      </w:tblGrid>
      <w:tr w:rsidR="008D2D93" w:rsidRPr="003B7591" w14:paraId="0592525C" w14:textId="77777777">
        <w:trPr>
          <w:trHeight w:val="449"/>
          <w:tblHeader/>
        </w:trPr>
        <w:tc>
          <w:tcPr>
            <w:tcW w:w="2268" w:type="dxa"/>
            <w:tcBorders>
              <w:top w:val="single" w:sz="8" w:space="0" w:color="000000"/>
              <w:left w:val="single" w:sz="8" w:space="0" w:color="000000"/>
              <w:bottom w:val="single" w:sz="8" w:space="0" w:color="000000"/>
              <w:right w:val="single" w:sz="8" w:space="0" w:color="000000"/>
            </w:tcBorders>
          </w:tcPr>
          <w:p w14:paraId="63DD9054" w14:textId="77777777" w:rsidR="008D2D93" w:rsidRPr="003B7591" w:rsidRDefault="008D2D93">
            <w:pPr>
              <w:spacing w:after="0" w:line="259" w:lineRule="auto"/>
              <w:ind w:left="0" w:right="0" w:firstLine="0"/>
              <w:jc w:val="left"/>
              <w:rPr>
                <w:color w:val="auto"/>
                <w:lang w:val="en-GB"/>
              </w:rPr>
            </w:pPr>
            <w:r w:rsidRPr="003B7591">
              <w:rPr>
                <w:b/>
                <w:color w:val="auto"/>
                <w:lang w:val="en-GB"/>
              </w:rPr>
              <w:t>Responsible party</w:t>
            </w:r>
            <w:r w:rsidRPr="003B7591">
              <w:rPr>
                <w:color w:val="auto"/>
                <w:lang w:val="en-GB"/>
              </w:rPr>
              <w:t xml:space="preserve"> </w:t>
            </w:r>
          </w:p>
        </w:tc>
        <w:tc>
          <w:tcPr>
            <w:tcW w:w="3827" w:type="dxa"/>
            <w:tcBorders>
              <w:top w:val="single" w:sz="8" w:space="0" w:color="000000"/>
              <w:left w:val="single" w:sz="8" w:space="0" w:color="000000"/>
              <w:bottom w:val="single" w:sz="8" w:space="0" w:color="000000"/>
              <w:right w:val="single" w:sz="8" w:space="0" w:color="000000"/>
            </w:tcBorders>
          </w:tcPr>
          <w:p w14:paraId="45F6DDCD" w14:textId="77777777" w:rsidR="008D2D93" w:rsidRPr="003B7591" w:rsidRDefault="008D2D93">
            <w:pPr>
              <w:spacing w:after="0" w:line="259" w:lineRule="auto"/>
              <w:ind w:left="0" w:right="0" w:firstLine="0"/>
              <w:jc w:val="left"/>
              <w:rPr>
                <w:color w:val="auto"/>
                <w:lang w:val="en-GB"/>
              </w:rPr>
            </w:pPr>
            <w:r w:rsidRPr="003B7591">
              <w:rPr>
                <w:b/>
                <w:color w:val="auto"/>
                <w:lang w:val="en-GB"/>
              </w:rPr>
              <w:t>Responsibilities</w:t>
            </w:r>
            <w:r w:rsidRPr="003B7591">
              <w:rPr>
                <w:color w:val="auto"/>
                <w:lang w:val="en-GB"/>
              </w:rPr>
              <w:t xml:space="preserve"> </w:t>
            </w:r>
          </w:p>
        </w:tc>
        <w:tc>
          <w:tcPr>
            <w:tcW w:w="3046" w:type="dxa"/>
            <w:tcBorders>
              <w:top w:val="single" w:sz="8" w:space="0" w:color="000000"/>
              <w:left w:val="single" w:sz="8" w:space="0" w:color="000000"/>
              <w:bottom w:val="single" w:sz="8" w:space="0" w:color="000000"/>
              <w:right w:val="single" w:sz="8" w:space="0" w:color="000000"/>
            </w:tcBorders>
          </w:tcPr>
          <w:p w14:paraId="2AA7E1E8" w14:textId="77777777" w:rsidR="008D2D93" w:rsidRPr="003B7591" w:rsidRDefault="008D2D93">
            <w:pPr>
              <w:spacing w:after="0" w:line="259" w:lineRule="auto"/>
              <w:ind w:left="0" w:right="0" w:firstLine="0"/>
              <w:jc w:val="left"/>
              <w:rPr>
                <w:color w:val="auto"/>
                <w:lang w:val="en-GB"/>
              </w:rPr>
            </w:pPr>
            <w:r w:rsidRPr="003B7591">
              <w:rPr>
                <w:b/>
                <w:color w:val="auto"/>
                <w:lang w:val="en-GB"/>
              </w:rPr>
              <w:t>Remarks</w:t>
            </w:r>
            <w:r w:rsidRPr="003B7591">
              <w:rPr>
                <w:color w:val="auto"/>
                <w:lang w:val="en-GB"/>
              </w:rPr>
              <w:t xml:space="preserve"> </w:t>
            </w:r>
          </w:p>
        </w:tc>
      </w:tr>
      <w:tr w:rsidR="008D2D93" w:rsidRPr="003B7591" w14:paraId="5A0CB617" w14:textId="77777777">
        <w:trPr>
          <w:trHeight w:val="4004"/>
        </w:trPr>
        <w:tc>
          <w:tcPr>
            <w:tcW w:w="2268" w:type="dxa"/>
            <w:tcBorders>
              <w:top w:val="single" w:sz="8" w:space="0" w:color="000000"/>
              <w:left w:val="single" w:sz="8" w:space="0" w:color="000000"/>
              <w:bottom w:val="single" w:sz="8" w:space="0" w:color="000000"/>
              <w:right w:val="single" w:sz="8" w:space="0" w:color="000000"/>
            </w:tcBorders>
          </w:tcPr>
          <w:p w14:paraId="596E3510" w14:textId="1BE81F2B" w:rsidR="008D2D93" w:rsidRPr="003B7591" w:rsidRDefault="008D2D93">
            <w:pPr>
              <w:spacing w:after="0" w:line="259" w:lineRule="auto"/>
              <w:ind w:left="0" w:right="0" w:firstLine="0"/>
              <w:jc w:val="left"/>
              <w:rPr>
                <w:color w:val="auto"/>
                <w:lang w:val="en-GB"/>
              </w:rPr>
            </w:pPr>
            <w:r>
              <w:rPr>
                <w:color w:val="auto"/>
                <w:lang w:val="en-GB"/>
              </w:rPr>
              <w:t>P</w:t>
            </w:r>
            <w:r w:rsidRPr="003B7591">
              <w:rPr>
                <w:color w:val="auto"/>
                <w:lang w:val="en-GB"/>
              </w:rPr>
              <w:t xml:space="preserve">artner project </w:t>
            </w:r>
            <w:r w:rsidR="00486044">
              <w:rPr>
                <w:color w:val="auto"/>
                <w:lang w:val="en-GB"/>
              </w:rPr>
              <w:t>D</w:t>
            </w:r>
            <w:r w:rsidRPr="003B7591">
              <w:rPr>
                <w:color w:val="auto"/>
                <w:lang w:val="en-GB"/>
              </w:rPr>
              <w:t xml:space="preserve">irector </w:t>
            </w:r>
          </w:p>
        </w:tc>
        <w:tc>
          <w:tcPr>
            <w:tcW w:w="3827" w:type="dxa"/>
            <w:tcBorders>
              <w:top w:val="single" w:sz="8" w:space="0" w:color="000000"/>
              <w:left w:val="single" w:sz="8" w:space="0" w:color="000000"/>
              <w:bottom w:val="single" w:sz="8" w:space="0" w:color="000000"/>
              <w:right w:val="single" w:sz="8" w:space="0" w:color="000000"/>
            </w:tcBorders>
          </w:tcPr>
          <w:p w14:paraId="73F69601" w14:textId="77777777" w:rsidR="008D2D93" w:rsidRPr="003B7591" w:rsidRDefault="008D2D93">
            <w:pPr>
              <w:spacing w:after="159" w:line="241" w:lineRule="auto"/>
              <w:ind w:left="0" w:right="0" w:firstLine="0"/>
              <w:jc w:val="left"/>
              <w:rPr>
                <w:color w:val="auto"/>
                <w:lang w:val="en-GB"/>
              </w:rPr>
            </w:pPr>
            <w:r w:rsidRPr="003B7591">
              <w:rPr>
                <w:color w:val="auto"/>
                <w:lang w:val="en-GB"/>
              </w:rPr>
              <w:t xml:space="preserve">Financial regulation 27.01: “…full responsibility and accountability for the effective use of UNDP resources and the delivery of outputs…” See overview section POPP </w:t>
            </w:r>
            <w:hyperlink r:id="rId26" w:history="1">
              <w:r w:rsidRPr="00D24266">
                <w:rPr>
                  <w:rStyle w:val="Hyperlink"/>
                  <w:lang w:val="en-GB"/>
                </w:rPr>
                <w:t>NIM Finances &amp; NGO Implementation Finances</w:t>
              </w:r>
            </w:hyperlink>
            <w:hyperlink r:id="rId27">
              <w:r w:rsidRPr="003B7591">
                <w:rPr>
                  <w:color w:val="auto"/>
                  <w:lang w:val="en-GB"/>
                </w:rPr>
                <w:t xml:space="preserve"> </w:t>
              </w:r>
            </w:hyperlink>
          </w:p>
          <w:p w14:paraId="55E5937B" w14:textId="134FF0B0" w:rsidR="008D2D93" w:rsidRPr="003B7591" w:rsidRDefault="008D2D93">
            <w:pPr>
              <w:spacing w:after="155" w:line="242" w:lineRule="auto"/>
              <w:ind w:left="0" w:right="0" w:firstLine="0"/>
              <w:jc w:val="left"/>
              <w:rPr>
                <w:color w:val="auto"/>
                <w:lang w:val="en-GB"/>
              </w:rPr>
            </w:pPr>
            <w:r w:rsidRPr="003B7591">
              <w:rPr>
                <w:color w:val="auto"/>
                <w:lang w:val="en-GB"/>
              </w:rPr>
              <w:t>Raise and submit FACE forms that are consistent with annual work plan</w:t>
            </w:r>
            <w:r>
              <w:rPr>
                <w:color w:val="auto"/>
                <w:lang w:val="en-GB"/>
              </w:rPr>
              <w:t xml:space="preserve"> and </w:t>
            </w:r>
            <w:r w:rsidR="004D702A">
              <w:rPr>
                <w:color w:val="auto"/>
                <w:lang w:val="en-GB"/>
              </w:rPr>
              <w:t xml:space="preserve">have it </w:t>
            </w:r>
            <w:r>
              <w:rPr>
                <w:color w:val="auto"/>
                <w:lang w:val="en-GB"/>
              </w:rPr>
              <w:t>approved by an authorized official</w:t>
            </w:r>
            <w:r w:rsidRPr="003B7591">
              <w:rPr>
                <w:color w:val="auto"/>
                <w:lang w:val="en-GB"/>
              </w:rPr>
              <w:t xml:space="preserve">. </w:t>
            </w:r>
          </w:p>
          <w:p w14:paraId="6357BDE8" w14:textId="799C69FC" w:rsidR="008D2D93" w:rsidRPr="003B7591" w:rsidRDefault="008D2D93">
            <w:pPr>
              <w:spacing w:after="0" w:line="259" w:lineRule="auto"/>
              <w:ind w:left="0" w:right="0" w:firstLine="0"/>
              <w:jc w:val="left"/>
              <w:rPr>
                <w:color w:val="auto"/>
                <w:lang w:val="en-GB"/>
              </w:rPr>
            </w:pPr>
            <w:r>
              <w:rPr>
                <w:color w:val="auto"/>
                <w:lang w:val="en-GB"/>
              </w:rPr>
              <w:t>Ensure the partner m</w:t>
            </w:r>
            <w:r w:rsidRPr="003B7591">
              <w:rPr>
                <w:color w:val="auto"/>
                <w:lang w:val="en-GB"/>
              </w:rPr>
              <w:t>aintain</w:t>
            </w:r>
            <w:r>
              <w:rPr>
                <w:color w:val="auto"/>
                <w:lang w:val="en-GB"/>
              </w:rPr>
              <w:t>s</w:t>
            </w:r>
            <w:r w:rsidRPr="003B7591">
              <w:rPr>
                <w:color w:val="auto"/>
                <w:lang w:val="en-GB"/>
              </w:rPr>
              <w:t xml:space="preserve"> full and proper accounting records, including original copies of all supporting documentation for </w:t>
            </w:r>
            <w:r w:rsidR="0028601C">
              <w:rPr>
                <w:color w:val="auto"/>
                <w:lang w:val="en-GB"/>
              </w:rPr>
              <w:t>reported expenditure</w:t>
            </w:r>
            <w:r w:rsidRPr="003B7591">
              <w:rPr>
                <w:color w:val="auto"/>
                <w:lang w:val="en-GB"/>
              </w:rPr>
              <w:t xml:space="preserve">s. Keep </w:t>
            </w:r>
            <w:r>
              <w:rPr>
                <w:color w:val="auto"/>
                <w:lang w:val="en-GB"/>
              </w:rPr>
              <w:t xml:space="preserve">documents </w:t>
            </w:r>
            <w:r w:rsidRPr="003B7591">
              <w:rPr>
                <w:color w:val="auto"/>
                <w:lang w:val="en-GB"/>
              </w:rPr>
              <w:t xml:space="preserve">available for audit </w:t>
            </w:r>
            <w:r>
              <w:rPr>
                <w:color w:val="auto"/>
                <w:lang w:val="en-GB"/>
              </w:rPr>
              <w:t xml:space="preserve">and spot check verification </w:t>
            </w:r>
            <w:r w:rsidRPr="003B7591">
              <w:rPr>
                <w:color w:val="auto"/>
                <w:lang w:val="en-GB"/>
              </w:rPr>
              <w:t xml:space="preserve">on request. </w:t>
            </w:r>
          </w:p>
        </w:tc>
        <w:tc>
          <w:tcPr>
            <w:tcW w:w="3046" w:type="dxa"/>
            <w:tcBorders>
              <w:top w:val="single" w:sz="8" w:space="0" w:color="000000"/>
              <w:left w:val="single" w:sz="8" w:space="0" w:color="000000"/>
              <w:bottom w:val="single" w:sz="8" w:space="0" w:color="000000"/>
              <w:right w:val="single" w:sz="8" w:space="0" w:color="000000"/>
            </w:tcBorders>
          </w:tcPr>
          <w:p w14:paraId="381D6086" w14:textId="77777777" w:rsidR="008D2D93" w:rsidRPr="003B7591" w:rsidRDefault="008D2D93">
            <w:pPr>
              <w:spacing w:after="0" w:line="259" w:lineRule="auto"/>
              <w:ind w:left="0" w:right="0" w:firstLine="0"/>
              <w:jc w:val="left"/>
              <w:rPr>
                <w:color w:val="auto"/>
                <w:lang w:val="en-GB"/>
              </w:rPr>
            </w:pPr>
            <w:r w:rsidRPr="003B7591">
              <w:rPr>
                <w:color w:val="auto"/>
                <w:lang w:val="en-GB"/>
              </w:rPr>
              <w:t xml:space="preserve"> </w:t>
            </w:r>
          </w:p>
        </w:tc>
      </w:tr>
      <w:tr w:rsidR="008D2D93" w:rsidRPr="003B7591" w14:paraId="2A41F463" w14:textId="77777777" w:rsidTr="008A4006">
        <w:trPr>
          <w:trHeight w:val="402"/>
        </w:trPr>
        <w:tc>
          <w:tcPr>
            <w:tcW w:w="2268" w:type="dxa"/>
            <w:tcBorders>
              <w:top w:val="single" w:sz="8" w:space="0" w:color="000000"/>
              <w:left w:val="single" w:sz="8" w:space="0" w:color="000000"/>
              <w:bottom w:val="single" w:sz="8" w:space="0" w:color="000000"/>
              <w:right w:val="single" w:sz="8" w:space="0" w:color="000000"/>
            </w:tcBorders>
          </w:tcPr>
          <w:p w14:paraId="34B28026" w14:textId="54DAE2B2" w:rsidR="008D2D93" w:rsidRPr="003B7591" w:rsidRDefault="005D70C3">
            <w:pPr>
              <w:spacing w:after="0" w:line="259" w:lineRule="auto"/>
              <w:ind w:left="0" w:right="0" w:firstLine="0"/>
              <w:jc w:val="left"/>
              <w:rPr>
                <w:color w:val="auto"/>
                <w:lang w:val="en-GB"/>
              </w:rPr>
            </w:pPr>
            <w:r>
              <w:rPr>
                <w:color w:val="auto"/>
                <w:lang w:val="en-GB"/>
              </w:rPr>
              <w:t xml:space="preserve">UNDP </w:t>
            </w:r>
            <w:r w:rsidR="008D2D93" w:rsidRPr="003B7591">
              <w:rPr>
                <w:color w:val="auto"/>
                <w:lang w:val="en-GB"/>
              </w:rPr>
              <w:t xml:space="preserve">Programme </w:t>
            </w:r>
            <w:r w:rsidR="00EB56EC">
              <w:rPr>
                <w:color w:val="auto"/>
                <w:lang w:val="en-GB"/>
              </w:rPr>
              <w:t>Office</w:t>
            </w:r>
            <w:r w:rsidR="008D2D93" w:rsidRPr="003B7591">
              <w:rPr>
                <w:color w:val="auto"/>
                <w:lang w:val="en-GB"/>
              </w:rPr>
              <w:t xml:space="preserve">r </w:t>
            </w:r>
          </w:p>
        </w:tc>
        <w:tc>
          <w:tcPr>
            <w:tcW w:w="3827" w:type="dxa"/>
            <w:tcBorders>
              <w:top w:val="single" w:sz="8" w:space="0" w:color="000000"/>
              <w:left w:val="single" w:sz="8" w:space="0" w:color="000000"/>
              <w:bottom w:val="single" w:sz="8" w:space="0" w:color="000000"/>
              <w:right w:val="single" w:sz="8" w:space="0" w:color="000000"/>
            </w:tcBorders>
          </w:tcPr>
          <w:p w14:paraId="3EEB0BF2" w14:textId="77777777" w:rsidR="008D2D93" w:rsidRPr="003B7591" w:rsidRDefault="008D2D93">
            <w:pPr>
              <w:spacing w:after="158" w:line="241" w:lineRule="auto"/>
              <w:ind w:left="0" w:right="0" w:firstLine="0"/>
              <w:jc w:val="left"/>
              <w:rPr>
                <w:color w:val="auto"/>
                <w:lang w:val="en-GB"/>
              </w:rPr>
            </w:pPr>
            <w:r w:rsidRPr="003B7591">
              <w:rPr>
                <w:color w:val="auto"/>
                <w:lang w:val="en-GB"/>
              </w:rPr>
              <w:t xml:space="preserve">Review signature on FACE form for conformity with </w:t>
            </w:r>
            <w:r>
              <w:rPr>
                <w:color w:val="auto"/>
                <w:lang w:val="en-GB"/>
              </w:rPr>
              <w:t xml:space="preserve">the Partner’s authorized official </w:t>
            </w:r>
            <w:r w:rsidRPr="003B7591">
              <w:rPr>
                <w:color w:val="auto"/>
                <w:lang w:val="en-GB"/>
              </w:rPr>
              <w:t xml:space="preserve">record on file. </w:t>
            </w:r>
          </w:p>
          <w:p w14:paraId="5A360A18" w14:textId="11614EB0" w:rsidR="008D2D93" w:rsidRPr="003B7591" w:rsidRDefault="00DE6CEB">
            <w:pPr>
              <w:spacing w:after="160" w:line="240" w:lineRule="auto"/>
              <w:ind w:left="0" w:right="0" w:firstLine="0"/>
              <w:jc w:val="left"/>
              <w:rPr>
                <w:color w:val="auto"/>
                <w:lang w:val="en-GB"/>
              </w:rPr>
            </w:pPr>
            <w:r w:rsidRPr="003B7591">
              <w:rPr>
                <w:color w:val="auto"/>
                <w:lang w:val="en-GB"/>
              </w:rPr>
              <w:t>C</w:t>
            </w:r>
            <w:r>
              <w:rPr>
                <w:color w:val="auto"/>
                <w:lang w:val="en-GB"/>
              </w:rPr>
              <w:t>heck</w:t>
            </w:r>
            <w:r w:rsidRPr="003B7591">
              <w:rPr>
                <w:color w:val="auto"/>
                <w:lang w:val="en-GB"/>
              </w:rPr>
              <w:t xml:space="preserve"> </w:t>
            </w:r>
            <w:r>
              <w:rPr>
                <w:color w:val="auto"/>
                <w:lang w:val="en-GB"/>
              </w:rPr>
              <w:t xml:space="preserve">the FACE </w:t>
            </w:r>
            <w:r w:rsidR="00CA4881" w:rsidRPr="003B7591">
              <w:rPr>
                <w:color w:val="auto"/>
                <w:lang w:val="en-GB"/>
              </w:rPr>
              <w:t>form against</w:t>
            </w:r>
            <w:r>
              <w:rPr>
                <w:color w:val="auto"/>
                <w:lang w:val="en-GB"/>
              </w:rPr>
              <w:t xml:space="preserve"> the </w:t>
            </w:r>
            <w:r w:rsidR="00E01009">
              <w:rPr>
                <w:color w:val="auto"/>
                <w:lang w:val="en-GB"/>
              </w:rPr>
              <w:t xml:space="preserve">available </w:t>
            </w:r>
            <w:r w:rsidR="008D2D93" w:rsidRPr="003B7591">
              <w:rPr>
                <w:color w:val="auto"/>
                <w:lang w:val="en-GB"/>
              </w:rPr>
              <w:t>budget/</w:t>
            </w:r>
            <w:r w:rsidR="00D67F02">
              <w:rPr>
                <w:color w:val="auto"/>
                <w:lang w:val="en-GB"/>
              </w:rPr>
              <w:t xml:space="preserve">approved </w:t>
            </w:r>
            <w:r w:rsidR="008D2D93" w:rsidRPr="003B7591">
              <w:rPr>
                <w:color w:val="auto"/>
                <w:lang w:val="en-GB"/>
              </w:rPr>
              <w:t xml:space="preserve">annual work plan to ensure </w:t>
            </w:r>
            <w:r w:rsidR="0062469D">
              <w:rPr>
                <w:color w:val="auto"/>
                <w:lang w:val="en-GB"/>
              </w:rPr>
              <w:t>budget sufficiency</w:t>
            </w:r>
            <w:r w:rsidR="008D2D93" w:rsidRPr="003B7591">
              <w:rPr>
                <w:color w:val="auto"/>
                <w:lang w:val="en-GB"/>
              </w:rPr>
              <w:t xml:space="preserve"> and consistency</w:t>
            </w:r>
            <w:r w:rsidR="0062469D">
              <w:rPr>
                <w:color w:val="auto"/>
                <w:lang w:val="en-GB"/>
              </w:rPr>
              <w:t xml:space="preserve"> with the </w:t>
            </w:r>
            <w:r w:rsidR="008D0281">
              <w:rPr>
                <w:color w:val="auto"/>
                <w:lang w:val="en-GB"/>
              </w:rPr>
              <w:t>activities in the AWP.</w:t>
            </w:r>
          </w:p>
          <w:p w14:paraId="140D9EA3" w14:textId="3AD0CCF2" w:rsidR="008D2D93" w:rsidRPr="003B7591" w:rsidRDefault="00674689" w:rsidP="008A4006">
            <w:pPr>
              <w:spacing w:after="156" w:line="241" w:lineRule="auto"/>
              <w:ind w:left="0" w:right="0" w:firstLine="0"/>
              <w:jc w:val="left"/>
              <w:rPr>
                <w:color w:val="auto"/>
                <w:lang w:val="en-GB"/>
              </w:rPr>
            </w:pPr>
            <w:r>
              <w:rPr>
                <w:color w:val="auto"/>
                <w:lang w:val="en-GB"/>
              </w:rPr>
              <w:t>Attach supporting documents and s</w:t>
            </w:r>
            <w:r w:rsidR="008D2D93">
              <w:rPr>
                <w:color w:val="auto"/>
                <w:lang w:val="en-GB"/>
              </w:rPr>
              <w:t>ubmit payment request to GSS</w:t>
            </w:r>
            <w:r w:rsidR="007B3F4B">
              <w:rPr>
                <w:color w:val="auto"/>
                <w:lang w:val="en-GB"/>
              </w:rPr>
              <w:t>C</w:t>
            </w:r>
            <w:r w:rsidR="008D2D93">
              <w:rPr>
                <w:color w:val="auto"/>
                <w:lang w:val="en-GB"/>
              </w:rPr>
              <w:t xml:space="preserve"> </w:t>
            </w:r>
            <w:r w:rsidR="0063131C">
              <w:rPr>
                <w:color w:val="auto"/>
                <w:lang w:val="en-GB"/>
              </w:rPr>
              <w:t xml:space="preserve">in </w:t>
            </w:r>
            <w:r w:rsidR="004A3C3E">
              <w:rPr>
                <w:color w:val="auto"/>
                <w:lang w:val="en-GB"/>
              </w:rPr>
              <w:t>Quantum</w:t>
            </w:r>
            <w:r w:rsidR="008D2D93">
              <w:rPr>
                <w:color w:val="auto"/>
                <w:lang w:val="en-GB"/>
              </w:rPr>
              <w:t xml:space="preserve"> for payment processing </w:t>
            </w:r>
            <w:r w:rsidR="008D2D93" w:rsidRPr="003B7591">
              <w:rPr>
                <w:color w:val="auto"/>
                <w:lang w:val="en-GB"/>
              </w:rPr>
              <w:t xml:space="preserve">or reject </w:t>
            </w:r>
            <w:r w:rsidR="008D2D93">
              <w:rPr>
                <w:color w:val="auto"/>
                <w:lang w:val="en-GB"/>
              </w:rPr>
              <w:t xml:space="preserve">Partner </w:t>
            </w:r>
            <w:r w:rsidR="008D2D93" w:rsidRPr="003B7591">
              <w:rPr>
                <w:color w:val="auto"/>
                <w:lang w:val="en-GB"/>
              </w:rPr>
              <w:t xml:space="preserve">payment </w:t>
            </w:r>
            <w:r w:rsidR="00CA4881" w:rsidRPr="003B7591">
              <w:rPr>
                <w:color w:val="auto"/>
                <w:lang w:val="en-GB"/>
              </w:rPr>
              <w:t>request</w:t>
            </w:r>
            <w:r w:rsidR="00CA4881">
              <w:rPr>
                <w:color w:val="auto"/>
                <w:lang w:val="en-GB"/>
              </w:rPr>
              <w:t xml:space="preserve"> </w:t>
            </w:r>
            <w:r w:rsidR="00CA4881" w:rsidRPr="003B7591">
              <w:rPr>
                <w:color w:val="auto"/>
                <w:lang w:val="en-GB"/>
              </w:rPr>
              <w:t>if</w:t>
            </w:r>
            <w:r w:rsidR="00AF1F41">
              <w:rPr>
                <w:color w:val="auto"/>
                <w:lang w:val="en-GB"/>
              </w:rPr>
              <w:t xml:space="preserve"> it doesn’t </w:t>
            </w:r>
            <w:r w:rsidR="00795F10">
              <w:rPr>
                <w:color w:val="auto"/>
                <w:lang w:val="en-GB"/>
              </w:rPr>
              <w:t xml:space="preserve">meet the </w:t>
            </w:r>
            <w:r w:rsidR="00252A7E">
              <w:rPr>
                <w:color w:val="auto"/>
                <w:lang w:val="en-GB"/>
              </w:rPr>
              <w:t xml:space="preserve">budget sufficiency and /or </w:t>
            </w:r>
            <w:r w:rsidR="004A3C3E">
              <w:rPr>
                <w:color w:val="auto"/>
                <w:lang w:val="en-GB"/>
              </w:rPr>
              <w:t>is not aligned with the approved AWP.</w:t>
            </w:r>
          </w:p>
        </w:tc>
        <w:tc>
          <w:tcPr>
            <w:tcW w:w="3046" w:type="dxa"/>
            <w:tcBorders>
              <w:top w:val="single" w:sz="8" w:space="0" w:color="000000"/>
              <w:left w:val="single" w:sz="8" w:space="0" w:color="000000"/>
              <w:bottom w:val="single" w:sz="8" w:space="0" w:color="000000"/>
              <w:right w:val="single" w:sz="8" w:space="0" w:color="000000"/>
            </w:tcBorders>
          </w:tcPr>
          <w:p w14:paraId="698B90E1" w14:textId="77777777" w:rsidR="008D2D93" w:rsidRPr="003B7591" w:rsidRDefault="008D2D93">
            <w:pPr>
              <w:spacing w:after="0" w:line="259" w:lineRule="auto"/>
              <w:ind w:left="0" w:right="0" w:firstLine="0"/>
              <w:jc w:val="left"/>
              <w:rPr>
                <w:color w:val="auto"/>
                <w:lang w:val="en-GB"/>
              </w:rPr>
            </w:pPr>
            <w:r w:rsidRPr="003B7591">
              <w:rPr>
                <w:b/>
                <w:color w:val="auto"/>
                <w:lang w:val="en-GB"/>
              </w:rPr>
              <w:t>Internal control—first approval</w:t>
            </w:r>
            <w:r w:rsidRPr="003B7591">
              <w:rPr>
                <w:color w:val="auto"/>
                <w:lang w:val="en-GB"/>
              </w:rPr>
              <w:t xml:space="preserve"> </w:t>
            </w:r>
          </w:p>
        </w:tc>
      </w:tr>
      <w:tr w:rsidR="008D2D93" w:rsidRPr="003B7591" w14:paraId="7E132E37" w14:textId="77777777" w:rsidTr="008A4006">
        <w:trPr>
          <w:trHeight w:val="1068"/>
        </w:trPr>
        <w:tc>
          <w:tcPr>
            <w:tcW w:w="2268" w:type="dxa"/>
            <w:tcBorders>
              <w:top w:val="single" w:sz="8" w:space="0" w:color="000000"/>
              <w:left w:val="single" w:sz="8" w:space="0" w:color="000000"/>
              <w:bottom w:val="single" w:sz="8" w:space="0" w:color="000000"/>
              <w:right w:val="single" w:sz="8" w:space="0" w:color="000000"/>
            </w:tcBorders>
          </w:tcPr>
          <w:p w14:paraId="3F493BFA" w14:textId="3716A967" w:rsidR="008D2D93" w:rsidRPr="003B7591" w:rsidRDefault="008D2D93">
            <w:pPr>
              <w:spacing w:after="0" w:line="259" w:lineRule="auto"/>
              <w:ind w:left="0" w:right="0" w:firstLine="0"/>
              <w:jc w:val="left"/>
              <w:rPr>
                <w:color w:val="auto"/>
                <w:lang w:val="en-GB"/>
              </w:rPr>
            </w:pPr>
            <w:r>
              <w:rPr>
                <w:color w:val="auto"/>
                <w:lang w:val="en-GB"/>
              </w:rPr>
              <w:t>GSS</w:t>
            </w:r>
            <w:r w:rsidR="007B3F4B">
              <w:rPr>
                <w:color w:val="auto"/>
                <w:lang w:val="en-GB"/>
              </w:rPr>
              <w:t>C</w:t>
            </w:r>
            <w:r>
              <w:rPr>
                <w:color w:val="auto"/>
                <w:lang w:val="en-GB"/>
              </w:rPr>
              <w:t xml:space="preserve"> Payments Team </w:t>
            </w:r>
          </w:p>
        </w:tc>
        <w:tc>
          <w:tcPr>
            <w:tcW w:w="3827" w:type="dxa"/>
            <w:tcBorders>
              <w:top w:val="single" w:sz="8" w:space="0" w:color="000000"/>
              <w:left w:val="single" w:sz="8" w:space="0" w:color="000000"/>
              <w:bottom w:val="single" w:sz="8" w:space="0" w:color="000000"/>
              <w:right w:val="single" w:sz="8" w:space="0" w:color="000000"/>
            </w:tcBorders>
          </w:tcPr>
          <w:p w14:paraId="778EC0A1" w14:textId="2BB6EC2C" w:rsidR="008D2D93" w:rsidRPr="003B7591" w:rsidRDefault="008D2D93">
            <w:pPr>
              <w:spacing w:after="158" w:line="241" w:lineRule="auto"/>
              <w:ind w:left="0" w:right="0" w:firstLine="0"/>
              <w:jc w:val="left"/>
              <w:rPr>
                <w:color w:val="auto"/>
                <w:lang w:val="en-GB"/>
              </w:rPr>
            </w:pPr>
            <w:r>
              <w:rPr>
                <w:color w:val="auto"/>
                <w:lang w:val="en-GB"/>
              </w:rPr>
              <w:t xml:space="preserve">Review </w:t>
            </w:r>
            <w:r w:rsidR="00B055AC">
              <w:rPr>
                <w:color w:val="auto"/>
                <w:lang w:val="en-GB"/>
              </w:rPr>
              <w:t>the non-PO</w:t>
            </w:r>
            <w:r>
              <w:rPr>
                <w:color w:val="auto"/>
                <w:lang w:val="en-GB"/>
              </w:rPr>
              <w:t xml:space="preserve"> request in</w:t>
            </w:r>
            <w:r w:rsidR="00B055AC">
              <w:rPr>
                <w:color w:val="auto"/>
                <w:lang w:val="en-GB"/>
              </w:rPr>
              <w:t xml:space="preserve"> Quantum</w:t>
            </w:r>
            <w:r>
              <w:rPr>
                <w:color w:val="auto"/>
                <w:lang w:val="en-GB"/>
              </w:rPr>
              <w:t xml:space="preserve"> </w:t>
            </w:r>
            <w:r w:rsidR="00CA4881">
              <w:rPr>
                <w:color w:val="auto"/>
                <w:lang w:val="en-GB"/>
              </w:rPr>
              <w:t>and request</w:t>
            </w:r>
            <w:r>
              <w:rPr>
                <w:color w:val="auto"/>
                <w:lang w:val="en-GB"/>
              </w:rPr>
              <w:t xml:space="preserve"> clarification</w:t>
            </w:r>
            <w:r w:rsidR="00F72AA2">
              <w:rPr>
                <w:color w:val="auto"/>
                <w:lang w:val="en-GB"/>
              </w:rPr>
              <w:t>s for missing</w:t>
            </w:r>
            <w:r>
              <w:rPr>
                <w:color w:val="auto"/>
                <w:lang w:val="en-GB"/>
              </w:rPr>
              <w:t xml:space="preserve"> information </w:t>
            </w:r>
            <w:r w:rsidR="00F874E4">
              <w:rPr>
                <w:color w:val="auto"/>
                <w:lang w:val="en-GB"/>
              </w:rPr>
              <w:t xml:space="preserve">or reject </w:t>
            </w:r>
            <w:r w:rsidR="00D67BA2">
              <w:rPr>
                <w:color w:val="auto"/>
                <w:lang w:val="en-GB"/>
              </w:rPr>
              <w:t xml:space="preserve">the request if it </w:t>
            </w:r>
            <w:r w:rsidR="000779DB">
              <w:rPr>
                <w:color w:val="auto"/>
                <w:lang w:val="en-GB"/>
              </w:rPr>
              <w:t>requires amendment before resubmission.</w:t>
            </w:r>
          </w:p>
        </w:tc>
        <w:tc>
          <w:tcPr>
            <w:tcW w:w="3046" w:type="dxa"/>
            <w:tcBorders>
              <w:top w:val="single" w:sz="8" w:space="0" w:color="000000"/>
              <w:left w:val="single" w:sz="8" w:space="0" w:color="000000"/>
              <w:bottom w:val="single" w:sz="8" w:space="0" w:color="000000"/>
              <w:right w:val="single" w:sz="8" w:space="0" w:color="000000"/>
            </w:tcBorders>
          </w:tcPr>
          <w:p w14:paraId="3A80E663" w14:textId="77777777" w:rsidR="008D2D93" w:rsidRPr="003B7591" w:rsidRDefault="008D2D93">
            <w:pPr>
              <w:spacing w:after="0" w:line="259" w:lineRule="auto"/>
              <w:ind w:left="0" w:right="0" w:firstLine="0"/>
              <w:jc w:val="left"/>
              <w:rPr>
                <w:b/>
                <w:color w:val="auto"/>
                <w:lang w:val="en-GB"/>
              </w:rPr>
            </w:pPr>
            <w:r w:rsidRPr="003B7591">
              <w:rPr>
                <w:b/>
                <w:color w:val="auto"/>
                <w:lang w:val="en-GB"/>
              </w:rPr>
              <w:t>Internal control—</w:t>
            </w:r>
            <w:r>
              <w:rPr>
                <w:b/>
                <w:color w:val="auto"/>
                <w:lang w:val="en-GB"/>
              </w:rPr>
              <w:t>second review of payment request and supporting documents</w:t>
            </w:r>
          </w:p>
        </w:tc>
      </w:tr>
      <w:tr w:rsidR="008D2D93" w:rsidRPr="003B7591" w14:paraId="3A15B895" w14:textId="77777777">
        <w:trPr>
          <w:trHeight w:val="2119"/>
        </w:trPr>
        <w:tc>
          <w:tcPr>
            <w:tcW w:w="2268" w:type="dxa"/>
            <w:tcBorders>
              <w:top w:val="single" w:sz="8" w:space="0" w:color="000000"/>
              <w:left w:val="single" w:sz="8" w:space="0" w:color="000000"/>
              <w:bottom w:val="single" w:sz="8" w:space="0" w:color="000000"/>
              <w:right w:val="single" w:sz="8" w:space="0" w:color="000000"/>
            </w:tcBorders>
          </w:tcPr>
          <w:p w14:paraId="40E0F468" w14:textId="7574F386" w:rsidR="008D2D93" w:rsidRPr="003B7591" w:rsidRDefault="008D2D93">
            <w:pPr>
              <w:spacing w:after="0" w:line="259" w:lineRule="auto"/>
              <w:ind w:left="0" w:right="0" w:firstLine="0"/>
              <w:jc w:val="left"/>
              <w:rPr>
                <w:color w:val="auto"/>
                <w:lang w:val="en-GB"/>
              </w:rPr>
            </w:pPr>
            <w:r w:rsidRPr="003B7591">
              <w:rPr>
                <w:color w:val="auto"/>
                <w:lang w:val="en-GB"/>
              </w:rPr>
              <w:lastRenderedPageBreak/>
              <w:t xml:space="preserve">Approving </w:t>
            </w:r>
            <w:r w:rsidR="00486044">
              <w:rPr>
                <w:color w:val="auto"/>
                <w:lang w:val="en-GB"/>
              </w:rPr>
              <w:t>M</w:t>
            </w:r>
            <w:r w:rsidRPr="003B7591">
              <w:rPr>
                <w:color w:val="auto"/>
                <w:lang w:val="en-GB"/>
              </w:rPr>
              <w:t xml:space="preserve">anager </w:t>
            </w:r>
          </w:p>
        </w:tc>
        <w:tc>
          <w:tcPr>
            <w:tcW w:w="3827" w:type="dxa"/>
            <w:tcBorders>
              <w:top w:val="single" w:sz="8" w:space="0" w:color="000000"/>
              <w:left w:val="single" w:sz="8" w:space="0" w:color="000000"/>
              <w:bottom w:val="single" w:sz="8" w:space="0" w:color="000000"/>
              <w:right w:val="single" w:sz="8" w:space="0" w:color="000000"/>
            </w:tcBorders>
          </w:tcPr>
          <w:p w14:paraId="110D2083" w14:textId="39B28429" w:rsidR="008D2D93" w:rsidRPr="003B7591" w:rsidRDefault="008D2D93">
            <w:pPr>
              <w:spacing w:after="160" w:line="240" w:lineRule="auto"/>
              <w:ind w:left="0" w:right="0" w:firstLine="0"/>
              <w:jc w:val="left"/>
              <w:rPr>
                <w:color w:val="auto"/>
                <w:lang w:val="en-GB"/>
              </w:rPr>
            </w:pPr>
            <w:r w:rsidRPr="003B7591">
              <w:rPr>
                <w:color w:val="auto"/>
                <w:lang w:val="en-GB"/>
              </w:rPr>
              <w:t xml:space="preserve">Review </w:t>
            </w:r>
            <w:r w:rsidR="006C0808" w:rsidRPr="00BB2642">
              <w:rPr>
                <w:color w:val="auto"/>
                <w:lang w:val="en-GB"/>
              </w:rPr>
              <w:t>Quantum Payable module Invoice</w:t>
            </w:r>
            <w:r w:rsidR="006C0808">
              <w:rPr>
                <w:rFonts w:eastAsia="Times New Roman"/>
                <w:color w:val="444444"/>
                <w:sz w:val="20"/>
                <w:szCs w:val="20"/>
                <w:lang w:eastAsia="en-MY"/>
              </w:rPr>
              <w:t xml:space="preserve"> </w:t>
            </w:r>
            <w:r w:rsidRPr="003B7591">
              <w:rPr>
                <w:color w:val="auto"/>
                <w:lang w:val="en-GB"/>
              </w:rPr>
              <w:t>and supporting FACE form for consistency</w:t>
            </w:r>
            <w:r w:rsidR="00D179B4">
              <w:rPr>
                <w:color w:val="auto"/>
                <w:lang w:val="en-GB"/>
              </w:rPr>
              <w:t xml:space="preserve">, </w:t>
            </w:r>
            <w:r w:rsidR="00FE5BBD">
              <w:rPr>
                <w:color w:val="auto"/>
                <w:lang w:val="en-GB"/>
              </w:rPr>
              <w:t>supporting documents</w:t>
            </w:r>
            <w:r w:rsidRPr="003B7591">
              <w:rPr>
                <w:color w:val="auto"/>
                <w:lang w:val="en-GB"/>
              </w:rPr>
              <w:t xml:space="preserve"> and proper authorization. </w:t>
            </w:r>
            <w:r>
              <w:rPr>
                <w:color w:val="auto"/>
                <w:lang w:val="en-GB"/>
              </w:rPr>
              <w:t xml:space="preserve"> Approve </w:t>
            </w:r>
            <w:r w:rsidR="006C0808" w:rsidRPr="00BB2642">
              <w:rPr>
                <w:color w:val="auto"/>
                <w:lang w:val="en-GB"/>
              </w:rPr>
              <w:t xml:space="preserve">Quantum Payable module </w:t>
            </w:r>
            <w:r w:rsidR="00181C8A" w:rsidRPr="00BB2642">
              <w:rPr>
                <w:color w:val="auto"/>
                <w:lang w:val="en-GB"/>
              </w:rPr>
              <w:t>i</w:t>
            </w:r>
            <w:r w:rsidR="006C0808" w:rsidRPr="00BB2642">
              <w:rPr>
                <w:color w:val="auto"/>
                <w:lang w:val="en-GB"/>
              </w:rPr>
              <w:t>nvoice</w:t>
            </w:r>
            <w:r w:rsidR="006C0808">
              <w:rPr>
                <w:rFonts w:eastAsia="Times New Roman"/>
                <w:color w:val="444444"/>
                <w:sz w:val="20"/>
                <w:szCs w:val="20"/>
                <w:lang w:eastAsia="en-MY"/>
              </w:rPr>
              <w:t xml:space="preserve"> </w:t>
            </w:r>
            <w:r>
              <w:rPr>
                <w:color w:val="auto"/>
                <w:lang w:val="en-GB"/>
              </w:rPr>
              <w:t>in accordance with payment approval thresholds</w:t>
            </w:r>
            <w:r w:rsidR="00107FED">
              <w:rPr>
                <w:color w:val="auto"/>
                <w:lang w:val="en-GB"/>
              </w:rPr>
              <w:t xml:space="preserve"> or reject it if the requirements are not met.</w:t>
            </w:r>
          </w:p>
          <w:p w14:paraId="3FA4F631" w14:textId="54323300" w:rsidR="008D2D93" w:rsidRPr="003B7591" w:rsidRDefault="008D2D93">
            <w:pPr>
              <w:spacing w:after="158" w:line="239" w:lineRule="auto"/>
              <w:ind w:left="0" w:right="0" w:firstLine="0"/>
              <w:jc w:val="left"/>
              <w:rPr>
                <w:color w:val="auto"/>
                <w:lang w:val="en-GB"/>
              </w:rPr>
            </w:pPr>
            <w:r>
              <w:rPr>
                <w:color w:val="auto"/>
                <w:lang w:val="en-GB"/>
              </w:rPr>
              <w:t>Take into c</w:t>
            </w:r>
            <w:r w:rsidRPr="003B7591">
              <w:rPr>
                <w:color w:val="auto"/>
                <w:lang w:val="en-GB"/>
              </w:rPr>
              <w:t>onsider</w:t>
            </w:r>
            <w:r>
              <w:rPr>
                <w:color w:val="auto"/>
                <w:lang w:val="en-GB"/>
              </w:rPr>
              <w:t>ation</w:t>
            </w:r>
            <w:r w:rsidRPr="003B7591">
              <w:rPr>
                <w:color w:val="auto"/>
                <w:lang w:val="en-GB"/>
              </w:rPr>
              <w:t xml:space="preserve"> any </w:t>
            </w:r>
            <w:r>
              <w:rPr>
                <w:color w:val="auto"/>
                <w:lang w:val="en-GB"/>
              </w:rPr>
              <w:t>factors</w:t>
            </w:r>
            <w:r w:rsidRPr="003B7591">
              <w:rPr>
                <w:color w:val="auto"/>
                <w:lang w:val="en-GB"/>
              </w:rPr>
              <w:t xml:space="preserve"> that </w:t>
            </w:r>
            <w:r>
              <w:rPr>
                <w:color w:val="auto"/>
                <w:lang w:val="en-GB"/>
              </w:rPr>
              <w:t xml:space="preserve">would prevent UNDP from making </w:t>
            </w:r>
            <w:r w:rsidRPr="003B7591">
              <w:rPr>
                <w:color w:val="auto"/>
                <w:lang w:val="en-GB"/>
              </w:rPr>
              <w:t>payment</w:t>
            </w:r>
            <w:r>
              <w:rPr>
                <w:color w:val="auto"/>
                <w:lang w:val="en-GB"/>
              </w:rPr>
              <w:t>s</w:t>
            </w:r>
            <w:r w:rsidRPr="003B7591">
              <w:rPr>
                <w:color w:val="auto"/>
                <w:lang w:val="en-GB"/>
              </w:rPr>
              <w:t xml:space="preserve"> </w:t>
            </w:r>
            <w:r w:rsidR="000D71A1">
              <w:rPr>
                <w:color w:val="auto"/>
                <w:lang w:val="en-GB"/>
              </w:rPr>
              <w:t>e.g.,</w:t>
            </w:r>
            <w:r>
              <w:rPr>
                <w:color w:val="auto"/>
                <w:lang w:val="en-GB"/>
              </w:rPr>
              <w:t xml:space="preserve"> fraud red flags and seek adequate explanation as appropriate</w:t>
            </w:r>
            <w:r w:rsidRPr="003B7591">
              <w:rPr>
                <w:color w:val="auto"/>
                <w:lang w:val="en-GB"/>
              </w:rPr>
              <w:t xml:space="preserve">. </w:t>
            </w:r>
          </w:p>
        </w:tc>
        <w:tc>
          <w:tcPr>
            <w:tcW w:w="3046" w:type="dxa"/>
            <w:tcBorders>
              <w:top w:val="single" w:sz="8" w:space="0" w:color="000000"/>
              <w:left w:val="single" w:sz="8" w:space="0" w:color="000000"/>
              <w:bottom w:val="single" w:sz="8" w:space="0" w:color="000000"/>
              <w:right w:val="single" w:sz="8" w:space="0" w:color="000000"/>
            </w:tcBorders>
          </w:tcPr>
          <w:p w14:paraId="36857CE9" w14:textId="77777777" w:rsidR="008D2D93" w:rsidRPr="003B7591" w:rsidRDefault="008D2D93">
            <w:pPr>
              <w:spacing w:after="0" w:line="259" w:lineRule="auto"/>
              <w:ind w:left="0" w:right="0" w:firstLine="0"/>
              <w:jc w:val="left"/>
              <w:rPr>
                <w:color w:val="auto"/>
                <w:lang w:val="en-GB"/>
              </w:rPr>
            </w:pPr>
            <w:r w:rsidRPr="003B7591">
              <w:rPr>
                <w:b/>
                <w:color w:val="auto"/>
                <w:lang w:val="en-GB"/>
              </w:rPr>
              <w:t>Internal control—second approval</w:t>
            </w:r>
            <w:r w:rsidRPr="003B7591">
              <w:rPr>
                <w:color w:val="auto"/>
                <w:lang w:val="en-GB"/>
              </w:rPr>
              <w:t xml:space="preserve"> </w:t>
            </w:r>
          </w:p>
        </w:tc>
      </w:tr>
      <w:tr w:rsidR="008D2D93" w:rsidRPr="003B7591" w14:paraId="7E1EC8F6" w14:textId="77777777">
        <w:trPr>
          <w:trHeight w:val="1052"/>
        </w:trPr>
        <w:tc>
          <w:tcPr>
            <w:tcW w:w="2268" w:type="dxa"/>
            <w:tcBorders>
              <w:top w:val="single" w:sz="8" w:space="0" w:color="000000"/>
              <w:left w:val="single" w:sz="8" w:space="0" w:color="000000"/>
              <w:bottom w:val="single" w:sz="8" w:space="0" w:color="000000"/>
              <w:right w:val="single" w:sz="8" w:space="0" w:color="000000"/>
            </w:tcBorders>
          </w:tcPr>
          <w:p w14:paraId="6E56FFF9" w14:textId="1084D9B6" w:rsidR="008D2D93" w:rsidRPr="003B7591" w:rsidRDefault="008D2D93">
            <w:pPr>
              <w:spacing w:after="0" w:line="259" w:lineRule="auto"/>
              <w:ind w:left="0" w:right="0" w:firstLine="0"/>
              <w:jc w:val="left"/>
              <w:rPr>
                <w:color w:val="auto"/>
                <w:lang w:val="en-GB"/>
              </w:rPr>
            </w:pPr>
            <w:r>
              <w:rPr>
                <w:color w:val="auto"/>
                <w:lang w:val="en-GB"/>
              </w:rPr>
              <w:t>GSS</w:t>
            </w:r>
            <w:r w:rsidR="002E5BB4">
              <w:rPr>
                <w:color w:val="auto"/>
                <w:lang w:val="en-GB"/>
              </w:rPr>
              <w:t>C</w:t>
            </w:r>
            <w:r>
              <w:rPr>
                <w:color w:val="auto"/>
                <w:lang w:val="en-GB"/>
              </w:rPr>
              <w:t xml:space="preserve"> Payment </w:t>
            </w:r>
            <w:r w:rsidR="00486044">
              <w:rPr>
                <w:color w:val="auto"/>
                <w:lang w:val="en-GB"/>
              </w:rPr>
              <w:t>T</w:t>
            </w:r>
            <w:r>
              <w:rPr>
                <w:color w:val="auto"/>
                <w:lang w:val="en-GB"/>
              </w:rPr>
              <w:t xml:space="preserve">eam </w:t>
            </w:r>
          </w:p>
        </w:tc>
        <w:tc>
          <w:tcPr>
            <w:tcW w:w="3827" w:type="dxa"/>
            <w:tcBorders>
              <w:top w:val="single" w:sz="8" w:space="0" w:color="000000"/>
              <w:left w:val="single" w:sz="8" w:space="0" w:color="000000"/>
              <w:bottom w:val="single" w:sz="8" w:space="0" w:color="000000"/>
              <w:right w:val="single" w:sz="8" w:space="0" w:color="000000"/>
            </w:tcBorders>
          </w:tcPr>
          <w:p w14:paraId="1AA6D71D" w14:textId="24A0C905" w:rsidR="008D2D93" w:rsidRPr="003B7591" w:rsidRDefault="008D2D93">
            <w:pPr>
              <w:spacing w:after="0" w:line="259" w:lineRule="auto"/>
              <w:ind w:left="0" w:right="0" w:firstLine="0"/>
              <w:jc w:val="left"/>
              <w:rPr>
                <w:color w:val="auto"/>
                <w:lang w:val="en-GB"/>
              </w:rPr>
            </w:pPr>
            <w:r>
              <w:rPr>
                <w:color w:val="auto"/>
                <w:lang w:val="en-GB"/>
              </w:rPr>
              <w:t xml:space="preserve">Runs the </w:t>
            </w:r>
            <w:proofErr w:type="spellStart"/>
            <w:r>
              <w:rPr>
                <w:color w:val="auto"/>
                <w:lang w:val="en-GB"/>
              </w:rPr>
              <w:t>PayCycle</w:t>
            </w:r>
            <w:proofErr w:type="spellEnd"/>
            <w:r>
              <w:rPr>
                <w:color w:val="auto"/>
                <w:lang w:val="en-GB"/>
              </w:rPr>
              <w:t xml:space="preserve"> for approved payments and </w:t>
            </w:r>
            <w:r w:rsidR="00F44A9C">
              <w:rPr>
                <w:color w:val="auto"/>
                <w:lang w:val="en-GB"/>
              </w:rPr>
              <w:t>submit</w:t>
            </w:r>
            <w:r w:rsidR="00977F7A">
              <w:rPr>
                <w:color w:val="auto"/>
                <w:lang w:val="en-GB"/>
              </w:rPr>
              <w:t xml:space="preserve"> </w:t>
            </w:r>
            <w:r>
              <w:rPr>
                <w:color w:val="auto"/>
                <w:lang w:val="en-GB"/>
              </w:rPr>
              <w:t xml:space="preserve">the payment </w:t>
            </w:r>
            <w:r w:rsidR="00977F7A">
              <w:rPr>
                <w:color w:val="auto"/>
                <w:lang w:val="en-GB"/>
              </w:rPr>
              <w:t xml:space="preserve">files </w:t>
            </w:r>
            <w:r w:rsidR="001514BE">
              <w:rPr>
                <w:color w:val="auto"/>
                <w:lang w:val="en-GB"/>
              </w:rPr>
              <w:t xml:space="preserve">for upload into the banking platforms </w:t>
            </w:r>
            <w:r w:rsidR="007B7A93">
              <w:rPr>
                <w:color w:val="auto"/>
                <w:lang w:val="en-GB"/>
              </w:rPr>
              <w:t xml:space="preserve">of </w:t>
            </w:r>
            <w:r>
              <w:rPr>
                <w:color w:val="auto"/>
                <w:lang w:val="en-GB"/>
              </w:rPr>
              <w:t xml:space="preserve">the designated </w:t>
            </w:r>
            <w:r w:rsidR="007B7A93">
              <w:rPr>
                <w:color w:val="auto"/>
                <w:lang w:val="en-GB"/>
              </w:rPr>
              <w:t xml:space="preserve">local </w:t>
            </w:r>
            <w:r>
              <w:rPr>
                <w:color w:val="auto"/>
                <w:lang w:val="en-GB"/>
              </w:rPr>
              <w:t>bank</w:t>
            </w:r>
            <w:r w:rsidR="00373395">
              <w:rPr>
                <w:color w:val="auto"/>
                <w:lang w:val="en-GB"/>
              </w:rPr>
              <w:t>s</w:t>
            </w:r>
            <w:r>
              <w:rPr>
                <w:color w:val="auto"/>
                <w:lang w:val="en-GB"/>
              </w:rPr>
              <w:t xml:space="preserve"> in accordance with the established SOP and POPP</w:t>
            </w:r>
            <w:r w:rsidR="00BC4888">
              <w:rPr>
                <w:color w:val="auto"/>
                <w:lang w:val="en-GB"/>
              </w:rPr>
              <w:t xml:space="preserve"> guidelines on disbursements</w:t>
            </w:r>
            <w:r w:rsidRPr="003B7591">
              <w:rPr>
                <w:color w:val="auto"/>
                <w:lang w:val="en-GB"/>
              </w:rPr>
              <w:t xml:space="preserve">  </w:t>
            </w:r>
          </w:p>
        </w:tc>
        <w:tc>
          <w:tcPr>
            <w:tcW w:w="3046" w:type="dxa"/>
            <w:tcBorders>
              <w:top w:val="single" w:sz="8" w:space="0" w:color="000000"/>
              <w:left w:val="single" w:sz="8" w:space="0" w:color="000000"/>
              <w:bottom w:val="single" w:sz="8" w:space="0" w:color="000000"/>
              <w:right w:val="single" w:sz="8" w:space="0" w:color="000000"/>
            </w:tcBorders>
          </w:tcPr>
          <w:p w14:paraId="0D973D7E" w14:textId="77777777" w:rsidR="008D2D93" w:rsidRPr="003B7591" w:rsidRDefault="008D2D93">
            <w:pPr>
              <w:spacing w:after="0" w:line="259" w:lineRule="auto"/>
              <w:ind w:left="0" w:right="0" w:firstLine="0"/>
              <w:jc w:val="left"/>
              <w:rPr>
                <w:color w:val="auto"/>
                <w:lang w:val="en-GB"/>
              </w:rPr>
            </w:pPr>
            <w:r w:rsidRPr="003B7591">
              <w:rPr>
                <w:b/>
                <w:color w:val="auto"/>
                <w:lang w:val="en-GB"/>
              </w:rPr>
              <w:t>Internal control—third approval</w:t>
            </w:r>
            <w:r w:rsidRPr="003B7591">
              <w:rPr>
                <w:color w:val="auto"/>
                <w:lang w:val="en-GB"/>
              </w:rPr>
              <w:t xml:space="preserve"> </w:t>
            </w:r>
          </w:p>
        </w:tc>
      </w:tr>
    </w:tbl>
    <w:p w14:paraId="256F63E5" w14:textId="1B706653" w:rsidR="0053098C" w:rsidRPr="008D2D93" w:rsidRDefault="008D2D93" w:rsidP="008D2D93">
      <w:pPr>
        <w:spacing w:after="0" w:line="259" w:lineRule="auto"/>
        <w:ind w:left="0" w:right="0" w:firstLine="0"/>
        <w:jc w:val="left"/>
        <w:rPr>
          <w:color w:val="auto"/>
          <w:lang w:val="en-GB"/>
        </w:rPr>
      </w:pPr>
      <w:r w:rsidRPr="003B7591">
        <w:rPr>
          <w:color w:val="auto"/>
          <w:lang w:val="en-GB"/>
        </w:rPr>
        <w:t xml:space="preserve"> </w:t>
      </w:r>
    </w:p>
    <w:sectPr w:rsidR="0053098C" w:rsidRPr="008D2D93">
      <w:headerReference w:type="even" r:id="rId28"/>
      <w:headerReference w:type="default" r:id="rId29"/>
      <w:footerReference w:type="even" r:id="rId30"/>
      <w:footerReference w:type="default" r:id="rId31"/>
      <w:headerReference w:type="first" r:id="rId32"/>
      <w:footerReference w:type="first" r:id="rId33"/>
      <w:pgSz w:w="12240" w:h="15840"/>
      <w:pgMar w:top="1481" w:right="1435" w:bottom="1777"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333BC" w14:textId="77777777" w:rsidR="004B18D1" w:rsidRDefault="004B18D1">
      <w:pPr>
        <w:spacing w:after="0" w:line="240" w:lineRule="auto"/>
      </w:pPr>
      <w:r>
        <w:separator/>
      </w:r>
    </w:p>
  </w:endnote>
  <w:endnote w:type="continuationSeparator" w:id="0">
    <w:p w14:paraId="2BA3A6AC" w14:textId="77777777" w:rsidR="004B18D1" w:rsidRDefault="004B18D1">
      <w:pPr>
        <w:spacing w:after="0" w:line="240" w:lineRule="auto"/>
      </w:pPr>
      <w:r>
        <w:continuationSeparator/>
      </w:r>
    </w:p>
  </w:endnote>
  <w:endnote w:type="continuationNotice" w:id="1">
    <w:p w14:paraId="2162E98B" w14:textId="77777777" w:rsidR="004B18D1" w:rsidRDefault="004B18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F63E6" w14:textId="77777777" w:rsidR="0053098C" w:rsidRDefault="00C6594F">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14:paraId="256F63E7" w14:textId="77777777" w:rsidR="0053098C" w:rsidRDefault="00C6594F">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F63E9" w14:textId="6C957C32" w:rsidR="0053098C" w:rsidRDefault="00310F28">
    <w:pPr>
      <w:spacing w:after="0" w:line="259" w:lineRule="auto"/>
      <w:ind w:left="0" w:right="0" w:firstLine="0"/>
      <w:jc w:val="left"/>
    </w:pPr>
    <w:r>
      <w:t xml:space="preserve">Page </w:t>
    </w:r>
    <w:r>
      <w:rPr>
        <w:b/>
      </w:rPr>
      <w:fldChar w:fldCharType="begin"/>
    </w:r>
    <w:r>
      <w:rPr>
        <w:b/>
      </w:rPr>
      <w:instrText xml:space="preserve"> PAGE  \* Arabic  \* MERGEFORMAT </w:instrText>
    </w:r>
    <w:r>
      <w:rPr>
        <w:b/>
      </w:rPr>
      <w:fldChar w:fldCharType="separate"/>
    </w:r>
    <w:r w:rsidR="00D24266">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D24266">
      <w:rPr>
        <w:b/>
        <w:noProof/>
      </w:rPr>
      <w:t>4</w:t>
    </w:r>
    <w:r>
      <w:rPr>
        <w:b/>
      </w:rPr>
      <w:fldChar w:fldCharType="end"/>
    </w:r>
    <w:r>
      <w:ptab w:relativeTo="margin" w:alignment="center" w:leader="none"/>
    </w:r>
    <w:r w:rsidRPr="00310F28">
      <w:t>Effective Date:</w:t>
    </w:r>
    <w:r>
      <w:t xml:space="preserve"> </w:t>
    </w:r>
    <w:r w:rsidR="00BB2642" w:rsidRPr="00BB2642">
      <w:t xml:space="preserve">29/01/2021 </w:t>
    </w:r>
    <w:r>
      <w:ptab w:relativeTo="margin" w:alignment="right" w:leader="none"/>
    </w:r>
    <w:r w:rsidRPr="00310F28">
      <w:t>Version #:</w:t>
    </w:r>
    <w:r>
      <w:t xml:space="preserve"> </w:t>
    </w:r>
    <w:sdt>
      <w:sdtPr>
        <w:alias w:val="POPPRefItemVersion"/>
        <w:tag w:val="UNDP_POPP_REFITEM_VERSION"/>
        <w:id w:val="2017884121"/>
        <w:placeholder>
          <w:docPart w:val="457D11345869416A96284C995E5C9618"/>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A2C1D89E-5157-42EE-9147-0A99415A7DDD}"/>
        <w:text/>
      </w:sdtPr>
      <w:sdtContent>
        <w:r w:rsidR="00FE429F">
          <w:t>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F63EA" w14:textId="77777777" w:rsidR="0053098C" w:rsidRDefault="00C6594F">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14:paraId="256F63EB" w14:textId="77777777" w:rsidR="0053098C" w:rsidRDefault="00C6594F">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B226F" w14:textId="77777777" w:rsidR="004B18D1" w:rsidRDefault="004B18D1">
      <w:pPr>
        <w:spacing w:after="0" w:line="240" w:lineRule="auto"/>
      </w:pPr>
      <w:r>
        <w:separator/>
      </w:r>
    </w:p>
  </w:footnote>
  <w:footnote w:type="continuationSeparator" w:id="0">
    <w:p w14:paraId="7E812385" w14:textId="77777777" w:rsidR="004B18D1" w:rsidRDefault="004B18D1">
      <w:pPr>
        <w:spacing w:after="0" w:line="240" w:lineRule="auto"/>
      </w:pPr>
      <w:r>
        <w:continuationSeparator/>
      </w:r>
    </w:p>
  </w:footnote>
  <w:footnote w:type="continuationNotice" w:id="1">
    <w:p w14:paraId="1E08EF46" w14:textId="77777777" w:rsidR="004B18D1" w:rsidRDefault="004B18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14DC8" w14:textId="77777777" w:rsidR="007A2641" w:rsidRDefault="007A26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F5E50" w14:textId="2AF02432" w:rsidR="001A10EF" w:rsidRDefault="001A10EF" w:rsidP="001A10EF">
    <w:pPr>
      <w:pStyle w:val="Header"/>
      <w:spacing w:before="100" w:beforeAutospacing="1" w:after="100" w:afterAutospacing="1"/>
      <w:ind w:left="9730" w:right="43"/>
    </w:pPr>
    <w:r w:rsidRPr="001A10EF">
      <w:rPr>
        <w:noProof/>
        <w:color w:val="333333"/>
      </w:rPr>
      <w:drawing>
        <wp:inline distT="0" distB="0" distL="0" distR="0" wp14:anchorId="2009DF2F" wp14:editId="4C946ABF">
          <wp:extent cx="290354" cy="60671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4722" b="13690"/>
                  <a:stretch/>
                </pic:blipFill>
                <pic:spPr bwMode="auto">
                  <a:xfrm>
                    <a:off x="0" y="0"/>
                    <a:ext cx="293964" cy="61425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D8526" w14:textId="77777777" w:rsidR="007A2641" w:rsidRDefault="007A26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D5BE7"/>
    <w:multiLevelType w:val="hybridMultilevel"/>
    <w:tmpl w:val="8E9A4EBE"/>
    <w:lvl w:ilvl="0" w:tplc="D41CF87E">
      <w:start w:val="9"/>
      <w:numFmt w:val="decimal"/>
      <w:lvlText w:val="%1."/>
      <w:lvlJc w:val="left"/>
      <w:pPr>
        <w:ind w:left="720" w:hanging="360"/>
      </w:pPr>
      <w:rPr>
        <w:rFonts w:hint="default"/>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32C56785"/>
    <w:multiLevelType w:val="multilevel"/>
    <w:tmpl w:val="6C1E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4F342A"/>
    <w:multiLevelType w:val="hybridMultilevel"/>
    <w:tmpl w:val="C0309708"/>
    <w:lvl w:ilvl="0" w:tplc="C2BA041A">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AE8BDC0">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12F2226E">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41F60E7E">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60269CC">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4A0E4C44">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1769870">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935CC0DC">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620611EA">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43A146F8"/>
    <w:multiLevelType w:val="multilevel"/>
    <w:tmpl w:val="9558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207CE8"/>
    <w:multiLevelType w:val="multilevel"/>
    <w:tmpl w:val="6842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3B754F"/>
    <w:multiLevelType w:val="multilevel"/>
    <w:tmpl w:val="7194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2649FA"/>
    <w:multiLevelType w:val="hybridMultilevel"/>
    <w:tmpl w:val="779ABD4A"/>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7" w15:restartNumberingAfterBreak="0">
    <w:nsid w:val="56567990"/>
    <w:multiLevelType w:val="multilevel"/>
    <w:tmpl w:val="DCB6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583906"/>
    <w:multiLevelType w:val="hybridMultilevel"/>
    <w:tmpl w:val="843A4A92"/>
    <w:lvl w:ilvl="0" w:tplc="499A2BEA">
      <w:start w:val="7"/>
      <w:numFmt w:val="decimal"/>
      <w:lvlText w:val="%1."/>
      <w:lvlJc w:val="left"/>
      <w:pPr>
        <w:ind w:left="72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F603514"/>
    <w:multiLevelType w:val="hybridMultilevel"/>
    <w:tmpl w:val="F8628396"/>
    <w:lvl w:ilvl="0" w:tplc="9DDA56F2">
      <w:start w:val="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E04902">
      <w:start w:val="1"/>
      <w:numFmt w:val="bullet"/>
      <w:lvlText w:val="•"/>
      <w:lvlJc w:val="left"/>
      <w:pPr>
        <w:ind w:left="1425"/>
      </w:pPr>
      <w:rPr>
        <w:rFonts w:ascii="Arial" w:eastAsia="Arial" w:hAnsi="Arial" w:cs="Arial"/>
        <w:b w:val="0"/>
        <w:i w:val="0"/>
        <w:strike w:val="0"/>
        <w:dstrike w:val="0"/>
        <w:color w:val="333333"/>
        <w:sz w:val="31"/>
        <w:szCs w:val="31"/>
        <w:u w:val="none" w:color="000000"/>
        <w:bdr w:val="none" w:sz="0" w:space="0" w:color="auto"/>
        <w:shd w:val="clear" w:color="auto" w:fill="auto"/>
        <w:vertAlign w:val="superscript"/>
      </w:rPr>
    </w:lvl>
    <w:lvl w:ilvl="2" w:tplc="628C2FD2">
      <w:start w:val="1"/>
      <w:numFmt w:val="bullet"/>
      <w:lvlText w:val="▪"/>
      <w:lvlJc w:val="left"/>
      <w:pPr>
        <w:ind w:left="2160"/>
      </w:pPr>
      <w:rPr>
        <w:rFonts w:ascii="Segoe UI Symbol" w:eastAsia="Segoe UI Symbol" w:hAnsi="Segoe UI Symbol" w:cs="Segoe UI Symbol"/>
        <w:b w:val="0"/>
        <w:i w:val="0"/>
        <w:strike w:val="0"/>
        <w:dstrike w:val="0"/>
        <w:color w:val="333333"/>
        <w:sz w:val="31"/>
        <w:szCs w:val="31"/>
        <w:u w:val="none" w:color="000000"/>
        <w:bdr w:val="none" w:sz="0" w:space="0" w:color="auto"/>
        <w:shd w:val="clear" w:color="auto" w:fill="auto"/>
        <w:vertAlign w:val="superscript"/>
      </w:rPr>
    </w:lvl>
    <w:lvl w:ilvl="3" w:tplc="EE5E18AC">
      <w:start w:val="1"/>
      <w:numFmt w:val="bullet"/>
      <w:lvlText w:val="•"/>
      <w:lvlJc w:val="left"/>
      <w:pPr>
        <w:ind w:left="2880"/>
      </w:pPr>
      <w:rPr>
        <w:rFonts w:ascii="Arial" w:eastAsia="Arial" w:hAnsi="Arial" w:cs="Arial"/>
        <w:b w:val="0"/>
        <w:i w:val="0"/>
        <w:strike w:val="0"/>
        <w:dstrike w:val="0"/>
        <w:color w:val="333333"/>
        <w:sz w:val="31"/>
        <w:szCs w:val="31"/>
        <w:u w:val="none" w:color="000000"/>
        <w:bdr w:val="none" w:sz="0" w:space="0" w:color="auto"/>
        <w:shd w:val="clear" w:color="auto" w:fill="auto"/>
        <w:vertAlign w:val="superscript"/>
      </w:rPr>
    </w:lvl>
    <w:lvl w:ilvl="4" w:tplc="D07CA030">
      <w:start w:val="1"/>
      <w:numFmt w:val="bullet"/>
      <w:lvlText w:val="o"/>
      <w:lvlJc w:val="left"/>
      <w:pPr>
        <w:ind w:left="3600"/>
      </w:pPr>
      <w:rPr>
        <w:rFonts w:ascii="Segoe UI Symbol" w:eastAsia="Segoe UI Symbol" w:hAnsi="Segoe UI Symbol" w:cs="Segoe UI Symbol"/>
        <w:b w:val="0"/>
        <w:i w:val="0"/>
        <w:strike w:val="0"/>
        <w:dstrike w:val="0"/>
        <w:color w:val="333333"/>
        <w:sz w:val="31"/>
        <w:szCs w:val="31"/>
        <w:u w:val="none" w:color="000000"/>
        <w:bdr w:val="none" w:sz="0" w:space="0" w:color="auto"/>
        <w:shd w:val="clear" w:color="auto" w:fill="auto"/>
        <w:vertAlign w:val="superscript"/>
      </w:rPr>
    </w:lvl>
    <w:lvl w:ilvl="5" w:tplc="FCF050E6">
      <w:start w:val="1"/>
      <w:numFmt w:val="bullet"/>
      <w:lvlText w:val="▪"/>
      <w:lvlJc w:val="left"/>
      <w:pPr>
        <w:ind w:left="4320"/>
      </w:pPr>
      <w:rPr>
        <w:rFonts w:ascii="Segoe UI Symbol" w:eastAsia="Segoe UI Symbol" w:hAnsi="Segoe UI Symbol" w:cs="Segoe UI Symbol"/>
        <w:b w:val="0"/>
        <w:i w:val="0"/>
        <w:strike w:val="0"/>
        <w:dstrike w:val="0"/>
        <w:color w:val="333333"/>
        <w:sz w:val="31"/>
        <w:szCs w:val="31"/>
        <w:u w:val="none" w:color="000000"/>
        <w:bdr w:val="none" w:sz="0" w:space="0" w:color="auto"/>
        <w:shd w:val="clear" w:color="auto" w:fill="auto"/>
        <w:vertAlign w:val="superscript"/>
      </w:rPr>
    </w:lvl>
    <w:lvl w:ilvl="6" w:tplc="DDEC5756">
      <w:start w:val="1"/>
      <w:numFmt w:val="bullet"/>
      <w:lvlText w:val="•"/>
      <w:lvlJc w:val="left"/>
      <w:pPr>
        <w:ind w:left="5040"/>
      </w:pPr>
      <w:rPr>
        <w:rFonts w:ascii="Arial" w:eastAsia="Arial" w:hAnsi="Arial" w:cs="Arial"/>
        <w:b w:val="0"/>
        <w:i w:val="0"/>
        <w:strike w:val="0"/>
        <w:dstrike w:val="0"/>
        <w:color w:val="333333"/>
        <w:sz w:val="31"/>
        <w:szCs w:val="31"/>
        <w:u w:val="none" w:color="000000"/>
        <w:bdr w:val="none" w:sz="0" w:space="0" w:color="auto"/>
        <w:shd w:val="clear" w:color="auto" w:fill="auto"/>
        <w:vertAlign w:val="superscript"/>
      </w:rPr>
    </w:lvl>
    <w:lvl w:ilvl="7" w:tplc="00CA9B1A">
      <w:start w:val="1"/>
      <w:numFmt w:val="bullet"/>
      <w:lvlText w:val="o"/>
      <w:lvlJc w:val="left"/>
      <w:pPr>
        <w:ind w:left="5760"/>
      </w:pPr>
      <w:rPr>
        <w:rFonts w:ascii="Segoe UI Symbol" w:eastAsia="Segoe UI Symbol" w:hAnsi="Segoe UI Symbol" w:cs="Segoe UI Symbol"/>
        <w:b w:val="0"/>
        <w:i w:val="0"/>
        <w:strike w:val="0"/>
        <w:dstrike w:val="0"/>
        <w:color w:val="333333"/>
        <w:sz w:val="31"/>
        <w:szCs w:val="31"/>
        <w:u w:val="none" w:color="000000"/>
        <w:bdr w:val="none" w:sz="0" w:space="0" w:color="auto"/>
        <w:shd w:val="clear" w:color="auto" w:fill="auto"/>
        <w:vertAlign w:val="superscript"/>
      </w:rPr>
    </w:lvl>
    <w:lvl w:ilvl="8" w:tplc="BA20FAE0">
      <w:start w:val="1"/>
      <w:numFmt w:val="bullet"/>
      <w:lvlText w:val="▪"/>
      <w:lvlJc w:val="left"/>
      <w:pPr>
        <w:ind w:left="6480"/>
      </w:pPr>
      <w:rPr>
        <w:rFonts w:ascii="Segoe UI Symbol" w:eastAsia="Segoe UI Symbol" w:hAnsi="Segoe UI Symbol" w:cs="Segoe UI Symbol"/>
        <w:b w:val="0"/>
        <w:i w:val="0"/>
        <w:strike w:val="0"/>
        <w:dstrike w:val="0"/>
        <w:color w:val="333333"/>
        <w:sz w:val="31"/>
        <w:szCs w:val="31"/>
        <w:u w:val="none" w:color="000000"/>
        <w:bdr w:val="none" w:sz="0" w:space="0" w:color="auto"/>
        <w:shd w:val="clear" w:color="auto" w:fill="auto"/>
        <w:vertAlign w:val="superscript"/>
      </w:rPr>
    </w:lvl>
  </w:abstractNum>
  <w:abstractNum w:abstractNumId="10" w15:restartNumberingAfterBreak="0">
    <w:nsid w:val="673A728C"/>
    <w:multiLevelType w:val="hybridMultilevel"/>
    <w:tmpl w:val="442EEE42"/>
    <w:lvl w:ilvl="0" w:tplc="47A4DFB6">
      <w:start w:val="17"/>
      <w:numFmt w:val="decimal"/>
      <w:lvlText w:val="%1."/>
      <w:lvlJc w:val="left"/>
      <w:pPr>
        <w:ind w:left="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145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88B27B8E">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B22E68">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4A8DFA">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2802A6">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1A3902">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D861F0">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94AEF8">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05A7D56"/>
    <w:multiLevelType w:val="multilevel"/>
    <w:tmpl w:val="6428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E45426"/>
    <w:multiLevelType w:val="hybridMultilevel"/>
    <w:tmpl w:val="107E0462"/>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num w:numId="1" w16cid:durableId="400178047">
    <w:abstractNumId w:val="2"/>
  </w:num>
  <w:num w:numId="2" w16cid:durableId="1589313913">
    <w:abstractNumId w:val="9"/>
  </w:num>
  <w:num w:numId="3" w16cid:durableId="1652364002">
    <w:abstractNumId w:val="10"/>
  </w:num>
  <w:num w:numId="4" w16cid:durableId="1822304099">
    <w:abstractNumId w:val="12"/>
  </w:num>
  <w:num w:numId="5" w16cid:durableId="1133713026">
    <w:abstractNumId w:val="6"/>
  </w:num>
  <w:num w:numId="6" w16cid:durableId="197283496">
    <w:abstractNumId w:val="8"/>
  </w:num>
  <w:num w:numId="7" w16cid:durableId="1376812767">
    <w:abstractNumId w:val="1"/>
  </w:num>
  <w:num w:numId="8" w16cid:durableId="1574391244">
    <w:abstractNumId w:val="5"/>
  </w:num>
  <w:num w:numId="9" w16cid:durableId="707492021">
    <w:abstractNumId w:val="4"/>
  </w:num>
  <w:num w:numId="10" w16cid:durableId="1130896760">
    <w:abstractNumId w:val="11"/>
  </w:num>
  <w:num w:numId="11" w16cid:durableId="1991324967">
    <w:abstractNumId w:val="3"/>
  </w:num>
  <w:num w:numId="12" w16cid:durableId="305739257">
    <w:abstractNumId w:val="7"/>
  </w:num>
  <w:num w:numId="13" w16cid:durableId="1897930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8C"/>
    <w:rsid w:val="00002611"/>
    <w:rsid w:val="00004301"/>
    <w:rsid w:val="00004BFF"/>
    <w:rsid w:val="000055C1"/>
    <w:rsid w:val="000124AB"/>
    <w:rsid w:val="00027430"/>
    <w:rsid w:val="000306D4"/>
    <w:rsid w:val="00033179"/>
    <w:rsid w:val="0003703B"/>
    <w:rsid w:val="00041ED7"/>
    <w:rsid w:val="000426A4"/>
    <w:rsid w:val="000458E9"/>
    <w:rsid w:val="00046C72"/>
    <w:rsid w:val="00051C63"/>
    <w:rsid w:val="00054F10"/>
    <w:rsid w:val="0005603B"/>
    <w:rsid w:val="0007410A"/>
    <w:rsid w:val="0007453A"/>
    <w:rsid w:val="000779DB"/>
    <w:rsid w:val="00084285"/>
    <w:rsid w:val="00087E88"/>
    <w:rsid w:val="000962C0"/>
    <w:rsid w:val="000963E8"/>
    <w:rsid w:val="000B1314"/>
    <w:rsid w:val="000B3B58"/>
    <w:rsid w:val="000B56D5"/>
    <w:rsid w:val="000C258E"/>
    <w:rsid w:val="000C61FC"/>
    <w:rsid w:val="000D1E2F"/>
    <w:rsid w:val="000D3748"/>
    <w:rsid w:val="000D71A1"/>
    <w:rsid w:val="000F15BE"/>
    <w:rsid w:val="000F3496"/>
    <w:rsid w:val="000F4592"/>
    <w:rsid w:val="00102746"/>
    <w:rsid w:val="00103B3B"/>
    <w:rsid w:val="00107FED"/>
    <w:rsid w:val="00111FF5"/>
    <w:rsid w:val="00116BAB"/>
    <w:rsid w:val="00122A0E"/>
    <w:rsid w:val="00122F31"/>
    <w:rsid w:val="00124E08"/>
    <w:rsid w:val="0013155C"/>
    <w:rsid w:val="00133A65"/>
    <w:rsid w:val="001348CF"/>
    <w:rsid w:val="00135BA5"/>
    <w:rsid w:val="00137CEA"/>
    <w:rsid w:val="0014127A"/>
    <w:rsid w:val="001514BE"/>
    <w:rsid w:val="00157003"/>
    <w:rsid w:val="00163678"/>
    <w:rsid w:val="0016739D"/>
    <w:rsid w:val="00171389"/>
    <w:rsid w:val="00180A39"/>
    <w:rsid w:val="00181C8A"/>
    <w:rsid w:val="00181CCF"/>
    <w:rsid w:val="00183444"/>
    <w:rsid w:val="0019723F"/>
    <w:rsid w:val="001A10EF"/>
    <w:rsid w:val="001A2BEE"/>
    <w:rsid w:val="001B3474"/>
    <w:rsid w:val="001B3D58"/>
    <w:rsid w:val="001B6C09"/>
    <w:rsid w:val="001C54A3"/>
    <w:rsid w:val="001C715C"/>
    <w:rsid w:val="001D001E"/>
    <w:rsid w:val="001D231E"/>
    <w:rsid w:val="001D3201"/>
    <w:rsid w:val="001E7CED"/>
    <w:rsid w:val="00202A3C"/>
    <w:rsid w:val="00206DB4"/>
    <w:rsid w:val="00213390"/>
    <w:rsid w:val="00220C93"/>
    <w:rsid w:val="00222AEC"/>
    <w:rsid w:val="00226797"/>
    <w:rsid w:val="00242C7E"/>
    <w:rsid w:val="00247EF5"/>
    <w:rsid w:val="00252667"/>
    <w:rsid w:val="00252A7E"/>
    <w:rsid w:val="002542DE"/>
    <w:rsid w:val="002546E9"/>
    <w:rsid w:val="0025650D"/>
    <w:rsid w:val="00256CE4"/>
    <w:rsid w:val="002819AC"/>
    <w:rsid w:val="00281EE6"/>
    <w:rsid w:val="00284DB4"/>
    <w:rsid w:val="002852CD"/>
    <w:rsid w:val="0028601C"/>
    <w:rsid w:val="00286B8D"/>
    <w:rsid w:val="002925B6"/>
    <w:rsid w:val="00294DDB"/>
    <w:rsid w:val="002959CC"/>
    <w:rsid w:val="002A48C0"/>
    <w:rsid w:val="002A6B41"/>
    <w:rsid w:val="002A7472"/>
    <w:rsid w:val="002C1A6A"/>
    <w:rsid w:val="002C2C80"/>
    <w:rsid w:val="002C34F0"/>
    <w:rsid w:val="002C4B9C"/>
    <w:rsid w:val="002D24FD"/>
    <w:rsid w:val="002D3D0B"/>
    <w:rsid w:val="002E5182"/>
    <w:rsid w:val="002E5BB4"/>
    <w:rsid w:val="002F211E"/>
    <w:rsid w:val="002F2C60"/>
    <w:rsid w:val="002F3FAF"/>
    <w:rsid w:val="002F7D9B"/>
    <w:rsid w:val="002F7E89"/>
    <w:rsid w:val="00310F28"/>
    <w:rsid w:val="00315AFB"/>
    <w:rsid w:val="00326800"/>
    <w:rsid w:val="00326F58"/>
    <w:rsid w:val="00337AD4"/>
    <w:rsid w:val="003539FE"/>
    <w:rsid w:val="003570CB"/>
    <w:rsid w:val="003676EF"/>
    <w:rsid w:val="0037217C"/>
    <w:rsid w:val="00373395"/>
    <w:rsid w:val="00375201"/>
    <w:rsid w:val="003800F2"/>
    <w:rsid w:val="00387209"/>
    <w:rsid w:val="003924F0"/>
    <w:rsid w:val="00392CE8"/>
    <w:rsid w:val="00397616"/>
    <w:rsid w:val="003A2749"/>
    <w:rsid w:val="003A6BE7"/>
    <w:rsid w:val="003B4EC1"/>
    <w:rsid w:val="003B7591"/>
    <w:rsid w:val="003C117D"/>
    <w:rsid w:val="003C1CC6"/>
    <w:rsid w:val="003C3457"/>
    <w:rsid w:val="003C4E22"/>
    <w:rsid w:val="003C5712"/>
    <w:rsid w:val="003E151E"/>
    <w:rsid w:val="003E54BD"/>
    <w:rsid w:val="003F3BBE"/>
    <w:rsid w:val="003F722C"/>
    <w:rsid w:val="003F7612"/>
    <w:rsid w:val="003F7A10"/>
    <w:rsid w:val="004027E5"/>
    <w:rsid w:val="0040285A"/>
    <w:rsid w:val="004120BA"/>
    <w:rsid w:val="00420952"/>
    <w:rsid w:val="00420CC1"/>
    <w:rsid w:val="004228A3"/>
    <w:rsid w:val="00422D39"/>
    <w:rsid w:val="004346B0"/>
    <w:rsid w:val="0044555F"/>
    <w:rsid w:val="00453576"/>
    <w:rsid w:val="0045390D"/>
    <w:rsid w:val="004543AB"/>
    <w:rsid w:val="0045512D"/>
    <w:rsid w:val="00457631"/>
    <w:rsid w:val="00467A80"/>
    <w:rsid w:val="00470BAF"/>
    <w:rsid w:val="004762EC"/>
    <w:rsid w:val="004777A5"/>
    <w:rsid w:val="00486044"/>
    <w:rsid w:val="00492A0D"/>
    <w:rsid w:val="0049315E"/>
    <w:rsid w:val="00494C43"/>
    <w:rsid w:val="004A0E21"/>
    <w:rsid w:val="004A3C3E"/>
    <w:rsid w:val="004A61FE"/>
    <w:rsid w:val="004B18D1"/>
    <w:rsid w:val="004B21FF"/>
    <w:rsid w:val="004B374B"/>
    <w:rsid w:val="004B6265"/>
    <w:rsid w:val="004B785A"/>
    <w:rsid w:val="004C2C69"/>
    <w:rsid w:val="004C3A64"/>
    <w:rsid w:val="004C58A6"/>
    <w:rsid w:val="004D360A"/>
    <w:rsid w:val="004D702A"/>
    <w:rsid w:val="004E00FE"/>
    <w:rsid w:val="004E0799"/>
    <w:rsid w:val="004E5127"/>
    <w:rsid w:val="004F6A63"/>
    <w:rsid w:val="00501CDC"/>
    <w:rsid w:val="00510AC6"/>
    <w:rsid w:val="00512129"/>
    <w:rsid w:val="00514756"/>
    <w:rsid w:val="0053098C"/>
    <w:rsid w:val="00534C79"/>
    <w:rsid w:val="005351BF"/>
    <w:rsid w:val="005478D1"/>
    <w:rsid w:val="00554E1D"/>
    <w:rsid w:val="0055714D"/>
    <w:rsid w:val="005674B8"/>
    <w:rsid w:val="00576A8A"/>
    <w:rsid w:val="00580F0D"/>
    <w:rsid w:val="005846D0"/>
    <w:rsid w:val="0058521D"/>
    <w:rsid w:val="00591162"/>
    <w:rsid w:val="005947FB"/>
    <w:rsid w:val="005B1DE7"/>
    <w:rsid w:val="005C2A22"/>
    <w:rsid w:val="005D1B61"/>
    <w:rsid w:val="005D2363"/>
    <w:rsid w:val="005D32E6"/>
    <w:rsid w:val="005D55A2"/>
    <w:rsid w:val="005D5737"/>
    <w:rsid w:val="005D70C3"/>
    <w:rsid w:val="005E0CBE"/>
    <w:rsid w:val="00605792"/>
    <w:rsid w:val="006062E9"/>
    <w:rsid w:val="00610022"/>
    <w:rsid w:val="0062469D"/>
    <w:rsid w:val="006278A2"/>
    <w:rsid w:val="0063131C"/>
    <w:rsid w:val="0063198F"/>
    <w:rsid w:val="0063609A"/>
    <w:rsid w:val="00644E26"/>
    <w:rsid w:val="00651E57"/>
    <w:rsid w:val="00652993"/>
    <w:rsid w:val="00653AEB"/>
    <w:rsid w:val="00660459"/>
    <w:rsid w:val="006609DA"/>
    <w:rsid w:val="00660CD9"/>
    <w:rsid w:val="00666720"/>
    <w:rsid w:val="006703A0"/>
    <w:rsid w:val="00672F07"/>
    <w:rsid w:val="00674689"/>
    <w:rsid w:val="006805AE"/>
    <w:rsid w:val="00680D05"/>
    <w:rsid w:val="006818FC"/>
    <w:rsid w:val="006861B9"/>
    <w:rsid w:val="006916E3"/>
    <w:rsid w:val="006947A8"/>
    <w:rsid w:val="00697F6B"/>
    <w:rsid w:val="006B12DC"/>
    <w:rsid w:val="006B4003"/>
    <w:rsid w:val="006C06B7"/>
    <w:rsid w:val="006C0808"/>
    <w:rsid w:val="006C0CFC"/>
    <w:rsid w:val="006C321F"/>
    <w:rsid w:val="006C4479"/>
    <w:rsid w:val="006D372E"/>
    <w:rsid w:val="006D6746"/>
    <w:rsid w:val="006E0057"/>
    <w:rsid w:val="006E532E"/>
    <w:rsid w:val="006E6987"/>
    <w:rsid w:val="006F745E"/>
    <w:rsid w:val="007060EB"/>
    <w:rsid w:val="00720586"/>
    <w:rsid w:val="00721F50"/>
    <w:rsid w:val="0072447A"/>
    <w:rsid w:val="0072572A"/>
    <w:rsid w:val="007272D9"/>
    <w:rsid w:val="00733EE1"/>
    <w:rsid w:val="0073452E"/>
    <w:rsid w:val="00737E4E"/>
    <w:rsid w:val="00746D81"/>
    <w:rsid w:val="007478ED"/>
    <w:rsid w:val="00750B7B"/>
    <w:rsid w:val="0075172E"/>
    <w:rsid w:val="00763BF6"/>
    <w:rsid w:val="00763D61"/>
    <w:rsid w:val="00766443"/>
    <w:rsid w:val="0076684B"/>
    <w:rsid w:val="00772A86"/>
    <w:rsid w:val="00775AED"/>
    <w:rsid w:val="00787116"/>
    <w:rsid w:val="00793D4D"/>
    <w:rsid w:val="00795F10"/>
    <w:rsid w:val="00796669"/>
    <w:rsid w:val="0079693C"/>
    <w:rsid w:val="007A119F"/>
    <w:rsid w:val="007A2254"/>
    <w:rsid w:val="007A2641"/>
    <w:rsid w:val="007B2099"/>
    <w:rsid w:val="007B3F4B"/>
    <w:rsid w:val="007B6455"/>
    <w:rsid w:val="007B7A93"/>
    <w:rsid w:val="007C24A7"/>
    <w:rsid w:val="007C3254"/>
    <w:rsid w:val="007D45BC"/>
    <w:rsid w:val="007E3F87"/>
    <w:rsid w:val="007E554C"/>
    <w:rsid w:val="007F1033"/>
    <w:rsid w:val="007F25F4"/>
    <w:rsid w:val="007F6B1E"/>
    <w:rsid w:val="00801499"/>
    <w:rsid w:val="00805DF9"/>
    <w:rsid w:val="008136A4"/>
    <w:rsid w:val="0082000F"/>
    <w:rsid w:val="00821AC2"/>
    <w:rsid w:val="0083160C"/>
    <w:rsid w:val="00831777"/>
    <w:rsid w:val="008356D3"/>
    <w:rsid w:val="00842874"/>
    <w:rsid w:val="008429C4"/>
    <w:rsid w:val="0084618F"/>
    <w:rsid w:val="00854464"/>
    <w:rsid w:val="00857EF3"/>
    <w:rsid w:val="00860053"/>
    <w:rsid w:val="008700E4"/>
    <w:rsid w:val="008706AC"/>
    <w:rsid w:val="008714D9"/>
    <w:rsid w:val="008850E0"/>
    <w:rsid w:val="00887557"/>
    <w:rsid w:val="008875A7"/>
    <w:rsid w:val="00895D03"/>
    <w:rsid w:val="008A4006"/>
    <w:rsid w:val="008B32B0"/>
    <w:rsid w:val="008B3D60"/>
    <w:rsid w:val="008B49DC"/>
    <w:rsid w:val="008B5F7A"/>
    <w:rsid w:val="008B6B4A"/>
    <w:rsid w:val="008B71C5"/>
    <w:rsid w:val="008C2F83"/>
    <w:rsid w:val="008C37CF"/>
    <w:rsid w:val="008D0281"/>
    <w:rsid w:val="008D2D93"/>
    <w:rsid w:val="008D6D48"/>
    <w:rsid w:val="008D7B1C"/>
    <w:rsid w:val="008E239B"/>
    <w:rsid w:val="008E7C64"/>
    <w:rsid w:val="008F71C6"/>
    <w:rsid w:val="0090401A"/>
    <w:rsid w:val="00911693"/>
    <w:rsid w:val="00916866"/>
    <w:rsid w:val="0092037F"/>
    <w:rsid w:val="009273BB"/>
    <w:rsid w:val="00927ED1"/>
    <w:rsid w:val="009348D1"/>
    <w:rsid w:val="00936688"/>
    <w:rsid w:val="00937D89"/>
    <w:rsid w:val="00941E00"/>
    <w:rsid w:val="009467C1"/>
    <w:rsid w:val="00956D8C"/>
    <w:rsid w:val="00957F70"/>
    <w:rsid w:val="00957F9C"/>
    <w:rsid w:val="00961AB6"/>
    <w:rsid w:val="00962852"/>
    <w:rsid w:val="00962DFB"/>
    <w:rsid w:val="00977F7A"/>
    <w:rsid w:val="00980292"/>
    <w:rsid w:val="00980C0A"/>
    <w:rsid w:val="0098148B"/>
    <w:rsid w:val="0098349E"/>
    <w:rsid w:val="009858BF"/>
    <w:rsid w:val="00986CC3"/>
    <w:rsid w:val="00993BE0"/>
    <w:rsid w:val="00996B30"/>
    <w:rsid w:val="009978C8"/>
    <w:rsid w:val="00997C21"/>
    <w:rsid w:val="009A16F6"/>
    <w:rsid w:val="009A1782"/>
    <w:rsid w:val="009B2F58"/>
    <w:rsid w:val="009D1734"/>
    <w:rsid w:val="009D3758"/>
    <w:rsid w:val="00A03031"/>
    <w:rsid w:val="00A11D4E"/>
    <w:rsid w:val="00A12E62"/>
    <w:rsid w:val="00A152D1"/>
    <w:rsid w:val="00A177F7"/>
    <w:rsid w:val="00A2616B"/>
    <w:rsid w:val="00A40870"/>
    <w:rsid w:val="00A40958"/>
    <w:rsid w:val="00A42E00"/>
    <w:rsid w:val="00A4796F"/>
    <w:rsid w:val="00A52225"/>
    <w:rsid w:val="00A55869"/>
    <w:rsid w:val="00A55B76"/>
    <w:rsid w:val="00A6209C"/>
    <w:rsid w:val="00A710C4"/>
    <w:rsid w:val="00A71EC4"/>
    <w:rsid w:val="00A7252B"/>
    <w:rsid w:val="00A75BAA"/>
    <w:rsid w:val="00A77B36"/>
    <w:rsid w:val="00A86DA6"/>
    <w:rsid w:val="00A8717F"/>
    <w:rsid w:val="00A94CD7"/>
    <w:rsid w:val="00A964E8"/>
    <w:rsid w:val="00A97D86"/>
    <w:rsid w:val="00AA0887"/>
    <w:rsid w:val="00AA653E"/>
    <w:rsid w:val="00AA7258"/>
    <w:rsid w:val="00AC52A2"/>
    <w:rsid w:val="00AD131C"/>
    <w:rsid w:val="00AD2D90"/>
    <w:rsid w:val="00AE2DFF"/>
    <w:rsid w:val="00AF182B"/>
    <w:rsid w:val="00AF1F41"/>
    <w:rsid w:val="00AF2F8F"/>
    <w:rsid w:val="00AF5B1E"/>
    <w:rsid w:val="00AF7AC1"/>
    <w:rsid w:val="00B033DD"/>
    <w:rsid w:val="00B04D70"/>
    <w:rsid w:val="00B0506A"/>
    <w:rsid w:val="00B055AC"/>
    <w:rsid w:val="00B05755"/>
    <w:rsid w:val="00B13A05"/>
    <w:rsid w:val="00B34CCC"/>
    <w:rsid w:val="00B46612"/>
    <w:rsid w:val="00B47A4E"/>
    <w:rsid w:val="00B659E7"/>
    <w:rsid w:val="00B67C08"/>
    <w:rsid w:val="00B81586"/>
    <w:rsid w:val="00B8172E"/>
    <w:rsid w:val="00B95BF2"/>
    <w:rsid w:val="00BA1A7E"/>
    <w:rsid w:val="00BA3A7E"/>
    <w:rsid w:val="00BA433E"/>
    <w:rsid w:val="00BA6C43"/>
    <w:rsid w:val="00BB2642"/>
    <w:rsid w:val="00BB33B8"/>
    <w:rsid w:val="00BB6704"/>
    <w:rsid w:val="00BC36AC"/>
    <w:rsid w:val="00BC4888"/>
    <w:rsid w:val="00BC6DD8"/>
    <w:rsid w:val="00BD1DE8"/>
    <w:rsid w:val="00BD1F58"/>
    <w:rsid w:val="00BD4A69"/>
    <w:rsid w:val="00BD7DF0"/>
    <w:rsid w:val="00BE020E"/>
    <w:rsid w:val="00BE244A"/>
    <w:rsid w:val="00BE4B7C"/>
    <w:rsid w:val="00BE5F8D"/>
    <w:rsid w:val="00BF6F11"/>
    <w:rsid w:val="00C00480"/>
    <w:rsid w:val="00C05A8C"/>
    <w:rsid w:val="00C05FC3"/>
    <w:rsid w:val="00C100F0"/>
    <w:rsid w:val="00C13773"/>
    <w:rsid w:val="00C155AA"/>
    <w:rsid w:val="00C204CC"/>
    <w:rsid w:val="00C2161F"/>
    <w:rsid w:val="00C218DF"/>
    <w:rsid w:val="00C34423"/>
    <w:rsid w:val="00C34EA9"/>
    <w:rsid w:val="00C4592D"/>
    <w:rsid w:val="00C47A50"/>
    <w:rsid w:val="00C54653"/>
    <w:rsid w:val="00C54FAB"/>
    <w:rsid w:val="00C5654C"/>
    <w:rsid w:val="00C56B3C"/>
    <w:rsid w:val="00C6039D"/>
    <w:rsid w:val="00C63501"/>
    <w:rsid w:val="00C6594F"/>
    <w:rsid w:val="00C66403"/>
    <w:rsid w:val="00C671BF"/>
    <w:rsid w:val="00C73388"/>
    <w:rsid w:val="00C7356E"/>
    <w:rsid w:val="00C7358B"/>
    <w:rsid w:val="00C82637"/>
    <w:rsid w:val="00C93B6B"/>
    <w:rsid w:val="00C95B2F"/>
    <w:rsid w:val="00CA4881"/>
    <w:rsid w:val="00CB02FA"/>
    <w:rsid w:val="00CB13B0"/>
    <w:rsid w:val="00CB3C32"/>
    <w:rsid w:val="00CC5079"/>
    <w:rsid w:val="00CC6CAF"/>
    <w:rsid w:val="00CC6F52"/>
    <w:rsid w:val="00CC7058"/>
    <w:rsid w:val="00CD675F"/>
    <w:rsid w:val="00CF2071"/>
    <w:rsid w:val="00CF2366"/>
    <w:rsid w:val="00CF4FCF"/>
    <w:rsid w:val="00D06C76"/>
    <w:rsid w:val="00D15F00"/>
    <w:rsid w:val="00D179B4"/>
    <w:rsid w:val="00D24266"/>
    <w:rsid w:val="00D31765"/>
    <w:rsid w:val="00D320B4"/>
    <w:rsid w:val="00D3279B"/>
    <w:rsid w:val="00D41549"/>
    <w:rsid w:val="00D4543C"/>
    <w:rsid w:val="00D50F68"/>
    <w:rsid w:val="00D51AAC"/>
    <w:rsid w:val="00D555D9"/>
    <w:rsid w:val="00D5718A"/>
    <w:rsid w:val="00D6324A"/>
    <w:rsid w:val="00D64799"/>
    <w:rsid w:val="00D67BA2"/>
    <w:rsid w:val="00D67F02"/>
    <w:rsid w:val="00D723DC"/>
    <w:rsid w:val="00D750E8"/>
    <w:rsid w:val="00D758A9"/>
    <w:rsid w:val="00D765F1"/>
    <w:rsid w:val="00D77341"/>
    <w:rsid w:val="00D845DD"/>
    <w:rsid w:val="00D84F7D"/>
    <w:rsid w:val="00D8694D"/>
    <w:rsid w:val="00D8717E"/>
    <w:rsid w:val="00D904CA"/>
    <w:rsid w:val="00D91BFF"/>
    <w:rsid w:val="00D95B4C"/>
    <w:rsid w:val="00DA1FD6"/>
    <w:rsid w:val="00DA5FA3"/>
    <w:rsid w:val="00DA783F"/>
    <w:rsid w:val="00DB25A8"/>
    <w:rsid w:val="00DC4BDF"/>
    <w:rsid w:val="00DE2D31"/>
    <w:rsid w:val="00DE5F5D"/>
    <w:rsid w:val="00DE6CEB"/>
    <w:rsid w:val="00E01009"/>
    <w:rsid w:val="00E0169E"/>
    <w:rsid w:val="00E03C4D"/>
    <w:rsid w:val="00E03FE3"/>
    <w:rsid w:val="00E10360"/>
    <w:rsid w:val="00E105ED"/>
    <w:rsid w:val="00E13958"/>
    <w:rsid w:val="00E230B7"/>
    <w:rsid w:val="00E235B2"/>
    <w:rsid w:val="00E2448B"/>
    <w:rsid w:val="00E275EC"/>
    <w:rsid w:val="00E2778B"/>
    <w:rsid w:val="00E32ACF"/>
    <w:rsid w:val="00E4038F"/>
    <w:rsid w:val="00E50E98"/>
    <w:rsid w:val="00E546AC"/>
    <w:rsid w:val="00E60FF3"/>
    <w:rsid w:val="00E6113B"/>
    <w:rsid w:val="00E74ED0"/>
    <w:rsid w:val="00E82754"/>
    <w:rsid w:val="00E835A0"/>
    <w:rsid w:val="00E87E40"/>
    <w:rsid w:val="00E9383E"/>
    <w:rsid w:val="00E95C60"/>
    <w:rsid w:val="00E95EC4"/>
    <w:rsid w:val="00E95FD4"/>
    <w:rsid w:val="00E96DDD"/>
    <w:rsid w:val="00EA0C4F"/>
    <w:rsid w:val="00EA25D1"/>
    <w:rsid w:val="00EA2A5E"/>
    <w:rsid w:val="00EB2811"/>
    <w:rsid w:val="00EB56EC"/>
    <w:rsid w:val="00EB5C6A"/>
    <w:rsid w:val="00EB603D"/>
    <w:rsid w:val="00EB6A16"/>
    <w:rsid w:val="00EC1A69"/>
    <w:rsid w:val="00ED2416"/>
    <w:rsid w:val="00ED59ED"/>
    <w:rsid w:val="00EE14DB"/>
    <w:rsid w:val="00EE2F62"/>
    <w:rsid w:val="00EE603A"/>
    <w:rsid w:val="00EE7465"/>
    <w:rsid w:val="00EF16DB"/>
    <w:rsid w:val="00EF309B"/>
    <w:rsid w:val="00F047A7"/>
    <w:rsid w:val="00F05A73"/>
    <w:rsid w:val="00F100B5"/>
    <w:rsid w:val="00F16AE6"/>
    <w:rsid w:val="00F22D58"/>
    <w:rsid w:val="00F23747"/>
    <w:rsid w:val="00F239F3"/>
    <w:rsid w:val="00F23FAE"/>
    <w:rsid w:val="00F44A9C"/>
    <w:rsid w:val="00F5080F"/>
    <w:rsid w:val="00F61AB0"/>
    <w:rsid w:val="00F70151"/>
    <w:rsid w:val="00F7017A"/>
    <w:rsid w:val="00F72991"/>
    <w:rsid w:val="00F72AA2"/>
    <w:rsid w:val="00F874E4"/>
    <w:rsid w:val="00F91EC1"/>
    <w:rsid w:val="00F96877"/>
    <w:rsid w:val="00F96D87"/>
    <w:rsid w:val="00F975C6"/>
    <w:rsid w:val="00FA19F4"/>
    <w:rsid w:val="00FA42BB"/>
    <w:rsid w:val="00FB18E6"/>
    <w:rsid w:val="00FB4A0D"/>
    <w:rsid w:val="00FD6B8B"/>
    <w:rsid w:val="00FE429F"/>
    <w:rsid w:val="00FE5BBD"/>
    <w:rsid w:val="00FF0E51"/>
    <w:rsid w:val="00FF262A"/>
    <w:rsid w:val="00FF54BC"/>
    <w:rsid w:val="00FF68F5"/>
    <w:rsid w:val="0914F780"/>
    <w:rsid w:val="0E9056EC"/>
    <w:rsid w:val="1C9C0848"/>
    <w:rsid w:val="228C13AF"/>
    <w:rsid w:val="276EA79D"/>
    <w:rsid w:val="2D4A3E0D"/>
    <w:rsid w:val="3782E65C"/>
    <w:rsid w:val="3872578A"/>
    <w:rsid w:val="392D1197"/>
    <w:rsid w:val="4A1A227A"/>
    <w:rsid w:val="4C430F2E"/>
    <w:rsid w:val="4CA575C5"/>
    <w:rsid w:val="4E3DCB7A"/>
    <w:rsid w:val="524995E1"/>
    <w:rsid w:val="53E1A3D8"/>
    <w:rsid w:val="54E799EB"/>
    <w:rsid w:val="6888F330"/>
    <w:rsid w:val="68BD1E48"/>
    <w:rsid w:val="6E0D3453"/>
    <w:rsid w:val="6ED9EC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F63AD"/>
  <w15:docId w15:val="{DDBCF4AE-3618-4539-A020-820B985A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 w:line="258" w:lineRule="auto"/>
      <w:ind w:left="730" w:right="1"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71"/>
      <w:ind w:left="10" w:hanging="10"/>
      <w:outlineLvl w:val="0"/>
    </w:pPr>
    <w:rPr>
      <w:rFonts w:ascii="Calibri" w:eastAsia="Calibri" w:hAnsi="Calibri" w:cs="Calibri"/>
      <w:b/>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333333"/>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A1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0EF"/>
    <w:rPr>
      <w:rFonts w:ascii="Calibri" w:eastAsia="Calibri" w:hAnsi="Calibri" w:cs="Calibri"/>
      <w:color w:val="000000"/>
    </w:rPr>
  </w:style>
  <w:style w:type="character" w:styleId="PlaceholderText">
    <w:name w:val="Placeholder Text"/>
    <w:basedOn w:val="DefaultParagraphFont"/>
    <w:uiPriority w:val="99"/>
    <w:semiHidden/>
    <w:rsid w:val="001A10EF"/>
    <w:rPr>
      <w:color w:val="808080"/>
    </w:rPr>
  </w:style>
  <w:style w:type="paragraph" w:styleId="BalloonText">
    <w:name w:val="Balloon Text"/>
    <w:basedOn w:val="Normal"/>
    <w:link w:val="BalloonTextChar"/>
    <w:uiPriority w:val="99"/>
    <w:semiHidden/>
    <w:unhideWhenUsed/>
    <w:rsid w:val="00310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F28"/>
    <w:rPr>
      <w:rFonts w:ascii="Tahoma" w:eastAsia="Calibri" w:hAnsi="Tahoma" w:cs="Tahoma"/>
      <w:color w:val="000000"/>
      <w:sz w:val="16"/>
      <w:szCs w:val="16"/>
    </w:rPr>
  </w:style>
  <w:style w:type="character" w:styleId="Hyperlink">
    <w:name w:val="Hyperlink"/>
    <w:basedOn w:val="DefaultParagraphFont"/>
    <w:uiPriority w:val="99"/>
    <w:unhideWhenUsed/>
    <w:rsid w:val="00A86DA6"/>
    <w:rPr>
      <w:color w:val="0563C1" w:themeColor="hyperlink"/>
      <w:u w:val="single"/>
    </w:rPr>
  </w:style>
  <w:style w:type="table" w:customStyle="1" w:styleId="TableGrid10">
    <w:name w:val="Table Grid10"/>
    <w:rsid w:val="009467C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467C1"/>
    <w:pPr>
      <w:ind w:left="720"/>
      <w:contextualSpacing/>
    </w:pPr>
  </w:style>
  <w:style w:type="character" w:customStyle="1" w:styleId="eop">
    <w:name w:val="eop"/>
    <w:basedOn w:val="DefaultParagraphFont"/>
    <w:rsid w:val="009467C1"/>
  </w:style>
  <w:style w:type="character" w:styleId="CommentReference">
    <w:name w:val="annotation reference"/>
    <w:basedOn w:val="DefaultParagraphFont"/>
    <w:uiPriority w:val="99"/>
    <w:semiHidden/>
    <w:unhideWhenUsed/>
    <w:rsid w:val="00C56B3C"/>
    <w:rPr>
      <w:sz w:val="16"/>
      <w:szCs w:val="16"/>
    </w:rPr>
  </w:style>
  <w:style w:type="paragraph" w:styleId="CommentText">
    <w:name w:val="annotation text"/>
    <w:basedOn w:val="Normal"/>
    <w:link w:val="CommentTextChar"/>
    <w:uiPriority w:val="99"/>
    <w:unhideWhenUsed/>
    <w:rsid w:val="00C56B3C"/>
    <w:pPr>
      <w:spacing w:line="240" w:lineRule="auto"/>
    </w:pPr>
    <w:rPr>
      <w:sz w:val="20"/>
      <w:szCs w:val="20"/>
    </w:rPr>
  </w:style>
  <w:style w:type="character" w:customStyle="1" w:styleId="CommentTextChar">
    <w:name w:val="Comment Text Char"/>
    <w:basedOn w:val="DefaultParagraphFont"/>
    <w:link w:val="CommentText"/>
    <w:uiPriority w:val="99"/>
    <w:rsid w:val="00C56B3C"/>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56B3C"/>
    <w:rPr>
      <w:b/>
      <w:bCs/>
    </w:rPr>
  </w:style>
  <w:style w:type="character" w:customStyle="1" w:styleId="CommentSubjectChar">
    <w:name w:val="Comment Subject Char"/>
    <w:basedOn w:val="CommentTextChar"/>
    <w:link w:val="CommentSubject"/>
    <w:uiPriority w:val="99"/>
    <w:semiHidden/>
    <w:rsid w:val="00C56B3C"/>
    <w:rPr>
      <w:rFonts w:ascii="Calibri" w:eastAsia="Calibri" w:hAnsi="Calibri" w:cs="Calibri"/>
      <w:b/>
      <w:bCs/>
      <w:color w:val="000000"/>
      <w:sz w:val="20"/>
      <w:szCs w:val="20"/>
    </w:rPr>
  </w:style>
  <w:style w:type="paragraph" w:styleId="Revision">
    <w:name w:val="Revision"/>
    <w:hidden/>
    <w:uiPriority w:val="99"/>
    <w:semiHidden/>
    <w:rsid w:val="001348CF"/>
    <w:pPr>
      <w:spacing w:after="0" w:line="240" w:lineRule="auto"/>
    </w:pPr>
    <w:rPr>
      <w:rFonts w:ascii="Calibri" w:eastAsia="Calibri" w:hAnsi="Calibri" w:cs="Calibri"/>
      <w:color w:val="000000"/>
    </w:rPr>
  </w:style>
  <w:style w:type="character" w:styleId="FollowedHyperlink">
    <w:name w:val="FollowedHyperlink"/>
    <w:basedOn w:val="DefaultParagraphFont"/>
    <w:uiPriority w:val="99"/>
    <w:semiHidden/>
    <w:unhideWhenUsed/>
    <w:rsid w:val="00A6209C"/>
    <w:rPr>
      <w:color w:val="954F72" w:themeColor="followedHyperlink"/>
      <w:u w:val="single"/>
    </w:rPr>
  </w:style>
  <w:style w:type="character" w:styleId="UnresolvedMention">
    <w:name w:val="Unresolved Mention"/>
    <w:basedOn w:val="DefaultParagraphFont"/>
    <w:uiPriority w:val="99"/>
    <w:semiHidden/>
    <w:unhideWhenUsed/>
    <w:rsid w:val="000F15BE"/>
    <w:rPr>
      <w:color w:val="605E5C"/>
      <w:shd w:val="clear" w:color="auto" w:fill="E1DFDD"/>
    </w:rPr>
  </w:style>
  <w:style w:type="character" w:styleId="Mention">
    <w:name w:val="Mention"/>
    <w:basedOn w:val="DefaultParagraphFont"/>
    <w:uiPriority w:val="99"/>
    <w:unhideWhenUsed/>
    <w:rsid w:val="003C117D"/>
    <w:rPr>
      <w:color w:val="2B579A"/>
      <w:shd w:val="clear" w:color="auto" w:fill="E1DFDD"/>
    </w:rPr>
  </w:style>
  <w:style w:type="paragraph" w:styleId="Footer">
    <w:name w:val="footer"/>
    <w:basedOn w:val="Normal"/>
    <w:link w:val="FooterChar"/>
    <w:uiPriority w:val="99"/>
    <w:semiHidden/>
    <w:unhideWhenUsed/>
    <w:rsid w:val="006B400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B400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1923">
      <w:bodyDiv w:val="1"/>
      <w:marLeft w:val="0"/>
      <w:marRight w:val="0"/>
      <w:marTop w:val="0"/>
      <w:marBottom w:val="0"/>
      <w:divBdr>
        <w:top w:val="none" w:sz="0" w:space="0" w:color="auto"/>
        <w:left w:val="none" w:sz="0" w:space="0" w:color="auto"/>
        <w:bottom w:val="none" w:sz="0" w:space="0" w:color="auto"/>
        <w:right w:val="none" w:sz="0" w:space="0" w:color="auto"/>
      </w:divBdr>
      <w:divsChild>
        <w:div w:id="780343621">
          <w:marLeft w:val="0"/>
          <w:marRight w:val="0"/>
          <w:marTop w:val="0"/>
          <w:marBottom w:val="0"/>
          <w:divBdr>
            <w:top w:val="none" w:sz="0" w:space="0" w:color="auto"/>
            <w:left w:val="none" w:sz="0" w:space="0" w:color="auto"/>
            <w:bottom w:val="none" w:sz="0" w:space="0" w:color="auto"/>
            <w:right w:val="none" w:sz="0" w:space="0" w:color="auto"/>
          </w:divBdr>
          <w:divsChild>
            <w:div w:id="16216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7712">
      <w:bodyDiv w:val="1"/>
      <w:marLeft w:val="0"/>
      <w:marRight w:val="0"/>
      <w:marTop w:val="0"/>
      <w:marBottom w:val="0"/>
      <w:divBdr>
        <w:top w:val="none" w:sz="0" w:space="0" w:color="auto"/>
        <w:left w:val="none" w:sz="0" w:space="0" w:color="auto"/>
        <w:bottom w:val="none" w:sz="0" w:space="0" w:color="auto"/>
        <w:right w:val="none" w:sz="0" w:space="0" w:color="auto"/>
      </w:divBdr>
      <w:divsChild>
        <w:div w:id="778136443">
          <w:marLeft w:val="0"/>
          <w:marRight w:val="0"/>
          <w:marTop w:val="0"/>
          <w:marBottom w:val="0"/>
          <w:divBdr>
            <w:top w:val="none" w:sz="0" w:space="0" w:color="auto"/>
            <w:left w:val="none" w:sz="0" w:space="0" w:color="auto"/>
            <w:bottom w:val="none" w:sz="0" w:space="0" w:color="auto"/>
            <w:right w:val="none" w:sz="0" w:space="0" w:color="auto"/>
          </w:divBdr>
          <w:divsChild>
            <w:div w:id="174649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30964">
      <w:bodyDiv w:val="1"/>
      <w:marLeft w:val="0"/>
      <w:marRight w:val="0"/>
      <w:marTop w:val="0"/>
      <w:marBottom w:val="0"/>
      <w:divBdr>
        <w:top w:val="none" w:sz="0" w:space="0" w:color="auto"/>
        <w:left w:val="none" w:sz="0" w:space="0" w:color="auto"/>
        <w:bottom w:val="none" w:sz="0" w:space="0" w:color="auto"/>
        <w:right w:val="none" w:sz="0" w:space="0" w:color="auto"/>
      </w:divBdr>
      <w:divsChild>
        <w:div w:id="1000504886">
          <w:marLeft w:val="0"/>
          <w:marRight w:val="0"/>
          <w:marTop w:val="0"/>
          <w:marBottom w:val="0"/>
          <w:divBdr>
            <w:top w:val="none" w:sz="0" w:space="0" w:color="auto"/>
            <w:left w:val="none" w:sz="0" w:space="0" w:color="auto"/>
            <w:bottom w:val="none" w:sz="0" w:space="0" w:color="auto"/>
            <w:right w:val="none" w:sz="0" w:space="0" w:color="auto"/>
          </w:divBdr>
          <w:divsChild>
            <w:div w:id="161902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86343">
      <w:bodyDiv w:val="1"/>
      <w:marLeft w:val="0"/>
      <w:marRight w:val="0"/>
      <w:marTop w:val="0"/>
      <w:marBottom w:val="0"/>
      <w:divBdr>
        <w:top w:val="none" w:sz="0" w:space="0" w:color="auto"/>
        <w:left w:val="none" w:sz="0" w:space="0" w:color="auto"/>
        <w:bottom w:val="none" w:sz="0" w:space="0" w:color="auto"/>
        <w:right w:val="none" w:sz="0" w:space="0" w:color="auto"/>
      </w:divBdr>
      <w:divsChild>
        <w:div w:id="1692685101">
          <w:marLeft w:val="0"/>
          <w:marRight w:val="0"/>
          <w:marTop w:val="0"/>
          <w:marBottom w:val="0"/>
          <w:divBdr>
            <w:top w:val="none" w:sz="0" w:space="0" w:color="auto"/>
            <w:left w:val="none" w:sz="0" w:space="0" w:color="auto"/>
            <w:bottom w:val="none" w:sz="0" w:space="0" w:color="auto"/>
            <w:right w:val="none" w:sz="0" w:space="0" w:color="auto"/>
          </w:divBdr>
          <w:divsChild>
            <w:div w:id="19246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75106">
      <w:bodyDiv w:val="1"/>
      <w:marLeft w:val="0"/>
      <w:marRight w:val="0"/>
      <w:marTop w:val="0"/>
      <w:marBottom w:val="0"/>
      <w:divBdr>
        <w:top w:val="none" w:sz="0" w:space="0" w:color="auto"/>
        <w:left w:val="none" w:sz="0" w:space="0" w:color="auto"/>
        <w:bottom w:val="none" w:sz="0" w:space="0" w:color="auto"/>
        <w:right w:val="none" w:sz="0" w:space="0" w:color="auto"/>
      </w:divBdr>
    </w:div>
    <w:div w:id="1878347100">
      <w:bodyDiv w:val="1"/>
      <w:marLeft w:val="0"/>
      <w:marRight w:val="0"/>
      <w:marTop w:val="0"/>
      <w:marBottom w:val="0"/>
      <w:divBdr>
        <w:top w:val="none" w:sz="0" w:space="0" w:color="auto"/>
        <w:left w:val="none" w:sz="0" w:space="0" w:color="auto"/>
        <w:bottom w:val="none" w:sz="0" w:space="0" w:color="auto"/>
        <w:right w:val="none" w:sz="0" w:space="0" w:color="auto"/>
      </w:divBdr>
      <w:divsChild>
        <w:div w:id="479033615">
          <w:marLeft w:val="0"/>
          <w:marRight w:val="0"/>
          <w:marTop w:val="0"/>
          <w:marBottom w:val="0"/>
          <w:divBdr>
            <w:top w:val="none" w:sz="0" w:space="0" w:color="auto"/>
            <w:left w:val="none" w:sz="0" w:space="0" w:color="auto"/>
            <w:bottom w:val="none" w:sz="0" w:space="0" w:color="auto"/>
            <w:right w:val="none" w:sz="0" w:space="0" w:color="auto"/>
          </w:divBdr>
          <w:divsChild>
            <w:div w:id="10367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3762">
      <w:bodyDiv w:val="1"/>
      <w:marLeft w:val="0"/>
      <w:marRight w:val="0"/>
      <w:marTop w:val="0"/>
      <w:marBottom w:val="0"/>
      <w:divBdr>
        <w:top w:val="none" w:sz="0" w:space="0" w:color="auto"/>
        <w:left w:val="none" w:sz="0" w:space="0" w:color="auto"/>
        <w:bottom w:val="none" w:sz="0" w:space="0" w:color="auto"/>
        <w:right w:val="none" w:sz="0" w:space="0" w:color="auto"/>
      </w:divBdr>
      <w:divsChild>
        <w:div w:id="149636337">
          <w:marLeft w:val="0"/>
          <w:marRight w:val="0"/>
          <w:marTop w:val="0"/>
          <w:marBottom w:val="0"/>
          <w:divBdr>
            <w:top w:val="none" w:sz="0" w:space="0" w:color="auto"/>
            <w:left w:val="none" w:sz="0" w:space="0" w:color="auto"/>
            <w:bottom w:val="none" w:sz="0" w:space="0" w:color="auto"/>
            <w:right w:val="none" w:sz="0" w:space="0" w:color="auto"/>
          </w:divBdr>
          <w:divsChild>
            <w:div w:id="6244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taxonomy/term/111" TargetMode="External"/><Relationship Id="rId18" Type="http://schemas.openxmlformats.org/officeDocument/2006/relationships/hyperlink" Target="https://intranet.undp.org/global/popp/frm/Pages/expense-management.aspx" TargetMode="External"/><Relationship Id="rId26" Type="http://schemas.openxmlformats.org/officeDocument/2006/relationships/hyperlink" Target="https://popp.undp.org/taxonomy/term/96" TargetMode="External"/><Relationship Id="rId21" Type="http://schemas.openxmlformats.org/officeDocument/2006/relationships/hyperlink" Target="https://popp.undp.org/policy-page/harmonized-approach-cash-transfers-hact"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cfra.kl@undp.org" TargetMode="External"/><Relationship Id="rId17" Type="http://schemas.openxmlformats.org/officeDocument/2006/relationships/hyperlink" Target="https://popp.undp.org/taxonomy/term/111" TargetMode="External"/><Relationship Id="rId25" Type="http://schemas.openxmlformats.org/officeDocument/2006/relationships/hyperlink" Target="mailto:cfra.kl@undp.org"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popp.undp.org/node/10666" TargetMode="External"/><Relationship Id="rId20" Type="http://schemas.openxmlformats.org/officeDocument/2006/relationships/hyperlink" Target="https://intranet.undp.org/unit/bom/ofrm/SitePages/Internal_Control_Framework.asp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pp.undp.org/document/undp-itemized-cost-estimate-ice-template" TargetMode="External"/><Relationship Id="rId24" Type="http://schemas.openxmlformats.org/officeDocument/2006/relationships/hyperlink" Target="https://popp.undp.org/policy-page/anti-fraud-policy" TargetMode="External"/><Relationship Id="rId32" Type="http://schemas.openxmlformats.org/officeDocument/2006/relationships/header" Target="header3.xml"/><Relationship Id="rId37" Type="http://schemas.microsoft.com/office/2019/05/relationships/documenttasks" Target="documenttasks/documenttasks1.xml"/><Relationship Id="rId5" Type="http://schemas.openxmlformats.org/officeDocument/2006/relationships/styles" Target="styles.xml"/><Relationship Id="rId15" Type="http://schemas.openxmlformats.org/officeDocument/2006/relationships/hyperlink" Target="https://popp.undp.org/node/10361" TargetMode="External"/><Relationship Id="rId23" Type="http://schemas.openxmlformats.org/officeDocument/2006/relationships/hyperlink" Target="https://popp.undp.org/policy-page/anti-fraud-policy"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s://popp.undp.org/node/1491" TargetMode="External"/><Relationship Id="rId19" Type="http://schemas.openxmlformats.org/officeDocument/2006/relationships/hyperlink" Target="https://popp.undp.org/node/266"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pp.undp.org/node/11376" TargetMode="External"/><Relationship Id="rId22" Type="http://schemas.openxmlformats.org/officeDocument/2006/relationships/hyperlink" Target="https://popp.undp.org/policy-page/harmonized-approach-cash-transfers-hact" TargetMode="External"/><Relationship Id="rId27" Type="http://schemas.openxmlformats.org/officeDocument/2006/relationships/hyperlink" Target="https://intranet.undp.org/global/popp/frm/pages/national-implementation-nim-Finances.aspx" TargetMode="External"/><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footnotes" Target="footnot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2E2E268-C1C3-4D63-9053-9566B08E89DA}">
    <t:Anchor>
      <t:Comment id="685232455"/>
    </t:Anchor>
    <t:History>
      <t:Event id="{9DCD76ED-9430-45E1-BD6E-C8A4955BDD83}" time="2023-10-19T02:38:23.002Z">
        <t:Attribution userId="S::catherine.muli@undp.org::8aaa7601-5e0f-419d-a73c-ae36bb752a22" userProvider="AD" userName="Catherine Muli"/>
        <t:Anchor>
          <t:Comment id="1717755288"/>
        </t:Anchor>
        <t:Create/>
      </t:Event>
      <t:Event id="{8931460B-2902-4B13-8EF3-52B3C94DE4FC}" time="2023-10-19T02:38:23.002Z">
        <t:Attribution userId="S::catherine.muli@undp.org::8aaa7601-5e0f-419d-a73c-ae36bb752a22" userProvider="AD" userName="Catherine Muli"/>
        <t:Anchor>
          <t:Comment id="1717755288"/>
        </t:Anchor>
        <t:Assign userId="S::mohammed.fahim.aziz.omar@undp.org::fae3aec5-a350-466d-ad90-5e50339a1f9e" userProvider="AD" userName="Mohammed Fahim Aziz Omar"/>
      </t:Event>
      <t:Event id="{CF60E8CF-F777-4167-8228-549E17889593}" time="2023-10-19T02:38:23.002Z">
        <t:Attribution userId="S::catherine.muli@undp.org::8aaa7601-5e0f-419d-a73c-ae36bb752a22" userProvider="AD" userName="Catherine Muli"/>
        <t:Anchor>
          <t:Comment id="1717755288"/>
        </t:Anchor>
        <t:SetTitle title="Align with related reference to expenditure in para 2 above. @Mohammed Fahim Aziz Omar please advise if and when to change terminology from Expenditure to Expenses."/>
      </t:Event>
      <t:Event id="{A1D24203-D967-4514-8A6B-F4C5517EB57F}" time="2023-11-10T07:06:51.204Z">
        <t:Attribution userId="S::catherine.muli@undp.org::8aaa7601-5e0f-419d-a73c-ae36bb752a22" userProvider="AD" userName="Catherine Muli"/>
        <t:Progress percentComplete="100"/>
      </t:Event>
    </t:History>
  </t:Task>
  <t:Task id="{2C7FD659-B224-485C-B36A-9003F9ABCA6C}">
    <t:Anchor>
      <t:Comment id="166187603"/>
    </t:Anchor>
    <t:History>
      <t:Event id="{E1A4CC80-4F28-4996-8FE1-185B0446CE5E}" time="2023-11-16T03:12:41.583Z">
        <t:Attribution userId="S::catherine.muli@undp.org::8aaa7601-5e0f-419d-a73c-ae36bb752a22" userProvider="AD" userName="Catherine Muli"/>
        <t:Anchor>
          <t:Comment id="1041801164"/>
        </t:Anchor>
        <t:Create/>
      </t:Event>
      <t:Event id="{28835E4C-AB6D-4495-B5F1-A1BD7D6659DE}" time="2023-11-16T03:12:41.583Z">
        <t:Attribution userId="S::catherine.muli@undp.org::8aaa7601-5e0f-419d-a73c-ae36bb752a22" userProvider="AD" userName="Catherine Muli"/>
        <t:Anchor>
          <t:Comment id="1041801164"/>
        </t:Anchor>
        <t:Assign userId="S::moses.opondo@undp.org::58eb70ba-81b3-4d4f-8324-79be89131cbc" userProvider="AD" userName="Moses Opondo"/>
      </t:Event>
      <t:Event id="{B5C4C26D-9C32-48EB-B24D-3B7057EAD55A}" time="2023-11-16T03:12:41.583Z">
        <t:Attribution userId="S::catherine.muli@undp.org::8aaa7601-5e0f-419d-a73c-ae36bb752a22" userProvider="AD" userName="Catherine Muli"/>
        <t:Anchor>
          <t:Comment id="1041801164"/>
        </t:Anchor>
        <t:SetTitle title="@Moses Opondo please provide response as requested."/>
      </t:Event>
      <t:Event id="{6AE787ED-BF22-43E0-B06A-B0E5B2BF4E19}" time="2023-11-17T02:36:00.262Z">
        <t:Attribution userId="S::catherine.muli@undp.org::8aaa7601-5e0f-419d-a73c-ae36bb752a22" userProvider="AD" userName="Catherine Muli"/>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7D11345869416A96284C995E5C9618"/>
        <w:category>
          <w:name w:val="General"/>
          <w:gallery w:val="placeholder"/>
        </w:category>
        <w:types>
          <w:type w:val="bbPlcHdr"/>
        </w:types>
        <w:behaviors>
          <w:behavior w:val="content"/>
        </w:behaviors>
        <w:guid w:val="{37A962C6-0188-45FD-AFE7-22C3960D78F8}"/>
      </w:docPartPr>
      <w:docPartBody>
        <w:p w:rsidR="00D62F13" w:rsidRDefault="00467A80">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24F"/>
    <w:rsid w:val="0004016D"/>
    <w:rsid w:val="00053736"/>
    <w:rsid w:val="000C0DE0"/>
    <w:rsid w:val="00143FDD"/>
    <w:rsid w:val="001869EE"/>
    <w:rsid w:val="00252D93"/>
    <w:rsid w:val="002F50F0"/>
    <w:rsid w:val="003601BF"/>
    <w:rsid w:val="003E01B6"/>
    <w:rsid w:val="00467A80"/>
    <w:rsid w:val="00497716"/>
    <w:rsid w:val="004B35AA"/>
    <w:rsid w:val="005441DD"/>
    <w:rsid w:val="00565F6E"/>
    <w:rsid w:val="0066031C"/>
    <w:rsid w:val="0066544B"/>
    <w:rsid w:val="007301DA"/>
    <w:rsid w:val="00787BA8"/>
    <w:rsid w:val="00844EC4"/>
    <w:rsid w:val="00846C28"/>
    <w:rsid w:val="008A4B14"/>
    <w:rsid w:val="00901D30"/>
    <w:rsid w:val="0097724F"/>
    <w:rsid w:val="009E522E"/>
    <w:rsid w:val="00A06B01"/>
    <w:rsid w:val="00A15B06"/>
    <w:rsid w:val="00A643E0"/>
    <w:rsid w:val="00B17615"/>
    <w:rsid w:val="00B3400F"/>
    <w:rsid w:val="00BA3E41"/>
    <w:rsid w:val="00CB4696"/>
    <w:rsid w:val="00D031D1"/>
    <w:rsid w:val="00D10A05"/>
    <w:rsid w:val="00D20EA7"/>
    <w:rsid w:val="00D37E8A"/>
    <w:rsid w:val="00D62F13"/>
    <w:rsid w:val="00E469C6"/>
    <w:rsid w:val="00EF4B34"/>
    <w:rsid w:val="00F62069"/>
    <w:rsid w:val="00F729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F7B39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7A8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79d3b8-ba67-4841-9486-9f5d86938b32" xsi:nil="true"/>
    <lcf76f155ced4ddcb4097134ff3c332f xmlns="35356d1e-337a-4d8c-b0f3-7f433ffffc0d">
      <Terms xmlns="http://schemas.microsoft.com/office/infopath/2007/PartnerControls"/>
    </lcf76f155ced4ddcb4097134ff3c332f>
    <SharedWithUsers xmlns="a179d3b8-ba67-4841-9486-9f5d86938b32">
      <UserInfo>
        <DisplayName>Moses Opondo</DisplayName>
        <AccountId>2072</AccountId>
        <AccountType/>
      </UserInfo>
      <UserInfo>
        <DisplayName>Amat O. Kebbeh</DisplayName>
        <AccountId>2948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278D25BD4F084582B6E80CA0DE9F54" ma:contentTypeVersion="16" ma:contentTypeDescription="Create a new document." ma:contentTypeScope="" ma:versionID="4378f59738da75d72826c7d7febd65d9">
  <xsd:schema xmlns:xsd="http://www.w3.org/2001/XMLSchema" xmlns:xs="http://www.w3.org/2001/XMLSchema" xmlns:p="http://schemas.microsoft.com/office/2006/metadata/properties" xmlns:ns2="35356d1e-337a-4d8c-b0f3-7f433ffffc0d" xmlns:ns3="a179d3b8-ba67-4841-9486-9f5d86938b32" targetNamespace="http://schemas.microsoft.com/office/2006/metadata/properties" ma:root="true" ma:fieldsID="4525562361191808182f1c395f57bf78" ns2:_="" ns3:_="">
    <xsd:import namespace="35356d1e-337a-4d8c-b0f3-7f433ffffc0d"/>
    <xsd:import namespace="a179d3b8-ba67-4841-9486-9f5d86938b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56d1e-337a-4d8c-b0f3-7f433ffff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79d3b8-ba67-4841-9486-9f5d86938b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33cbf61-1935-4efc-8654-42fa78db611d}" ma:internalName="TaxCatchAll" ma:showField="CatchAllData" ma:web="a179d3b8-ba67-4841-9486-9f5d86938b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C1D89E-5157-42EE-9147-0A99415A7DDD}">
  <ds:schemaRefs>
    <ds:schemaRef ds:uri="http://schemas.microsoft.com/office/2006/metadata/properties"/>
    <ds:schemaRef ds:uri="http://schemas.microsoft.com/office/infopath/2007/PartnerControls"/>
    <ds:schemaRef ds:uri="a179d3b8-ba67-4841-9486-9f5d86938b32"/>
    <ds:schemaRef ds:uri="35356d1e-337a-4d8c-b0f3-7f433ffffc0d"/>
  </ds:schemaRefs>
</ds:datastoreItem>
</file>

<file path=customXml/itemProps2.xml><?xml version="1.0" encoding="utf-8"?>
<ds:datastoreItem xmlns:ds="http://schemas.openxmlformats.org/officeDocument/2006/customXml" ds:itemID="{7C7A24E0-0BB4-48B7-A233-B04BC332F495}">
  <ds:schemaRefs>
    <ds:schemaRef ds:uri="http://schemas.microsoft.com/sharepoint/v3/contenttype/forms"/>
  </ds:schemaRefs>
</ds:datastoreItem>
</file>

<file path=customXml/itemProps3.xml><?xml version="1.0" encoding="utf-8"?>
<ds:datastoreItem xmlns:ds="http://schemas.openxmlformats.org/officeDocument/2006/customXml" ds:itemID="{F086962F-92FF-4AB5-8B53-FF79794C7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56d1e-337a-4d8c-b0f3-7f433ffffc0d"/>
    <ds:schemaRef ds:uri="a179d3b8-ba67-4841-9486-9f5d86938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2794</Words>
  <Characters>15931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cp:lastModifiedBy>Pablo Morete</cp:lastModifiedBy>
  <cp:revision>5</cp:revision>
  <dcterms:created xsi:type="dcterms:W3CDTF">2024-02-21T12:05:00Z</dcterms:created>
  <dcterms:modified xsi:type="dcterms:W3CDTF">2024-06-03T08:29:00Z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0x01010057278D25BD4F084582B6E80CA0DE9F54</vt:lpwstr>
  </property>
  <property fmtid="{D5CDD505-2E9C-101B-9397-08002B2CF9AE}" pid="3" name="_dlc_DocIdItemGuid">
    <vt:lpwstr>070506db-c14b-48e0-924b-41f447a31314</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MediaServiceImageTags">
    <vt:lpwstr/>
  </property>
  <property fmtid="{D5CDD505-2E9C-101B-9397-08002B2CF9AE}" pid="7" name="UNDP_POPP_BUSINESSPROCESS_HIDDEN">
    <vt:lpwstr/>
  </property>
  <property fmtid="{D5CDD505-2E9C-101B-9397-08002B2CF9AE}" pid="8" name="l0e6ef0c43e74560bd7f3acd1f5e8571">
    <vt:lpwstr>Financial Resources Management|682d4c54-a288-412d-bfec-ce5587bbd25c</vt:lpwstr>
  </property>
  <property fmtid="{D5CDD505-2E9C-101B-9397-08002B2CF9AE}" pid="9" name="DLCPolicyLabelValue">
    <vt:lpwstr>Effective Date: {Effective Date}                                                Version #: {POPPRefItemVersion}</vt:lpwstr>
  </property>
</Properties>
</file>