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C8F5EB" w14:textId="4254F435" w:rsidR="0024272D" w:rsidRPr="00EB0A32" w:rsidRDefault="0024272D" w:rsidP="2005F705">
      <w:pPr>
        <w:shd w:val="clear" w:color="auto" w:fill="FFFFFF" w:themeFill="background1"/>
        <w:spacing w:line="240" w:lineRule="auto"/>
        <w:textAlignment w:val="top"/>
        <w:rPr>
          <w:rFonts w:eastAsia="Times New Roman" w:cs="Arial"/>
          <w:b/>
          <w:bCs/>
          <w:sz w:val="28"/>
          <w:szCs w:val="28"/>
        </w:rPr>
      </w:pPr>
      <w:r w:rsidRPr="00EB0A32">
        <w:rPr>
          <w:b/>
          <w:bCs/>
          <w:sz w:val="28"/>
          <w:szCs w:val="28"/>
        </w:rPr>
        <w:t xml:space="preserve">Valoración de las contribuciones de los gobiernos para sufragar los gastos locales de las oficinas (GLOC, </w:t>
      </w:r>
      <w:proofErr w:type="spellStart"/>
      <w:r w:rsidRPr="00EB0A32">
        <w:rPr>
          <w:b/>
          <w:bCs/>
          <w:i/>
          <w:iCs/>
          <w:sz w:val="28"/>
          <w:szCs w:val="28"/>
        </w:rPr>
        <w:t>Government</w:t>
      </w:r>
      <w:proofErr w:type="spellEnd"/>
      <w:r w:rsidRPr="00EB0A32">
        <w:rPr>
          <w:b/>
          <w:bCs/>
          <w:i/>
          <w:iCs/>
          <w:sz w:val="28"/>
          <w:szCs w:val="28"/>
        </w:rPr>
        <w:t xml:space="preserve"> Local Office </w:t>
      </w:r>
      <w:proofErr w:type="spellStart"/>
      <w:r w:rsidRPr="00EB0A32">
        <w:rPr>
          <w:b/>
          <w:bCs/>
          <w:i/>
          <w:iCs/>
          <w:sz w:val="28"/>
          <w:szCs w:val="28"/>
        </w:rPr>
        <w:t>Costs</w:t>
      </w:r>
      <w:proofErr w:type="spellEnd"/>
      <w:r w:rsidRPr="00EB0A32">
        <w:rPr>
          <w:b/>
          <w:bCs/>
          <w:sz w:val="28"/>
          <w:szCs w:val="28"/>
        </w:rPr>
        <w:t xml:space="preserve">, por sus siglas en inglés) de la contribución en especie del Gobierno del país receptor </w:t>
      </w:r>
    </w:p>
    <w:p w14:paraId="5F8F17E7" w14:textId="77777777" w:rsidR="0024272D" w:rsidRPr="00EB0A32" w:rsidRDefault="0024272D" w:rsidP="0024272D">
      <w:pPr>
        <w:shd w:val="clear" w:color="auto" w:fill="FFFFFF"/>
        <w:spacing w:after="0" w:line="240" w:lineRule="auto"/>
        <w:textAlignment w:val="top"/>
        <w:rPr>
          <w:rFonts w:eastAsia="Times New Roman" w:cs="Arial"/>
        </w:rPr>
      </w:pPr>
      <w:bookmarkStart w:id="0" w:name="RelevantPolicies"/>
      <w:bookmarkEnd w:id="0"/>
    </w:p>
    <w:p w14:paraId="0F94E977" w14:textId="77777777" w:rsidR="0024272D" w:rsidRPr="00EB0A32" w:rsidRDefault="0024272D" w:rsidP="0024272D">
      <w:pPr>
        <w:shd w:val="clear" w:color="auto" w:fill="FFFFFF"/>
        <w:spacing w:after="0" w:line="240" w:lineRule="auto"/>
        <w:jc w:val="both"/>
        <w:textAlignment w:val="top"/>
        <w:rPr>
          <w:rFonts w:eastAsia="Times New Roman" w:cs="Arial"/>
        </w:rPr>
      </w:pPr>
      <w:r w:rsidRPr="00EB0A32">
        <w:rPr>
          <w:b/>
          <w:bCs/>
        </w:rPr>
        <w:t>Acuerdo básico modelo de asistencia</w:t>
      </w:r>
    </w:p>
    <w:p w14:paraId="5ECD26F6" w14:textId="77777777" w:rsidR="0024272D" w:rsidRPr="00EB0A32" w:rsidRDefault="0024272D" w:rsidP="0024272D">
      <w:pPr>
        <w:shd w:val="clear" w:color="auto" w:fill="FFFFFF"/>
        <w:spacing w:after="0" w:line="240" w:lineRule="auto"/>
        <w:jc w:val="both"/>
        <w:textAlignment w:val="top"/>
        <w:rPr>
          <w:rFonts w:eastAsia="Times New Roman" w:cs="Arial"/>
          <w:lang w:val="en-GB"/>
        </w:rPr>
      </w:pPr>
    </w:p>
    <w:p w14:paraId="7F5C9610" w14:textId="77777777" w:rsidR="0024272D" w:rsidRPr="00EB0A32" w:rsidRDefault="0024272D" w:rsidP="00725FC7">
      <w:pPr>
        <w:pStyle w:val="ListParagraph"/>
        <w:numPr>
          <w:ilvl w:val="0"/>
          <w:numId w:val="1"/>
        </w:numPr>
        <w:shd w:val="clear" w:color="auto" w:fill="FFFFFF"/>
        <w:spacing w:after="0" w:line="240" w:lineRule="auto"/>
        <w:jc w:val="both"/>
        <w:textAlignment w:val="top"/>
        <w:rPr>
          <w:rFonts w:eastAsia="Times New Roman" w:cs="Arial"/>
        </w:rPr>
      </w:pPr>
      <w:r w:rsidRPr="00EB0A32">
        <w:t xml:space="preserve">De conformidad con las disposiciones del Acuerdo Básico Modelo de Asistencia (SBAA, </w:t>
      </w:r>
      <w:r w:rsidRPr="00EB0A32">
        <w:rPr>
          <w:i/>
        </w:rPr>
        <w:t xml:space="preserve">Standard Basic </w:t>
      </w:r>
      <w:proofErr w:type="spellStart"/>
      <w:r w:rsidRPr="00EB0A32">
        <w:rPr>
          <w:i/>
        </w:rPr>
        <w:t>Assistance</w:t>
      </w:r>
      <w:proofErr w:type="spellEnd"/>
      <w:r w:rsidRPr="00EB0A32">
        <w:rPr>
          <w:i/>
        </w:rPr>
        <w:t xml:space="preserve"> </w:t>
      </w:r>
      <w:proofErr w:type="spellStart"/>
      <w:r w:rsidRPr="00EB0A32">
        <w:rPr>
          <w:i/>
        </w:rPr>
        <w:t>Agreement</w:t>
      </w:r>
      <w:proofErr w:type="spellEnd"/>
      <w:r w:rsidRPr="00EB0A32">
        <w:t>, por sus siglas en inglés) que rigen las operaciones del PNUD en los países en los cuales se ejecutan programas, se espera que los Gobiernos del país receptor contribuyan a sufragar el costo local de las oficinas de país del PNUD, de conformidad con el Artículo VI, Párrafos 4 y 5:</w:t>
      </w:r>
    </w:p>
    <w:p w14:paraId="1DF5D6D4" w14:textId="77777777" w:rsidR="0024272D" w:rsidRPr="00EB0A32" w:rsidRDefault="0024272D" w:rsidP="0024272D">
      <w:pPr>
        <w:shd w:val="clear" w:color="auto" w:fill="FFFFFF"/>
        <w:spacing w:after="0" w:line="240" w:lineRule="auto"/>
        <w:jc w:val="both"/>
        <w:textAlignment w:val="top"/>
        <w:rPr>
          <w:rFonts w:eastAsia="Times New Roman" w:cs="Arial"/>
          <w:lang w:val="es-AR"/>
        </w:rPr>
      </w:pPr>
    </w:p>
    <w:p w14:paraId="7B3F55F5" w14:textId="77777777" w:rsidR="0024272D" w:rsidRPr="00EB0A32" w:rsidRDefault="0024272D" w:rsidP="00725FC7">
      <w:pPr>
        <w:shd w:val="clear" w:color="auto" w:fill="FFFFFF"/>
        <w:spacing w:after="120" w:line="240" w:lineRule="auto"/>
        <w:ind w:left="720"/>
        <w:jc w:val="both"/>
        <w:textAlignment w:val="top"/>
        <w:rPr>
          <w:rFonts w:eastAsia="Times New Roman" w:cs="Arial"/>
        </w:rPr>
      </w:pPr>
      <w:r w:rsidRPr="00EB0A32">
        <w:rPr>
          <w:i/>
          <w:iCs/>
        </w:rPr>
        <w:t>«4. El Gobierno también deberá contribuir a sufragar los gastos de mantenimiento de la misión del Programa de las Naciones Unidas para el Desarrollo (PNUD) en el país pagando anualmente al PNUD una suma fija acordada mutuamente entre las partes para ayudar a cubrir los siguientes gastos:</w:t>
      </w:r>
    </w:p>
    <w:p w14:paraId="47D19B21" w14:textId="77777777" w:rsidR="0024272D" w:rsidRPr="00EB0A32" w:rsidRDefault="00A63D78" w:rsidP="00725FC7">
      <w:pPr>
        <w:pStyle w:val="ListParagraph"/>
        <w:numPr>
          <w:ilvl w:val="0"/>
          <w:numId w:val="2"/>
        </w:numPr>
        <w:shd w:val="clear" w:color="auto" w:fill="FFFFFF"/>
        <w:spacing w:line="276" w:lineRule="auto"/>
        <w:jc w:val="both"/>
        <w:textAlignment w:val="top"/>
        <w:rPr>
          <w:rFonts w:eastAsia="Times New Roman" w:cs="Arial"/>
        </w:rPr>
      </w:pPr>
      <w:r w:rsidRPr="00EB0A32">
        <w:rPr>
          <w:i/>
          <w:iCs/>
        </w:rPr>
        <w:t>U</w:t>
      </w:r>
      <w:r w:rsidR="0024272D" w:rsidRPr="00EB0A32">
        <w:rPr>
          <w:i/>
          <w:iCs/>
        </w:rPr>
        <w:t>na oficina apropiada con equipo y suministros, adecuada para servir como sede local del PNUD en el país;</w:t>
      </w:r>
    </w:p>
    <w:p w14:paraId="4F391608" w14:textId="77777777" w:rsidR="0024272D" w:rsidRPr="00EB0A32" w:rsidRDefault="00A63D78" w:rsidP="00725FC7">
      <w:pPr>
        <w:pStyle w:val="ListParagraph"/>
        <w:numPr>
          <w:ilvl w:val="0"/>
          <w:numId w:val="2"/>
        </w:numPr>
        <w:shd w:val="clear" w:color="auto" w:fill="FFFFFF"/>
        <w:spacing w:line="276" w:lineRule="auto"/>
        <w:jc w:val="both"/>
        <w:textAlignment w:val="top"/>
        <w:rPr>
          <w:rFonts w:eastAsia="Times New Roman" w:cs="Arial"/>
        </w:rPr>
      </w:pPr>
      <w:r w:rsidRPr="00EB0A32">
        <w:rPr>
          <w:i/>
          <w:iCs/>
        </w:rPr>
        <w:t>A</w:t>
      </w:r>
      <w:r w:rsidR="0024272D" w:rsidRPr="00EB0A32">
        <w:rPr>
          <w:i/>
          <w:iCs/>
        </w:rPr>
        <w:t>sistencia administrativa y de secretaría apropiada, intérpretes, traductores y asistencia relacionada;</w:t>
      </w:r>
    </w:p>
    <w:p w14:paraId="5C0F10F7" w14:textId="77777777" w:rsidR="0024272D" w:rsidRPr="00EB0A32" w:rsidRDefault="00A63D78" w:rsidP="00725FC7">
      <w:pPr>
        <w:pStyle w:val="ListParagraph"/>
        <w:numPr>
          <w:ilvl w:val="0"/>
          <w:numId w:val="2"/>
        </w:numPr>
        <w:shd w:val="clear" w:color="auto" w:fill="FFFFFF"/>
        <w:spacing w:line="276" w:lineRule="auto"/>
        <w:jc w:val="both"/>
        <w:textAlignment w:val="top"/>
        <w:rPr>
          <w:rFonts w:eastAsia="Times New Roman" w:cs="Arial"/>
        </w:rPr>
      </w:pPr>
      <w:r w:rsidRPr="00EB0A32">
        <w:rPr>
          <w:i/>
          <w:iCs/>
        </w:rPr>
        <w:t>T</w:t>
      </w:r>
      <w:r w:rsidR="0024272D" w:rsidRPr="00EB0A32">
        <w:rPr>
          <w:i/>
          <w:iCs/>
        </w:rPr>
        <w:t>ransporte del representante residente y su personal para fines oficiales dentro del país;</w:t>
      </w:r>
    </w:p>
    <w:p w14:paraId="490AA853" w14:textId="77777777" w:rsidR="0024272D" w:rsidRPr="00EB0A32" w:rsidRDefault="00A63D78" w:rsidP="00725FC7">
      <w:pPr>
        <w:pStyle w:val="ListParagraph"/>
        <w:numPr>
          <w:ilvl w:val="0"/>
          <w:numId w:val="2"/>
        </w:numPr>
        <w:shd w:val="clear" w:color="auto" w:fill="FFFFFF"/>
        <w:spacing w:line="276" w:lineRule="auto"/>
        <w:jc w:val="both"/>
        <w:textAlignment w:val="top"/>
        <w:rPr>
          <w:rFonts w:eastAsia="Times New Roman" w:cs="Arial"/>
        </w:rPr>
      </w:pPr>
      <w:r w:rsidRPr="00EB0A32">
        <w:rPr>
          <w:i/>
          <w:iCs/>
        </w:rPr>
        <w:t>E</w:t>
      </w:r>
      <w:r w:rsidR="0024272D" w:rsidRPr="00EB0A32">
        <w:rPr>
          <w:i/>
          <w:iCs/>
        </w:rPr>
        <w:t>nvío postal y telecomunicaciones con fines oficiales y</w:t>
      </w:r>
    </w:p>
    <w:p w14:paraId="38E854C4" w14:textId="77777777" w:rsidR="0024272D" w:rsidRPr="00EB0A32" w:rsidRDefault="00A63D78" w:rsidP="00725FC7">
      <w:pPr>
        <w:pStyle w:val="ListParagraph"/>
        <w:numPr>
          <w:ilvl w:val="0"/>
          <w:numId w:val="2"/>
        </w:numPr>
        <w:shd w:val="clear" w:color="auto" w:fill="FFFFFF"/>
        <w:spacing w:line="276" w:lineRule="auto"/>
        <w:jc w:val="both"/>
        <w:textAlignment w:val="top"/>
        <w:rPr>
          <w:rFonts w:eastAsia="Times New Roman" w:cs="Arial"/>
        </w:rPr>
      </w:pPr>
      <w:r w:rsidRPr="00EB0A32">
        <w:rPr>
          <w:i/>
          <w:iCs/>
        </w:rPr>
        <w:t>D</w:t>
      </w:r>
      <w:r w:rsidR="0024272D" w:rsidRPr="00EB0A32">
        <w:rPr>
          <w:i/>
          <w:iCs/>
        </w:rPr>
        <w:t>ietas para el representante residente y su personal mientras se encuentren en viajes oficiales dentro del país.</w:t>
      </w:r>
    </w:p>
    <w:p w14:paraId="4408AA29" w14:textId="77777777" w:rsidR="0024272D" w:rsidRPr="00EB0A32" w:rsidRDefault="00CB5F53" w:rsidP="00725FC7">
      <w:pPr>
        <w:shd w:val="clear" w:color="auto" w:fill="FFFFFF"/>
        <w:spacing w:after="120" w:line="240" w:lineRule="auto"/>
        <w:ind w:left="720"/>
        <w:jc w:val="both"/>
        <w:textAlignment w:val="top"/>
        <w:rPr>
          <w:rFonts w:eastAsia="Times New Roman" w:cs="Arial"/>
        </w:rPr>
      </w:pPr>
      <w:r w:rsidRPr="00EB0A32">
        <w:rPr>
          <w:i/>
          <w:iCs/>
        </w:rPr>
        <w:t xml:space="preserve">«5. El Gobierno tendrá la opción de proporcionar </w:t>
      </w:r>
      <w:r w:rsidRPr="00EB0A32">
        <w:rPr>
          <w:b/>
          <w:bCs/>
          <w:i/>
          <w:iCs/>
        </w:rPr>
        <w:t>en especie</w:t>
      </w:r>
      <w:r w:rsidRPr="00EB0A32">
        <w:rPr>
          <w:i/>
          <w:iCs/>
        </w:rPr>
        <w:t xml:space="preserve"> los recursos mencionadas en el párrafo 4 anterior, con excepción de los puntos (b) y (e)».</w:t>
      </w:r>
    </w:p>
    <w:p w14:paraId="1B74C143" w14:textId="77777777" w:rsidR="0024272D" w:rsidRPr="00EB0A32" w:rsidRDefault="0024272D" w:rsidP="0024272D">
      <w:pPr>
        <w:shd w:val="clear" w:color="auto" w:fill="FFFFFF"/>
        <w:spacing w:after="0" w:line="240" w:lineRule="auto"/>
        <w:textAlignment w:val="top"/>
        <w:rPr>
          <w:rFonts w:eastAsia="Times New Roman" w:cs="Arial"/>
          <w:lang w:val="es-AR"/>
        </w:rPr>
      </w:pPr>
    </w:p>
    <w:p w14:paraId="6926DD10" w14:textId="77777777" w:rsidR="0024272D" w:rsidRPr="00715F31" w:rsidRDefault="0024272D" w:rsidP="000C276D">
      <w:pPr>
        <w:pStyle w:val="ListParagraph"/>
        <w:numPr>
          <w:ilvl w:val="0"/>
          <w:numId w:val="1"/>
        </w:numPr>
        <w:shd w:val="clear" w:color="auto" w:fill="FFFFFF"/>
        <w:spacing w:after="0" w:line="240" w:lineRule="auto"/>
        <w:jc w:val="both"/>
        <w:textAlignment w:val="top"/>
        <w:rPr>
          <w:rFonts w:eastAsia="Times New Roman" w:cs="Arial"/>
          <w:color w:val="333333"/>
        </w:rPr>
      </w:pPr>
      <w:r w:rsidRPr="00EB0A32">
        <w:t xml:space="preserve">Cuando no exista un SBAA (es decir, cuando el Fondo Especial o los Acuerdos de Asistencia Técnica todavía estén en uso), se debe implementar un anexo estándar (Disposiciones suplementarias) al documento del proyecto </w:t>
      </w:r>
      <w:r>
        <w:rPr>
          <w:color w:val="333333"/>
        </w:rPr>
        <w:t>(</w:t>
      </w:r>
      <w:hyperlink r:id="rId12" w:history="1">
        <w:r>
          <w:rPr>
            <w:rStyle w:val="Hyperlink"/>
          </w:rPr>
          <w:t>Anexo Estándar al Documento del Proyecto</w:t>
        </w:r>
      </w:hyperlink>
      <w:r>
        <w:rPr>
          <w:color w:val="333333"/>
        </w:rPr>
        <w:t>).</w:t>
      </w:r>
    </w:p>
    <w:p w14:paraId="12FB91B9" w14:textId="77777777" w:rsidR="0024272D" w:rsidRPr="00715F31" w:rsidRDefault="0024272D" w:rsidP="0024272D">
      <w:pPr>
        <w:shd w:val="clear" w:color="auto" w:fill="FFFFFF"/>
        <w:spacing w:after="0" w:line="240" w:lineRule="auto"/>
        <w:textAlignment w:val="top"/>
        <w:rPr>
          <w:rFonts w:eastAsia="Times New Roman" w:cs="Arial"/>
          <w:color w:val="333333"/>
        </w:rPr>
      </w:pPr>
      <w:r>
        <w:rPr>
          <w:b/>
          <w:bCs/>
          <w:color w:val="333333"/>
        </w:rPr>
        <w:t> </w:t>
      </w:r>
    </w:p>
    <w:p w14:paraId="581210B1" w14:textId="77777777" w:rsidR="0024272D" w:rsidRPr="00D46FBB" w:rsidRDefault="0024272D" w:rsidP="0024272D">
      <w:pPr>
        <w:shd w:val="clear" w:color="auto" w:fill="FFFFFF"/>
        <w:spacing w:after="0" w:line="240" w:lineRule="auto"/>
        <w:jc w:val="both"/>
        <w:textAlignment w:val="top"/>
        <w:rPr>
          <w:rFonts w:eastAsia="Times New Roman" w:cs="Arial"/>
        </w:rPr>
      </w:pPr>
      <w:r w:rsidRPr="00D46FBB">
        <w:rPr>
          <w:b/>
          <w:bCs/>
        </w:rPr>
        <w:t>Normas Internacionales de Contabilidad del Sector Público</w:t>
      </w:r>
    </w:p>
    <w:p w14:paraId="48172FC4" w14:textId="77777777" w:rsidR="0024272D" w:rsidRPr="00D46FBB" w:rsidRDefault="0024272D" w:rsidP="0024272D">
      <w:pPr>
        <w:shd w:val="clear" w:color="auto" w:fill="FFFFFF"/>
        <w:spacing w:after="0" w:line="240" w:lineRule="auto"/>
        <w:jc w:val="both"/>
        <w:textAlignment w:val="top"/>
        <w:rPr>
          <w:rFonts w:eastAsia="Times New Roman" w:cs="Arial"/>
        </w:rPr>
      </w:pPr>
      <w:r w:rsidRPr="00D46FBB">
        <w:t> </w:t>
      </w:r>
    </w:p>
    <w:p w14:paraId="3C904766" w14:textId="77777777" w:rsidR="0024272D" w:rsidRPr="00D46FBB" w:rsidRDefault="0024272D" w:rsidP="00FC7053">
      <w:pPr>
        <w:pStyle w:val="ListParagraph"/>
        <w:numPr>
          <w:ilvl w:val="0"/>
          <w:numId w:val="1"/>
        </w:numPr>
        <w:shd w:val="clear" w:color="auto" w:fill="FFFFFF"/>
        <w:spacing w:after="0" w:line="240" w:lineRule="auto"/>
        <w:jc w:val="both"/>
        <w:textAlignment w:val="top"/>
        <w:rPr>
          <w:rFonts w:eastAsia="Times New Roman" w:cs="Arial"/>
        </w:rPr>
      </w:pPr>
      <w:r w:rsidRPr="00D46FBB">
        <w:t xml:space="preserve">Las Normas Internacionales de Contabilidad del Sector Público (IPSAS, </w:t>
      </w:r>
      <w:r w:rsidRPr="00D46FBB">
        <w:rPr>
          <w:i/>
        </w:rPr>
        <w:t xml:space="preserve">International </w:t>
      </w:r>
      <w:proofErr w:type="spellStart"/>
      <w:r w:rsidRPr="00D46FBB">
        <w:rPr>
          <w:i/>
        </w:rPr>
        <w:t>Public</w:t>
      </w:r>
      <w:proofErr w:type="spellEnd"/>
      <w:r w:rsidRPr="00D46FBB">
        <w:rPr>
          <w:i/>
        </w:rPr>
        <w:t xml:space="preserve"> Sector </w:t>
      </w:r>
      <w:proofErr w:type="spellStart"/>
      <w:r w:rsidRPr="00D46FBB">
        <w:rPr>
          <w:i/>
        </w:rPr>
        <w:t>Accounting</w:t>
      </w:r>
      <w:proofErr w:type="spellEnd"/>
      <w:r w:rsidRPr="00D46FBB">
        <w:rPr>
          <w:i/>
        </w:rPr>
        <w:t xml:space="preserve"> </w:t>
      </w:r>
      <w:proofErr w:type="spellStart"/>
      <w:r w:rsidRPr="00D46FBB">
        <w:rPr>
          <w:i/>
        </w:rPr>
        <w:t>Standards</w:t>
      </w:r>
      <w:proofErr w:type="spellEnd"/>
      <w:r w:rsidRPr="00D46FBB">
        <w:t>, por sus siglas en inglés) (IPSAS 23, Ingresos de Transacciones sin Contraprestación) requieren que el PNUD registre las contribuciones en especie en sus estados financieros anuales.  Para ser considerados contribuciones en especie, los costos deben ser pagados directamente por los Gobiernos del país receptor, sin que el PNUD entregue efectivo. Los activos transferidos se valoran con su valor razonable a la fecha de adquisición. Cuando el PNUD actúa como agente por cuenta de los organismos de las Naciones Unidas participantes, valora y registra el monto de su participación de los elementos donados.</w:t>
      </w:r>
    </w:p>
    <w:p w14:paraId="060FDBB1" w14:textId="77777777" w:rsidR="0024272D" w:rsidRPr="00D46FBB" w:rsidRDefault="0024272D" w:rsidP="0024272D">
      <w:pPr>
        <w:shd w:val="clear" w:color="auto" w:fill="FFFFFF"/>
        <w:spacing w:after="0" w:line="240" w:lineRule="auto"/>
        <w:textAlignment w:val="top"/>
        <w:rPr>
          <w:rFonts w:eastAsia="Times New Roman" w:cs="Arial"/>
        </w:rPr>
      </w:pPr>
      <w:r w:rsidRPr="00D46FBB">
        <w:t> </w:t>
      </w:r>
    </w:p>
    <w:p w14:paraId="296BBB4B" w14:textId="77777777" w:rsidR="0024272D" w:rsidRPr="00D46FBB" w:rsidRDefault="0024272D" w:rsidP="00FC7053">
      <w:pPr>
        <w:pStyle w:val="ListParagraph"/>
        <w:numPr>
          <w:ilvl w:val="0"/>
          <w:numId w:val="1"/>
        </w:numPr>
        <w:shd w:val="clear" w:color="auto" w:fill="FFFFFF"/>
        <w:spacing w:after="0" w:line="240" w:lineRule="auto"/>
        <w:jc w:val="both"/>
        <w:textAlignment w:val="top"/>
        <w:rPr>
          <w:rFonts w:eastAsia="Times New Roman" w:cs="Arial"/>
        </w:rPr>
      </w:pPr>
      <w:r w:rsidRPr="00D46FBB">
        <w:lastRenderedPageBreak/>
        <w:t>Las contribuciones en especie del Gobierno se realizan principalmente en forma de derecho donado de uso (sin cargos para el PNUD) de instalaciones, terrenos, edificios, zonas de estacionamiento, para los cuales el título o la propiedad de las instalaciones sigue perteneciendo al Gobierno. Estas contribuciones son registradas por el PNUD como gastos e ingresos correspondientes.</w:t>
      </w:r>
    </w:p>
    <w:p w14:paraId="24FCE33F" w14:textId="77777777" w:rsidR="0024272D" w:rsidRPr="00D46FBB" w:rsidRDefault="0024272D" w:rsidP="0024272D">
      <w:pPr>
        <w:shd w:val="clear" w:color="auto" w:fill="FFFFFF"/>
        <w:spacing w:after="0" w:line="240" w:lineRule="auto"/>
        <w:jc w:val="both"/>
        <w:textAlignment w:val="top"/>
        <w:rPr>
          <w:rFonts w:eastAsia="Times New Roman" w:cs="Arial"/>
        </w:rPr>
      </w:pPr>
      <w:r w:rsidRPr="00D46FBB">
        <w:t> </w:t>
      </w:r>
    </w:p>
    <w:p w14:paraId="14A6A7CE" w14:textId="77777777" w:rsidR="0024272D" w:rsidRPr="00D46FBB" w:rsidRDefault="0024272D" w:rsidP="000F3518">
      <w:pPr>
        <w:pStyle w:val="ListParagraph"/>
        <w:numPr>
          <w:ilvl w:val="0"/>
          <w:numId w:val="1"/>
        </w:numPr>
        <w:shd w:val="clear" w:color="auto" w:fill="FFFFFF"/>
        <w:spacing w:after="0" w:line="240" w:lineRule="auto"/>
        <w:jc w:val="both"/>
        <w:textAlignment w:val="top"/>
        <w:rPr>
          <w:rFonts w:eastAsia="Times New Roman" w:cs="Arial"/>
        </w:rPr>
      </w:pPr>
      <w:r w:rsidRPr="00D46FBB">
        <w:t xml:space="preserve">Cuando exista una transferencia de título o propiedad (lo cual ocurre pocas veces), las IPSAS requieren que el PNUD valore y registre los elementos donados como activos e ingresos correspondientes. Una depreciación anual del edificio y el equipo se contabilizará para el cálculo anual de las GLOC. Para más detalles, consultar la sección </w:t>
      </w:r>
      <w:hyperlink r:id="rId13" w:history="1">
        <w:r>
          <w:rPr>
            <w:rStyle w:val="Hyperlink"/>
          </w:rPr>
          <w:t>Planta y propiedades: adquisición y mantenimiento</w:t>
        </w:r>
      </w:hyperlink>
      <w:r>
        <w:t xml:space="preserve"> </w:t>
      </w:r>
      <w:r w:rsidRPr="00D46FBB">
        <w:t>de las POPP.</w:t>
      </w:r>
    </w:p>
    <w:p w14:paraId="58803AFD" w14:textId="77777777" w:rsidR="0024272D" w:rsidRPr="00D46FBB" w:rsidRDefault="0024272D" w:rsidP="0024272D">
      <w:pPr>
        <w:shd w:val="clear" w:color="auto" w:fill="FFFFFF"/>
        <w:spacing w:after="0" w:line="240" w:lineRule="auto"/>
        <w:jc w:val="both"/>
        <w:textAlignment w:val="top"/>
        <w:rPr>
          <w:rFonts w:eastAsia="Times New Roman" w:cs="Arial"/>
        </w:rPr>
      </w:pPr>
      <w:r w:rsidRPr="00D46FBB">
        <w:t> </w:t>
      </w:r>
    </w:p>
    <w:p w14:paraId="4A63DBBE" w14:textId="77777777" w:rsidR="0024272D" w:rsidRPr="00D46FBB" w:rsidRDefault="0024272D" w:rsidP="00FC7053">
      <w:pPr>
        <w:pStyle w:val="ListParagraph"/>
        <w:numPr>
          <w:ilvl w:val="0"/>
          <w:numId w:val="1"/>
        </w:numPr>
        <w:shd w:val="clear" w:color="auto" w:fill="FFFFFF"/>
        <w:spacing w:after="0" w:line="240" w:lineRule="auto"/>
        <w:jc w:val="both"/>
        <w:textAlignment w:val="top"/>
        <w:rPr>
          <w:rFonts w:eastAsia="Times New Roman" w:cs="Arial"/>
        </w:rPr>
      </w:pPr>
      <w:r w:rsidRPr="00D46FBB">
        <w:t xml:space="preserve">Las IPSAS 16 (Propiedades de inversión) y las IPSAS 17 (Propiedad, planta y equipo) especifican las políticas que debe seguir el PNUD para determinar el valor razonable para las contribuciones en especie. En particular, los párrafos 42 a 64 de las IPSAS 16 detallan el Modelo de valor razonable.  El valor razonable se define como el importe por el que puede ser intercambiado un activo entre partes conocedoras e interesadas, en una transacción entre partes independientes, excluyendo específicamente la inflación o deflación de precios a través de términos o circunstancias especiales. Estas políticas se reflejan en los procedimientos de valoración descritos a continuación. </w:t>
      </w:r>
    </w:p>
    <w:p w14:paraId="73F1EE13" w14:textId="77777777" w:rsidR="0024272D" w:rsidRPr="00D46FBB" w:rsidRDefault="0024272D" w:rsidP="0024272D">
      <w:pPr>
        <w:shd w:val="clear" w:color="auto" w:fill="FFFFFF"/>
        <w:spacing w:after="0" w:line="240" w:lineRule="auto"/>
        <w:textAlignment w:val="top"/>
        <w:rPr>
          <w:rFonts w:eastAsia="Times New Roman" w:cs="Arial"/>
        </w:rPr>
      </w:pPr>
      <w:r w:rsidRPr="00D46FBB">
        <w:rPr>
          <w:b/>
          <w:bCs/>
        </w:rPr>
        <w:t> </w:t>
      </w:r>
    </w:p>
    <w:p w14:paraId="234737E1" w14:textId="77777777" w:rsidR="0024272D" w:rsidRPr="00D46FBB" w:rsidRDefault="0024272D" w:rsidP="0024272D">
      <w:pPr>
        <w:shd w:val="clear" w:color="auto" w:fill="FFFFFF"/>
        <w:spacing w:after="0" w:line="240" w:lineRule="auto"/>
        <w:jc w:val="both"/>
        <w:textAlignment w:val="top"/>
        <w:rPr>
          <w:rFonts w:eastAsia="Times New Roman" w:cs="Arial"/>
        </w:rPr>
      </w:pPr>
      <w:r w:rsidRPr="00D46FBB">
        <w:rPr>
          <w:b/>
          <w:bCs/>
        </w:rPr>
        <w:t xml:space="preserve">Valoración de la contribución en especie de las GLOC </w:t>
      </w:r>
    </w:p>
    <w:p w14:paraId="7E3778A5" w14:textId="77777777" w:rsidR="0024272D" w:rsidRPr="00715F31" w:rsidRDefault="0024272D" w:rsidP="0024272D">
      <w:pPr>
        <w:shd w:val="clear" w:color="auto" w:fill="FFFFFF"/>
        <w:spacing w:after="0" w:line="240" w:lineRule="auto"/>
        <w:jc w:val="both"/>
        <w:textAlignment w:val="top"/>
        <w:rPr>
          <w:rFonts w:eastAsia="Times New Roman" w:cs="Arial"/>
          <w:color w:val="333333"/>
        </w:rPr>
      </w:pPr>
      <w:r>
        <w:rPr>
          <w:color w:val="333333"/>
        </w:rPr>
        <w:t> </w:t>
      </w:r>
    </w:p>
    <w:p w14:paraId="311C3DD7" w14:textId="77777777" w:rsidR="0024272D" w:rsidRPr="00D46FBB" w:rsidRDefault="0024272D" w:rsidP="00AB6B42">
      <w:pPr>
        <w:pStyle w:val="ListParagraph"/>
        <w:numPr>
          <w:ilvl w:val="0"/>
          <w:numId w:val="1"/>
        </w:numPr>
        <w:shd w:val="clear" w:color="auto" w:fill="FFFFFF"/>
        <w:spacing w:after="0" w:line="240" w:lineRule="auto"/>
        <w:jc w:val="both"/>
        <w:textAlignment w:val="top"/>
        <w:rPr>
          <w:rFonts w:eastAsia="Times New Roman" w:cs="Arial"/>
        </w:rPr>
      </w:pPr>
      <w:r w:rsidRPr="00D46FBB">
        <w:t>El valor de las contribuciones en especie se calcula para los siguientes fines:</w:t>
      </w:r>
    </w:p>
    <w:p w14:paraId="237D2A2A" w14:textId="77777777" w:rsidR="0024272D" w:rsidRPr="00D46FBB" w:rsidRDefault="0024272D" w:rsidP="0024272D">
      <w:pPr>
        <w:shd w:val="clear" w:color="auto" w:fill="FFFFFF"/>
        <w:spacing w:after="0" w:line="240" w:lineRule="auto"/>
        <w:jc w:val="both"/>
        <w:textAlignment w:val="top"/>
        <w:rPr>
          <w:rFonts w:eastAsia="Times New Roman" w:cs="Arial"/>
        </w:rPr>
      </w:pPr>
      <w:r w:rsidRPr="00D46FBB">
        <w:t> </w:t>
      </w:r>
    </w:p>
    <w:p w14:paraId="13C7448F" w14:textId="77777777" w:rsidR="0024272D" w:rsidRPr="00D46FBB" w:rsidRDefault="00A63D78" w:rsidP="00AB6B42">
      <w:pPr>
        <w:pStyle w:val="ListParagraph"/>
        <w:numPr>
          <w:ilvl w:val="0"/>
          <w:numId w:val="4"/>
        </w:numPr>
        <w:shd w:val="clear" w:color="auto" w:fill="FFFFFF"/>
        <w:spacing w:after="0" w:line="240" w:lineRule="auto"/>
        <w:jc w:val="both"/>
        <w:textAlignment w:val="top"/>
        <w:rPr>
          <w:rFonts w:eastAsia="Times New Roman" w:cs="Arial"/>
        </w:rPr>
      </w:pPr>
      <w:r w:rsidRPr="00D46FBB">
        <w:t>L</w:t>
      </w:r>
      <w:r w:rsidR="0024272D" w:rsidRPr="00D46FBB">
        <w:t>as contribuciones en especie del Gobierno forman parte del costo total de la oficina local y se incluyen en el cálculo del objetivo total de las GLOC; y</w:t>
      </w:r>
    </w:p>
    <w:p w14:paraId="5E9DD75F" w14:textId="77777777" w:rsidR="0024272D" w:rsidRPr="00D46FBB" w:rsidRDefault="00A63D78" w:rsidP="00AB6B42">
      <w:pPr>
        <w:pStyle w:val="ListParagraph"/>
        <w:numPr>
          <w:ilvl w:val="0"/>
          <w:numId w:val="4"/>
        </w:numPr>
        <w:shd w:val="clear" w:color="auto" w:fill="FFFFFF"/>
        <w:spacing w:after="0" w:line="240" w:lineRule="auto"/>
        <w:jc w:val="both"/>
        <w:textAlignment w:val="top"/>
        <w:rPr>
          <w:rFonts w:eastAsia="Times New Roman" w:cs="Arial"/>
        </w:rPr>
      </w:pPr>
      <w:r w:rsidRPr="00D46FBB">
        <w:t>E</w:t>
      </w:r>
      <w:r w:rsidR="0024272D" w:rsidRPr="00D46FBB">
        <w:t>l PNUD debe reconocer el valor de las contribuciones en especie dentro de sus estados financieros.</w:t>
      </w:r>
    </w:p>
    <w:p w14:paraId="685C44E8" w14:textId="77777777" w:rsidR="0024272D" w:rsidRPr="00D46FBB" w:rsidRDefault="0024272D" w:rsidP="0024272D">
      <w:pPr>
        <w:shd w:val="clear" w:color="auto" w:fill="FFFFFF"/>
        <w:spacing w:after="0" w:line="240" w:lineRule="auto"/>
        <w:jc w:val="both"/>
        <w:textAlignment w:val="top"/>
        <w:rPr>
          <w:rFonts w:eastAsia="Times New Roman" w:cs="Arial"/>
        </w:rPr>
      </w:pPr>
      <w:r w:rsidRPr="00D46FBB">
        <w:t> </w:t>
      </w:r>
    </w:p>
    <w:p w14:paraId="36CC599D" w14:textId="39044F46" w:rsidR="0024272D" w:rsidRPr="00D46FBB" w:rsidRDefault="0024272D" w:rsidP="2005F705">
      <w:pPr>
        <w:pStyle w:val="ListParagraph"/>
        <w:numPr>
          <w:ilvl w:val="0"/>
          <w:numId w:val="1"/>
        </w:numPr>
        <w:shd w:val="clear" w:color="auto" w:fill="FFFFFF" w:themeFill="background1"/>
        <w:spacing w:after="0" w:line="240" w:lineRule="auto"/>
        <w:jc w:val="both"/>
        <w:textAlignment w:val="top"/>
        <w:rPr>
          <w:rFonts w:eastAsia="Times New Roman" w:cs="Arial"/>
        </w:rPr>
      </w:pPr>
      <w:r w:rsidRPr="00D46FBB">
        <w:t>A fin de calcular l</w:t>
      </w:r>
      <w:r w:rsidR="024F8474" w:rsidRPr="00D46FBB">
        <w:t>a</w:t>
      </w:r>
      <w:r w:rsidRPr="00D46FBB">
        <w:t xml:space="preserve">s </w:t>
      </w:r>
      <w:r w:rsidR="653DEEDD" w:rsidRPr="00D46FBB">
        <w:t>metas</w:t>
      </w:r>
      <w:r w:rsidRPr="00D46FBB">
        <w:t xml:space="preserve"> de las GLOC, el valor del derecho donado para usar los activos proporcionados por el Gobierno del país receptor (por ejemplo, alquiler de oficinas, servicios, comunicaciones, suministros y viajes, etc.) se considera como otras contribuciones. </w:t>
      </w:r>
    </w:p>
    <w:p w14:paraId="5896B400" w14:textId="77777777" w:rsidR="0024272D" w:rsidRPr="00D46FBB" w:rsidRDefault="0024272D" w:rsidP="0024272D">
      <w:pPr>
        <w:shd w:val="clear" w:color="auto" w:fill="FFFFFF"/>
        <w:spacing w:after="0" w:line="240" w:lineRule="auto"/>
        <w:jc w:val="both"/>
        <w:textAlignment w:val="top"/>
        <w:rPr>
          <w:rFonts w:eastAsia="Times New Roman" w:cs="Arial"/>
        </w:rPr>
      </w:pPr>
      <w:r w:rsidRPr="00D46FBB">
        <w:t> </w:t>
      </w:r>
    </w:p>
    <w:p w14:paraId="28844748" w14:textId="77777777" w:rsidR="0024272D" w:rsidRPr="00D46FBB" w:rsidRDefault="0024272D" w:rsidP="00AB6B42">
      <w:pPr>
        <w:pStyle w:val="ListParagraph"/>
        <w:numPr>
          <w:ilvl w:val="0"/>
          <w:numId w:val="1"/>
        </w:numPr>
        <w:shd w:val="clear" w:color="auto" w:fill="FFFFFF"/>
        <w:spacing w:after="0" w:line="240" w:lineRule="auto"/>
        <w:jc w:val="both"/>
        <w:textAlignment w:val="top"/>
        <w:rPr>
          <w:rFonts w:eastAsia="Times New Roman" w:cs="Arial"/>
        </w:rPr>
      </w:pPr>
      <w:r w:rsidRPr="00D46FBB">
        <w:t xml:space="preserve">El PNUD solo reconocerá las contribuciones en especie al PNUD, por lo tanto, si se comparten instalaciones con otros organismos de las Naciones Unidas, el porcentaje de participación del PNUD en las instalaciones debe calcularse utilizando una metodología confiable de asignación de costos (por ejemplo, superficie/metros cuadrados de las áreas ocupadas por el PNUD). </w:t>
      </w:r>
    </w:p>
    <w:p w14:paraId="75AF627B" w14:textId="77777777" w:rsidR="00A63D78" w:rsidRDefault="00A63D78" w:rsidP="0024272D">
      <w:pPr>
        <w:shd w:val="clear" w:color="auto" w:fill="FFFFFF"/>
        <w:spacing w:after="0" w:line="240" w:lineRule="auto"/>
        <w:textAlignment w:val="top"/>
        <w:rPr>
          <w:rFonts w:eastAsia="Times New Roman" w:cs="Arial"/>
          <w:color w:val="333333"/>
          <w:lang w:val="es-AR"/>
        </w:rPr>
      </w:pPr>
      <w:r>
        <w:rPr>
          <w:rFonts w:eastAsia="Times New Roman" w:cs="Arial"/>
          <w:color w:val="333333"/>
          <w:lang w:val="es-AR"/>
        </w:rPr>
        <w:br w:type="page"/>
      </w:r>
    </w:p>
    <w:p w14:paraId="6461F3E7" w14:textId="77777777" w:rsidR="0024272D" w:rsidRPr="002151FE" w:rsidRDefault="00A63D78" w:rsidP="0024272D">
      <w:pPr>
        <w:shd w:val="clear" w:color="auto" w:fill="FFFFFF"/>
        <w:spacing w:after="0" w:line="240" w:lineRule="auto"/>
        <w:textAlignment w:val="top"/>
        <w:rPr>
          <w:rFonts w:eastAsia="Times New Roman" w:cs="Arial"/>
          <w:vanish/>
        </w:rPr>
      </w:pPr>
      <w:bookmarkStart w:id="1" w:name="Procedures"/>
      <w:bookmarkEnd w:id="1"/>
      <w:r w:rsidRPr="002151FE">
        <w:rPr>
          <w:vanish/>
          <w:lang w:val="es-AR"/>
        </w:rPr>
        <w:lastRenderedPageBreak/>
        <w:t>Elemento de la estructura - Descripción</w:t>
      </w:r>
    </w:p>
    <w:p w14:paraId="1CD6E26D" w14:textId="77777777" w:rsidR="0024272D" w:rsidRPr="002151FE" w:rsidRDefault="0024272D" w:rsidP="00AB6B42">
      <w:pPr>
        <w:pStyle w:val="ListParagraph"/>
        <w:numPr>
          <w:ilvl w:val="0"/>
          <w:numId w:val="1"/>
        </w:numPr>
        <w:shd w:val="clear" w:color="auto" w:fill="FFFFFF"/>
        <w:spacing w:after="0" w:line="240" w:lineRule="auto"/>
        <w:jc w:val="both"/>
        <w:textAlignment w:val="top"/>
        <w:rPr>
          <w:rFonts w:eastAsia="Times New Roman" w:cs="Arial"/>
        </w:rPr>
      </w:pPr>
      <w:r w:rsidRPr="002151FE">
        <w:t>En preparación para el ejercicio anual de certificación de cierre de ejercicio, la oficina de país debe determinar su enfoque para evaluar el valor razonable de las contribuciones en especie y evaluar si es necesario contar con una valoración independiente de la propiedad para las instalaciones de oficina provistas por el Gobierno. Por lo general, la valoración independiente puede requerirse en las siguientes circunstancias:</w:t>
      </w:r>
    </w:p>
    <w:p w14:paraId="7AB92C96" w14:textId="77777777" w:rsidR="0024272D" w:rsidRPr="002151FE" w:rsidRDefault="00A63D78" w:rsidP="00AB6B42">
      <w:pPr>
        <w:pStyle w:val="ListParagraph"/>
        <w:numPr>
          <w:ilvl w:val="0"/>
          <w:numId w:val="6"/>
        </w:numPr>
        <w:shd w:val="clear" w:color="auto" w:fill="FFFFFF"/>
        <w:spacing w:after="0" w:line="270" w:lineRule="atLeast"/>
        <w:jc w:val="both"/>
        <w:textAlignment w:val="top"/>
        <w:rPr>
          <w:rFonts w:eastAsia="Times New Roman" w:cs="Arial"/>
        </w:rPr>
      </w:pPr>
      <w:r w:rsidRPr="002151FE">
        <w:t>C</w:t>
      </w:r>
      <w:r w:rsidR="0024272D" w:rsidRPr="002151FE">
        <w:t xml:space="preserve">uando exista una diferencia significativa entre un valor de renta anual determinado por el Gobierno o el PNUD con respecto al valor de mercado promedio registrado por las oficinas en los países; </w:t>
      </w:r>
    </w:p>
    <w:p w14:paraId="2CF07127" w14:textId="77777777" w:rsidR="0024272D" w:rsidRPr="002151FE" w:rsidRDefault="00A63D78" w:rsidP="00AB6B42">
      <w:pPr>
        <w:pStyle w:val="ListParagraph"/>
        <w:numPr>
          <w:ilvl w:val="0"/>
          <w:numId w:val="6"/>
        </w:numPr>
        <w:shd w:val="clear" w:color="auto" w:fill="FFFFFF"/>
        <w:spacing w:after="0" w:line="270" w:lineRule="atLeast"/>
        <w:jc w:val="both"/>
        <w:textAlignment w:val="top"/>
        <w:rPr>
          <w:rFonts w:eastAsia="Times New Roman" w:cs="Arial"/>
        </w:rPr>
      </w:pPr>
      <w:r w:rsidRPr="002151FE">
        <w:t>C</w:t>
      </w:r>
      <w:r w:rsidR="0024272D" w:rsidRPr="002151FE">
        <w:t>uando las pruebas obtenidas en el mercado sugieran que el valor normal del mercado para el alquiler anual ha aumentado o disminuido sustancialmente respecto a la valoración previa;</w:t>
      </w:r>
    </w:p>
    <w:p w14:paraId="1F31A5FC" w14:textId="77777777" w:rsidR="0024272D" w:rsidRPr="002151FE" w:rsidRDefault="00A63D78" w:rsidP="00AB6B42">
      <w:pPr>
        <w:pStyle w:val="ListParagraph"/>
        <w:numPr>
          <w:ilvl w:val="0"/>
          <w:numId w:val="6"/>
        </w:numPr>
        <w:shd w:val="clear" w:color="auto" w:fill="FFFFFF"/>
        <w:spacing w:after="0" w:line="270" w:lineRule="atLeast"/>
        <w:jc w:val="both"/>
        <w:textAlignment w:val="top"/>
        <w:rPr>
          <w:rFonts w:eastAsia="Times New Roman" w:cs="Arial"/>
        </w:rPr>
      </w:pPr>
      <w:r w:rsidRPr="002151FE">
        <w:t>C</w:t>
      </w:r>
      <w:r w:rsidR="0024272D" w:rsidRPr="002151FE">
        <w:t xml:space="preserve">uando no haya pruebas disponibles de parte del Gobierno del país receptor o de un mercado activo para determinar el valor normal del mercado de la propiedad y/o el valor normal de alquiler del mercado; </w:t>
      </w:r>
    </w:p>
    <w:p w14:paraId="4EB96C98" w14:textId="77777777" w:rsidR="0024272D" w:rsidRPr="002151FE" w:rsidRDefault="00A63D78" w:rsidP="00AB6B42">
      <w:pPr>
        <w:pStyle w:val="ListParagraph"/>
        <w:numPr>
          <w:ilvl w:val="0"/>
          <w:numId w:val="6"/>
        </w:numPr>
        <w:shd w:val="clear" w:color="auto" w:fill="FFFFFF"/>
        <w:spacing w:after="0" w:line="270" w:lineRule="atLeast"/>
        <w:jc w:val="both"/>
        <w:textAlignment w:val="top"/>
        <w:rPr>
          <w:rFonts w:eastAsia="Times New Roman" w:cs="Arial"/>
        </w:rPr>
      </w:pPr>
      <w:r w:rsidRPr="002151FE">
        <w:t>C</w:t>
      </w:r>
      <w:r w:rsidR="0024272D" w:rsidRPr="002151FE">
        <w:t>uando el Gobierno ha realizado importantes obras de renovación o rehabilitación que aumentaron el valor del alquiler de las instalaciones, lo cual aumentó el monto potencial del alquiler y</w:t>
      </w:r>
    </w:p>
    <w:p w14:paraId="3A87D7F7" w14:textId="77777777" w:rsidR="0024272D" w:rsidRPr="002151FE" w:rsidRDefault="00A63D78" w:rsidP="00AB6B42">
      <w:pPr>
        <w:pStyle w:val="ListParagraph"/>
        <w:numPr>
          <w:ilvl w:val="0"/>
          <w:numId w:val="6"/>
        </w:numPr>
        <w:shd w:val="clear" w:color="auto" w:fill="FFFFFF"/>
        <w:spacing w:after="0" w:line="270" w:lineRule="atLeast"/>
        <w:jc w:val="both"/>
        <w:textAlignment w:val="top"/>
        <w:rPr>
          <w:rFonts w:eastAsia="Times New Roman" w:cs="Arial"/>
        </w:rPr>
      </w:pPr>
      <w:r w:rsidRPr="002151FE">
        <w:t>L</w:t>
      </w:r>
      <w:r w:rsidR="0024272D" w:rsidRPr="002151FE">
        <w:t xml:space="preserve">a mejor práctica recomendada es que se realice una valoración profesional independiente al menos cada 5 años. También se alienta a las oficinas de país del PNUD a implementar este proceso para todos los derechos donados para utilizar instalaciones. </w:t>
      </w:r>
    </w:p>
    <w:p w14:paraId="0874E2EB" w14:textId="77777777" w:rsidR="0024272D" w:rsidRPr="002151FE" w:rsidRDefault="0024272D" w:rsidP="0024272D">
      <w:pPr>
        <w:shd w:val="clear" w:color="auto" w:fill="FFFFFF"/>
        <w:spacing w:after="0" w:line="270" w:lineRule="atLeast"/>
        <w:ind w:hanging="360"/>
        <w:jc w:val="both"/>
        <w:textAlignment w:val="top"/>
        <w:rPr>
          <w:rFonts w:eastAsia="Times New Roman" w:cs="Arial"/>
        </w:rPr>
      </w:pPr>
      <w:r w:rsidRPr="002151FE">
        <w:t> </w:t>
      </w:r>
    </w:p>
    <w:p w14:paraId="07321017" w14:textId="7561EFE4" w:rsidR="0024272D" w:rsidRPr="002151FE" w:rsidRDefault="0024272D" w:rsidP="2005F705">
      <w:pPr>
        <w:pStyle w:val="ListParagraph"/>
        <w:numPr>
          <w:ilvl w:val="0"/>
          <w:numId w:val="1"/>
        </w:numPr>
        <w:shd w:val="clear" w:color="auto" w:fill="FFFFFF" w:themeFill="background1"/>
        <w:spacing w:after="0" w:line="240" w:lineRule="auto"/>
        <w:jc w:val="both"/>
        <w:textAlignment w:val="top"/>
        <w:rPr>
          <w:rFonts w:eastAsia="Times New Roman" w:cs="Arial"/>
        </w:rPr>
      </w:pPr>
      <w:r w:rsidRPr="002151FE">
        <w:t xml:space="preserve">Los Gobiernos del país receptor deben comprender el proceso de valoración, ya que forma parte de su contribución a sus obligaciones relativas a las GLOC.  Las oficinas de país deben discutir con sus </w:t>
      </w:r>
      <w:r w:rsidR="670812E0" w:rsidRPr="002151FE">
        <w:t>contrapartes</w:t>
      </w:r>
      <w:r w:rsidRPr="002151FE">
        <w:t xml:space="preserve"> gubernamentales los requisitos de valoración y determinar el proceso apropiado. </w:t>
      </w:r>
    </w:p>
    <w:p w14:paraId="269FF71B" w14:textId="77777777" w:rsidR="0024272D" w:rsidRPr="002151FE" w:rsidRDefault="0024272D" w:rsidP="0024272D">
      <w:pPr>
        <w:shd w:val="clear" w:color="auto" w:fill="FFFFFF"/>
        <w:spacing w:after="0" w:line="270" w:lineRule="atLeast"/>
        <w:jc w:val="both"/>
        <w:textAlignment w:val="top"/>
        <w:rPr>
          <w:rFonts w:eastAsia="Times New Roman" w:cs="Arial"/>
        </w:rPr>
      </w:pPr>
      <w:r w:rsidRPr="002151FE">
        <w:t> </w:t>
      </w:r>
    </w:p>
    <w:p w14:paraId="61D79BDA" w14:textId="77777777" w:rsidR="0024272D" w:rsidRPr="002151FE" w:rsidRDefault="0024272D" w:rsidP="00AB6B42">
      <w:pPr>
        <w:pStyle w:val="ListParagraph"/>
        <w:numPr>
          <w:ilvl w:val="0"/>
          <w:numId w:val="1"/>
        </w:numPr>
        <w:shd w:val="clear" w:color="auto" w:fill="FFFFFF"/>
        <w:spacing w:after="0" w:line="240" w:lineRule="auto"/>
        <w:jc w:val="both"/>
        <w:textAlignment w:val="top"/>
        <w:rPr>
          <w:rFonts w:eastAsia="Times New Roman" w:cs="Arial"/>
        </w:rPr>
      </w:pPr>
      <w:r w:rsidRPr="002151FE">
        <w:t>Cuando el Gobierno no haya realizado una evaluación de las instalaciones proporcionadas en el ejercicio económico en curso, y cuando no haya un mercado inmobiliario activo, la oficina de país debe discutir con el Gobierno la necesidad de realizar una evaluación independiente. Si las partes acuerdan que no hay un cambio significativo en el valor normal del mercado desde la valoración anterior, se puede utilizar el valor razonable del último informe de valoración (si han pasado menos de 5 años).</w:t>
      </w:r>
    </w:p>
    <w:p w14:paraId="2782DA41" w14:textId="77777777" w:rsidR="0024272D" w:rsidRPr="002151FE" w:rsidRDefault="0024272D" w:rsidP="0024272D">
      <w:pPr>
        <w:shd w:val="clear" w:color="auto" w:fill="FFFFFF"/>
        <w:spacing w:after="0" w:line="270" w:lineRule="atLeast"/>
        <w:jc w:val="both"/>
        <w:textAlignment w:val="top"/>
        <w:rPr>
          <w:rFonts w:eastAsia="Times New Roman" w:cs="Arial"/>
        </w:rPr>
      </w:pPr>
      <w:r w:rsidRPr="002151FE">
        <w:t> </w:t>
      </w:r>
    </w:p>
    <w:p w14:paraId="61FBC435" w14:textId="77777777" w:rsidR="0024272D" w:rsidRPr="00D94F67" w:rsidRDefault="0024272D" w:rsidP="0024272D">
      <w:pPr>
        <w:shd w:val="clear" w:color="auto" w:fill="FFFFFF"/>
        <w:spacing w:after="0" w:line="270" w:lineRule="atLeast"/>
        <w:jc w:val="both"/>
        <w:textAlignment w:val="top"/>
        <w:rPr>
          <w:rFonts w:eastAsia="Times New Roman" w:cs="Arial"/>
        </w:rPr>
      </w:pPr>
      <w:r w:rsidRPr="00D94F67">
        <w:rPr>
          <w:b/>
          <w:bCs/>
        </w:rPr>
        <w:t>Evaluación independiente</w:t>
      </w:r>
    </w:p>
    <w:p w14:paraId="12A301DE" w14:textId="77777777" w:rsidR="0024272D" w:rsidRPr="00D94F67" w:rsidRDefault="0024272D" w:rsidP="0024272D">
      <w:pPr>
        <w:shd w:val="clear" w:color="auto" w:fill="FFFFFF"/>
        <w:spacing w:after="0" w:line="270" w:lineRule="atLeast"/>
        <w:jc w:val="both"/>
        <w:textAlignment w:val="top"/>
        <w:rPr>
          <w:rFonts w:eastAsia="Times New Roman" w:cs="Arial"/>
        </w:rPr>
      </w:pPr>
      <w:r w:rsidRPr="00D94F67">
        <w:t> </w:t>
      </w:r>
    </w:p>
    <w:p w14:paraId="128B689C" w14:textId="3A0FFF77" w:rsidR="0024272D" w:rsidRPr="00E872DE" w:rsidRDefault="0024272D" w:rsidP="00AB6B42">
      <w:pPr>
        <w:pStyle w:val="ListParagraph"/>
        <w:numPr>
          <w:ilvl w:val="0"/>
          <w:numId w:val="1"/>
        </w:numPr>
        <w:shd w:val="clear" w:color="auto" w:fill="FFFFFF"/>
        <w:spacing w:after="0" w:line="240" w:lineRule="auto"/>
        <w:jc w:val="both"/>
        <w:textAlignment w:val="top"/>
        <w:rPr>
          <w:rFonts w:eastAsia="Times New Roman" w:cs="Arial"/>
        </w:rPr>
      </w:pPr>
      <w:r w:rsidRPr="00D94F67">
        <w:t xml:space="preserve">Cuando se determine que una evaluación independiente es necesaria, se recomienda a la oficina de país que se comunique con el Gobierno del país receptor a principios de año para averiguar si han realizado o tienen la intención de realizar una evaluación independiente del valor del derecho donado para utilizar la propiedad en el ejercicio económico en curso. También se debe llegar a un acuerdo sobre cómo se pagará la evaluación independiente.  </w:t>
      </w:r>
    </w:p>
    <w:p w14:paraId="12C84602" w14:textId="77777777" w:rsidR="00E872DE" w:rsidRPr="00D94F67" w:rsidRDefault="00E872DE" w:rsidP="00E872DE">
      <w:pPr>
        <w:pStyle w:val="ListParagraph"/>
        <w:shd w:val="clear" w:color="auto" w:fill="FFFFFF"/>
        <w:spacing w:after="0" w:line="240" w:lineRule="auto"/>
        <w:jc w:val="both"/>
        <w:textAlignment w:val="top"/>
        <w:rPr>
          <w:rFonts w:eastAsia="Times New Roman" w:cs="Arial"/>
        </w:rPr>
      </w:pPr>
    </w:p>
    <w:p w14:paraId="0938DCAD" w14:textId="77777777" w:rsidR="0024272D" w:rsidRPr="00A63D78" w:rsidRDefault="0024272D" w:rsidP="003D35E7">
      <w:pPr>
        <w:pStyle w:val="ListParagraph"/>
        <w:numPr>
          <w:ilvl w:val="0"/>
          <w:numId w:val="1"/>
        </w:numPr>
        <w:shd w:val="clear" w:color="auto" w:fill="FFFFFF"/>
        <w:spacing w:after="0" w:line="270" w:lineRule="atLeast"/>
        <w:jc w:val="both"/>
        <w:textAlignment w:val="top"/>
        <w:rPr>
          <w:rFonts w:eastAsia="Times New Roman" w:cs="Arial"/>
          <w:color w:val="333333"/>
        </w:rPr>
      </w:pPr>
      <w:r w:rsidRPr="00D94F67">
        <w:t>Cuando se invita a un tasador independiente a realizar una valoración de las instalaciones, los Términos de referencia (se puede encontrar un ejemplo de los términos de referencia (</w:t>
      </w:r>
      <w:proofErr w:type="spellStart"/>
      <w:r w:rsidRPr="00D94F67">
        <w:t>TdR</w:t>
      </w:r>
      <w:proofErr w:type="spellEnd"/>
      <w:r w:rsidRPr="00D94F67">
        <w:t xml:space="preserve">) en el </w:t>
      </w:r>
      <w:hyperlink r:id="rId14" w:history="1">
        <w:r>
          <w:rPr>
            <w:rStyle w:val="Hyperlink"/>
          </w:rPr>
          <w:t>Anexo 1</w:t>
        </w:r>
      </w:hyperlink>
      <w:r>
        <w:t xml:space="preserve">) </w:t>
      </w:r>
      <w:r w:rsidRPr="00D94F67">
        <w:t>proporcionados al Tasa</w:t>
      </w:r>
      <w:r w:rsidR="00A63D78" w:rsidRPr="00D94F67">
        <w:t>dor deben incluir lo siguiente:</w:t>
      </w:r>
      <w:r w:rsidRPr="00D94F67">
        <w:t> </w:t>
      </w:r>
    </w:p>
    <w:p w14:paraId="65768E92" w14:textId="77777777" w:rsidR="0024272D" w:rsidRPr="009C67B8" w:rsidRDefault="00A63D78" w:rsidP="006971B4">
      <w:pPr>
        <w:pStyle w:val="ListParagraph"/>
        <w:numPr>
          <w:ilvl w:val="0"/>
          <w:numId w:val="8"/>
        </w:numPr>
        <w:shd w:val="clear" w:color="auto" w:fill="FFFFFF"/>
        <w:spacing w:after="0" w:line="240" w:lineRule="auto"/>
        <w:ind w:left="1080"/>
        <w:textAlignment w:val="top"/>
        <w:rPr>
          <w:rFonts w:eastAsia="Times New Roman" w:cs="Arial"/>
        </w:rPr>
      </w:pPr>
      <w:r w:rsidRPr="009C67B8">
        <w:lastRenderedPageBreak/>
        <w:t>E</w:t>
      </w:r>
      <w:r w:rsidR="0024272D" w:rsidRPr="009C67B8">
        <w:t>l tasador deberá evaluar las condiciones actuales de cada una de las propiedades y determinar un valor normal de mercado razonable con base en sus condiciones actuales;</w:t>
      </w:r>
    </w:p>
    <w:p w14:paraId="104859F3" w14:textId="77777777" w:rsidR="0024272D" w:rsidRPr="009C67B8" w:rsidRDefault="00A63D78" w:rsidP="006971B4">
      <w:pPr>
        <w:pStyle w:val="ListParagraph"/>
        <w:numPr>
          <w:ilvl w:val="0"/>
          <w:numId w:val="8"/>
        </w:numPr>
        <w:shd w:val="clear" w:color="auto" w:fill="FFFFFF"/>
        <w:spacing w:after="0" w:line="240" w:lineRule="auto"/>
        <w:ind w:left="1080"/>
        <w:textAlignment w:val="center"/>
        <w:rPr>
          <w:rFonts w:eastAsia="Times New Roman" w:cs="Arial"/>
        </w:rPr>
      </w:pPr>
      <w:r w:rsidRPr="009C67B8">
        <w:t>E</w:t>
      </w:r>
      <w:r w:rsidR="0024272D" w:rsidRPr="009C67B8">
        <w:t xml:space="preserve">l informe debe describir claramente la condición de la propiedad (incluyendo, entre otros factores, la localidad, el nivel de mantenimiento, las ventajas de la ubicación, etc.), el enfoque de valoración, las pruebas de valores de alquiler para propiedades similares, la base de valuación y cualquier suposición, calificación del tasador y demás información pertinente. </w:t>
      </w:r>
    </w:p>
    <w:p w14:paraId="42AF69C3" w14:textId="77777777" w:rsidR="0024272D" w:rsidRPr="009C67B8" w:rsidRDefault="0024272D" w:rsidP="006971B4">
      <w:pPr>
        <w:shd w:val="clear" w:color="auto" w:fill="FFFFFF"/>
        <w:spacing w:after="0" w:line="240" w:lineRule="auto"/>
        <w:ind w:left="360" w:firstLine="45"/>
        <w:textAlignment w:val="center"/>
        <w:rPr>
          <w:rFonts w:eastAsia="Times New Roman" w:cs="Arial"/>
          <w:lang w:val="es-AR"/>
        </w:rPr>
      </w:pPr>
    </w:p>
    <w:p w14:paraId="5E79374D" w14:textId="77777777" w:rsidR="0024272D" w:rsidRPr="009C67B8" w:rsidRDefault="0024272D" w:rsidP="006971B4">
      <w:pPr>
        <w:pStyle w:val="ListParagraph"/>
        <w:numPr>
          <w:ilvl w:val="0"/>
          <w:numId w:val="1"/>
        </w:numPr>
        <w:shd w:val="clear" w:color="auto" w:fill="FFFFFF"/>
        <w:spacing w:after="0" w:line="240" w:lineRule="auto"/>
        <w:jc w:val="both"/>
        <w:textAlignment w:val="top"/>
        <w:rPr>
          <w:rFonts w:eastAsia="Times New Roman" w:cs="Arial"/>
        </w:rPr>
      </w:pPr>
      <w:r w:rsidRPr="009C67B8">
        <w:t>El tasador debe ser un tasador profesional, que posea un certificado profesional reconocido y pertinente, y debe contar con una licencia válida o certificación de parte de las autoridades locales.</w:t>
      </w:r>
    </w:p>
    <w:p w14:paraId="6B4B8087" w14:textId="77777777" w:rsidR="0024272D" w:rsidRPr="009C67B8" w:rsidRDefault="0024272D" w:rsidP="0024272D">
      <w:pPr>
        <w:shd w:val="clear" w:color="auto" w:fill="FFFFFF"/>
        <w:spacing w:after="0" w:line="240" w:lineRule="auto"/>
        <w:textAlignment w:val="center"/>
        <w:rPr>
          <w:rFonts w:eastAsia="Times New Roman" w:cs="Arial"/>
        </w:rPr>
      </w:pPr>
      <w:r w:rsidRPr="009C67B8">
        <w:t> </w:t>
      </w:r>
    </w:p>
    <w:p w14:paraId="4A8EA90A" w14:textId="77777777" w:rsidR="0024272D" w:rsidRPr="009C67B8" w:rsidRDefault="0024272D" w:rsidP="006971B4">
      <w:pPr>
        <w:pStyle w:val="ListParagraph"/>
        <w:numPr>
          <w:ilvl w:val="0"/>
          <w:numId w:val="1"/>
        </w:numPr>
        <w:shd w:val="clear" w:color="auto" w:fill="FFFFFF"/>
        <w:spacing w:after="0" w:line="240" w:lineRule="auto"/>
        <w:jc w:val="both"/>
        <w:textAlignment w:val="top"/>
        <w:rPr>
          <w:rFonts w:eastAsia="Times New Roman" w:cs="Arial"/>
        </w:rPr>
      </w:pPr>
      <w:r w:rsidRPr="009C67B8">
        <w:t>Se deben realizar reuniones técnicas con el tasador para garantizar que su metodología es la adecuada antes de seleccionar o adjudicar un contrato.  Se pueden compartir ejemplos de informes de otras oficinas con el tasador a fin de que este comprenda el nivel de detalle y calidad que se espera de su evaluación.</w:t>
      </w:r>
    </w:p>
    <w:p w14:paraId="5DF7B0FC" w14:textId="77777777" w:rsidR="0024272D" w:rsidRPr="009C67B8" w:rsidRDefault="0024272D" w:rsidP="0024272D">
      <w:pPr>
        <w:shd w:val="clear" w:color="auto" w:fill="FFFFFF"/>
        <w:spacing w:after="0" w:line="240" w:lineRule="auto"/>
        <w:textAlignment w:val="center"/>
        <w:rPr>
          <w:rFonts w:eastAsia="Times New Roman" w:cs="Arial"/>
        </w:rPr>
      </w:pPr>
      <w:r w:rsidRPr="009C67B8">
        <w:t> </w:t>
      </w:r>
    </w:p>
    <w:p w14:paraId="024D90E9" w14:textId="77777777" w:rsidR="0024272D" w:rsidRPr="009C67B8" w:rsidRDefault="0024272D" w:rsidP="0024272D">
      <w:pPr>
        <w:shd w:val="clear" w:color="auto" w:fill="FFFFFF"/>
        <w:spacing w:after="0" w:line="240" w:lineRule="auto"/>
        <w:textAlignment w:val="center"/>
        <w:rPr>
          <w:rFonts w:eastAsia="Times New Roman" w:cs="Arial"/>
        </w:rPr>
      </w:pPr>
      <w:r w:rsidRPr="009C67B8">
        <w:rPr>
          <w:b/>
          <w:bCs/>
        </w:rPr>
        <w:t>Evaluación del Gobierno</w:t>
      </w:r>
    </w:p>
    <w:p w14:paraId="74BCFA8E" w14:textId="77777777" w:rsidR="0024272D" w:rsidRPr="009C67B8" w:rsidRDefault="0024272D" w:rsidP="0024272D">
      <w:pPr>
        <w:shd w:val="clear" w:color="auto" w:fill="FFFFFF"/>
        <w:spacing w:after="0" w:line="240" w:lineRule="auto"/>
        <w:textAlignment w:val="center"/>
        <w:rPr>
          <w:rFonts w:eastAsia="Times New Roman" w:cs="Arial"/>
        </w:rPr>
      </w:pPr>
      <w:r w:rsidRPr="009C67B8">
        <w:t> </w:t>
      </w:r>
    </w:p>
    <w:p w14:paraId="10E51779" w14:textId="77777777" w:rsidR="0024272D" w:rsidRPr="009C67B8" w:rsidRDefault="0024272D" w:rsidP="006971B4">
      <w:pPr>
        <w:pStyle w:val="ListParagraph"/>
        <w:numPr>
          <w:ilvl w:val="0"/>
          <w:numId w:val="1"/>
        </w:numPr>
        <w:shd w:val="clear" w:color="auto" w:fill="FFFFFF"/>
        <w:spacing w:after="0" w:line="240" w:lineRule="auto"/>
        <w:jc w:val="both"/>
        <w:textAlignment w:val="top"/>
        <w:rPr>
          <w:rFonts w:eastAsia="Times New Roman" w:cs="Arial"/>
        </w:rPr>
      </w:pPr>
      <w:r w:rsidRPr="009C67B8">
        <w:t xml:space="preserve">En algunas jurisdicciones, los Gobiernos pueden realizar valoraciones independientes de manera regular, a fin de cumplir con sus propias normas de información financiera, y si es así, las oficinas de país pueden utilizar dichos informes de valoración. Aun así, se recomienda realizar una valoración independiente al menos una vez cada cinco años. </w:t>
      </w:r>
    </w:p>
    <w:p w14:paraId="3FC22724" w14:textId="77777777" w:rsidR="0024272D" w:rsidRPr="009C67B8" w:rsidRDefault="0024272D" w:rsidP="0024272D">
      <w:pPr>
        <w:shd w:val="clear" w:color="auto" w:fill="FFFFFF"/>
        <w:spacing w:after="0" w:line="270" w:lineRule="atLeast"/>
        <w:jc w:val="both"/>
        <w:textAlignment w:val="top"/>
        <w:rPr>
          <w:rFonts w:eastAsia="Times New Roman" w:cs="Arial"/>
        </w:rPr>
      </w:pPr>
      <w:r w:rsidRPr="009C67B8">
        <w:t> </w:t>
      </w:r>
    </w:p>
    <w:p w14:paraId="16647409" w14:textId="77777777" w:rsidR="0024272D" w:rsidRPr="009C67B8" w:rsidRDefault="0024272D" w:rsidP="006971B4">
      <w:pPr>
        <w:pStyle w:val="ListParagraph"/>
        <w:numPr>
          <w:ilvl w:val="0"/>
          <w:numId w:val="1"/>
        </w:numPr>
        <w:shd w:val="clear" w:color="auto" w:fill="FFFFFF"/>
        <w:spacing w:after="0" w:line="240" w:lineRule="auto"/>
        <w:jc w:val="both"/>
        <w:textAlignment w:val="top"/>
        <w:rPr>
          <w:rFonts w:eastAsia="Times New Roman" w:cs="Arial"/>
        </w:rPr>
      </w:pPr>
      <w:r w:rsidRPr="009C67B8">
        <w:t xml:space="preserve">Si el Gobierno ha realizado una evaluación independiente en el ejercicio económico en curso, la oficina de país debe solicitar una copia del informe de evaluación. Este informe debe revisarse para confirmar su idoneidad (los pasos en los siguientes párrafos pueden servir como guía para esta revisión). Si el Gobierno no ha realizado una evaluación independiente, pero prefiere proceder con esta valoración, debe cubrir el costo total de la evaluación. El PNUD puede ayudar en la preparación de los </w:t>
      </w:r>
      <w:proofErr w:type="spellStart"/>
      <w:r w:rsidRPr="009C67B8">
        <w:t>TdR</w:t>
      </w:r>
      <w:proofErr w:type="spellEnd"/>
      <w:r w:rsidRPr="009C67B8">
        <w:t xml:space="preserve"> para los servicios de evaluación.  </w:t>
      </w:r>
    </w:p>
    <w:p w14:paraId="26C43C96" w14:textId="77777777" w:rsidR="0024272D" w:rsidRPr="00715F31" w:rsidRDefault="0024272D" w:rsidP="0024272D">
      <w:pPr>
        <w:shd w:val="clear" w:color="auto" w:fill="FFFFFF"/>
        <w:spacing w:after="0" w:line="270" w:lineRule="atLeast"/>
        <w:jc w:val="both"/>
        <w:textAlignment w:val="top"/>
        <w:rPr>
          <w:rFonts w:eastAsia="Times New Roman" w:cs="Arial"/>
          <w:color w:val="333333"/>
        </w:rPr>
      </w:pPr>
      <w:r>
        <w:rPr>
          <w:color w:val="333333"/>
        </w:rPr>
        <w:t> </w:t>
      </w:r>
    </w:p>
    <w:p w14:paraId="51550CA0" w14:textId="77777777" w:rsidR="0024272D" w:rsidRPr="009C67B8" w:rsidRDefault="0024272D" w:rsidP="0024272D">
      <w:pPr>
        <w:shd w:val="clear" w:color="auto" w:fill="FFFFFF"/>
        <w:spacing w:after="0" w:line="270" w:lineRule="atLeast"/>
        <w:jc w:val="both"/>
        <w:textAlignment w:val="top"/>
        <w:rPr>
          <w:rFonts w:eastAsia="Times New Roman" w:cs="Arial"/>
        </w:rPr>
      </w:pPr>
      <w:r w:rsidRPr="009C67B8">
        <w:rPr>
          <w:b/>
          <w:bCs/>
        </w:rPr>
        <w:t>Evaluación del PNUD</w:t>
      </w:r>
    </w:p>
    <w:p w14:paraId="46D23090" w14:textId="77777777" w:rsidR="0024272D" w:rsidRPr="009C67B8" w:rsidRDefault="0024272D" w:rsidP="0024272D">
      <w:pPr>
        <w:shd w:val="clear" w:color="auto" w:fill="FFFFFF"/>
        <w:spacing w:after="0" w:line="270" w:lineRule="atLeast"/>
        <w:jc w:val="both"/>
        <w:textAlignment w:val="top"/>
        <w:rPr>
          <w:rFonts w:eastAsia="Times New Roman" w:cs="Arial"/>
        </w:rPr>
      </w:pPr>
      <w:r w:rsidRPr="009C67B8">
        <w:t> </w:t>
      </w:r>
    </w:p>
    <w:p w14:paraId="089DE75F" w14:textId="77777777" w:rsidR="0024272D" w:rsidRPr="009C67B8" w:rsidRDefault="0024272D" w:rsidP="006971B4">
      <w:pPr>
        <w:pStyle w:val="ListParagraph"/>
        <w:numPr>
          <w:ilvl w:val="0"/>
          <w:numId w:val="1"/>
        </w:numPr>
        <w:shd w:val="clear" w:color="auto" w:fill="FFFFFF"/>
        <w:spacing w:after="0" w:line="240" w:lineRule="auto"/>
        <w:jc w:val="both"/>
        <w:textAlignment w:val="top"/>
        <w:rPr>
          <w:rFonts w:eastAsia="Times New Roman" w:cs="Arial"/>
        </w:rPr>
      </w:pPr>
      <w:r w:rsidRPr="009C67B8">
        <w:t>Para diversos activos, cuando existe un mercado inmobiliario activo, el valor razonable se puede determinar fácilmente utilizando como referencia los precios cotizados para propiedades similares. Por ejemplo, los precios actuales del mercado se pueden obtener generalmente para terrenos, edificios no especializados, vehículos motorizados, diversos tipos de plantas y equipos y los gastos operativos relacionados. En ese caso, cuando el Gobierno no ha realizado una evaluación independiente de las instalaciones proporcionadas en el ejercicio económico en curso, la oficina de país del PNUD puede realizar el ejercicio de valoración, siempre que el Representante Residente y el Representante Residente Adjunto para Operaciones documenten, examinen y aprueben los resultados en su totalidad.</w:t>
      </w:r>
    </w:p>
    <w:p w14:paraId="2CC1DFEF" w14:textId="77777777" w:rsidR="0024272D" w:rsidRPr="009C67B8" w:rsidRDefault="0024272D" w:rsidP="0024272D">
      <w:pPr>
        <w:shd w:val="clear" w:color="auto" w:fill="FFFFFF"/>
        <w:spacing w:after="0" w:line="270" w:lineRule="atLeast"/>
        <w:jc w:val="both"/>
        <w:textAlignment w:val="top"/>
        <w:rPr>
          <w:rFonts w:eastAsia="Times New Roman" w:cs="Arial"/>
        </w:rPr>
      </w:pPr>
      <w:r w:rsidRPr="009C67B8">
        <w:t> </w:t>
      </w:r>
    </w:p>
    <w:p w14:paraId="24B8A50C" w14:textId="3528E64F" w:rsidR="0024272D" w:rsidRPr="009C67B8" w:rsidRDefault="0024272D" w:rsidP="006971B4">
      <w:pPr>
        <w:pStyle w:val="ListParagraph"/>
        <w:numPr>
          <w:ilvl w:val="0"/>
          <w:numId w:val="1"/>
        </w:numPr>
        <w:shd w:val="clear" w:color="auto" w:fill="FFFFFF"/>
        <w:spacing w:after="0" w:line="240" w:lineRule="auto"/>
        <w:jc w:val="both"/>
        <w:textAlignment w:val="top"/>
        <w:rPr>
          <w:rFonts w:eastAsia="Times New Roman" w:cs="Arial"/>
        </w:rPr>
      </w:pPr>
      <w:r w:rsidRPr="009C67B8">
        <w:t xml:space="preserve">La oficina de país debe establecer un equipo de revisión para recopilar pruebas de mercado del valor de mercado.  El equipo de revisión debe constar de al menos tres personas y puede incluir un representante del Gobierno como observador. El equipo de revisión debe recopilar los valores de alquiler del mercado y los gastos operativos relacionados de no menos de 3 propiedades </w:t>
      </w:r>
      <w:r w:rsidRPr="009C67B8">
        <w:lastRenderedPageBreak/>
        <w:t xml:space="preserve">similares (véase el </w:t>
      </w:r>
      <w:hyperlink r:id="rId15" w:history="1">
        <w:r w:rsidR="00B158AB" w:rsidRPr="00B158AB">
          <w:rPr>
            <w:rStyle w:val="Hyperlink"/>
          </w:rPr>
          <w:t>Anexo 3</w:t>
        </w:r>
      </w:hyperlink>
      <w:r w:rsidRPr="009C67B8">
        <w:t>). Al seleccionar las instalaciones para la comparación, las oficinas de país deben seleccionar propiedades que sean comparables en términos de estilo, ubicación del edificio, servicios, tamaño del edificio (superficie cuadrada), dimensiones de la propiedad, condición y características tales como el patrimonio o el diseño arquitectónico.</w:t>
      </w:r>
    </w:p>
    <w:p w14:paraId="5AA0934D" w14:textId="77777777" w:rsidR="0024272D" w:rsidRPr="009C67B8" w:rsidRDefault="0024272D" w:rsidP="0024272D">
      <w:pPr>
        <w:shd w:val="clear" w:color="auto" w:fill="FFFFFF"/>
        <w:spacing w:after="0" w:line="270" w:lineRule="atLeast"/>
        <w:jc w:val="both"/>
        <w:textAlignment w:val="top"/>
        <w:rPr>
          <w:rFonts w:eastAsia="Times New Roman" w:cs="Arial"/>
        </w:rPr>
      </w:pPr>
      <w:r w:rsidRPr="009C67B8">
        <w:t> </w:t>
      </w:r>
    </w:p>
    <w:p w14:paraId="5D3FD7EC" w14:textId="493CF843" w:rsidR="0024272D" w:rsidRPr="009C67B8" w:rsidRDefault="0024272D" w:rsidP="2005F705">
      <w:pPr>
        <w:pStyle w:val="ListParagraph"/>
        <w:numPr>
          <w:ilvl w:val="0"/>
          <w:numId w:val="1"/>
        </w:numPr>
        <w:shd w:val="clear" w:color="auto" w:fill="FFFFFF" w:themeFill="background1"/>
        <w:spacing w:after="0" w:line="240" w:lineRule="auto"/>
        <w:jc w:val="both"/>
        <w:textAlignment w:val="top"/>
        <w:rPr>
          <w:rFonts w:eastAsia="Times New Roman" w:cs="Arial"/>
        </w:rPr>
      </w:pPr>
      <w:r w:rsidRPr="009C67B8">
        <w:t xml:space="preserve">Los resultados de la revisión se deben documentar a través de un informe (véase el </w:t>
      </w:r>
      <w:hyperlink r:id="rId16">
        <w:r w:rsidRPr="2005F705">
          <w:rPr>
            <w:rStyle w:val="Hyperlink"/>
          </w:rPr>
          <w:t>Anexo 2</w:t>
        </w:r>
      </w:hyperlink>
      <w:r>
        <w:t xml:space="preserve"> </w:t>
      </w:r>
      <w:r w:rsidRPr="009C67B8">
        <w:t xml:space="preserve">para obtener un modelo) que debe ser firmado por cada miembro del equipo. El informe debe discutirse con el Gobierno y servir como base para la carta de certificación de la oficina de país y debe adjuntarse al informe junto con otros documentos de respaldo. Se recomienda a las oficinas de país (CO, </w:t>
      </w:r>
      <w:r w:rsidRPr="009C67B8">
        <w:rPr>
          <w:i/>
          <w:iCs/>
        </w:rPr>
        <w:t>Country Office</w:t>
      </w:r>
      <w:r w:rsidRPr="009C67B8">
        <w:t>, por sus siglas en inglés) que decidan realizar una evaluación del PNUD,  a garantizar que se realizará una valoración independiente al menos una vez cada cinco años.</w:t>
      </w:r>
    </w:p>
    <w:p w14:paraId="754B6899" w14:textId="77777777" w:rsidR="0024272D" w:rsidRPr="009C67B8" w:rsidRDefault="0024272D" w:rsidP="0024272D">
      <w:pPr>
        <w:shd w:val="clear" w:color="auto" w:fill="FFFFFF"/>
        <w:spacing w:after="0" w:line="270" w:lineRule="atLeast"/>
        <w:jc w:val="both"/>
        <w:textAlignment w:val="top"/>
        <w:rPr>
          <w:rFonts w:eastAsia="Times New Roman" w:cs="Arial"/>
        </w:rPr>
      </w:pPr>
      <w:r w:rsidRPr="009C67B8">
        <w:t> </w:t>
      </w:r>
    </w:p>
    <w:p w14:paraId="68F8BD0D" w14:textId="53B37F13" w:rsidR="0024272D" w:rsidRPr="00715F31" w:rsidRDefault="0024272D" w:rsidP="2005F705">
      <w:pPr>
        <w:pStyle w:val="ListParagraph"/>
        <w:numPr>
          <w:ilvl w:val="0"/>
          <w:numId w:val="1"/>
        </w:numPr>
        <w:shd w:val="clear" w:color="auto" w:fill="FFFFFF" w:themeFill="background1"/>
        <w:spacing w:after="0" w:line="240" w:lineRule="auto"/>
        <w:jc w:val="both"/>
        <w:textAlignment w:val="top"/>
        <w:rPr>
          <w:rFonts w:eastAsia="Times New Roman" w:cs="Arial"/>
          <w:color w:val="333333"/>
        </w:rPr>
      </w:pPr>
      <w:r w:rsidRPr="009C67B8">
        <w:t xml:space="preserve">Todos los datos y montos de valoración deben estar en moneda local. A los efectos de los </w:t>
      </w:r>
      <w:hyperlink r:id="rId17">
        <w:r w:rsidRPr="2005F705">
          <w:rPr>
            <w:rStyle w:val="Hyperlink"/>
          </w:rPr>
          <w:t>Anexos 3</w:t>
        </w:r>
      </w:hyperlink>
      <w:r>
        <w:t xml:space="preserve"> </w:t>
      </w:r>
      <w:r w:rsidRPr="009C67B8">
        <w:t xml:space="preserve">y </w:t>
      </w:r>
      <w:hyperlink r:id="rId18" w:history="1">
        <w:r w:rsidRPr="00E872DE">
          <w:rPr>
            <w:rStyle w:val="Hyperlink"/>
          </w:rPr>
          <w:t>2</w:t>
        </w:r>
      </w:hyperlink>
      <w:r w:rsidRPr="009C67B8">
        <w:t xml:space="preserve">, la conversión a USD debe realizarse utilizando el tipo de cambio de las Naciones Unidas (UNORE, </w:t>
      </w:r>
      <w:proofErr w:type="spellStart"/>
      <w:r w:rsidRPr="009C67B8">
        <w:rPr>
          <w:i/>
          <w:iCs/>
        </w:rPr>
        <w:t>United</w:t>
      </w:r>
      <w:proofErr w:type="spellEnd"/>
      <w:r w:rsidRPr="009C67B8">
        <w:rPr>
          <w:i/>
          <w:iCs/>
        </w:rPr>
        <w:t xml:space="preserve"> </w:t>
      </w:r>
      <w:proofErr w:type="spellStart"/>
      <w:r w:rsidRPr="009C67B8">
        <w:rPr>
          <w:i/>
          <w:iCs/>
        </w:rPr>
        <w:t>Nations</w:t>
      </w:r>
      <w:proofErr w:type="spellEnd"/>
      <w:r w:rsidRPr="009C67B8">
        <w:rPr>
          <w:i/>
          <w:iCs/>
        </w:rPr>
        <w:t xml:space="preserve"> </w:t>
      </w:r>
      <w:proofErr w:type="spellStart"/>
      <w:r w:rsidRPr="009C67B8">
        <w:rPr>
          <w:i/>
          <w:iCs/>
        </w:rPr>
        <w:t>Operational</w:t>
      </w:r>
      <w:proofErr w:type="spellEnd"/>
      <w:r w:rsidRPr="009C67B8">
        <w:rPr>
          <w:i/>
          <w:iCs/>
        </w:rPr>
        <w:t xml:space="preserve"> </w:t>
      </w:r>
      <w:proofErr w:type="spellStart"/>
      <w:r w:rsidRPr="009C67B8">
        <w:rPr>
          <w:i/>
          <w:iCs/>
        </w:rPr>
        <w:t>Rate</w:t>
      </w:r>
      <w:proofErr w:type="spellEnd"/>
      <w:r w:rsidRPr="009C67B8">
        <w:rPr>
          <w:i/>
          <w:iCs/>
        </w:rPr>
        <w:t xml:space="preserve"> </w:t>
      </w:r>
      <w:proofErr w:type="spellStart"/>
      <w:r w:rsidRPr="009C67B8">
        <w:rPr>
          <w:i/>
          <w:iCs/>
        </w:rPr>
        <w:t>of</w:t>
      </w:r>
      <w:proofErr w:type="spellEnd"/>
      <w:r w:rsidRPr="009C67B8">
        <w:rPr>
          <w:i/>
          <w:iCs/>
        </w:rPr>
        <w:t xml:space="preserve"> Exchange,</w:t>
      </w:r>
      <w:r w:rsidRPr="009C67B8">
        <w:t xml:space="preserve"> por sus siglas en inglés) en la fecha de la valoración </w:t>
      </w:r>
      <w:r w:rsidRPr="2005F705">
        <w:rPr>
          <w:color w:val="333333"/>
        </w:rPr>
        <w:t>(</w:t>
      </w:r>
      <w:hyperlink r:id="rId19">
        <w:r w:rsidRPr="2005F705">
          <w:rPr>
            <w:rStyle w:val="Hyperlink"/>
          </w:rPr>
          <w:t>Anexo 3</w:t>
        </w:r>
      </w:hyperlink>
      <w:r w:rsidRPr="2005F705">
        <w:rPr>
          <w:color w:val="333333"/>
        </w:rPr>
        <w:t xml:space="preserve">) </w:t>
      </w:r>
      <w:r w:rsidRPr="009C67B8">
        <w:t>y de la certificación</w:t>
      </w:r>
      <w:r w:rsidR="3538029C" w:rsidRPr="009C67B8">
        <w:t xml:space="preserve"> anual</w:t>
      </w:r>
      <w:r w:rsidRPr="009C67B8">
        <w:t xml:space="preserve"> de cierre de ejercicio </w:t>
      </w:r>
      <w:r w:rsidRPr="2005F705">
        <w:rPr>
          <w:color w:val="333333"/>
        </w:rPr>
        <w:t>(</w:t>
      </w:r>
      <w:hyperlink r:id="rId20">
        <w:r w:rsidRPr="2005F705">
          <w:rPr>
            <w:rStyle w:val="Hyperlink"/>
          </w:rPr>
          <w:t>Anexo 2</w:t>
        </w:r>
      </w:hyperlink>
      <w:r w:rsidRPr="009C67B8">
        <w:t>). La fecha de entrada en vigor del UNORE debe reflejarse en el Anexo.</w:t>
      </w:r>
    </w:p>
    <w:p w14:paraId="29798526" w14:textId="77777777" w:rsidR="0024272D" w:rsidRPr="00715F31" w:rsidRDefault="0024272D" w:rsidP="0024272D">
      <w:pPr>
        <w:shd w:val="clear" w:color="auto" w:fill="FFFFFF"/>
        <w:spacing w:after="0" w:line="270" w:lineRule="atLeast"/>
        <w:jc w:val="both"/>
        <w:textAlignment w:val="top"/>
        <w:rPr>
          <w:rFonts w:eastAsia="Times New Roman" w:cs="Arial"/>
          <w:color w:val="333333"/>
        </w:rPr>
      </w:pPr>
      <w:r>
        <w:rPr>
          <w:color w:val="333333"/>
        </w:rPr>
        <w:t> </w:t>
      </w:r>
    </w:p>
    <w:p w14:paraId="35F5CC16" w14:textId="77777777" w:rsidR="0024272D" w:rsidRPr="009C67B8" w:rsidRDefault="0024272D" w:rsidP="0024272D">
      <w:pPr>
        <w:shd w:val="clear" w:color="auto" w:fill="FFFFFF"/>
        <w:spacing w:after="0" w:line="270" w:lineRule="atLeast"/>
        <w:jc w:val="both"/>
        <w:textAlignment w:val="top"/>
        <w:rPr>
          <w:rFonts w:eastAsia="Times New Roman" w:cs="Arial"/>
        </w:rPr>
      </w:pPr>
      <w:r w:rsidRPr="009C67B8">
        <w:rPr>
          <w:b/>
          <w:bCs/>
        </w:rPr>
        <w:t>Certificación anual</w:t>
      </w:r>
    </w:p>
    <w:p w14:paraId="31A33432" w14:textId="77777777" w:rsidR="0024272D" w:rsidRPr="009C67B8" w:rsidRDefault="0024272D" w:rsidP="0024272D">
      <w:pPr>
        <w:shd w:val="clear" w:color="auto" w:fill="FFFFFF"/>
        <w:spacing w:after="0" w:line="270" w:lineRule="atLeast"/>
        <w:jc w:val="both"/>
        <w:textAlignment w:val="top"/>
        <w:rPr>
          <w:rFonts w:eastAsia="Times New Roman" w:cs="Arial"/>
        </w:rPr>
      </w:pPr>
      <w:r w:rsidRPr="009C67B8">
        <w:t> </w:t>
      </w:r>
    </w:p>
    <w:p w14:paraId="5D163196" w14:textId="77777777" w:rsidR="0024272D" w:rsidRPr="00715F31" w:rsidRDefault="0024272D" w:rsidP="00AE1594">
      <w:pPr>
        <w:pStyle w:val="ListParagraph"/>
        <w:numPr>
          <w:ilvl w:val="0"/>
          <w:numId w:val="1"/>
        </w:numPr>
        <w:shd w:val="clear" w:color="auto" w:fill="FFFFFF"/>
        <w:spacing w:after="0" w:line="240" w:lineRule="auto"/>
        <w:jc w:val="both"/>
        <w:textAlignment w:val="top"/>
        <w:rPr>
          <w:rFonts w:eastAsia="Times New Roman" w:cs="Arial"/>
          <w:color w:val="333333"/>
        </w:rPr>
      </w:pPr>
      <w:r w:rsidRPr="009C67B8">
        <w:t xml:space="preserve">Se requiere que todas las Oficinas del PNUD certifiquen el derecho donado a utilizar las instalaciones en cada cierre de ejercicio. La oficina debe preparar la carta de certificación anual y enviarla a la sede con una copia del informe de evaluación (ya sea del Tasador Independiente, del Gobierno o del PNUD). Véase el </w:t>
      </w:r>
      <w:hyperlink r:id="rId21" w:history="1">
        <w:r>
          <w:rPr>
            <w:rStyle w:val="Hyperlink"/>
          </w:rPr>
          <w:t>Anexo 4</w:t>
        </w:r>
      </w:hyperlink>
      <w:r>
        <w:t xml:space="preserve"> </w:t>
      </w:r>
      <w:r w:rsidRPr="009C67B8">
        <w:t>para obtener información sobre la carta de certificación. La oficina también deberá registrar mediante actas todas conversaciones con el Gobierno y adjuntarlas a la certificación anual.  La certificación también debe mostrar claramente el desglose del espacio ocupado por la oficina Local y el espacio ocupado por los proyectos del PNUD y las instalaciones comunes compartidas con otros organismos de las Naciones Unidas, si los hubiera. Todos los montos de la valoración deben estar en moneda local, con la conversión a USD realizada con el UNORE en la fecha de la certificación. La fecha de entrada en vigor del UNORE debe reflejarse en la certificación.</w:t>
      </w:r>
    </w:p>
    <w:p w14:paraId="37793603" w14:textId="77777777" w:rsidR="0024272D" w:rsidRPr="009C67B8" w:rsidRDefault="0024272D" w:rsidP="0024272D">
      <w:pPr>
        <w:shd w:val="clear" w:color="auto" w:fill="FFFFFF"/>
        <w:spacing w:after="0" w:line="270" w:lineRule="atLeast"/>
        <w:jc w:val="both"/>
        <w:textAlignment w:val="top"/>
        <w:rPr>
          <w:rFonts w:eastAsia="Times New Roman" w:cs="Arial"/>
        </w:rPr>
      </w:pPr>
      <w:r w:rsidRPr="009C67B8">
        <w:t> </w:t>
      </w:r>
    </w:p>
    <w:p w14:paraId="4019E7DB" w14:textId="24DE3A8B" w:rsidR="0024272D" w:rsidRPr="009C67B8" w:rsidRDefault="0024272D" w:rsidP="2005F705">
      <w:pPr>
        <w:pStyle w:val="ListParagraph"/>
        <w:numPr>
          <w:ilvl w:val="0"/>
          <w:numId w:val="1"/>
        </w:numPr>
        <w:shd w:val="clear" w:color="auto" w:fill="FFFFFF" w:themeFill="background1"/>
        <w:spacing w:after="0" w:line="240" w:lineRule="auto"/>
        <w:jc w:val="both"/>
        <w:textAlignment w:val="top"/>
        <w:rPr>
          <w:rFonts w:eastAsia="Times New Roman" w:cs="Arial"/>
        </w:rPr>
      </w:pPr>
      <w:r w:rsidRPr="009C67B8">
        <w:t xml:space="preserve">El Buró de Gestión de </w:t>
      </w:r>
      <w:r w:rsidR="3A2F4C4F" w:rsidRPr="009C67B8">
        <w:t>Servicios</w:t>
      </w:r>
      <w:r w:rsidRPr="009C67B8">
        <w:t xml:space="preserve"> (BMS, por sus siglas en inglés) o la Oficina de Gestión Financier</w:t>
      </w:r>
      <w:r w:rsidR="00E2378D">
        <w:t>a</w:t>
      </w:r>
      <w:r w:rsidRPr="009C67B8">
        <w:t xml:space="preserve"> (OFM, por sus siglas en inglés) revisarán y validarán las certificaciones anuales y realizarán las actualizaciones necesarias en los estados financieros y l</w:t>
      </w:r>
      <w:r w:rsidR="2B904C66" w:rsidRPr="009C67B8">
        <w:t>a</w:t>
      </w:r>
      <w:r w:rsidRPr="009C67B8">
        <w:t xml:space="preserve">s </w:t>
      </w:r>
      <w:r w:rsidR="581EA280" w:rsidRPr="009C67B8">
        <w:t>metas</w:t>
      </w:r>
      <w:r w:rsidRPr="009C67B8">
        <w:t xml:space="preserve"> de las GLOC. Cualquier discrepancia o problema identificado se planteará a las oficinas de país.</w:t>
      </w:r>
    </w:p>
    <w:p w14:paraId="3CE0A370" w14:textId="77777777" w:rsidR="0024272D" w:rsidRPr="009C67B8" w:rsidRDefault="0024272D" w:rsidP="0024272D">
      <w:pPr>
        <w:shd w:val="clear" w:color="auto" w:fill="FFFFFF"/>
        <w:spacing w:after="0" w:line="270" w:lineRule="atLeast"/>
        <w:jc w:val="both"/>
        <w:textAlignment w:val="top"/>
        <w:rPr>
          <w:rFonts w:eastAsia="Times New Roman" w:cs="Arial"/>
        </w:rPr>
      </w:pPr>
    </w:p>
    <w:p w14:paraId="10EAC23A" w14:textId="5BAEC630" w:rsidR="00000000" w:rsidRPr="009C67B8" w:rsidRDefault="0024272D" w:rsidP="0093653D">
      <w:pPr>
        <w:pStyle w:val="ListParagraph"/>
        <w:numPr>
          <w:ilvl w:val="0"/>
          <w:numId w:val="1"/>
        </w:numPr>
        <w:shd w:val="clear" w:color="auto" w:fill="FFFFFF"/>
        <w:spacing w:after="0" w:line="240" w:lineRule="auto"/>
        <w:jc w:val="both"/>
        <w:textAlignment w:val="top"/>
      </w:pPr>
      <w:r w:rsidRPr="009C67B8">
        <w:t xml:space="preserve">El valor final de las contribuciones en especie reconocidas en los estados financieros del PNUD se publicará en el Share Point del BMS o la OFM, de manera de reflejar claramente la participación de las contribuciones en especie atribuidas a las GLOC. </w:t>
      </w:r>
    </w:p>
    <w:p w14:paraId="49F53DC7" w14:textId="77777777" w:rsidR="001670FA" w:rsidRDefault="001670FA" w:rsidP="001670FA">
      <w:pPr>
        <w:shd w:val="clear" w:color="auto" w:fill="FFFFFF"/>
        <w:spacing w:after="0" w:line="240" w:lineRule="auto"/>
        <w:jc w:val="both"/>
        <w:textAlignment w:val="top"/>
      </w:pPr>
    </w:p>
    <w:p w14:paraId="25591F83" w14:textId="77777777" w:rsidR="001670FA" w:rsidRDefault="001670FA" w:rsidP="001670FA">
      <w:pPr>
        <w:pStyle w:val="NormalWeb"/>
        <w:shd w:val="clear" w:color="auto" w:fill="FFFFFF"/>
        <w:spacing w:before="0" w:beforeAutospacing="0" w:after="0" w:afterAutospacing="0"/>
        <w:jc w:val="center"/>
        <w:rPr>
          <w:rFonts w:ascii="Calibri" w:hAnsi="Calibri"/>
          <w:color w:val="201F1E"/>
          <w:sz w:val="23"/>
          <w:szCs w:val="23"/>
        </w:rPr>
      </w:pPr>
      <w:r>
        <w:rPr>
          <w:rFonts w:ascii="Calibri" w:hAnsi="Calibri"/>
          <w:i/>
          <w:iCs/>
          <w:color w:val="000000"/>
          <w:bdr w:val="none" w:sz="0" w:space="0" w:color="auto" w:frame="1"/>
        </w:rPr>
        <w:t>Disclaimer: This document was translated from English into Spanish. In the event of any discrepancy between this translation and the original English document, the original English document shall prevail.</w:t>
      </w:r>
    </w:p>
    <w:p w14:paraId="671AAEFE" w14:textId="77777777" w:rsidR="001670FA" w:rsidRDefault="001670FA" w:rsidP="001670FA">
      <w:pPr>
        <w:pStyle w:val="NormalWeb"/>
        <w:shd w:val="clear" w:color="auto" w:fill="FFFFFF"/>
        <w:spacing w:before="0" w:beforeAutospacing="0" w:after="0" w:afterAutospacing="0"/>
        <w:jc w:val="center"/>
        <w:rPr>
          <w:rFonts w:ascii="Calibri" w:hAnsi="Calibri"/>
          <w:color w:val="201F1E"/>
          <w:sz w:val="23"/>
          <w:szCs w:val="23"/>
        </w:rPr>
      </w:pPr>
      <w:r>
        <w:rPr>
          <w:rFonts w:ascii="Calibri" w:hAnsi="Calibri"/>
          <w:i/>
          <w:iCs/>
          <w:color w:val="000000"/>
          <w:bdr w:val="none" w:sz="0" w:space="0" w:color="auto" w:frame="1"/>
        </w:rPr>
        <w:t> </w:t>
      </w:r>
    </w:p>
    <w:p w14:paraId="05B82E47" w14:textId="77777777" w:rsidR="001670FA" w:rsidRPr="001670FA" w:rsidRDefault="001670FA" w:rsidP="001670FA">
      <w:pPr>
        <w:pStyle w:val="NormalWeb"/>
        <w:shd w:val="clear" w:color="auto" w:fill="FFFFFF"/>
        <w:spacing w:before="0" w:beforeAutospacing="0" w:after="0" w:afterAutospacing="0"/>
        <w:jc w:val="center"/>
        <w:rPr>
          <w:rFonts w:ascii="Calibri" w:hAnsi="Calibri"/>
          <w:color w:val="201F1E"/>
          <w:sz w:val="23"/>
          <w:szCs w:val="23"/>
          <w:lang w:val="es-ES_tradnl"/>
        </w:rPr>
      </w:pPr>
      <w:r>
        <w:rPr>
          <w:rFonts w:ascii="Calibri" w:hAnsi="Calibri"/>
          <w:i/>
          <w:iCs/>
          <w:color w:val="000000"/>
          <w:bdr w:val="none" w:sz="0" w:space="0" w:color="auto" w:frame="1"/>
          <w:shd w:val="clear" w:color="auto" w:fill="FFFFFF"/>
          <w:lang w:val="es-ES_tradnl"/>
        </w:rPr>
        <w:lastRenderedPageBreak/>
        <w:t>Descargo de responsabilidad: esta es una traducción de un documento original en inglés. </w:t>
      </w:r>
      <w:r>
        <w:rPr>
          <w:rFonts w:ascii="Calibri" w:hAnsi="Calibri"/>
          <w:i/>
          <w:iCs/>
          <w:color w:val="000000"/>
          <w:bdr w:val="none" w:sz="0" w:space="0" w:color="auto" w:frame="1"/>
          <w:shd w:val="clear" w:color="auto" w:fill="FFFFFF"/>
          <w:lang w:val="es-UY"/>
        </w:rPr>
        <w:t>En caso de discrepancias entre esta traducción y el documento original en inglés, prevalecerá el documento original en inglés.</w:t>
      </w:r>
    </w:p>
    <w:p w14:paraId="1EBDDCAD" w14:textId="77777777" w:rsidR="001670FA" w:rsidRPr="001670FA" w:rsidRDefault="001670FA" w:rsidP="001670FA">
      <w:pPr>
        <w:shd w:val="clear" w:color="auto" w:fill="FFFFFF"/>
        <w:spacing w:after="0" w:line="240" w:lineRule="auto"/>
        <w:jc w:val="both"/>
        <w:textAlignment w:val="top"/>
        <w:rPr>
          <w:lang w:val="es-ES_tradnl"/>
        </w:rPr>
      </w:pPr>
    </w:p>
    <w:sectPr w:rsidR="001670FA" w:rsidRPr="001670FA">
      <w:headerReference w:type="even" r:id="rId22"/>
      <w:headerReference w:type="default" r:id="rId23"/>
      <w:footerReference w:type="even" r:id="rId24"/>
      <w:footerReference w:type="default" r:id="rId25"/>
      <w:headerReference w:type="first" r:id="rId26"/>
      <w:footerReference w:type="first" r:id="rId2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123313" w14:textId="77777777" w:rsidR="006740BE" w:rsidRDefault="006740BE" w:rsidP="00AE1594">
      <w:pPr>
        <w:spacing w:after="0" w:line="240" w:lineRule="auto"/>
      </w:pPr>
      <w:r>
        <w:separator/>
      </w:r>
    </w:p>
  </w:endnote>
  <w:endnote w:type="continuationSeparator" w:id="0">
    <w:p w14:paraId="11DACCF2" w14:textId="77777777" w:rsidR="006740BE" w:rsidRDefault="006740BE" w:rsidP="00AE15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D503BE" w14:textId="77777777" w:rsidR="00524AC2" w:rsidRDefault="00524A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621AB2" w14:textId="524ADD0A" w:rsidR="00AE1594" w:rsidRDefault="00715F31">
    <w:pPr>
      <w:pStyle w:val="Footer"/>
    </w:pPr>
    <w:r>
      <w:t>Página</w:t>
    </w:r>
    <w:r>
      <w:rPr>
        <w:b/>
      </w:rPr>
      <w:fldChar w:fldCharType="begin"/>
    </w:r>
    <w:r>
      <w:rPr>
        <w:b/>
      </w:rPr>
      <w:instrText xml:space="preserve"> PAGE  \* Arabic  \* MERGEFORMAT </w:instrText>
    </w:r>
    <w:r>
      <w:rPr>
        <w:b/>
      </w:rPr>
      <w:fldChar w:fldCharType="separate"/>
    </w:r>
    <w:r w:rsidR="00EB0A32">
      <w:rPr>
        <w:b/>
        <w:noProof/>
      </w:rPr>
      <w:t>6</w:t>
    </w:r>
    <w:r>
      <w:rPr>
        <w:b/>
      </w:rPr>
      <w:fldChar w:fldCharType="end"/>
    </w:r>
    <w:r>
      <w:t xml:space="preserve"> de </w:t>
    </w:r>
    <w:r>
      <w:rPr>
        <w:b/>
      </w:rPr>
      <w:fldChar w:fldCharType="begin"/>
    </w:r>
    <w:r>
      <w:rPr>
        <w:b/>
      </w:rPr>
      <w:instrText xml:space="preserve"> NUMPAGES  \* Arabic  \* MERGEFORMAT </w:instrText>
    </w:r>
    <w:r>
      <w:rPr>
        <w:b/>
      </w:rPr>
      <w:fldChar w:fldCharType="separate"/>
    </w:r>
    <w:r w:rsidR="00EB0A32">
      <w:rPr>
        <w:b/>
        <w:noProof/>
      </w:rPr>
      <w:t>6</w:t>
    </w:r>
    <w:r>
      <w:rPr>
        <w:b/>
      </w:rPr>
      <w:fldChar w:fldCharType="end"/>
    </w:r>
    <w:r>
      <w:ptab w:relativeTo="margin" w:alignment="center" w:leader="none"/>
    </w:r>
    <w:r>
      <w:t xml:space="preserve">Fecha de entrada en vigor: </w:t>
    </w:r>
    <w:r w:rsidR="00D12254" w:rsidRPr="00D12254">
      <w:t>22/04/2015</w:t>
    </w:r>
    <w:r w:rsidR="00D12254" w:rsidRPr="00D12254">
      <w:t xml:space="preserve"> </w:t>
    </w:r>
    <w:r>
      <w:ptab w:relativeTo="margin" w:alignment="right" w:leader="none"/>
    </w:r>
    <w:proofErr w:type="spellStart"/>
    <w:r>
      <w:t>Version</w:t>
    </w:r>
    <w:proofErr w:type="spellEnd"/>
    <w:r>
      <w:t xml:space="preserve"> #: </w:t>
    </w:r>
    <w:sdt>
      <w:sdtPr>
        <w:alias w:val="POPPRefItemVersion"/>
        <w:tag w:val="UNDP_POPP_REFITEM_VERSION"/>
        <w:id w:val="874741396"/>
        <w:placeholder>
          <w:docPart w:val="6F81AD08EB304BC78693F0B64454B03E"/>
        </w:placeholder>
        <w:dataBinding w:prefixMappings="xmlns:ns0='http://schemas.microsoft.com/office/2006/metadata/properties' xmlns:ns1='http://www.w3.org/2001/XMLSchema-instance' xmlns:ns2='http://schemas.microsoft.com/office/infopath/2007/PartnerControls' xmlns:ns3='8264c5cc-ec60-4b56-8111-ce635d3d139a' xmlns:ns4='e560140e-7b2f-4392-90df-e7567e3021a3' " w:xpath="/ns0:properties[1]/documentManagement[1]/ns3:UNDP_POPP_REFITEM_VERSION[1]" w:storeItemID="{E62893D7-3285-4B5F-B5A5-CF435DB89BB2}"/>
        <w:text/>
      </w:sdtPr>
      <w:sdtContent>
        <w:r w:rsidR="008E67E7">
          <w:t>2</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E9774B" w14:textId="77777777" w:rsidR="00524AC2" w:rsidRDefault="00524A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0E57D6" w14:textId="77777777" w:rsidR="006740BE" w:rsidRDefault="006740BE" w:rsidP="00AE1594">
      <w:pPr>
        <w:spacing w:after="0" w:line="240" w:lineRule="auto"/>
      </w:pPr>
      <w:r>
        <w:separator/>
      </w:r>
    </w:p>
  </w:footnote>
  <w:footnote w:type="continuationSeparator" w:id="0">
    <w:p w14:paraId="583258A9" w14:textId="77777777" w:rsidR="006740BE" w:rsidRDefault="006740BE" w:rsidP="00AE15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202899" w14:textId="77777777" w:rsidR="00524AC2" w:rsidRDefault="00524A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B270CE" w14:textId="48E29D7D" w:rsidR="00AE1594" w:rsidRDefault="00524AC2" w:rsidP="00524AC2">
    <w:pPr>
      <w:pStyle w:val="Header"/>
      <w:spacing w:before="100" w:beforeAutospacing="1" w:after="100" w:afterAutospacing="1"/>
      <w:ind w:left="9360" w:right="43"/>
    </w:pPr>
    <w:r>
      <w:rPr>
        <w:noProof/>
      </w:rPr>
      <w:drawing>
        <wp:inline distT="0" distB="0" distL="0" distR="0" wp14:anchorId="4439F0D2" wp14:editId="7DD86E58">
          <wp:extent cx="293370" cy="578485"/>
          <wp:effectExtent l="0" t="0" r="0" b="0"/>
          <wp:docPr id="288971844" name="Picture 2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8971844" name="Picture 24" descr="Icon&#10;&#10;Description automatically generated"/>
                  <pic:cNvPicPr>
                    <a:picLocks noChangeAspect="1"/>
                  </pic:cNvPicPr>
                </pic:nvPicPr>
                <pic:blipFill rotWithShape="1">
                  <a:blip r:embed="rId1">
                    <a:extLst>
                      <a:ext uri="{28A0092B-C50C-407E-A947-70E740481C1C}">
                        <a14:useLocalDpi xmlns:a14="http://schemas.microsoft.com/office/drawing/2010/main" val="0"/>
                      </a:ext>
                    </a:extLst>
                  </a:blip>
                  <a:srcRect r="3554" b="17704"/>
                  <a:stretch/>
                </pic:blipFill>
                <pic:spPr bwMode="auto">
                  <a:xfrm>
                    <a:off x="0" y="0"/>
                    <a:ext cx="293370" cy="578485"/>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4C520D" w14:textId="77777777" w:rsidR="00524AC2" w:rsidRDefault="00524A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D07389"/>
    <w:multiLevelType w:val="hybridMultilevel"/>
    <w:tmpl w:val="3DC4EE5C"/>
    <w:lvl w:ilvl="0" w:tplc="7B8E7B58">
      <w:start w:val="5"/>
      <w:numFmt w:val="bullet"/>
      <w:lvlText w:val="·"/>
      <w:lvlJc w:val="left"/>
      <w:pPr>
        <w:ind w:left="90" w:hanging="450"/>
      </w:pPr>
      <w:rPr>
        <w:rFonts w:ascii="Calibri" w:eastAsia="Times New Roman" w:hAnsi="Calibri" w:cs="Aria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 w15:restartNumberingAfterBreak="0">
    <w:nsid w:val="3054465E"/>
    <w:multiLevelType w:val="hybridMultilevel"/>
    <w:tmpl w:val="852C5BFC"/>
    <w:lvl w:ilvl="0" w:tplc="FFFFFFFF">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FF2865"/>
    <w:multiLevelType w:val="hybridMultilevel"/>
    <w:tmpl w:val="ED20A59A"/>
    <w:lvl w:ilvl="0" w:tplc="EC58742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3A7C6E1E"/>
    <w:multiLevelType w:val="hybridMultilevel"/>
    <w:tmpl w:val="AE128BD4"/>
    <w:lvl w:ilvl="0" w:tplc="792E45D4">
      <w:start w:val="1"/>
      <w:numFmt w:val="lowerLetter"/>
      <w:lvlText w:val="%1."/>
      <w:lvlJc w:val="left"/>
      <w:pPr>
        <w:ind w:left="1440" w:hanging="36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3D7D1A95"/>
    <w:multiLevelType w:val="hybridMultilevel"/>
    <w:tmpl w:val="C8F047D2"/>
    <w:lvl w:ilvl="0" w:tplc="E85A788A">
      <w:start w:val="1"/>
      <w:numFmt w:val="decimal"/>
      <w:lvlText w:val="%1."/>
      <w:lvlJc w:val="left"/>
      <w:pPr>
        <w:ind w:left="120" w:hanging="48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5" w15:restartNumberingAfterBreak="0">
    <w:nsid w:val="523C1A6C"/>
    <w:multiLevelType w:val="hybridMultilevel"/>
    <w:tmpl w:val="401019C0"/>
    <w:lvl w:ilvl="0" w:tplc="DEEC85AA">
      <w:start w:val="1"/>
      <w:numFmt w:val="lowerLetter"/>
      <w:lvlText w:val="(%1)"/>
      <w:lvlJc w:val="left"/>
      <w:pPr>
        <w:ind w:left="75" w:hanging="435"/>
      </w:pPr>
      <w:rPr>
        <w:rFonts w:hint="default"/>
        <w:i/>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6" w15:restartNumberingAfterBreak="0">
    <w:nsid w:val="58F2033B"/>
    <w:multiLevelType w:val="hybridMultilevel"/>
    <w:tmpl w:val="B9323C7E"/>
    <w:lvl w:ilvl="0" w:tplc="12DAB090">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18F58C0"/>
    <w:multiLevelType w:val="hybridMultilevel"/>
    <w:tmpl w:val="E3FA7E96"/>
    <w:lvl w:ilvl="0" w:tplc="24DA2DE4">
      <w:start w:val="1"/>
      <w:numFmt w:val="lowerLetter"/>
      <w:lvlText w:val="%1."/>
      <w:lvlJc w:val="left"/>
      <w:pPr>
        <w:ind w:left="105" w:hanging="465"/>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8" w15:restartNumberingAfterBreak="0">
    <w:nsid w:val="7258776C"/>
    <w:multiLevelType w:val="hybridMultilevel"/>
    <w:tmpl w:val="55540C84"/>
    <w:lvl w:ilvl="0" w:tplc="0BD40958">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74342599">
    <w:abstractNumId w:val="6"/>
  </w:num>
  <w:num w:numId="2" w16cid:durableId="1890876436">
    <w:abstractNumId w:val="2"/>
  </w:num>
  <w:num w:numId="3" w16cid:durableId="1376275152">
    <w:abstractNumId w:val="5"/>
  </w:num>
  <w:num w:numId="4" w16cid:durableId="2017685525">
    <w:abstractNumId w:val="8"/>
  </w:num>
  <w:num w:numId="5" w16cid:durableId="830145557">
    <w:abstractNumId w:val="4"/>
  </w:num>
  <w:num w:numId="6" w16cid:durableId="189534898">
    <w:abstractNumId w:val="3"/>
  </w:num>
  <w:num w:numId="7" w16cid:durableId="97413155">
    <w:abstractNumId w:val="7"/>
  </w:num>
  <w:num w:numId="8" w16cid:durableId="1117791091">
    <w:abstractNumId w:val="1"/>
  </w:num>
  <w:num w:numId="9" w16cid:durableId="9510098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DEwszCzNDc1NTEyMzJX0lEKTi0uzszPAykwrAUA4LZLDSwAAAA="/>
  </w:docVars>
  <w:rsids>
    <w:rsidRoot w:val="0024272D"/>
    <w:rsid w:val="00047ECF"/>
    <w:rsid w:val="0008544C"/>
    <w:rsid w:val="000C276D"/>
    <w:rsid w:val="000F3518"/>
    <w:rsid w:val="00120D14"/>
    <w:rsid w:val="00147D83"/>
    <w:rsid w:val="001670FA"/>
    <w:rsid w:val="002151FE"/>
    <w:rsid w:val="0024272D"/>
    <w:rsid w:val="0026052A"/>
    <w:rsid w:val="00382980"/>
    <w:rsid w:val="003D186D"/>
    <w:rsid w:val="00411365"/>
    <w:rsid w:val="00524AC2"/>
    <w:rsid w:val="00570CEB"/>
    <w:rsid w:val="005F3256"/>
    <w:rsid w:val="006740BE"/>
    <w:rsid w:val="006971B4"/>
    <w:rsid w:val="006B49DF"/>
    <w:rsid w:val="006D0E18"/>
    <w:rsid w:val="00715F31"/>
    <w:rsid w:val="00725FC7"/>
    <w:rsid w:val="008E67E7"/>
    <w:rsid w:val="009814F2"/>
    <w:rsid w:val="009C67B8"/>
    <w:rsid w:val="009C7955"/>
    <w:rsid w:val="009C7E47"/>
    <w:rsid w:val="00A15740"/>
    <w:rsid w:val="00A63D78"/>
    <w:rsid w:val="00AB6B42"/>
    <w:rsid w:val="00AD6BA3"/>
    <w:rsid w:val="00AE1594"/>
    <w:rsid w:val="00B158AB"/>
    <w:rsid w:val="00B17F6D"/>
    <w:rsid w:val="00C83116"/>
    <w:rsid w:val="00CB5F53"/>
    <w:rsid w:val="00D12254"/>
    <w:rsid w:val="00D46FBB"/>
    <w:rsid w:val="00D71430"/>
    <w:rsid w:val="00D94F67"/>
    <w:rsid w:val="00DB359D"/>
    <w:rsid w:val="00E2378D"/>
    <w:rsid w:val="00E71782"/>
    <w:rsid w:val="00E872DE"/>
    <w:rsid w:val="00EB0A32"/>
    <w:rsid w:val="00ED03F1"/>
    <w:rsid w:val="00F7501A"/>
    <w:rsid w:val="00FC7053"/>
    <w:rsid w:val="00FE5799"/>
    <w:rsid w:val="024F8474"/>
    <w:rsid w:val="056DB86C"/>
    <w:rsid w:val="17BF9D07"/>
    <w:rsid w:val="1A5C5C8F"/>
    <w:rsid w:val="1B6DE89A"/>
    <w:rsid w:val="1BC97AD1"/>
    <w:rsid w:val="2005F705"/>
    <w:rsid w:val="234B1910"/>
    <w:rsid w:val="2B904C66"/>
    <w:rsid w:val="2C936557"/>
    <w:rsid w:val="2D5F4A32"/>
    <w:rsid w:val="3538029C"/>
    <w:rsid w:val="382900AE"/>
    <w:rsid w:val="3A2F4C4F"/>
    <w:rsid w:val="40BD202A"/>
    <w:rsid w:val="4EF64D3F"/>
    <w:rsid w:val="4F913229"/>
    <w:rsid w:val="581EA280"/>
    <w:rsid w:val="585526E0"/>
    <w:rsid w:val="5D209094"/>
    <w:rsid w:val="5E318190"/>
    <w:rsid w:val="643A4692"/>
    <w:rsid w:val="653DEEDD"/>
    <w:rsid w:val="670812E0"/>
    <w:rsid w:val="6E11C29C"/>
    <w:rsid w:val="6EBDA67D"/>
    <w:rsid w:val="7B74BB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FB4C7B"/>
  <w15:docId w15:val="{049A3D22-9455-4B1E-A83D-658C4F20D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5FC7"/>
    <w:pPr>
      <w:ind w:left="720"/>
      <w:contextualSpacing/>
    </w:pPr>
  </w:style>
  <w:style w:type="character" w:styleId="Hyperlink">
    <w:name w:val="Hyperlink"/>
    <w:basedOn w:val="DefaultParagraphFont"/>
    <w:uiPriority w:val="99"/>
    <w:unhideWhenUsed/>
    <w:rsid w:val="000C276D"/>
    <w:rPr>
      <w:color w:val="0563C1" w:themeColor="hyperlink"/>
      <w:u w:val="single"/>
    </w:rPr>
  </w:style>
  <w:style w:type="paragraph" w:styleId="Header">
    <w:name w:val="header"/>
    <w:basedOn w:val="Normal"/>
    <w:link w:val="HeaderChar"/>
    <w:uiPriority w:val="99"/>
    <w:unhideWhenUsed/>
    <w:rsid w:val="00AE15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1594"/>
  </w:style>
  <w:style w:type="paragraph" w:styleId="Footer">
    <w:name w:val="footer"/>
    <w:basedOn w:val="Normal"/>
    <w:link w:val="FooterChar"/>
    <w:uiPriority w:val="99"/>
    <w:unhideWhenUsed/>
    <w:rsid w:val="00AE15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1594"/>
  </w:style>
  <w:style w:type="character" w:styleId="PlaceholderText">
    <w:name w:val="Placeholder Text"/>
    <w:basedOn w:val="DefaultParagraphFont"/>
    <w:uiPriority w:val="99"/>
    <w:semiHidden/>
    <w:rsid w:val="00C83116"/>
    <w:rPr>
      <w:color w:val="808080"/>
    </w:rPr>
  </w:style>
  <w:style w:type="paragraph" w:styleId="BalloonText">
    <w:name w:val="Balloon Text"/>
    <w:basedOn w:val="Normal"/>
    <w:link w:val="BalloonTextChar"/>
    <w:uiPriority w:val="99"/>
    <w:semiHidden/>
    <w:unhideWhenUsed/>
    <w:rsid w:val="00715F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5F31"/>
    <w:rPr>
      <w:rFonts w:ascii="Tahoma" w:hAnsi="Tahoma" w:cs="Tahoma"/>
      <w:sz w:val="16"/>
      <w:szCs w:val="16"/>
    </w:rPr>
  </w:style>
  <w:style w:type="paragraph" w:styleId="CommentText">
    <w:name w:val="annotation text"/>
    <w:basedOn w:val="Normal"/>
    <w:uiPriority w:val="99"/>
    <w:semiHidden/>
    <w:unhideWhenUsed/>
    <w:pPr>
      <w:spacing w:line="240" w:lineRule="auto"/>
    </w:pPr>
    <w:rPr>
      <w:sz w:val="20"/>
      <w:szCs w:val="20"/>
    </w:rPr>
  </w:style>
  <w:style w:type="character" w:styleId="CommentReference">
    <w:name w:val="annotation reference"/>
    <w:basedOn w:val="DefaultParagraphFont"/>
    <w:uiPriority w:val="99"/>
    <w:semiHidden/>
    <w:unhideWhenUsed/>
    <w:rPr>
      <w:sz w:val="16"/>
      <w:szCs w:val="16"/>
    </w:rPr>
  </w:style>
  <w:style w:type="paragraph" w:styleId="NormalWeb">
    <w:name w:val="Normal (Web)"/>
    <w:basedOn w:val="Normal"/>
    <w:uiPriority w:val="99"/>
    <w:semiHidden/>
    <w:unhideWhenUsed/>
    <w:rsid w:val="001670FA"/>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UnresolvedMention">
    <w:name w:val="Unresolved Mention"/>
    <w:basedOn w:val="DefaultParagraphFont"/>
    <w:uiPriority w:val="99"/>
    <w:semiHidden/>
    <w:unhideWhenUsed/>
    <w:rsid w:val="00E872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21299125">
      <w:bodyDiv w:val="1"/>
      <w:marLeft w:val="0"/>
      <w:marRight w:val="0"/>
      <w:marTop w:val="0"/>
      <w:marBottom w:val="0"/>
      <w:divBdr>
        <w:top w:val="none" w:sz="0" w:space="0" w:color="auto"/>
        <w:left w:val="none" w:sz="0" w:space="0" w:color="auto"/>
        <w:bottom w:val="none" w:sz="0" w:space="0" w:color="auto"/>
        <w:right w:val="none" w:sz="0" w:space="0" w:color="auto"/>
      </w:divBdr>
      <w:divsChild>
        <w:div w:id="285353018">
          <w:marLeft w:val="0"/>
          <w:marRight w:val="0"/>
          <w:marTop w:val="0"/>
          <w:marBottom w:val="0"/>
          <w:divBdr>
            <w:top w:val="none" w:sz="0" w:space="0" w:color="auto"/>
            <w:left w:val="none" w:sz="0" w:space="0" w:color="auto"/>
            <w:bottom w:val="none" w:sz="0" w:space="0" w:color="auto"/>
            <w:right w:val="none" w:sz="0" w:space="0" w:color="auto"/>
          </w:divBdr>
          <w:divsChild>
            <w:div w:id="1754468820">
              <w:marLeft w:val="0"/>
              <w:marRight w:val="0"/>
              <w:marTop w:val="0"/>
              <w:marBottom w:val="0"/>
              <w:divBdr>
                <w:top w:val="none" w:sz="0" w:space="0" w:color="auto"/>
                <w:left w:val="none" w:sz="0" w:space="0" w:color="auto"/>
                <w:bottom w:val="none" w:sz="0" w:space="0" w:color="auto"/>
                <w:right w:val="none" w:sz="0" w:space="0" w:color="auto"/>
              </w:divBdr>
              <w:divsChild>
                <w:div w:id="873924748">
                  <w:marLeft w:val="0"/>
                  <w:marRight w:val="0"/>
                  <w:marTop w:val="0"/>
                  <w:marBottom w:val="300"/>
                  <w:divBdr>
                    <w:top w:val="none" w:sz="0" w:space="0" w:color="auto"/>
                    <w:left w:val="none" w:sz="0" w:space="0" w:color="auto"/>
                    <w:bottom w:val="none" w:sz="0" w:space="0" w:color="auto"/>
                    <w:right w:val="none" w:sz="0" w:space="0" w:color="auto"/>
                  </w:divBdr>
                  <w:divsChild>
                    <w:div w:id="494493667">
                      <w:marLeft w:val="2325"/>
                      <w:marRight w:val="0"/>
                      <w:marTop w:val="0"/>
                      <w:marBottom w:val="0"/>
                      <w:divBdr>
                        <w:top w:val="none" w:sz="0" w:space="0" w:color="auto"/>
                        <w:left w:val="none" w:sz="0" w:space="0" w:color="auto"/>
                        <w:bottom w:val="none" w:sz="0" w:space="0" w:color="auto"/>
                        <w:right w:val="none" w:sz="0" w:space="0" w:color="auto"/>
                      </w:divBdr>
                      <w:divsChild>
                        <w:div w:id="1203666817">
                          <w:marLeft w:val="0"/>
                          <w:marRight w:val="0"/>
                          <w:marTop w:val="0"/>
                          <w:marBottom w:val="0"/>
                          <w:divBdr>
                            <w:top w:val="none" w:sz="0" w:space="0" w:color="auto"/>
                            <w:left w:val="none" w:sz="0" w:space="0" w:color="auto"/>
                            <w:bottom w:val="none" w:sz="0" w:space="0" w:color="auto"/>
                            <w:right w:val="none" w:sz="0" w:space="0" w:color="auto"/>
                          </w:divBdr>
                          <w:divsChild>
                            <w:div w:id="432475602">
                              <w:marLeft w:val="0"/>
                              <w:marRight w:val="0"/>
                              <w:marTop w:val="0"/>
                              <w:marBottom w:val="0"/>
                              <w:divBdr>
                                <w:top w:val="none" w:sz="0" w:space="0" w:color="auto"/>
                                <w:left w:val="none" w:sz="0" w:space="0" w:color="auto"/>
                                <w:bottom w:val="none" w:sz="0" w:space="0" w:color="auto"/>
                                <w:right w:val="none" w:sz="0" w:space="0" w:color="auto"/>
                              </w:divBdr>
                              <w:divsChild>
                                <w:div w:id="259261558">
                                  <w:marLeft w:val="0"/>
                                  <w:marRight w:val="0"/>
                                  <w:marTop w:val="0"/>
                                  <w:marBottom w:val="0"/>
                                  <w:divBdr>
                                    <w:top w:val="none" w:sz="0" w:space="0" w:color="auto"/>
                                    <w:left w:val="none" w:sz="0" w:space="0" w:color="auto"/>
                                    <w:bottom w:val="none" w:sz="0" w:space="0" w:color="auto"/>
                                    <w:right w:val="none" w:sz="0" w:space="0" w:color="auto"/>
                                  </w:divBdr>
                                  <w:divsChild>
                                    <w:div w:id="578293811">
                                      <w:marLeft w:val="0"/>
                                      <w:marRight w:val="0"/>
                                      <w:marTop w:val="0"/>
                                      <w:marBottom w:val="0"/>
                                      <w:divBdr>
                                        <w:top w:val="none" w:sz="0" w:space="0" w:color="auto"/>
                                        <w:left w:val="none" w:sz="0" w:space="0" w:color="auto"/>
                                        <w:bottom w:val="none" w:sz="0" w:space="0" w:color="auto"/>
                                        <w:right w:val="none" w:sz="0" w:space="0" w:color="auto"/>
                                      </w:divBdr>
                                      <w:divsChild>
                                        <w:div w:id="172913319">
                                          <w:marLeft w:val="0"/>
                                          <w:marRight w:val="-3525"/>
                                          <w:marTop w:val="0"/>
                                          <w:marBottom w:val="0"/>
                                          <w:divBdr>
                                            <w:top w:val="none" w:sz="0" w:space="0" w:color="auto"/>
                                            <w:left w:val="none" w:sz="0" w:space="0" w:color="auto"/>
                                            <w:bottom w:val="none" w:sz="0" w:space="0" w:color="auto"/>
                                            <w:right w:val="none" w:sz="0" w:space="0" w:color="auto"/>
                                          </w:divBdr>
                                          <w:divsChild>
                                            <w:div w:id="663357270">
                                              <w:marLeft w:val="0"/>
                                              <w:marRight w:val="3225"/>
                                              <w:marTop w:val="0"/>
                                              <w:marBottom w:val="0"/>
                                              <w:divBdr>
                                                <w:top w:val="none" w:sz="0" w:space="0" w:color="auto"/>
                                                <w:left w:val="none" w:sz="0" w:space="0" w:color="auto"/>
                                                <w:bottom w:val="none" w:sz="0" w:space="0" w:color="auto"/>
                                                <w:right w:val="none" w:sz="0" w:space="0" w:color="auto"/>
                                              </w:divBdr>
                                              <w:divsChild>
                                                <w:div w:id="1425957245">
                                                  <w:marLeft w:val="0"/>
                                                  <w:marRight w:val="0"/>
                                                  <w:marTop w:val="0"/>
                                                  <w:marBottom w:val="150"/>
                                                  <w:divBdr>
                                                    <w:top w:val="none" w:sz="0" w:space="0" w:color="auto"/>
                                                    <w:left w:val="none" w:sz="0" w:space="0" w:color="auto"/>
                                                    <w:bottom w:val="none" w:sz="0" w:space="0" w:color="auto"/>
                                                    <w:right w:val="none" w:sz="0" w:space="0" w:color="auto"/>
                                                  </w:divBdr>
                                                </w:div>
                                                <w:div w:id="1401635327">
                                                  <w:marLeft w:val="0"/>
                                                  <w:marRight w:val="0"/>
                                                  <w:marTop w:val="0"/>
                                                  <w:marBottom w:val="0"/>
                                                  <w:divBdr>
                                                    <w:top w:val="none" w:sz="0" w:space="0" w:color="auto"/>
                                                    <w:left w:val="none" w:sz="0" w:space="0" w:color="auto"/>
                                                    <w:bottom w:val="none" w:sz="0" w:space="0" w:color="auto"/>
                                                    <w:right w:val="none" w:sz="0" w:space="0" w:color="auto"/>
                                                  </w:divBdr>
                                                  <w:divsChild>
                                                    <w:div w:id="453670485">
                                                      <w:marLeft w:val="0"/>
                                                      <w:marRight w:val="0"/>
                                                      <w:marTop w:val="0"/>
                                                      <w:marBottom w:val="0"/>
                                                      <w:divBdr>
                                                        <w:top w:val="none" w:sz="0" w:space="0" w:color="auto"/>
                                                        <w:left w:val="none" w:sz="0" w:space="0" w:color="auto"/>
                                                        <w:bottom w:val="none" w:sz="0" w:space="0" w:color="auto"/>
                                                        <w:right w:val="none" w:sz="0" w:space="0" w:color="auto"/>
                                                      </w:divBdr>
                                                    </w:div>
                                                  </w:divsChild>
                                                </w:div>
                                                <w:div w:id="25251740">
                                                  <w:marLeft w:val="15"/>
                                                  <w:marRight w:val="15"/>
                                                  <w:marTop w:val="15"/>
                                                  <w:marBottom w:val="15"/>
                                                  <w:divBdr>
                                                    <w:top w:val="none" w:sz="0" w:space="0" w:color="auto"/>
                                                    <w:left w:val="none" w:sz="0" w:space="0" w:color="auto"/>
                                                    <w:bottom w:val="none" w:sz="0" w:space="0" w:color="auto"/>
                                                    <w:right w:val="none" w:sz="0" w:space="0" w:color="auto"/>
                                                  </w:divBdr>
                                                  <w:divsChild>
                                                    <w:div w:id="832452237">
                                                      <w:marLeft w:val="0"/>
                                                      <w:marRight w:val="0"/>
                                                      <w:marTop w:val="0"/>
                                                      <w:marBottom w:val="0"/>
                                                      <w:divBdr>
                                                        <w:top w:val="none" w:sz="0" w:space="0" w:color="auto"/>
                                                        <w:left w:val="none" w:sz="0" w:space="0" w:color="auto"/>
                                                        <w:bottom w:val="none" w:sz="0" w:space="0" w:color="auto"/>
                                                        <w:right w:val="none" w:sz="0" w:space="0" w:color="auto"/>
                                                      </w:divBdr>
                                                    </w:div>
                                                    <w:div w:id="1430858500">
                                                      <w:marLeft w:val="0"/>
                                                      <w:marRight w:val="0"/>
                                                      <w:marTop w:val="0"/>
                                                      <w:marBottom w:val="0"/>
                                                      <w:divBdr>
                                                        <w:top w:val="none" w:sz="0" w:space="0" w:color="auto"/>
                                                        <w:left w:val="none" w:sz="0" w:space="0" w:color="auto"/>
                                                        <w:bottom w:val="none" w:sz="0" w:space="0" w:color="auto"/>
                                                        <w:right w:val="none" w:sz="0" w:space="0" w:color="auto"/>
                                                      </w:divBdr>
                                                    </w:div>
                                                    <w:div w:id="1336221937">
                                                      <w:marLeft w:val="0"/>
                                                      <w:marRight w:val="0"/>
                                                      <w:marTop w:val="0"/>
                                                      <w:marBottom w:val="0"/>
                                                      <w:divBdr>
                                                        <w:top w:val="none" w:sz="0" w:space="0" w:color="auto"/>
                                                        <w:left w:val="none" w:sz="0" w:space="0" w:color="auto"/>
                                                        <w:bottom w:val="none" w:sz="0" w:space="0" w:color="auto"/>
                                                        <w:right w:val="none" w:sz="0" w:space="0" w:color="auto"/>
                                                      </w:divBdr>
                                                    </w:div>
                                                    <w:div w:id="1180002201">
                                                      <w:marLeft w:val="0"/>
                                                      <w:marRight w:val="0"/>
                                                      <w:marTop w:val="0"/>
                                                      <w:marBottom w:val="0"/>
                                                      <w:divBdr>
                                                        <w:top w:val="none" w:sz="0" w:space="0" w:color="auto"/>
                                                        <w:left w:val="none" w:sz="0" w:space="0" w:color="auto"/>
                                                        <w:bottom w:val="none" w:sz="0" w:space="0" w:color="auto"/>
                                                        <w:right w:val="none" w:sz="0" w:space="0" w:color="auto"/>
                                                      </w:divBdr>
                                                    </w:div>
                                                    <w:div w:id="1990281591">
                                                      <w:marLeft w:val="0"/>
                                                      <w:marRight w:val="0"/>
                                                      <w:marTop w:val="0"/>
                                                      <w:marBottom w:val="0"/>
                                                      <w:divBdr>
                                                        <w:top w:val="none" w:sz="0" w:space="0" w:color="auto"/>
                                                        <w:left w:val="none" w:sz="0" w:space="0" w:color="auto"/>
                                                        <w:bottom w:val="none" w:sz="0" w:space="0" w:color="auto"/>
                                                        <w:right w:val="none" w:sz="0" w:space="0" w:color="auto"/>
                                                      </w:divBdr>
                                                    </w:div>
                                                    <w:div w:id="1882787453">
                                                      <w:marLeft w:val="0"/>
                                                      <w:marRight w:val="0"/>
                                                      <w:marTop w:val="0"/>
                                                      <w:marBottom w:val="0"/>
                                                      <w:divBdr>
                                                        <w:top w:val="none" w:sz="0" w:space="0" w:color="auto"/>
                                                        <w:left w:val="none" w:sz="0" w:space="0" w:color="auto"/>
                                                        <w:bottom w:val="none" w:sz="0" w:space="0" w:color="auto"/>
                                                        <w:right w:val="none" w:sz="0" w:space="0" w:color="auto"/>
                                                      </w:divBdr>
                                                    </w:div>
                                                    <w:div w:id="1320573821">
                                                      <w:marLeft w:val="0"/>
                                                      <w:marRight w:val="0"/>
                                                      <w:marTop w:val="0"/>
                                                      <w:marBottom w:val="0"/>
                                                      <w:divBdr>
                                                        <w:top w:val="none" w:sz="0" w:space="0" w:color="auto"/>
                                                        <w:left w:val="none" w:sz="0" w:space="0" w:color="auto"/>
                                                        <w:bottom w:val="none" w:sz="0" w:space="0" w:color="auto"/>
                                                        <w:right w:val="none" w:sz="0" w:space="0" w:color="auto"/>
                                                      </w:divBdr>
                                                    </w:div>
                                                    <w:div w:id="1706784850">
                                                      <w:marLeft w:val="0"/>
                                                      <w:marRight w:val="0"/>
                                                      <w:marTop w:val="0"/>
                                                      <w:marBottom w:val="0"/>
                                                      <w:divBdr>
                                                        <w:top w:val="none" w:sz="0" w:space="0" w:color="auto"/>
                                                        <w:left w:val="none" w:sz="0" w:space="0" w:color="auto"/>
                                                        <w:bottom w:val="none" w:sz="0" w:space="0" w:color="auto"/>
                                                        <w:right w:val="none" w:sz="0" w:space="0" w:color="auto"/>
                                                      </w:divBdr>
                                                      <w:divsChild>
                                                        <w:div w:id="2126341485">
                                                          <w:marLeft w:val="0"/>
                                                          <w:marRight w:val="0"/>
                                                          <w:marTop w:val="0"/>
                                                          <w:marBottom w:val="0"/>
                                                          <w:divBdr>
                                                            <w:top w:val="none" w:sz="0" w:space="0" w:color="auto"/>
                                                            <w:left w:val="none" w:sz="0" w:space="0" w:color="auto"/>
                                                            <w:bottom w:val="none" w:sz="0" w:space="0" w:color="auto"/>
                                                            <w:right w:val="none" w:sz="0" w:space="0" w:color="auto"/>
                                                          </w:divBdr>
                                                        </w:div>
                                                        <w:div w:id="1021735560">
                                                          <w:marLeft w:val="0"/>
                                                          <w:marRight w:val="0"/>
                                                          <w:marTop w:val="0"/>
                                                          <w:marBottom w:val="0"/>
                                                          <w:divBdr>
                                                            <w:top w:val="none" w:sz="0" w:space="0" w:color="auto"/>
                                                            <w:left w:val="none" w:sz="0" w:space="0" w:color="auto"/>
                                                            <w:bottom w:val="none" w:sz="0" w:space="0" w:color="auto"/>
                                                            <w:right w:val="none" w:sz="0" w:space="0" w:color="auto"/>
                                                          </w:divBdr>
                                                        </w:div>
                                                        <w:div w:id="1830249782">
                                                          <w:marLeft w:val="0"/>
                                                          <w:marRight w:val="0"/>
                                                          <w:marTop w:val="0"/>
                                                          <w:marBottom w:val="0"/>
                                                          <w:divBdr>
                                                            <w:top w:val="none" w:sz="0" w:space="0" w:color="auto"/>
                                                            <w:left w:val="none" w:sz="0" w:space="0" w:color="auto"/>
                                                            <w:bottom w:val="none" w:sz="0" w:space="0" w:color="auto"/>
                                                            <w:right w:val="none" w:sz="0" w:space="0" w:color="auto"/>
                                                          </w:divBdr>
                                                        </w:div>
                                                        <w:div w:id="1541749484">
                                                          <w:marLeft w:val="0"/>
                                                          <w:marRight w:val="0"/>
                                                          <w:marTop w:val="0"/>
                                                          <w:marBottom w:val="0"/>
                                                          <w:divBdr>
                                                            <w:top w:val="none" w:sz="0" w:space="0" w:color="auto"/>
                                                            <w:left w:val="none" w:sz="0" w:space="0" w:color="auto"/>
                                                            <w:bottom w:val="none" w:sz="0" w:space="0" w:color="auto"/>
                                                            <w:right w:val="none" w:sz="0" w:space="0" w:color="auto"/>
                                                          </w:divBdr>
                                                        </w:div>
                                                        <w:div w:id="328020813">
                                                          <w:marLeft w:val="420"/>
                                                          <w:marRight w:val="0"/>
                                                          <w:marTop w:val="0"/>
                                                          <w:marBottom w:val="0"/>
                                                          <w:divBdr>
                                                            <w:top w:val="none" w:sz="0" w:space="0" w:color="auto"/>
                                                            <w:left w:val="none" w:sz="0" w:space="0" w:color="auto"/>
                                                            <w:bottom w:val="none" w:sz="0" w:space="0" w:color="auto"/>
                                                            <w:right w:val="none" w:sz="0" w:space="0" w:color="auto"/>
                                                          </w:divBdr>
                                                        </w:div>
                                                        <w:div w:id="904796921">
                                                          <w:marLeft w:val="420"/>
                                                          <w:marRight w:val="0"/>
                                                          <w:marTop w:val="0"/>
                                                          <w:marBottom w:val="0"/>
                                                          <w:divBdr>
                                                            <w:top w:val="none" w:sz="0" w:space="0" w:color="auto"/>
                                                            <w:left w:val="none" w:sz="0" w:space="0" w:color="auto"/>
                                                            <w:bottom w:val="none" w:sz="0" w:space="0" w:color="auto"/>
                                                            <w:right w:val="none" w:sz="0" w:space="0" w:color="auto"/>
                                                          </w:divBdr>
                                                        </w:div>
                                                        <w:div w:id="1451778632">
                                                          <w:marLeft w:val="420"/>
                                                          <w:marRight w:val="0"/>
                                                          <w:marTop w:val="0"/>
                                                          <w:marBottom w:val="0"/>
                                                          <w:divBdr>
                                                            <w:top w:val="none" w:sz="0" w:space="0" w:color="auto"/>
                                                            <w:left w:val="none" w:sz="0" w:space="0" w:color="auto"/>
                                                            <w:bottom w:val="none" w:sz="0" w:space="0" w:color="auto"/>
                                                            <w:right w:val="none" w:sz="0" w:space="0" w:color="auto"/>
                                                          </w:divBdr>
                                                        </w:div>
                                                        <w:div w:id="275453959">
                                                          <w:marLeft w:val="0"/>
                                                          <w:marRight w:val="0"/>
                                                          <w:marTop w:val="0"/>
                                                          <w:marBottom w:val="0"/>
                                                          <w:divBdr>
                                                            <w:top w:val="none" w:sz="0" w:space="0" w:color="auto"/>
                                                            <w:left w:val="none" w:sz="0" w:space="0" w:color="auto"/>
                                                            <w:bottom w:val="none" w:sz="0" w:space="0" w:color="auto"/>
                                                            <w:right w:val="none" w:sz="0" w:space="0" w:color="auto"/>
                                                          </w:divBdr>
                                                        </w:div>
                                                        <w:div w:id="1605729148">
                                                          <w:marLeft w:val="0"/>
                                                          <w:marRight w:val="0"/>
                                                          <w:marTop w:val="0"/>
                                                          <w:marBottom w:val="0"/>
                                                          <w:divBdr>
                                                            <w:top w:val="none" w:sz="0" w:space="0" w:color="auto"/>
                                                            <w:left w:val="none" w:sz="0" w:space="0" w:color="auto"/>
                                                            <w:bottom w:val="none" w:sz="0" w:space="0" w:color="auto"/>
                                                            <w:right w:val="none" w:sz="0" w:space="0" w:color="auto"/>
                                                          </w:divBdr>
                                                        </w:div>
                                                        <w:div w:id="1778141171">
                                                          <w:marLeft w:val="540"/>
                                                          <w:marRight w:val="1030"/>
                                                          <w:marTop w:val="0"/>
                                                          <w:marBottom w:val="120"/>
                                                          <w:divBdr>
                                                            <w:top w:val="none" w:sz="0" w:space="0" w:color="auto"/>
                                                            <w:left w:val="none" w:sz="0" w:space="0" w:color="auto"/>
                                                            <w:bottom w:val="none" w:sz="0" w:space="0" w:color="auto"/>
                                                            <w:right w:val="none" w:sz="0" w:space="0" w:color="auto"/>
                                                          </w:divBdr>
                                                        </w:div>
                                                        <w:div w:id="1630162691">
                                                          <w:marLeft w:val="900"/>
                                                          <w:marRight w:val="1030"/>
                                                          <w:marTop w:val="0"/>
                                                          <w:marBottom w:val="200"/>
                                                          <w:divBdr>
                                                            <w:top w:val="none" w:sz="0" w:space="0" w:color="auto"/>
                                                            <w:left w:val="none" w:sz="0" w:space="0" w:color="auto"/>
                                                            <w:bottom w:val="none" w:sz="0" w:space="0" w:color="auto"/>
                                                            <w:right w:val="none" w:sz="0" w:space="0" w:color="auto"/>
                                                          </w:divBdr>
                                                        </w:div>
                                                        <w:div w:id="1081173321">
                                                          <w:marLeft w:val="900"/>
                                                          <w:marRight w:val="1030"/>
                                                          <w:marTop w:val="0"/>
                                                          <w:marBottom w:val="200"/>
                                                          <w:divBdr>
                                                            <w:top w:val="none" w:sz="0" w:space="0" w:color="auto"/>
                                                            <w:left w:val="none" w:sz="0" w:space="0" w:color="auto"/>
                                                            <w:bottom w:val="none" w:sz="0" w:space="0" w:color="auto"/>
                                                            <w:right w:val="none" w:sz="0" w:space="0" w:color="auto"/>
                                                          </w:divBdr>
                                                        </w:div>
                                                        <w:div w:id="1317339168">
                                                          <w:marLeft w:val="900"/>
                                                          <w:marRight w:val="1030"/>
                                                          <w:marTop w:val="0"/>
                                                          <w:marBottom w:val="200"/>
                                                          <w:divBdr>
                                                            <w:top w:val="none" w:sz="0" w:space="0" w:color="auto"/>
                                                            <w:left w:val="none" w:sz="0" w:space="0" w:color="auto"/>
                                                            <w:bottom w:val="none" w:sz="0" w:space="0" w:color="auto"/>
                                                            <w:right w:val="none" w:sz="0" w:space="0" w:color="auto"/>
                                                          </w:divBdr>
                                                        </w:div>
                                                        <w:div w:id="1121265636">
                                                          <w:marLeft w:val="900"/>
                                                          <w:marRight w:val="1030"/>
                                                          <w:marTop w:val="0"/>
                                                          <w:marBottom w:val="200"/>
                                                          <w:divBdr>
                                                            <w:top w:val="none" w:sz="0" w:space="0" w:color="auto"/>
                                                            <w:left w:val="none" w:sz="0" w:space="0" w:color="auto"/>
                                                            <w:bottom w:val="none" w:sz="0" w:space="0" w:color="auto"/>
                                                            <w:right w:val="none" w:sz="0" w:space="0" w:color="auto"/>
                                                          </w:divBdr>
                                                        </w:div>
                                                        <w:div w:id="2019573566">
                                                          <w:marLeft w:val="900"/>
                                                          <w:marRight w:val="1030"/>
                                                          <w:marTop w:val="0"/>
                                                          <w:marBottom w:val="200"/>
                                                          <w:divBdr>
                                                            <w:top w:val="none" w:sz="0" w:space="0" w:color="auto"/>
                                                            <w:left w:val="none" w:sz="0" w:space="0" w:color="auto"/>
                                                            <w:bottom w:val="none" w:sz="0" w:space="0" w:color="auto"/>
                                                            <w:right w:val="none" w:sz="0" w:space="0" w:color="auto"/>
                                                          </w:divBdr>
                                                        </w:div>
                                                        <w:div w:id="1181510747">
                                                          <w:marLeft w:val="900"/>
                                                          <w:marRight w:val="1030"/>
                                                          <w:marTop w:val="0"/>
                                                          <w:marBottom w:val="0"/>
                                                          <w:divBdr>
                                                            <w:top w:val="none" w:sz="0" w:space="0" w:color="auto"/>
                                                            <w:left w:val="none" w:sz="0" w:space="0" w:color="auto"/>
                                                            <w:bottom w:val="none" w:sz="0" w:space="0" w:color="auto"/>
                                                            <w:right w:val="none" w:sz="0" w:space="0" w:color="auto"/>
                                                          </w:divBdr>
                                                        </w:div>
                                                        <w:div w:id="90124482">
                                                          <w:marLeft w:val="0"/>
                                                          <w:marRight w:val="0"/>
                                                          <w:marTop w:val="0"/>
                                                          <w:marBottom w:val="0"/>
                                                          <w:divBdr>
                                                            <w:top w:val="none" w:sz="0" w:space="0" w:color="auto"/>
                                                            <w:left w:val="none" w:sz="0" w:space="0" w:color="auto"/>
                                                            <w:bottom w:val="none" w:sz="0" w:space="0" w:color="auto"/>
                                                            <w:right w:val="none" w:sz="0" w:space="0" w:color="auto"/>
                                                          </w:divBdr>
                                                        </w:div>
                                                        <w:div w:id="463160185">
                                                          <w:marLeft w:val="0"/>
                                                          <w:marRight w:val="0"/>
                                                          <w:marTop w:val="0"/>
                                                          <w:marBottom w:val="0"/>
                                                          <w:divBdr>
                                                            <w:top w:val="none" w:sz="0" w:space="0" w:color="auto"/>
                                                            <w:left w:val="none" w:sz="0" w:space="0" w:color="auto"/>
                                                            <w:bottom w:val="none" w:sz="0" w:space="0" w:color="auto"/>
                                                            <w:right w:val="none" w:sz="0" w:space="0" w:color="auto"/>
                                                          </w:divBdr>
                                                        </w:div>
                                                        <w:div w:id="514419386">
                                                          <w:marLeft w:val="0"/>
                                                          <w:marRight w:val="0"/>
                                                          <w:marTop w:val="0"/>
                                                          <w:marBottom w:val="0"/>
                                                          <w:divBdr>
                                                            <w:top w:val="none" w:sz="0" w:space="0" w:color="auto"/>
                                                            <w:left w:val="none" w:sz="0" w:space="0" w:color="auto"/>
                                                            <w:bottom w:val="none" w:sz="0" w:space="0" w:color="auto"/>
                                                            <w:right w:val="none" w:sz="0" w:space="0" w:color="auto"/>
                                                          </w:divBdr>
                                                        </w:div>
                                                        <w:div w:id="230429729">
                                                          <w:marLeft w:val="0"/>
                                                          <w:marRight w:val="0"/>
                                                          <w:marTop w:val="0"/>
                                                          <w:marBottom w:val="0"/>
                                                          <w:divBdr>
                                                            <w:top w:val="none" w:sz="0" w:space="0" w:color="auto"/>
                                                            <w:left w:val="none" w:sz="0" w:space="0" w:color="auto"/>
                                                            <w:bottom w:val="none" w:sz="0" w:space="0" w:color="auto"/>
                                                            <w:right w:val="none" w:sz="0" w:space="0" w:color="auto"/>
                                                          </w:divBdr>
                                                        </w:div>
                                                        <w:div w:id="1045829635">
                                                          <w:marLeft w:val="0"/>
                                                          <w:marRight w:val="0"/>
                                                          <w:marTop w:val="0"/>
                                                          <w:marBottom w:val="0"/>
                                                          <w:divBdr>
                                                            <w:top w:val="none" w:sz="0" w:space="0" w:color="auto"/>
                                                            <w:left w:val="none" w:sz="0" w:space="0" w:color="auto"/>
                                                            <w:bottom w:val="none" w:sz="0" w:space="0" w:color="auto"/>
                                                            <w:right w:val="none" w:sz="0" w:space="0" w:color="auto"/>
                                                          </w:divBdr>
                                                        </w:div>
                                                        <w:div w:id="1122846344">
                                                          <w:marLeft w:val="0"/>
                                                          <w:marRight w:val="0"/>
                                                          <w:marTop w:val="0"/>
                                                          <w:marBottom w:val="0"/>
                                                          <w:divBdr>
                                                            <w:top w:val="none" w:sz="0" w:space="0" w:color="auto"/>
                                                            <w:left w:val="none" w:sz="0" w:space="0" w:color="auto"/>
                                                            <w:bottom w:val="none" w:sz="0" w:space="0" w:color="auto"/>
                                                            <w:right w:val="none" w:sz="0" w:space="0" w:color="auto"/>
                                                          </w:divBdr>
                                                        </w:div>
                                                        <w:div w:id="1747530301">
                                                          <w:marLeft w:val="0"/>
                                                          <w:marRight w:val="0"/>
                                                          <w:marTop w:val="0"/>
                                                          <w:marBottom w:val="0"/>
                                                          <w:divBdr>
                                                            <w:top w:val="none" w:sz="0" w:space="0" w:color="auto"/>
                                                            <w:left w:val="none" w:sz="0" w:space="0" w:color="auto"/>
                                                            <w:bottom w:val="none" w:sz="0" w:space="0" w:color="auto"/>
                                                            <w:right w:val="none" w:sz="0" w:space="0" w:color="auto"/>
                                                          </w:divBdr>
                                                        </w:div>
                                                        <w:div w:id="1906840491">
                                                          <w:marLeft w:val="0"/>
                                                          <w:marRight w:val="0"/>
                                                          <w:marTop w:val="0"/>
                                                          <w:marBottom w:val="0"/>
                                                          <w:divBdr>
                                                            <w:top w:val="none" w:sz="0" w:space="0" w:color="auto"/>
                                                            <w:left w:val="none" w:sz="0" w:space="0" w:color="auto"/>
                                                            <w:bottom w:val="none" w:sz="0" w:space="0" w:color="auto"/>
                                                            <w:right w:val="none" w:sz="0" w:space="0" w:color="auto"/>
                                                          </w:divBdr>
                                                        </w:div>
                                                        <w:div w:id="296691296">
                                                          <w:marLeft w:val="720"/>
                                                          <w:marRight w:val="0"/>
                                                          <w:marTop w:val="0"/>
                                                          <w:marBottom w:val="0"/>
                                                          <w:divBdr>
                                                            <w:top w:val="none" w:sz="0" w:space="0" w:color="auto"/>
                                                            <w:left w:val="none" w:sz="0" w:space="0" w:color="auto"/>
                                                            <w:bottom w:val="none" w:sz="0" w:space="0" w:color="auto"/>
                                                            <w:right w:val="none" w:sz="0" w:space="0" w:color="auto"/>
                                                          </w:divBdr>
                                                        </w:div>
                                                        <w:div w:id="878474234">
                                                          <w:marLeft w:val="720"/>
                                                          <w:marRight w:val="0"/>
                                                          <w:marTop w:val="0"/>
                                                          <w:marBottom w:val="0"/>
                                                          <w:divBdr>
                                                            <w:top w:val="none" w:sz="0" w:space="0" w:color="auto"/>
                                                            <w:left w:val="none" w:sz="0" w:space="0" w:color="auto"/>
                                                            <w:bottom w:val="none" w:sz="0" w:space="0" w:color="auto"/>
                                                            <w:right w:val="none" w:sz="0" w:space="0" w:color="auto"/>
                                                          </w:divBdr>
                                                        </w:div>
                                                      </w:divsChild>
                                                    </w:div>
                                                    <w:div w:id="211968936">
                                                      <w:marLeft w:val="0"/>
                                                      <w:marRight w:val="0"/>
                                                      <w:marTop w:val="0"/>
                                                      <w:marBottom w:val="0"/>
                                                      <w:divBdr>
                                                        <w:top w:val="none" w:sz="0" w:space="0" w:color="auto"/>
                                                        <w:left w:val="none" w:sz="0" w:space="0" w:color="auto"/>
                                                        <w:bottom w:val="none" w:sz="0" w:space="0" w:color="auto"/>
                                                        <w:right w:val="none" w:sz="0" w:space="0" w:color="auto"/>
                                                      </w:divBdr>
                                                    </w:div>
                                                    <w:div w:id="1277635876">
                                                      <w:marLeft w:val="0"/>
                                                      <w:marRight w:val="0"/>
                                                      <w:marTop w:val="0"/>
                                                      <w:marBottom w:val="0"/>
                                                      <w:divBdr>
                                                        <w:top w:val="none" w:sz="0" w:space="0" w:color="auto"/>
                                                        <w:left w:val="none" w:sz="0" w:space="0" w:color="auto"/>
                                                        <w:bottom w:val="none" w:sz="0" w:space="0" w:color="auto"/>
                                                        <w:right w:val="none" w:sz="0" w:space="0" w:color="auto"/>
                                                      </w:divBdr>
                                                    </w:div>
                                                    <w:div w:id="1631282226">
                                                      <w:marLeft w:val="0"/>
                                                      <w:marRight w:val="0"/>
                                                      <w:marTop w:val="0"/>
                                                      <w:marBottom w:val="0"/>
                                                      <w:divBdr>
                                                        <w:top w:val="none" w:sz="0" w:space="0" w:color="auto"/>
                                                        <w:left w:val="none" w:sz="0" w:space="0" w:color="auto"/>
                                                        <w:bottom w:val="none" w:sz="0" w:space="0" w:color="auto"/>
                                                        <w:right w:val="none" w:sz="0" w:space="0" w:color="auto"/>
                                                      </w:divBdr>
                                                    </w:div>
                                                    <w:div w:id="2091000126">
                                                      <w:marLeft w:val="0"/>
                                                      <w:marRight w:val="0"/>
                                                      <w:marTop w:val="0"/>
                                                      <w:marBottom w:val="0"/>
                                                      <w:divBdr>
                                                        <w:top w:val="none" w:sz="0" w:space="0" w:color="auto"/>
                                                        <w:left w:val="none" w:sz="0" w:space="0" w:color="auto"/>
                                                        <w:bottom w:val="none" w:sz="0" w:space="0" w:color="auto"/>
                                                        <w:right w:val="none" w:sz="0" w:space="0" w:color="auto"/>
                                                      </w:divBdr>
                                                    </w:div>
                                                    <w:div w:id="1283488911">
                                                      <w:marLeft w:val="0"/>
                                                      <w:marRight w:val="0"/>
                                                      <w:marTop w:val="0"/>
                                                      <w:marBottom w:val="0"/>
                                                      <w:divBdr>
                                                        <w:top w:val="none" w:sz="0" w:space="0" w:color="auto"/>
                                                        <w:left w:val="none" w:sz="0" w:space="0" w:color="auto"/>
                                                        <w:bottom w:val="none" w:sz="0" w:space="0" w:color="auto"/>
                                                        <w:right w:val="none" w:sz="0" w:space="0" w:color="auto"/>
                                                      </w:divBdr>
                                                    </w:div>
                                                    <w:div w:id="627276415">
                                                      <w:marLeft w:val="0"/>
                                                      <w:marRight w:val="0"/>
                                                      <w:marTop w:val="0"/>
                                                      <w:marBottom w:val="0"/>
                                                      <w:divBdr>
                                                        <w:top w:val="none" w:sz="0" w:space="0" w:color="auto"/>
                                                        <w:left w:val="none" w:sz="0" w:space="0" w:color="auto"/>
                                                        <w:bottom w:val="none" w:sz="0" w:space="0" w:color="auto"/>
                                                        <w:right w:val="none" w:sz="0" w:space="0" w:color="auto"/>
                                                      </w:divBdr>
                                                    </w:div>
                                                    <w:div w:id="1941180385">
                                                      <w:marLeft w:val="0"/>
                                                      <w:marRight w:val="0"/>
                                                      <w:marTop w:val="0"/>
                                                      <w:marBottom w:val="0"/>
                                                      <w:divBdr>
                                                        <w:top w:val="none" w:sz="0" w:space="0" w:color="auto"/>
                                                        <w:left w:val="none" w:sz="0" w:space="0" w:color="auto"/>
                                                        <w:bottom w:val="none" w:sz="0" w:space="0" w:color="auto"/>
                                                        <w:right w:val="none" w:sz="0" w:space="0" w:color="auto"/>
                                                      </w:divBdr>
                                                    </w:div>
                                                    <w:div w:id="1636400987">
                                                      <w:marLeft w:val="0"/>
                                                      <w:marRight w:val="0"/>
                                                      <w:marTop w:val="0"/>
                                                      <w:marBottom w:val="0"/>
                                                      <w:divBdr>
                                                        <w:top w:val="none" w:sz="0" w:space="0" w:color="auto"/>
                                                        <w:left w:val="none" w:sz="0" w:space="0" w:color="auto"/>
                                                        <w:bottom w:val="none" w:sz="0" w:space="0" w:color="auto"/>
                                                        <w:right w:val="none" w:sz="0" w:space="0" w:color="auto"/>
                                                      </w:divBdr>
                                                      <w:divsChild>
                                                        <w:div w:id="693001182">
                                                          <w:marLeft w:val="720"/>
                                                          <w:marRight w:val="0"/>
                                                          <w:marTop w:val="0"/>
                                                          <w:marBottom w:val="0"/>
                                                          <w:divBdr>
                                                            <w:top w:val="none" w:sz="0" w:space="0" w:color="auto"/>
                                                            <w:left w:val="none" w:sz="0" w:space="0" w:color="auto"/>
                                                            <w:bottom w:val="none" w:sz="0" w:space="0" w:color="auto"/>
                                                            <w:right w:val="none" w:sz="0" w:space="0" w:color="auto"/>
                                                          </w:divBdr>
                                                        </w:div>
                                                        <w:div w:id="1930848017">
                                                          <w:marLeft w:val="720"/>
                                                          <w:marRight w:val="0"/>
                                                          <w:marTop w:val="0"/>
                                                          <w:marBottom w:val="0"/>
                                                          <w:divBdr>
                                                            <w:top w:val="none" w:sz="0" w:space="0" w:color="auto"/>
                                                            <w:left w:val="none" w:sz="0" w:space="0" w:color="auto"/>
                                                            <w:bottom w:val="none" w:sz="0" w:space="0" w:color="auto"/>
                                                            <w:right w:val="none" w:sz="0" w:space="0" w:color="auto"/>
                                                          </w:divBdr>
                                                        </w:div>
                                                        <w:div w:id="308749267">
                                                          <w:marLeft w:val="720"/>
                                                          <w:marRight w:val="0"/>
                                                          <w:marTop w:val="0"/>
                                                          <w:marBottom w:val="0"/>
                                                          <w:divBdr>
                                                            <w:top w:val="none" w:sz="0" w:space="0" w:color="auto"/>
                                                            <w:left w:val="none" w:sz="0" w:space="0" w:color="auto"/>
                                                            <w:bottom w:val="none" w:sz="0" w:space="0" w:color="auto"/>
                                                            <w:right w:val="none" w:sz="0" w:space="0" w:color="auto"/>
                                                          </w:divBdr>
                                                        </w:div>
                                                        <w:div w:id="2053075719">
                                                          <w:marLeft w:val="720"/>
                                                          <w:marRight w:val="0"/>
                                                          <w:marTop w:val="0"/>
                                                          <w:marBottom w:val="0"/>
                                                          <w:divBdr>
                                                            <w:top w:val="none" w:sz="0" w:space="0" w:color="auto"/>
                                                            <w:left w:val="none" w:sz="0" w:space="0" w:color="auto"/>
                                                            <w:bottom w:val="none" w:sz="0" w:space="0" w:color="auto"/>
                                                            <w:right w:val="none" w:sz="0" w:space="0" w:color="auto"/>
                                                          </w:divBdr>
                                                        </w:div>
                                                        <w:div w:id="1996453207">
                                                          <w:marLeft w:val="720"/>
                                                          <w:marRight w:val="0"/>
                                                          <w:marTop w:val="100"/>
                                                          <w:marBottom w:val="0"/>
                                                          <w:divBdr>
                                                            <w:top w:val="none" w:sz="0" w:space="0" w:color="auto"/>
                                                            <w:left w:val="none" w:sz="0" w:space="0" w:color="auto"/>
                                                            <w:bottom w:val="none" w:sz="0" w:space="0" w:color="auto"/>
                                                            <w:right w:val="none" w:sz="0" w:space="0" w:color="auto"/>
                                                          </w:divBdr>
                                                        </w:div>
                                                        <w:div w:id="865676523">
                                                          <w:marLeft w:val="720"/>
                                                          <w:marRight w:val="0"/>
                                                          <w:marTop w:val="100"/>
                                                          <w:marBottom w:val="0"/>
                                                          <w:divBdr>
                                                            <w:top w:val="none" w:sz="0" w:space="0" w:color="auto"/>
                                                            <w:left w:val="none" w:sz="0" w:space="0" w:color="auto"/>
                                                            <w:bottom w:val="none" w:sz="0" w:space="0" w:color="auto"/>
                                                            <w:right w:val="none" w:sz="0" w:space="0" w:color="auto"/>
                                                          </w:divBdr>
                                                        </w:div>
                                                        <w:div w:id="1134373740">
                                                          <w:marLeft w:val="540"/>
                                                          <w:marRight w:val="0"/>
                                                          <w:marTop w:val="0"/>
                                                          <w:marBottom w:val="0"/>
                                                          <w:divBdr>
                                                            <w:top w:val="none" w:sz="0" w:space="0" w:color="auto"/>
                                                            <w:left w:val="none" w:sz="0" w:space="0" w:color="auto"/>
                                                            <w:bottom w:val="none" w:sz="0" w:space="0" w:color="auto"/>
                                                            <w:right w:val="none" w:sz="0" w:space="0" w:color="auto"/>
                                                          </w:divBdr>
                                                        </w:div>
                                                        <w:div w:id="1639071578">
                                                          <w:marLeft w:val="540"/>
                                                          <w:marRight w:val="0"/>
                                                          <w:marTop w:val="0"/>
                                                          <w:marBottom w:val="0"/>
                                                          <w:divBdr>
                                                            <w:top w:val="none" w:sz="0" w:space="0" w:color="auto"/>
                                                            <w:left w:val="none" w:sz="0" w:space="0" w:color="auto"/>
                                                            <w:bottom w:val="none" w:sz="0" w:space="0" w:color="auto"/>
                                                            <w:right w:val="none" w:sz="0" w:space="0" w:color="auto"/>
                                                          </w:divBdr>
                                                        </w:div>
                                                        <w:div w:id="2032680767">
                                                          <w:marLeft w:val="0"/>
                                                          <w:marRight w:val="0"/>
                                                          <w:marTop w:val="0"/>
                                                          <w:marBottom w:val="0"/>
                                                          <w:divBdr>
                                                            <w:top w:val="none" w:sz="0" w:space="0" w:color="auto"/>
                                                            <w:left w:val="none" w:sz="0" w:space="0" w:color="auto"/>
                                                            <w:bottom w:val="none" w:sz="0" w:space="0" w:color="auto"/>
                                                            <w:right w:val="none" w:sz="0" w:space="0" w:color="auto"/>
                                                          </w:divBdr>
                                                        </w:div>
                                                        <w:div w:id="1879509999">
                                                          <w:marLeft w:val="0"/>
                                                          <w:marRight w:val="0"/>
                                                          <w:marTop w:val="0"/>
                                                          <w:marBottom w:val="0"/>
                                                          <w:divBdr>
                                                            <w:top w:val="none" w:sz="0" w:space="0" w:color="auto"/>
                                                            <w:left w:val="none" w:sz="0" w:space="0" w:color="auto"/>
                                                            <w:bottom w:val="none" w:sz="0" w:space="0" w:color="auto"/>
                                                            <w:right w:val="none" w:sz="0" w:space="0" w:color="auto"/>
                                                          </w:divBdr>
                                                        </w:div>
                                                        <w:div w:id="1442532285">
                                                          <w:marLeft w:val="0"/>
                                                          <w:marRight w:val="0"/>
                                                          <w:marTop w:val="0"/>
                                                          <w:marBottom w:val="0"/>
                                                          <w:divBdr>
                                                            <w:top w:val="none" w:sz="0" w:space="0" w:color="auto"/>
                                                            <w:left w:val="none" w:sz="0" w:space="0" w:color="auto"/>
                                                            <w:bottom w:val="none" w:sz="0" w:space="0" w:color="auto"/>
                                                            <w:right w:val="none" w:sz="0" w:space="0" w:color="auto"/>
                                                          </w:divBdr>
                                                        </w:div>
                                                        <w:div w:id="872113730">
                                                          <w:marLeft w:val="0"/>
                                                          <w:marRight w:val="0"/>
                                                          <w:marTop w:val="0"/>
                                                          <w:marBottom w:val="0"/>
                                                          <w:divBdr>
                                                            <w:top w:val="none" w:sz="0" w:space="0" w:color="auto"/>
                                                            <w:left w:val="none" w:sz="0" w:space="0" w:color="auto"/>
                                                            <w:bottom w:val="none" w:sz="0" w:space="0" w:color="auto"/>
                                                            <w:right w:val="none" w:sz="0" w:space="0" w:color="auto"/>
                                                          </w:divBdr>
                                                        </w:div>
                                                        <w:div w:id="237790602">
                                                          <w:marLeft w:val="0"/>
                                                          <w:marRight w:val="0"/>
                                                          <w:marTop w:val="0"/>
                                                          <w:marBottom w:val="0"/>
                                                          <w:divBdr>
                                                            <w:top w:val="none" w:sz="0" w:space="0" w:color="auto"/>
                                                            <w:left w:val="none" w:sz="0" w:space="0" w:color="auto"/>
                                                            <w:bottom w:val="none" w:sz="0" w:space="0" w:color="auto"/>
                                                            <w:right w:val="none" w:sz="0" w:space="0" w:color="auto"/>
                                                          </w:divBdr>
                                                        </w:div>
                                                        <w:div w:id="297418313">
                                                          <w:marLeft w:val="0"/>
                                                          <w:marRight w:val="0"/>
                                                          <w:marTop w:val="0"/>
                                                          <w:marBottom w:val="0"/>
                                                          <w:divBdr>
                                                            <w:top w:val="none" w:sz="0" w:space="0" w:color="auto"/>
                                                            <w:left w:val="none" w:sz="0" w:space="0" w:color="auto"/>
                                                            <w:bottom w:val="none" w:sz="0" w:space="0" w:color="auto"/>
                                                            <w:right w:val="none" w:sz="0" w:space="0" w:color="auto"/>
                                                          </w:divBdr>
                                                        </w:div>
                                                        <w:div w:id="146434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56780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popp.undp.org/es/node/10371" TargetMode="External"/><Relationship Id="rId18" Type="http://schemas.openxmlformats.org/officeDocument/2006/relationships/hyperlink" Target="https://popp.undp.org/node/2686"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popp.undp.org/node/2701" TargetMode="External"/><Relationship Id="rId7" Type="http://schemas.openxmlformats.org/officeDocument/2006/relationships/styles" Target="styles.xml"/><Relationship Id="rId12" Type="http://schemas.openxmlformats.org/officeDocument/2006/relationships/hyperlink" Target="https://popp.undp.org/node/2691" TargetMode="External"/><Relationship Id="rId17" Type="http://schemas.openxmlformats.org/officeDocument/2006/relationships/hyperlink" Target="https://popp.undp.org/node/2696"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popp.undp.org/node/2686" TargetMode="External"/><Relationship Id="rId20" Type="http://schemas.openxmlformats.org/officeDocument/2006/relationships/hyperlink" Target="https://popp.undp.org/node/2686"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s://popp.undp.org/node/2696"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popp.undp.org/node/2696"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popp.undp.org/node/2706" TargetMode="External"/><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F81AD08EB304BC78693F0B64454B03E"/>
        <w:category>
          <w:name w:val="General"/>
          <w:gallery w:val="placeholder"/>
        </w:category>
        <w:types>
          <w:type w:val="bbPlcHdr"/>
        </w:types>
        <w:behaviors>
          <w:behavior w:val="content"/>
        </w:behaviors>
        <w:guid w:val="{D94DDD4C-6159-4A10-AA5E-17755835F63C}"/>
      </w:docPartPr>
      <w:docPartBody>
        <w:p w:rsidR="003D7EC0" w:rsidRDefault="00B17F6D">
          <w:r w:rsidRPr="00EC38FF">
            <w:rPr>
              <w:rStyle w:val="PlaceholderText"/>
            </w:rPr>
            <w:t>[POPPRefItemVersion]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9398B"/>
    <w:rsid w:val="0019398B"/>
    <w:rsid w:val="001D7AF8"/>
    <w:rsid w:val="00343EA1"/>
    <w:rsid w:val="003D7EC0"/>
    <w:rsid w:val="00542E36"/>
    <w:rsid w:val="006E5E06"/>
    <w:rsid w:val="008F1981"/>
    <w:rsid w:val="00A04CF6"/>
    <w:rsid w:val="00A15740"/>
    <w:rsid w:val="00B17F6D"/>
    <w:rsid w:val="00B860DC"/>
    <w:rsid w:val="00BB1F3E"/>
    <w:rsid w:val="00C0698C"/>
    <w:rsid w:val="00C469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A32A065"/>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0698C"/>
    <w:rPr>
      <w:color w:val="808080"/>
    </w:rPr>
  </w:style>
  <w:style w:type="paragraph" w:customStyle="1" w:styleId="54E6CEF044BE44C59029B1D1AB1E0A62">
    <w:name w:val="54E6CEF044BE44C59029B1D1AB1E0A62"/>
    <w:rsid w:val="00C0698C"/>
    <w:pPr>
      <w:spacing w:line="278" w:lineRule="auto"/>
    </w:pPr>
    <w:rPr>
      <w:kern w:val="2"/>
      <w:sz w:val="24"/>
      <w:szCs w:val="24"/>
      <w:lang w:val="en-NL" w:eastAsia="en-NL"/>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UNDP_POPP_REFITEM_VERSION xmlns="8264c5cc-ec60-4b56-8111-ce635d3d139a">2</UNDP_POPP_REFITEM_VERSION>
    <Location xmlns="e560140e-7b2f-4392-90df-e7567e3021a3">Public</Location>
    <DLCPolicyLabelLock xmlns="e560140e-7b2f-4392-90df-e7567e3021a3" xsi:nil="true"/>
    <UNDP_POPP_NOTE xmlns="8264c5cc-ec60-4b56-8111-ce635d3d139a" xsi:nil="true"/>
    <TaxCatchAll xmlns="8264c5cc-ec60-4b56-8111-ce635d3d139a">
      <Value>350</Value>
    </TaxCatchAll>
    <DLCPolicyLabelClientValue xmlns="e560140e-7b2f-4392-90df-e7567e3021a3">Effective Date: 22/04/2015                                                Version #: 2.0</DLCPolicyLabelClientValue>
    <UNDP_POPP_PLANNED_REVIEWDATE xmlns="8264c5cc-ec60-4b56-8111-ce635d3d139a" xsi:nil="true"/>
    <UNDP_POPP_DOCUMENT_LANGUAGE xmlns="8264c5cc-ec60-4b56-8111-ce635d3d139a">Spanish</UNDP_POPP_DOCUMENT_LANGUAGE>
    <UNDP_POPP_BUSINESSUNITID_HIDDEN xmlns="8264c5cc-ec60-4b56-8111-ce635d3d139a" xsi:nil="true"/>
    <UNDP_POPP_EFFECTIVEDATE xmlns="8264c5cc-ec60-4b56-8111-ce635d3d139a">2015-04-21T22:00:00+00:00</UNDP_POPP_EFFECTIVEDATE>
    <UNDP_POPP_BUSINESSPROCESS_HIDDEN xmlns="8264c5cc-ec60-4b56-8111-ce635d3d139a">
      <Terms xmlns="http://schemas.microsoft.com/office/infopath/2007/PartnerControls"/>
    </UNDP_POPP_BUSINESSPROCESS_HIDDEN>
    <UNDP_POPP_DOCUMENT_TEMPLATE xmlns="8264c5cc-ec60-4b56-8111-ce635d3d139a" xsi:nil="true"/>
    <UNDP_POPP_TITLE_EN xmlns="8264c5cc-ec60-4b56-8111-ce635d3d139a">Valoración de las contribuciones de los gobiernos para sufragar los gastos locales de las oficinas (GLOC, Government Local Office Costs, por sus siglas en inglés) de la contribución en especie del Gobierno del país receptor</UNDP_POPP_TITLE_EN>
    <UNDP_POPP_FOCALPOINT xmlns="8264c5cc-ec60-4b56-8111-ce635d3d139a">
      <UserInfo>
        <DisplayName/>
        <AccountId xsi:nil="true"/>
        <AccountType/>
      </UserInfo>
    </UNDP_POPP_FOCALPOINT>
    <UNDP_POPP_DOCUMENT_TYPE xmlns="8264c5cc-ec60-4b56-8111-ce635d3d139a">Policy</UNDP_POPP_DOCUMENT_TYPE>
    <UNDP_POPP_ISACTIVE xmlns="8264c5cc-ec60-4b56-8111-ce635d3d139a">true</UNDP_POPP_ISACTIVE>
    <UNDP_POPP_FILEVERSION xmlns="8264c5cc-ec60-4b56-8111-ce635d3d139a">512</UNDP_POPP_FILEVERSION>
    <UNDP_POPP_LASTMODIFIED xmlns="8264c5cc-ec60-4b56-8111-ce635d3d139a" xsi:nil="true"/>
    <UNDP_POPP_VERSION_COMMENTS xmlns="8264c5cc-ec60-4b56-8111-ce635d3d139a" xsi:nil="true"/>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Financial Resources Management</TermName>
          <TermId xmlns="http://schemas.microsoft.com/office/infopath/2007/PartnerControls">682d4c54-a288-412d-bfec-ce5587bbd25c</TermId>
        </TermInfo>
      </Terms>
    </l0e6ef0c43e74560bd7f3acd1f5e8571>
    <_dlc_DocId xmlns="8264c5cc-ec60-4b56-8111-ce635d3d139a">POPP-11-3331</_dlc_DocId>
    <_dlc_DocIdUrl xmlns="8264c5cc-ec60-4b56-8111-ce635d3d139a">
      <Url>https://popp.undp.org/_layouts/15/DocIdRedir.aspx?ID=POPP-11-3331</Url>
      <Description>POPP-11-3331</Description>
    </_dlc_DocIdUrl>
    <DLCPolicyLabelValue xmlns="e560140e-7b2f-4392-90df-e7567e3021a3">Effective Date: 22/04/2015                                                Version #: 2</DLCPolicyLabelValue>
    <UNDP_POPP_REJECT_COMMENTS xmlns="8264c5cc-ec60-4b56-8111-ce635d3d139a" xsi:nil="true"/>
    <POPPIsArchived xmlns="e560140e-7b2f-4392-90df-e7567e3021a3">false</POPPIsArchived>
  </documentManagement>
</p:properties>
</file>

<file path=customXml/item3.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Props1.xml><?xml version="1.0" encoding="utf-8"?>
<ds:datastoreItem xmlns:ds="http://schemas.openxmlformats.org/officeDocument/2006/customXml" ds:itemID="{96B87898-5EAA-40B5-ADDA-3461BEBC6160}">
  <ds:schemaRefs>
    <ds:schemaRef ds:uri="http://schemas.microsoft.com/sharepoint/events"/>
  </ds:schemaRefs>
</ds:datastoreItem>
</file>

<file path=customXml/itemProps2.xml><?xml version="1.0" encoding="utf-8"?>
<ds:datastoreItem xmlns:ds="http://schemas.openxmlformats.org/officeDocument/2006/customXml" ds:itemID="{E62893D7-3285-4B5F-B5A5-CF435DB89BB2}">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customXml/itemProps3.xml><?xml version="1.0" encoding="utf-8"?>
<ds:datastoreItem xmlns:ds="http://schemas.openxmlformats.org/officeDocument/2006/customXml" ds:itemID="{3803D7F3-F548-4E9D-AFAE-8AC3001F1F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D20F2B0-01FE-4EDF-A251-CAC29874186B}">
  <ds:schemaRefs>
    <ds:schemaRef ds:uri="http://schemas.microsoft.com/sharepoint/v3/contenttype/forms"/>
  </ds:schemaRefs>
</ds:datastoreItem>
</file>

<file path=customXml/itemProps5.xml><?xml version="1.0" encoding="utf-8"?>
<ds:datastoreItem xmlns:ds="http://schemas.openxmlformats.org/officeDocument/2006/customXml" ds:itemID="{D2BF8C5E-7F7D-4333-97C0-771B0DEBFB6E}">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6</Pages>
  <Words>2274</Words>
  <Characters>12963</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Rahel Haileslassie</dc:creator>
  <cp:keywords/>
  <dc:description/>
  <cp:lastModifiedBy>Pablo Morete</cp:lastModifiedBy>
  <cp:revision>6</cp:revision>
  <cp:lastPrinted>2019-08-23T00:54:00Z</cp:lastPrinted>
  <dcterms:created xsi:type="dcterms:W3CDTF">2020-10-27T18:24:00Z</dcterms:created>
  <dcterms:modified xsi:type="dcterms:W3CDTF">2024-06-05T08:27:00Z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_dlc_DocIdItemGuid">
    <vt:lpwstr>f9fac0c3-9a5f-4bfd-abf9-d2426754887f</vt:lpwstr>
  </property>
  <property fmtid="{D5CDD505-2E9C-101B-9397-08002B2CF9AE}" pid="4" name="UNDP_POPP_BUSINESSUNIT">
    <vt:lpwstr>350;#Financial Resources Management|682d4c54-a288-412d-bfec-ce5587bbd25c</vt:lpwstr>
  </property>
  <property fmtid="{D5CDD505-2E9C-101B-9397-08002B2CF9AE}" pid="5" name="POPPBusinessProcess">
    <vt:lpwstr/>
  </property>
</Properties>
</file>