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4072" w14:textId="77777777" w:rsidR="00D56D1F" w:rsidRPr="00D742C2" w:rsidRDefault="00D56D1F" w:rsidP="00C2526E">
      <w:pPr>
        <w:jc w:val="both"/>
        <w:rPr>
          <w:rFonts w:ascii="Calibri" w:hAnsi="Calibri" w:cs="Arial"/>
          <w:b/>
          <w:bCs/>
          <w:sz w:val="28"/>
          <w:szCs w:val="22"/>
        </w:rPr>
      </w:pPr>
      <w:r>
        <w:rPr>
          <w:rFonts w:ascii="Calibri" w:hAnsi="Calibri"/>
          <w:b/>
          <w:bCs/>
          <w:sz w:val="28"/>
          <w:szCs w:val="22"/>
        </w:rPr>
        <w:t>Méthodes d</w:t>
      </w:r>
      <w:r w:rsidR="004F7541">
        <w:rPr>
          <w:rFonts w:ascii="Calibri" w:hAnsi="Calibri"/>
          <w:b/>
          <w:bCs/>
          <w:sz w:val="28"/>
          <w:szCs w:val="22"/>
        </w:rPr>
        <w:t>’</w:t>
      </w:r>
      <w:r>
        <w:rPr>
          <w:rFonts w:ascii="Calibri" w:hAnsi="Calibri"/>
          <w:b/>
          <w:bCs/>
          <w:sz w:val="28"/>
          <w:szCs w:val="22"/>
        </w:rPr>
        <w:t>approvisionnement</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252A5518" w14:textId="77777777" w:rsidR="00D166FA" w:rsidRPr="00EF78C5" w:rsidRDefault="00D166FA">
          <w:pPr>
            <w:pStyle w:val="TOCHeading"/>
            <w:rPr>
              <w:rFonts w:ascii="Calibri" w:hAnsi="Calibri" w:cs="Calibri"/>
              <w:color w:val="auto"/>
              <w:sz w:val="22"/>
              <w:szCs w:val="22"/>
            </w:rPr>
          </w:pPr>
          <w:r w:rsidRPr="009E1508">
            <w:rPr>
              <w:rFonts w:ascii="Calibri" w:hAnsi="Calibri" w:cs="Calibri"/>
              <w:color w:val="auto"/>
              <w:sz w:val="22"/>
              <w:szCs w:val="22"/>
            </w:rPr>
            <w:t>Contenu</w:t>
          </w:r>
        </w:p>
        <w:p w14:paraId="40F947A2" w14:textId="7DFA3AE8" w:rsidR="00EF78C5" w:rsidRPr="00EF78C5" w:rsidRDefault="00D90BE2">
          <w:pPr>
            <w:pStyle w:val="TOC1"/>
            <w:tabs>
              <w:tab w:val="right" w:leader="dot" w:pos="10070"/>
            </w:tabs>
            <w:rPr>
              <w:rFonts w:ascii="Calibri" w:eastAsiaTheme="minorEastAsia" w:hAnsi="Calibri" w:cs="Calibri"/>
              <w:noProof/>
              <w:kern w:val="2"/>
              <w:sz w:val="22"/>
              <w:szCs w:val="22"/>
              <w:lang w:val="en-US"/>
              <w14:ligatures w14:val="standardContextual"/>
            </w:rPr>
          </w:pPr>
          <w:r w:rsidRPr="00EF78C5">
            <w:rPr>
              <w:rFonts w:ascii="Calibri" w:hAnsi="Calibri" w:cs="Calibri"/>
              <w:sz w:val="22"/>
              <w:szCs w:val="22"/>
            </w:rPr>
            <w:fldChar w:fldCharType="begin"/>
          </w:r>
          <w:r w:rsidR="00D166FA" w:rsidRPr="00EF78C5">
            <w:rPr>
              <w:rFonts w:ascii="Calibri" w:hAnsi="Calibri" w:cs="Calibri"/>
              <w:sz w:val="22"/>
              <w:szCs w:val="22"/>
            </w:rPr>
            <w:instrText xml:space="preserve"> TOC \o "1-3" \h \z \u </w:instrText>
          </w:r>
          <w:r w:rsidRPr="00EF78C5">
            <w:rPr>
              <w:rFonts w:ascii="Calibri" w:hAnsi="Calibri" w:cs="Calibri"/>
              <w:sz w:val="22"/>
              <w:szCs w:val="22"/>
            </w:rPr>
            <w:fldChar w:fldCharType="separate"/>
          </w:r>
          <w:hyperlink w:anchor="_Toc177561748" w:history="1">
            <w:r w:rsidR="00EF78C5" w:rsidRPr="00EF78C5">
              <w:rPr>
                <w:rStyle w:val="Hyperlink"/>
                <w:rFonts w:ascii="Calibri" w:hAnsi="Calibri" w:cs="Calibri"/>
                <w:noProof/>
                <w:sz w:val="22"/>
                <w:szCs w:val="22"/>
              </w:rPr>
              <w:t>​Principes généraux</w:t>
            </w:r>
            <w:r w:rsidR="00EF78C5" w:rsidRPr="00EF78C5">
              <w:rPr>
                <w:rFonts w:ascii="Calibri" w:hAnsi="Calibri" w:cs="Calibri"/>
                <w:noProof/>
                <w:webHidden/>
                <w:sz w:val="22"/>
                <w:szCs w:val="22"/>
              </w:rPr>
              <w:tab/>
            </w:r>
            <w:r w:rsidR="00EF78C5" w:rsidRPr="00EF78C5">
              <w:rPr>
                <w:rFonts w:ascii="Calibri" w:hAnsi="Calibri" w:cs="Calibri"/>
                <w:noProof/>
                <w:webHidden/>
                <w:sz w:val="22"/>
                <w:szCs w:val="22"/>
              </w:rPr>
              <w:fldChar w:fldCharType="begin"/>
            </w:r>
            <w:r w:rsidR="00EF78C5" w:rsidRPr="00EF78C5">
              <w:rPr>
                <w:rFonts w:ascii="Calibri" w:hAnsi="Calibri" w:cs="Calibri"/>
                <w:noProof/>
                <w:webHidden/>
                <w:sz w:val="22"/>
                <w:szCs w:val="22"/>
              </w:rPr>
              <w:instrText xml:space="preserve"> PAGEREF _Toc177561748 \h </w:instrText>
            </w:r>
            <w:r w:rsidR="00EF78C5" w:rsidRPr="00EF78C5">
              <w:rPr>
                <w:rFonts w:ascii="Calibri" w:hAnsi="Calibri" w:cs="Calibri"/>
                <w:noProof/>
                <w:webHidden/>
                <w:sz w:val="22"/>
                <w:szCs w:val="22"/>
              </w:rPr>
            </w:r>
            <w:r w:rsidR="00EF78C5" w:rsidRPr="00EF78C5">
              <w:rPr>
                <w:rFonts w:ascii="Calibri" w:hAnsi="Calibri" w:cs="Calibri"/>
                <w:noProof/>
                <w:webHidden/>
                <w:sz w:val="22"/>
                <w:szCs w:val="22"/>
              </w:rPr>
              <w:fldChar w:fldCharType="separate"/>
            </w:r>
            <w:r w:rsidR="00EF78C5" w:rsidRPr="00EF78C5">
              <w:rPr>
                <w:rFonts w:ascii="Calibri" w:hAnsi="Calibri" w:cs="Calibri"/>
                <w:noProof/>
                <w:webHidden/>
                <w:sz w:val="22"/>
                <w:szCs w:val="22"/>
              </w:rPr>
              <w:t>2</w:t>
            </w:r>
            <w:r w:rsidR="00EF78C5" w:rsidRPr="00EF78C5">
              <w:rPr>
                <w:rFonts w:ascii="Calibri" w:hAnsi="Calibri" w:cs="Calibri"/>
                <w:noProof/>
                <w:webHidden/>
                <w:sz w:val="22"/>
                <w:szCs w:val="22"/>
              </w:rPr>
              <w:fldChar w:fldCharType="end"/>
            </w:r>
          </w:hyperlink>
        </w:p>
        <w:p w14:paraId="363DFBBA" w14:textId="735E25F1" w:rsidR="00EF78C5" w:rsidRPr="00EF78C5" w:rsidRDefault="00EF78C5">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177561749" w:history="1">
            <w:r w:rsidRPr="00EF78C5">
              <w:rPr>
                <w:rStyle w:val="Hyperlink"/>
                <w:rFonts w:ascii="Calibri" w:hAnsi="Calibri" w:cs="Calibri"/>
                <w:noProof/>
                <w:sz w:val="22"/>
                <w:szCs w:val="22"/>
              </w:rPr>
              <w:t>Aperçu général du processus d’achat</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_Toc177561749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3</w:t>
            </w:r>
            <w:r w:rsidRPr="00EF78C5">
              <w:rPr>
                <w:rFonts w:ascii="Calibri" w:hAnsi="Calibri" w:cs="Calibri"/>
                <w:noProof/>
                <w:webHidden/>
                <w:sz w:val="22"/>
                <w:szCs w:val="22"/>
              </w:rPr>
              <w:fldChar w:fldCharType="end"/>
            </w:r>
          </w:hyperlink>
        </w:p>
        <w:p w14:paraId="02EEDB4D" w14:textId="7667C789" w:rsidR="00EF78C5" w:rsidRPr="00EF78C5" w:rsidRDefault="00EF78C5">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177561750" w:history="1">
            <w:r w:rsidRPr="00EF78C5">
              <w:rPr>
                <w:rStyle w:val="Hyperlink"/>
                <w:rFonts w:ascii="Calibri" w:hAnsi="Calibri" w:cs="Calibri"/>
                <w:noProof/>
                <w:sz w:val="22"/>
                <w:szCs w:val="22"/>
              </w:rPr>
              <w:t>Types de concurrence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_Toc177561750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4</w:t>
            </w:r>
            <w:r w:rsidRPr="00EF78C5">
              <w:rPr>
                <w:rFonts w:ascii="Calibri" w:hAnsi="Calibri" w:cs="Calibri"/>
                <w:noProof/>
                <w:webHidden/>
                <w:sz w:val="22"/>
                <w:szCs w:val="22"/>
              </w:rPr>
              <w:fldChar w:fldCharType="end"/>
            </w:r>
          </w:hyperlink>
        </w:p>
        <w:p w14:paraId="205FCC73" w14:textId="6E359CDC"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1" w:history="1">
            <w:r w:rsidRPr="00EF78C5">
              <w:rPr>
                <w:rStyle w:val="Hyperlink"/>
                <w:rFonts w:ascii="Calibri" w:hAnsi="Calibri" w:cs="Calibri"/>
                <w:noProof/>
                <w:sz w:val="22"/>
                <w:szCs w:val="22"/>
              </w:rPr>
              <w:t>Concurrence internationale ouverte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_Toc177561751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4</w:t>
            </w:r>
            <w:r w:rsidRPr="00EF78C5">
              <w:rPr>
                <w:rFonts w:ascii="Calibri" w:hAnsi="Calibri" w:cs="Calibri"/>
                <w:noProof/>
                <w:webHidden/>
                <w:sz w:val="22"/>
                <w:szCs w:val="22"/>
              </w:rPr>
              <w:fldChar w:fldCharType="end"/>
            </w:r>
          </w:hyperlink>
        </w:p>
        <w:p w14:paraId="16332974" w14:textId="1E18C4BB"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2" w:history="1">
            <w:r w:rsidRPr="00EF78C5">
              <w:rPr>
                <w:rStyle w:val="Hyperlink"/>
                <w:rFonts w:ascii="Calibri" w:hAnsi="Calibri" w:cs="Calibri"/>
                <w:noProof/>
                <w:sz w:val="22"/>
                <w:szCs w:val="22"/>
              </w:rPr>
              <w:t>Concurrence internationale limitée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_Toc177561752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4</w:t>
            </w:r>
            <w:r w:rsidRPr="00EF78C5">
              <w:rPr>
                <w:rFonts w:ascii="Calibri" w:hAnsi="Calibri" w:cs="Calibri"/>
                <w:noProof/>
                <w:webHidden/>
                <w:sz w:val="22"/>
                <w:szCs w:val="22"/>
              </w:rPr>
              <w:fldChar w:fldCharType="end"/>
            </w:r>
          </w:hyperlink>
        </w:p>
        <w:p w14:paraId="43CA112B" w14:textId="16E8CAAD"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3" w:history="1">
            <w:r w:rsidRPr="00EF78C5">
              <w:rPr>
                <w:rStyle w:val="Hyperlink"/>
                <w:rFonts w:ascii="Calibri" w:hAnsi="Calibri" w:cs="Calibri"/>
                <w:noProof/>
                <w:sz w:val="22"/>
                <w:szCs w:val="22"/>
              </w:rPr>
              <w:t>Concurrence nationale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_Toc177561753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5</w:t>
            </w:r>
            <w:r w:rsidRPr="00EF78C5">
              <w:rPr>
                <w:rFonts w:ascii="Calibri" w:hAnsi="Calibri" w:cs="Calibri"/>
                <w:noProof/>
                <w:webHidden/>
                <w:sz w:val="22"/>
                <w:szCs w:val="22"/>
              </w:rPr>
              <w:fldChar w:fldCharType="end"/>
            </w:r>
          </w:hyperlink>
        </w:p>
        <w:p w14:paraId="3A018A25" w14:textId="480BC8CC" w:rsidR="00EF78C5" w:rsidRPr="00EF78C5" w:rsidRDefault="00EF78C5">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177561754" w:history="1">
            <w:r w:rsidRPr="00EF78C5">
              <w:rPr>
                <w:rStyle w:val="Hyperlink"/>
                <w:rFonts w:ascii="Calibri" w:hAnsi="Calibri" w:cs="Calibri"/>
                <w:noProof/>
                <w:sz w:val="22"/>
                <w:szCs w:val="22"/>
              </w:rPr>
              <w:t>Méthodes de passation de marchés standard -toutes les méthodes d'approvisionnement sont traitées dans la plateforme d'approvisionnement de bout en bout de Quantum/UNall.</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_Toc177561754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6</w:t>
            </w:r>
            <w:r w:rsidRPr="00EF78C5">
              <w:rPr>
                <w:rFonts w:ascii="Calibri" w:hAnsi="Calibri" w:cs="Calibri"/>
                <w:noProof/>
                <w:webHidden/>
                <w:sz w:val="22"/>
                <w:szCs w:val="22"/>
              </w:rPr>
              <w:fldChar w:fldCharType="end"/>
            </w:r>
          </w:hyperlink>
        </w:p>
        <w:p w14:paraId="681D7A04" w14:textId="7EE310D0"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5" w:history="1">
            <w:r w:rsidRPr="00EF78C5">
              <w:rPr>
                <w:rStyle w:val="Hyperlink"/>
                <w:rFonts w:ascii="Calibri" w:hAnsi="Calibri" w:cs="Calibri"/>
                <w:noProof/>
                <w:sz w:val="22"/>
                <w:szCs w:val="22"/>
              </w:rPr>
              <w:t>Micro-achat</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_Toc177561755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6</w:t>
            </w:r>
            <w:r w:rsidRPr="00EF78C5">
              <w:rPr>
                <w:rFonts w:ascii="Calibri" w:hAnsi="Calibri" w:cs="Calibri"/>
                <w:noProof/>
                <w:webHidden/>
                <w:sz w:val="22"/>
                <w:szCs w:val="22"/>
              </w:rPr>
              <w:fldChar w:fldCharType="end"/>
            </w:r>
          </w:hyperlink>
        </w:p>
        <w:p w14:paraId="4DDEDDB8" w14:textId="1925604A"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6"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_Toc177561756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8</w:t>
            </w:r>
            <w:r w:rsidRPr="00EF78C5">
              <w:rPr>
                <w:rFonts w:ascii="Calibri" w:hAnsi="Calibri" w:cs="Calibri"/>
                <w:noProof/>
                <w:webHidden/>
                <w:sz w:val="22"/>
                <w:szCs w:val="22"/>
              </w:rPr>
              <w:fldChar w:fldCharType="end"/>
            </w:r>
          </w:hyperlink>
        </w:p>
        <w:p w14:paraId="79ECB5C1" w14:textId="4AE2CB5D"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7" w:history="1">
            <w:r w:rsidRPr="00EF78C5">
              <w:rPr>
                <w:rStyle w:val="Hyperlink"/>
                <w:rFonts w:ascii="Calibri" w:hAnsi="Calibri" w:cs="Calibri"/>
                <w:noProof/>
                <w:sz w:val="22"/>
                <w:szCs w:val="22"/>
              </w:rPr>
              <w:t>Demande de prix</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_Toc177561757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8</w:t>
            </w:r>
            <w:r w:rsidRPr="00EF78C5">
              <w:rPr>
                <w:rFonts w:ascii="Calibri" w:hAnsi="Calibri" w:cs="Calibri"/>
                <w:noProof/>
                <w:webHidden/>
                <w:sz w:val="22"/>
                <w:szCs w:val="22"/>
              </w:rPr>
              <w:fldChar w:fldCharType="end"/>
            </w:r>
          </w:hyperlink>
        </w:p>
        <w:p w14:paraId="0905AC1F" w14:textId="2BF84899"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8"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_Toc177561758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9</w:t>
            </w:r>
            <w:r w:rsidRPr="00EF78C5">
              <w:rPr>
                <w:rFonts w:ascii="Calibri" w:hAnsi="Calibri" w:cs="Calibri"/>
                <w:noProof/>
                <w:webHidden/>
                <w:sz w:val="22"/>
                <w:szCs w:val="22"/>
              </w:rPr>
              <w:fldChar w:fldCharType="end"/>
            </w:r>
          </w:hyperlink>
        </w:p>
        <w:p w14:paraId="39A8D03E" w14:textId="1DA20E28"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9" w:history="1">
            <w:r w:rsidRPr="00EF78C5">
              <w:rPr>
                <w:rStyle w:val="Hyperlink"/>
                <w:rFonts w:ascii="Calibri" w:hAnsi="Calibri" w:cs="Calibri"/>
                <w:noProof/>
                <w:sz w:val="22"/>
                <w:szCs w:val="22"/>
              </w:rPr>
              <w:t>Appel d’offres</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_Toc177561759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10</w:t>
            </w:r>
            <w:r w:rsidRPr="00EF78C5">
              <w:rPr>
                <w:rFonts w:ascii="Calibri" w:hAnsi="Calibri" w:cs="Calibri"/>
                <w:noProof/>
                <w:webHidden/>
                <w:sz w:val="22"/>
                <w:szCs w:val="22"/>
              </w:rPr>
              <w:fldChar w:fldCharType="end"/>
            </w:r>
          </w:hyperlink>
        </w:p>
        <w:p w14:paraId="1C49B018" w14:textId="65CC7A68"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0"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_Toc177561760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11</w:t>
            </w:r>
            <w:r w:rsidRPr="00EF78C5">
              <w:rPr>
                <w:rFonts w:ascii="Calibri" w:hAnsi="Calibri" w:cs="Calibri"/>
                <w:noProof/>
                <w:webHidden/>
                <w:sz w:val="22"/>
                <w:szCs w:val="22"/>
              </w:rPr>
              <w:fldChar w:fldCharType="end"/>
            </w:r>
          </w:hyperlink>
        </w:p>
        <w:p w14:paraId="51F54CD4" w14:textId="49A62A0A"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1" w:history="1">
            <w:r w:rsidRPr="00EF78C5">
              <w:rPr>
                <w:rStyle w:val="Hyperlink"/>
                <w:rFonts w:ascii="Calibri" w:hAnsi="Calibri" w:cs="Calibri"/>
                <w:noProof/>
                <w:sz w:val="22"/>
                <w:szCs w:val="22"/>
              </w:rPr>
              <w:t>Invitation à soumissionner</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_Toc177561761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11</w:t>
            </w:r>
            <w:r w:rsidRPr="00EF78C5">
              <w:rPr>
                <w:rFonts w:ascii="Calibri" w:hAnsi="Calibri" w:cs="Calibri"/>
                <w:noProof/>
                <w:webHidden/>
                <w:sz w:val="22"/>
                <w:szCs w:val="22"/>
              </w:rPr>
              <w:fldChar w:fldCharType="end"/>
            </w:r>
          </w:hyperlink>
        </w:p>
        <w:p w14:paraId="4A913F20" w14:textId="3CDF33D6"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2"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_Toc177561762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12</w:t>
            </w:r>
            <w:r w:rsidRPr="00EF78C5">
              <w:rPr>
                <w:rFonts w:ascii="Calibri" w:hAnsi="Calibri" w:cs="Calibri"/>
                <w:noProof/>
                <w:webHidden/>
                <w:sz w:val="22"/>
                <w:szCs w:val="22"/>
              </w:rPr>
              <w:fldChar w:fldCharType="end"/>
            </w:r>
          </w:hyperlink>
        </w:p>
        <w:p w14:paraId="412F8DDC" w14:textId="2BDADF97"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3" w:history="1">
            <w:r w:rsidRPr="00EF78C5">
              <w:rPr>
                <w:rStyle w:val="Hyperlink"/>
                <w:rFonts w:ascii="Calibri" w:hAnsi="Calibri" w:cs="Calibri"/>
                <w:iCs/>
                <w:noProof/>
                <w:sz w:val="22"/>
                <w:szCs w:val="22"/>
              </w:rPr>
              <w:t>Procédures d’invitation à soumissionner en une ou deux étapes</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_Toc177561763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13</w:t>
            </w:r>
            <w:r w:rsidRPr="00EF78C5">
              <w:rPr>
                <w:rFonts w:ascii="Calibri" w:hAnsi="Calibri" w:cs="Calibri"/>
                <w:noProof/>
                <w:webHidden/>
                <w:sz w:val="22"/>
                <w:szCs w:val="22"/>
              </w:rPr>
              <w:fldChar w:fldCharType="end"/>
            </w:r>
          </w:hyperlink>
        </w:p>
        <w:p w14:paraId="58620597" w14:textId="7092C029"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4" w:history="1">
            <w:r w:rsidRPr="00EF78C5">
              <w:rPr>
                <w:rStyle w:val="Hyperlink"/>
                <w:rFonts w:ascii="Calibri" w:hAnsi="Calibri" w:cs="Calibri"/>
                <w:noProof/>
                <w:sz w:val="22"/>
                <w:szCs w:val="22"/>
              </w:rPr>
              <w:t>Marché par entente directe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_Toc177561764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14</w:t>
            </w:r>
            <w:r w:rsidRPr="00EF78C5">
              <w:rPr>
                <w:rFonts w:ascii="Calibri" w:hAnsi="Calibri" w:cs="Calibri"/>
                <w:noProof/>
                <w:webHidden/>
                <w:sz w:val="22"/>
                <w:szCs w:val="22"/>
              </w:rPr>
              <w:fldChar w:fldCharType="end"/>
            </w:r>
          </w:hyperlink>
        </w:p>
        <w:p w14:paraId="437D556F" w14:textId="177A4010"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5" w:history="1">
            <w:r w:rsidRPr="00EF78C5">
              <w:rPr>
                <w:rStyle w:val="Hyperlink"/>
                <w:rFonts w:ascii="Calibri" w:hAnsi="Calibri" w:cs="Calibri"/>
                <w:noProof/>
                <w:sz w:val="22"/>
                <w:szCs w:val="22"/>
              </w:rPr>
              <w:t>Opérations d’approvisionnement combinées ou complexes</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_Toc177561765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18</w:t>
            </w:r>
            <w:r w:rsidRPr="00EF78C5">
              <w:rPr>
                <w:rFonts w:ascii="Calibri" w:hAnsi="Calibri" w:cs="Calibri"/>
                <w:noProof/>
                <w:webHidden/>
                <w:sz w:val="22"/>
                <w:szCs w:val="22"/>
              </w:rPr>
              <w:fldChar w:fldCharType="end"/>
            </w:r>
          </w:hyperlink>
        </w:p>
        <w:p w14:paraId="34003E8F" w14:textId="3A436C86" w:rsidR="00D166FA" w:rsidRPr="00C00969" w:rsidRDefault="00D90BE2">
          <w:pPr>
            <w:rPr>
              <w:rFonts w:asciiTheme="majorHAnsi" w:hAnsiTheme="majorHAnsi"/>
              <w:sz w:val="22"/>
              <w:szCs w:val="22"/>
            </w:rPr>
          </w:pPr>
          <w:r w:rsidRPr="00EF78C5">
            <w:rPr>
              <w:rFonts w:ascii="Calibri" w:hAnsi="Calibri" w:cs="Calibri"/>
              <w:b/>
              <w:bCs/>
              <w:sz w:val="22"/>
              <w:szCs w:val="22"/>
            </w:rPr>
            <w:fldChar w:fldCharType="end"/>
          </w:r>
        </w:p>
      </w:sdtContent>
    </w:sdt>
    <w:p w14:paraId="086CC6AC" w14:textId="77777777" w:rsidR="00D56D1F" w:rsidRPr="00C00969" w:rsidRDefault="00D56D1F" w:rsidP="00C2526E">
      <w:pPr>
        <w:jc w:val="both"/>
        <w:rPr>
          <w:rFonts w:asciiTheme="majorHAnsi" w:hAnsiTheme="majorHAnsi" w:cs="Arial"/>
          <w:b/>
          <w:bCs/>
          <w:sz w:val="22"/>
          <w:szCs w:val="22"/>
        </w:rPr>
      </w:pPr>
    </w:p>
    <w:p w14:paraId="500E7C57" w14:textId="77777777" w:rsidR="00D166FA" w:rsidRPr="003A403B" w:rsidRDefault="00D166FA" w:rsidP="00C2526E">
      <w:pPr>
        <w:jc w:val="both"/>
        <w:rPr>
          <w:rFonts w:ascii="Calibri" w:hAnsi="Calibri" w:cs="Arial"/>
          <w:b/>
          <w:bCs/>
          <w:sz w:val="22"/>
          <w:szCs w:val="22"/>
        </w:rPr>
      </w:pPr>
    </w:p>
    <w:p w14:paraId="56C4F6DC" w14:textId="77777777" w:rsidR="00D166FA" w:rsidRDefault="00D166FA" w:rsidP="00C2526E">
      <w:pPr>
        <w:jc w:val="both"/>
        <w:rPr>
          <w:rFonts w:ascii="Calibri" w:hAnsi="Calibri" w:cs="Arial"/>
          <w:b/>
          <w:bCs/>
          <w:sz w:val="22"/>
          <w:szCs w:val="22"/>
        </w:rPr>
      </w:pPr>
    </w:p>
    <w:p w14:paraId="5D3F4D48" w14:textId="77777777" w:rsidR="004269EF" w:rsidRDefault="004269EF" w:rsidP="00C2526E">
      <w:pPr>
        <w:jc w:val="both"/>
        <w:rPr>
          <w:rFonts w:ascii="Calibri" w:hAnsi="Calibri" w:cs="Arial"/>
          <w:b/>
          <w:bCs/>
          <w:sz w:val="22"/>
          <w:szCs w:val="22"/>
        </w:rPr>
      </w:pPr>
    </w:p>
    <w:p w14:paraId="6084AA8E" w14:textId="77777777" w:rsidR="004269EF" w:rsidRDefault="004269EF" w:rsidP="00C2526E">
      <w:pPr>
        <w:jc w:val="both"/>
        <w:rPr>
          <w:rFonts w:ascii="Calibri" w:hAnsi="Calibri" w:cs="Arial"/>
          <w:b/>
          <w:bCs/>
          <w:sz w:val="22"/>
          <w:szCs w:val="22"/>
        </w:rPr>
      </w:pPr>
    </w:p>
    <w:p w14:paraId="5C8FFCE6" w14:textId="77777777" w:rsidR="004269EF" w:rsidRDefault="004269EF" w:rsidP="00C2526E">
      <w:pPr>
        <w:jc w:val="both"/>
        <w:rPr>
          <w:rFonts w:ascii="Calibri" w:hAnsi="Calibri" w:cs="Arial"/>
          <w:b/>
          <w:bCs/>
          <w:sz w:val="22"/>
          <w:szCs w:val="22"/>
        </w:rPr>
      </w:pPr>
    </w:p>
    <w:p w14:paraId="1AE5F24D" w14:textId="77777777" w:rsidR="004269EF" w:rsidRDefault="004269EF" w:rsidP="00C2526E">
      <w:pPr>
        <w:jc w:val="both"/>
        <w:rPr>
          <w:rFonts w:ascii="Calibri" w:hAnsi="Calibri" w:cs="Arial"/>
          <w:b/>
          <w:bCs/>
          <w:sz w:val="22"/>
          <w:szCs w:val="22"/>
        </w:rPr>
      </w:pPr>
    </w:p>
    <w:p w14:paraId="028D3949" w14:textId="77777777" w:rsidR="004269EF" w:rsidRDefault="004269EF" w:rsidP="00C2526E">
      <w:pPr>
        <w:jc w:val="both"/>
        <w:rPr>
          <w:rFonts w:ascii="Calibri" w:hAnsi="Calibri" w:cs="Arial"/>
          <w:b/>
          <w:bCs/>
          <w:sz w:val="22"/>
          <w:szCs w:val="22"/>
        </w:rPr>
      </w:pPr>
    </w:p>
    <w:p w14:paraId="7EDB59AB" w14:textId="77777777" w:rsidR="004269EF" w:rsidRDefault="004269EF" w:rsidP="00C2526E">
      <w:pPr>
        <w:jc w:val="both"/>
        <w:rPr>
          <w:rFonts w:ascii="Calibri" w:hAnsi="Calibri" w:cs="Arial"/>
          <w:b/>
          <w:bCs/>
          <w:sz w:val="22"/>
          <w:szCs w:val="22"/>
        </w:rPr>
      </w:pPr>
    </w:p>
    <w:p w14:paraId="400BDF26" w14:textId="77777777" w:rsidR="004269EF" w:rsidRDefault="004269EF" w:rsidP="00C2526E">
      <w:pPr>
        <w:jc w:val="both"/>
        <w:rPr>
          <w:rFonts w:ascii="Calibri" w:hAnsi="Calibri" w:cs="Arial"/>
          <w:b/>
          <w:bCs/>
          <w:sz w:val="22"/>
          <w:szCs w:val="22"/>
        </w:rPr>
      </w:pPr>
    </w:p>
    <w:p w14:paraId="227C801C" w14:textId="77777777" w:rsidR="004269EF" w:rsidRDefault="004269EF" w:rsidP="00C2526E">
      <w:pPr>
        <w:jc w:val="both"/>
        <w:rPr>
          <w:rFonts w:ascii="Calibri" w:hAnsi="Calibri" w:cs="Arial"/>
          <w:b/>
          <w:bCs/>
          <w:sz w:val="22"/>
          <w:szCs w:val="22"/>
        </w:rPr>
      </w:pPr>
    </w:p>
    <w:p w14:paraId="1D4B7AB4" w14:textId="77777777" w:rsidR="004269EF" w:rsidRDefault="004269EF" w:rsidP="00C2526E">
      <w:pPr>
        <w:jc w:val="both"/>
        <w:rPr>
          <w:rFonts w:ascii="Calibri" w:hAnsi="Calibri" w:cs="Arial"/>
          <w:b/>
          <w:bCs/>
          <w:sz w:val="22"/>
          <w:szCs w:val="22"/>
        </w:rPr>
      </w:pPr>
    </w:p>
    <w:p w14:paraId="73AF1EA2" w14:textId="77777777" w:rsidR="004269EF" w:rsidRDefault="004269EF" w:rsidP="00C2526E">
      <w:pPr>
        <w:jc w:val="both"/>
        <w:rPr>
          <w:rFonts w:ascii="Calibri" w:hAnsi="Calibri" w:cs="Arial"/>
          <w:b/>
          <w:bCs/>
          <w:sz w:val="22"/>
          <w:szCs w:val="22"/>
        </w:rPr>
      </w:pPr>
    </w:p>
    <w:p w14:paraId="2037257D" w14:textId="77777777" w:rsidR="00336CF4" w:rsidRDefault="00336CF4" w:rsidP="00C2526E">
      <w:pPr>
        <w:jc w:val="both"/>
        <w:rPr>
          <w:rFonts w:ascii="Calibri" w:hAnsi="Calibri" w:cs="Arial"/>
          <w:b/>
          <w:bCs/>
          <w:sz w:val="22"/>
          <w:szCs w:val="22"/>
        </w:rPr>
      </w:pPr>
    </w:p>
    <w:p w14:paraId="7EA5F0F7" w14:textId="77777777" w:rsidR="00336CF4" w:rsidRDefault="00336CF4" w:rsidP="00C2526E">
      <w:pPr>
        <w:jc w:val="both"/>
        <w:rPr>
          <w:rFonts w:ascii="Calibri" w:hAnsi="Calibri" w:cs="Arial"/>
          <w:b/>
          <w:bCs/>
          <w:sz w:val="22"/>
          <w:szCs w:val="22"/>
        </w:rPr>
      </w:pPr>
    </w:p>
    <w:p w14:paraId="3F1A3BA7" w14:textId="77777777" w:rsidR="004269EF" w:rsidRDefault="004269EF" w:rsidP="00C2526E">
      <w:pPr>
        <w:jc w:val="both"/>
        <w:rPr>
          <w:rFonts w:ascii="Calibri" w:hAnsi="Calibri" w:cs="Arial"/>
          <w:b/>
          <w:bCs/>
          <w:sz w:val="22"/>
          <w:szCs w:val="22"/>
        </w:rPr>
      </w:pPr>
    </w:p>
    <w:p w14:paraId="6C6F3C53" w14:textId="77777777" w:rsidR="004269EF" w:rsidRDefault="004269EF" w:rsidP="00C2526E">
      <w:pPr>
        <w:jc w:val="both"/>
        <w:rPr>
          <w:rFonts w:ascii="Calibri" w:hAnsi="Calibri" w:cs="Arial"/>
          <w:b/>
          <w:bCs/>
          <w:sz w:val="22"/>
          <w:szCs w:val="22"/>
        </w:rPr>
      </w:pPr>
    </w:p>
    <w:p w14:paraId="026A2103" w14:textId="77777777" w:rsidR="004269EF" w:rsidRPr="003A403B" w:rsidRDefault="004269EF" w:rsidP="00C2526E">
      <w:pPr>
        <w:jc w:val="both"/>
        <w:rPr>
          <w:rFonts w:ascii="Calibri" w:hAnsi="Calibri" w:cs="Arial"/>
          <w:b/>
          <w:bCs/>
          <w:sz w:val="22"/>
          <w:szCs w:val="22"/>
        </w:rPr>
      </w:pPr>
    </w:p>
    <w:p w14:paraId="3C811016" w14:textId="77777777" w:rsidR="008A4CDD" w:rsidRPr="003A403B" w:rsidRDefault="00AA1E5C" w:rsidP="008A4CDD">
      <w:pPr>
        <w:shd w:val="clear" w:color="auto" w:fill="FFFFFF"/>
        <w:textAlignment w:val="top"/>
        <w:rPr>
          <w:rFonts w:ascii="Calibri" w:hAnsi="Calibri" w:cs="Arial"/>
          <w:vanish/>
          <w:color w:val="333333"/>
          <w:sz w:val="22"/>
          <w:szCs w:val="22"/>
        </w:rPr>
      </w:pPr>
      <w:r>
        <w:rPr>
          <w:rFonts w:ascii="Calibri" w:hAnsi="Calibri"/>
          <w:vanish/>
          <w:color w:val="333333"/>
          <w:sz w:val="22"/>
          <w:szCs w:val="22"/>
        </w:rPr>
        <w:t>–Élément de structure - Description</w:t>
      </w:r>
    </w:p>
    <w:p w14:paraId="3E52E4FA" w14:textId="77777777" w:rsidR="003A403B" w:rsidRPr="00336CF4" w:rsidRDefault="008A4CDD" w:rsidP="004B51E2">
      <w:pPr>
        <w:pStyle w:val="Head1"/>
        <w:rPr>
          <w:rStyle w:val="Head1Char"/>
          <w:b/>
        </w:rPr>
      </w:pPr>
      <w:bookmarkStart w:id="0" w:name="_Toc177561748"/>
      <w:r>
        <w:rPr>
          <w:color w:val="333333"/>
        </w:rPr>
        <w:t>​</w:t>
      </w:r>
      <w:r>
        <w:rPr>
          <w:rStyle w:val="Head1Char"/>
          <w:b/>
        </w:rPr>
        <w:t xml:space="preserve">Principes </w:t>
      </w:r>
      <w:r w:rsidR="004F7541">
        <w:rPr>
          <w:rStyle w:val="Head1Char"/>
          <w:b/>
        </w:rPr>
        <w:t>g</w:t>
      </w:r>
      <w:r>
        <w:rPr>
          <w:rStyle w:val="Head1Char"/>
          <w:b/>
        </w:rPr>
        <w:t>énéraux</w:t>
      </w:r>
      <w:bookmarkEnd w:id="0"/>
    </w:p>
    <w:p w14:paraId="0D271228" w14:textId="77777777" w:rsidR="008A4CDD" w:rsidRPr="00336CF4" w:rsidRDefault="008A4CDD" w:rsidP="003A403B"/>
    <w:p w14:paraId="2EF03903" w14:textId="432526DF" w:rsidR="008A4CDD" w:rsidRPr="00336CF4"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Pour répondre efficacement aux besoins programmatiques et opérationnels, il faut disposer en temps voulu de biens et de services de haute qualité. Les spécialistes de l</w:t>
      </w:r>
      <w:r w:rsidR="004F7541">
        <w:rPr>
          <w:rFonts w:ascii="Calibri" w:hAnsi="Calibri"/>
          <w:sz w:val="22"/>
          <w:szCs w:val="22"/>
        </w:rPr>
        <w:t>’</w:t>
      </w:r>
      <w:r>
        <w:rPr>
          <w:rFonts w:ascii="Calibri" w:hAnsi="Calibri"/>
          <w:sz w:val="22"/>
          <w:szCs w:val="22"/>
        </w:rPr>
        <w:t xml:space="preserve">approvisionnement du </w:t>
      </w:r>
      <w:r w:rsidR="004F7541">
        <w:rPr>
          <w:rFonts w:ascii="Calibri" w:hAnsi="Calibri"/>
          <w:sz w:val="22"/>
          <w:szCs w:val="22"/>
        </w:rPr>
        <w:t xml:space="preserve">Programme des Nations Unies pour le développement (PNUD) </w:t>
      </w:r>
      <w:r>
        <w:rPr>
          <w:rFonts w:ascii="Calibri" w:hAnsi="Calibri"/>
          <w:sz w:val="22"/>
          <w:szCs w:val="22"/>
        </w:rPr>
        <w:t xml:space="preserve">sont censés acquérir des biens et des services auprès des </w:t>
      </w:r>
      <w:r w:rsidRPr="00384E0E">
        <w:rPr>
          <w:rFonts w:ascii="Calibri" w:hAnsi="Calibri"/>
          <w:sz w:val="22"/>
          <w:szCs w:val="22"/>
        </w:rPr>
        <w:t xml:space="preserve">meilleurs </w:t>
      </w:r>
      <w:r w:rsidR="008D7F02" w:rsidRPr="00384E0E">
        <w:rPr>
          <w:rFonts w:ascii="Calibri" w:hAnsi="Calibri"/>
          <w:b/>
          <w:sz w:val="22"/>
          <w:szCs w:val="22"/>
        </w:rPr>
        <w:t>fournisseurs</w:t>
      </w:r>
      <w:r w:rsidRPr="00384E0E">
        <w:rPr>
          <w:rFonts w:ascii="Calibri" w:hAnsi="Calibri"/>
          <w:b/>
          <w:sz w:val="22"/>
          <w:szCs w:val="22"/>
        </w:rPr>
        <w:t>,</w:t>
      </w:r>
      <w:r>
        <w:rPr>
          <w:rFonts w:ascii="Calibri" w:hAnsi="Calibri"/>
          <w:sz w:val="22"/>
          <w:szCs w:val="22"/>
        </w:rPr>
        <w:t xml:space="preserve"> conformément aux politiques et procédures prescrites. Ils doivent faire preuve de jugement et examiner attentivement les coûts et les bénéfices pour l</w:t>
      </w:r>
      <w:r w:rsidR="004F7541">
        <w:rPr>
          <w:rFonts w:ascii="Calibri" w:hAnsi="Calibri"/>
          <w:sz w:val="22"/>
          <w:szCs w:val="22"/>
        </w:rPr>
        <w:t>’</w:t>
      </w:r>
      <w:r>
        <w:rPr>
          <w:rFonts w:ascii="Calibri" w:hAnsi="Calibri"/>
          <w:sz w:val="22"/>
          <w:szCs w:val="22"/>
        </w:rPr>
        <w:t>organisation.</w:t>
      </w:r>
    </w:p>
    <w:p w14:paraId="50C7EF92" w14:textId="77777777" w:rsidR="008A4CDD" w:rsidRPr="00336CF4" w:rsidRDefault="008A4CDD" w:rsidP="00D56D1F">
      <w:pPr>
        <w:shd w:val="clear" w:color="auto" w:fill="FFFFFF"/>
        <w:ind w:firstLine="45"/>
        <w:jc w:val="both"/>
        <w:textAlignment w:val="top"/>
        <w:rPr>
          <w:rFonts w:ascii="Calibri" w:hAnsi="Calibri" w:cs="Arial"/>
          <w:sz w:val="22"/>
          <w:szCs w:val="22"/>
        </w:rPr>
      </w:pPr>
    </w:p>
    <w:p w14:paraId="213E98D2" w14:textId="77777777" w:rsidR="008A4CDD" w:rsidRPr="00336CF4"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que les fonds du PNUD lui sont confiés par le public, toutes les opérations doivent être exécutées avec le plus haut degré de responsabilité et selon des normes irréprochables. Quel</w:t>
      </w:r>
      <w:r w:rsidR="00E549B7">
        <w:rPr>
          <w:rFonts w:ascii="Calibri" w:hAnsi="Calibri"/>
          <w:sz w:val="22"/>
          <w:szCs w:val="22"/>
        </w:rPr>
        <w:t>s</w:t>
      </w:r>
      <w:r>
        <w:rPr>
          <w:rFonts w:ascii="Calibri" w:hAnsi="Calibri"/>
          <w:sz w:val="22"/>
          <w:szCs w:val="22"/>
        </w:rPr>
        <w:t xml:space="preserve"> que soi</w:t>
      </w:r>
      <w:r w:rsidR="00E549B7">
        <w:rPr>
          <w:rFonts w:ascii="Calibri" w:hAnsi="Calibri"/>
          <w:sz w:val="22"/>
          <w:szCs w:val="22"/>
        </w:rPr>
        <w:t>en</w:t>
      </w:r>
      <w:r>
        <w:rPr>
          <w:rFonts w:ascii="Calibri" w:hAnsi="Calibri"/>
          <w:sz w:val="22"/>
          <w:szCs w:val="22"/>
        </w:rPr>
        <w:t>t leur but et leurs sources de financement, les actions d</w:t>
      </w:r>
      <w:r w:rsidR="004F7541">
        <w:rPr>
          <w:rFonts w:ascii="Calibri" w:hAnsi="Calibri"/>
          <w:sz w:val="22"/>
          <w:szCs w:val="22"/>
        </w:rPr>
        <w:t>’</w:t>
      </w:r>
      <w:r>
        <w:rPr>
          <w:rFonts w:ascii="Calibri" w:hAnsi="Calibri"/>
          <w:sz w:val="22"/>
          <w:szCs w:val="22"/>
        </w:rPr>
        <w:t>approvisionnement doivent toujours être assujetties aux principes généraux suivants</w:t>
      </w:r>
      <w:r w:rsidR="0049528D">
        <w:rPr>
          <w:rFonts w:ascii="Calibri" w:hAnsi="Calibri"/>
          <w:sz w:val="22"/>
          <w:szCs w:val="22"/>
        </w:rPr>
        <w:t> :</w:t>
      </w:r>
    </w:p>
    <w:p w14:paraId="79796F86" w14:textId="77777777" w:rsidR="008A4CDD" w:rsidRPr="00336CF4" w:rsidRDefault="008A4CDD" w:rsidP="008A4CDD">
      <w:pPr>
        <w:shd w:val="clear" w:color="auto" w:fill="FFFFFF"/>
        <w:jc w:val="both"/>
        <w:textAlignment w:val="top"/>
        <w:rPr>
          <w:rFonts w:ascii="Calibri" w:hAnsi="Calibri" w:cs="Arial"/>
          <w:sz w:val="22"/>
          <w:szCs w:val="22"/>
        </w:rPr>
      </w:pPr>
    </w:p>
    <w:p w14:paraId="42B87392"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Meilleur rapport qualité-prix</w:t>
      </w:r>
    </w:p>
    <w:p w14:paraId="393686AD" w14:textId="77777777" w:rsidR="008A4CDD" w:rsidRPr="00336CF4" w:rsidRDefault="008A4CDD" w:rsidP="008A4CDD">
      <w:pPr>
        <w:shd w:val="clear" w:color="auto" w:fill="FFFFFF"/>
        <w:jc w:val="both"/>
        <w:textAlignment w:val="top"/>
        <w:rPr>
          <w:rFonts w:ascii="Calibri" w:hAnsi="Calibri" w:cs="Arial"/>
          <w:sz w:val="22"/>
          <w:szCs w:val="22"/>
        </w:rPr>
      </w:pPr>
    </w:p>
    <w:p w14:paraId="7BD95E21" w14:textId="77777777" w:rsidR="008A4CDD" w:rsidRPr="00336CF4" w:rsidRDefault="008A4CDD" w:rsidP="00922FF4">
      <w:pPr>
        <w:pStyle w:val="ListParagraph"/>
        <w:numPr>
          <w:ilvl w:val="0"/>
          <w:numId w:val="20"/>
        </w:numPr>
        <w:shd w:val="clear" w:color="auto" w:fill="FFFFFF"/>
        <w:jc w:val="both"/>
        <w:textAlignment w:val="top"/>
        <w:rPr>
          <w:rFonts w:ascii="Calibri" w:hAnsi="Calibri" w:cs="Arial"/>
          <w:sz w:val="22"/>
          <w:szCs w:val="22"/>
        </w:rPr>
      </w:pPr>
      <w:r>
        <w:rPr>
          <w:rFonts w:ascii="Calibri" w:hAnsi="Calibri"/>
          <w:sz w:val="22"/>
          <w:szCs w:val="22"/>
        </w:rPr>
        <w:t>Ce principe directeur de base exige de choisir l</w:t>
      </w:r>
      <w:r w:rsidR="004F7541">
        <w:rPr>
          <w:rFonts w:ascii="Calibri" w:hAnsi="Calibri"/>
          <w:sz w:val="22"/>
          <w:szCs w:val="22"/>
        </w:rPr>
        <w:t>’</w:t>
      </w:r>
      <w:r>
        <w:rPr>
          <w:rFonts w:ascii="Calibri" w:hAnsi="Calibri"/>
          <w:sz w:val="22"/>
          <w:szCs w:val="22"/>
        </w:rPr>
        <w:t>offre qui répond le mieux aux besoins requis et qui offre le meilleur retour sur investissement. Il ne faut pas confondre le meilleur rapport qualité-prix à l</w:t>
      </w:r>
      <w:r w:rsidR="004F7541">
        <w:rPr>
          <w:rFonts w:ascii="Calibri" w:hAnsi="Calibri"/>
          <w:sz w:val="22"/>
          <w:szCs w:val="22"/>
        </w:rPr>
        <w:t>’</w:t>
      </w:r>
      <w:r>
        <w:rPr>
          <w:rFonts w:ascii="Calibri" w:hAnsi="Calibri"/>
          <w:sz w:val="22"/>
          <w:szCs w:val="22"/>
        </w:rPr>
        <w:t>offre la moins chère. Le meilleur rapport qualité-prix suppose la combinaison optimale de facteurs tels que la qualité, les coûts et les avantages du cycle de vie et d</w:t>
      </w:r>
      <w:r w:rsidR="004F7541">
        <w:rPr>
          <w:rFonts w:ascii="Calibri" w:hAnsi="Calibri"/>
          <w:sz w:val="22"/>
          <w:szCs w:val="22"/>
        </w:rPr>
        <w:t>’</w:t>
      </w:r>
      <w:r>
        <w:rPr>
          <w:rFonts w:ascii="Calibri" w:hAnsi="Calibri"/>
          <w:sz w:val="22"/>
          <w:szCs w:val="22"/>
        </w:rPr>
        <w:t>autres paramètres pour atteindre des objectifs sociaux, environnementaux ou d</w:t>
      </w:r>
      <w:r w:rsidR="004F7541">
        <w:rPr>
          <w:rFonts w:ascii="Calibri" w:hAnsi="Calibri"/>
          <w:sz w:val="22"/>
          <w:szCs w:val="22"/>
        </w:rPr>
        <w:t>’</w:t>
      </w:r>
      <w:r>
        <w:rPr>
          <w:rFonts w:ascii="Calibri" w:hAnsi="Calibri"/>
          <w:sz w:val="22"/>
          <w:szCs w:val="22"/>
        </w:rPr>
        <w:t>autres objectifs stratégiques.</w:t>
      </w:r>
    </w:p>
    <w:p w14:paraId="5CFD1C89" w14:textId="77777777" w:rsidR="008A4CDD" w:rsidRPr="00336CF4" w:rsidRDefault="008A4CDD" w:rsidP="008A4CDD">
      <w:pPr>
        <w:shd w:val="clear" w:color="auto" w:fill="FFFFFF"/>
        <w:jc w:val="both"/>
        <w:textAlignment w:val="top"/>
        <w:rPr>
          <w:rFonts w:ascii="Calibri" w:hAnsi="Calibri" w:cs="Arial"/>
          <w:sz w:val="22"/>
          <w:szCs w:val="22"/>
        </w:rPr>
      </w:pPr>
    </w:p>
    <w:p w14:paraId="753C9A0B"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Équité, intégrité et transparence</w:t>
      </w:r>
    </w:p>
    <w:p w14:paraId="30EE95E0" w14:textId="77777777" w:rsidR="008A4CDD" w:rsidRPr="00336CF4" w:rsidRDefault="008A4CDD" w:rsidP="008A4CDD">
      <w:pPr>
        <w:shd w:val="clear" w:color="auto" w:fill="FFFFFF"/>
        <w:jc w:val="both"/>
        <w:textAlignment w:val="top"/>
        <w:rPr>
          <w:rFonts w:ascii="Calibri" w:hAnsi="Calibri" w:cs="Arial"/>
          <w:sz w:val="22"/>
          <w:szCs w:val="22"/>
        </w:rPr>
      </w:pPr>
    </w:p>
    <w:p w14:paraId="4BF89235" w14:textId="77777777" w:rsidR="008A4CDD" w:rsidRPr="00336CF4" w:rsidRDefault="008A4CDD" w:rsidP="00922FF4">
      <w:pPr>
        <w:pStyle w:val="ListParagraph"/>
        <w:numPr>
          <w:ilvl w:val="0"/>
          <w:numId w:val="21"/>
        </w:numPr>
        <w:shd w:val="clear" w:color="auto" w:fill="FFFFFF"/>
        <w:jc w:val="both"/>
        <w:textAlignment w:val="top"/>
        <w:rPr>
          <w:rFonts w:ascii="Calibri" w:hAnsi="Calibri" w:cs="Arial"/>
          <w:sz w:val="22"/>
          <w:szCs w:val="22"/>
        </w:rPr>
      </w:pPr>
      <w:r>
        <w:rPr>
          <w:rFonts w:ascii="Calibri" w:hAnsi="Calibri"/>
          <w:sz w:val="22"/>
          <w:szCs w:val="22"/>
        </w:rPr>
        <w:t>Toutes les unités administratives sont chargées de garantir un traitement équitable et impartial de tous les soumissionnaires et une gestion transparente de la concurrence. Ces objectifs peuvent être atteints, par exemple, au moyen d</w:t>
      </w:r>
      <w:r w:rsidR="004F7541">
        <w:rPr>
          <w:rFonts w:ascii="Calibri" w:hAnsi="Calibri"/>
          <w:sz w:val="22"/>
          <w:szCs w:val="22"/>
        </w:rPr>
        <w:t>’</w:t>
      </w:r>
      <w:r>
        <w:rPr>
          <w:rFonts w:ascii="Calibri" w:hAnsi="Calibri"/>
          <w:sz w:val="22"/>
          <w:szCs w:val="22"/>
        </w:rPr>
        <w:t>une gamme plus large de soumissionnaires potentiels, des instructions d</w:t>
      </w:r>
      <w:r w:rsidR="004F7541">
        <w:rPr>
          <w:rFonts w:ascii="Calibri" w:hAnsi="Calibri"/>
          <w:sz w:val="22"/>
          <w:szCs w:val="22"/>
        </w:rPr>
        <w:t>’</w:t>
      </w:r>
      <w:r>
        <w:rPr>
          <w:rFonts w:ascii="Calibri" w:hAnsi="Calibri"/>
          <w:sz w:val="22"/>
          <w:szCs w:val="22"/>
        </w:rPr>
        <w:t>appel à la concurrence non ambiguës, des critères d</w:t>
      </w:r>
      <w:r w:rsidR="004F7541">
        <w:rPr>
          <w:rFonts w:ascii="Calibri" w:hAnsi="Calibri"/>
          <w:sz w:val="22"/>
          <w:szCs w:val="22"/>
        </w:rPr>
        <w:t>’</w:t>
      </w:r>
      <w:r>
        <w:rPr>
          <w:rFonts w:ascii="Calibri" w:hAnsi="Calibri"/>
          <w:sz w:val="22"/>
          <w:szCs w:val="22"/>
        </w:rPr>
        <w:t>évaluation clairs, une définition réaliste des besoins et des règles et des procédures réalisables.</w:t>
      </w:r>
    </w:p>
    <w:p w14:paraId="1A0DE14F" w14:textId="77777777" w:rsidR="008A4CDD" w:rsidRPr="00336CF4" w:rsidRDefault="008A4CDD" w:rsidP="008A4CDD">
      <w:pPr>
        <w:shd w:val="clear" w:color="auto" w:fill="FFFFFF"/>
        <w:jc w:val="both"/>
        <w:textAlignment w:val="top"/>
        <w:rPr>
          <w:rFonts w:ascii="Calibri" w:hAnsi="Calibri" w:cs="Arial"/>
          <w:sz w:val="22"/>
          <w:szCs w:val="22"/>
        </w:rPr>
      </w:pPr>
    </w:p>
    <w:p w14:paraId="21895650"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Concurrence internationale effective</w:t>
      </w:r>
    </w:p>
    <w:p w14:paraId="2CC100E6" w14:textId="77777777" w:rsidR="008A4CDD" w:rsidRPr="00336CF4" w:rsidRDefault="008A4CDD" w:rsidP="008A4CDD">
      <w:pPr>
        <w:shd w:val="clear" w:color="auto" w:fill="FFFFFF"/>
        <w:jc w:val="both"/>
        <w:textAlignment w:val="top"/>
        <w:rPr>
          <w:rFonts w:ascii="Calibri" w:hAnsi="Calibri" w:cs="Arial"/>
          <w:sz w:val="22"/>
          <w:szCs w:val="22"/>
        </w:rPr>
      </w:pPr>
    </w:p>
    <w:p w14:paraId="034C3620" w14:textId="77777777" w:rsidR="008A4CDD" w:rsidRPr="00336CF4" w:rsidRDefault="008A4CDD" w:rsidP="00922FF4">
      <w:pPr>
        <w:pStyle w:val="ListParagraph"/>
        <w:numPr>
          <w:ilvl w:val="0"/>
          <w:numId w:val="22"/>
        </w:numPr>
        <w:shd w:val="clear" w:color="auto" w:fill="FFFFFF"/>
        <w:jc w:val="both"/>
        <w:textAlignment w:val="top"/>
        <w:rPr>
          <w:rFonts w:ascii="Calibri" w:hAnsi="Calibri" w:cs="Arial"/>
          <w:sz w:val="22"/>
          <w:szCs w:val="22"/>
        </w:rPr>
      </w:pPr>
      <w:r>
        <w:rPr>
          <w:rFonts w:ascii="Calibri" w:hAnsi="Calibri"/>
          <w:sz w:val="22"/>
          <w:szCs w:val="22"/>
        </w:rPr>
        <w:t>Pour que la concurrence internationale soit effective, il faut que tous les soumissionnaires potentiels admissibles de tous les états membres des Nations Unies disposent en temps voulu des informations adéquates sur les besoins du PNUD, ainsi que des possibilités égales de soumettre une offre.</w:t>
      </w:r>
    </w:p>
    <w:p w14:paraId="1DC51071" w14:textId="77777777" w:rsidR="008A4CDD" w:rsidRPr="00336CF4" w:rsidRDefault="008A4CDD" w:rsidP="008A4CDD">
      <w:pPr>
        <w:shd w:val="clear" w:color="auto" w:fill="FFFFFF"/>
        <w:jc w:val="both"/>
        <w:textAlignment w:val="top"/>
        <w:rPr>
          <w:rFonts w:ascii="Calibri" w:hAnsi="Calibri" w:cs="Arial"/>
          <w:sz w:val="22"/>
          <w:szCs w:val="22"/>
        </w:rPr>
      </w:pPr>
    </w:p>
    <w:p w14:paraId="2C1475FA" w14:textId="5A6E8F62" w:rsidR="008A4CDD" w:rsidRPr="00336CF4" w:rsidRDefault="008A4CDD" w:rsidP="00922FF4">
      <w:pPr>
        <w:pStyle w:val="ListParagraph"/>
        <w:numPr>
          <w:ilvl w:val="0"/>
          <w:numId w:val="22"/>
        </w:numPr>
        <w:shd w:val="clear" w:color="auto" w:fill="FFFFFF"/>
        <w:jc w:val="both"/>
        <w:textAlignment w:val="top"/>
        <w:rPr>
          <w:rFonts w:ascii="Calibri" w:hAnsi="Calibri" w:cs="Arial"/>
          <w:sz w:val="22"/>
          <w:szCs w:val="22"/>
        </w:rPr>
      </w:pPr>
      <w:r>
        <w:rPr>
          <w:rFonts w:ascii="Calibri" w:hAnsi="Calibri"/>
          <w:sz w:val="22"/>
          <w:szCs w:val="22"/>
        </w:rPr>
        <w:t>Toutes les unités administratives se chargent de développer un environnement favorable qui permet à un large éventail de fournisseurs de participer à un processus stable. Les unités administratives doivent veiller à ce qu</w:t>
      </w:r>
      <w:r w:rsidR="004F7541">
        <w:rPr>
          <w:rFonts w:ascii="Calibri" w:hAnsi="Calibri"/>
          <w:sz w:val="22"/>
          <w:szCs w:val="22"/>
        </w:rPr>
        <w:t>’</w:t>
      </w:r>
      <w:r>
        <w:rPr>
          <w:rFonts w:ascii="Calibri" w:hAnsi="Calibri"/>
          <w:sz w:val="22"/>
          <w:szCs w:val="22"/>
        </w:rPr>
        <w:t>aucune restriction ne soit imposée aux dossiers d</w:t>
      </w:r>
      <w:r w:rsidR="004F7541">
        <w:rPr>
          <w:rFonts w:ascii="Calibri" w:hAnsi="Calibri"/>
          <w:sz w:val="22"/>
          <w:szCs w:val="22"/>
        </w:rPr>
        <w:t>’</w:t>
      </w:r>
      <w:r>
        <w:rPr>
          <w:rFonts w:ascii="Calibri" w:hAnsi="Calibri"/>
          <w:sz w:val="22"/>
          <w:szCs w:val="22"/>
        </w:rPr>
        <w:t>invitation à soumissionner qui limite</w:t>
      </w:r>
      <w:r w:rsidR="00C76156">
        <w:rPr>
          <w:rFonts w:ascii="Calibri" w:hAnsi="Calibri"/>
          <w:sz w:val="22"/>
          <w:szCs w:val="22"/>
        </w:rPr>
        <w:t>rait</w:t>
      </w:r>
      <w:r>
        <w:rPr>
          <w:rFonts w:ascii="Calibri" w:hAnsi="Calibri"/>
          <w:sz w:val="22"/>
          <w:szCs w:val="22"/>
        </w:rPr>
        <w:t xml:space="preserve"> </w:t>
      </w:r>
      <w:r w:rsidR="00A91FCA">
        <w:rPr>
          <w:rFonts w:ascii="Calibri" w:hAnsi="Calibri"/>
          <w:sz w:val="22"/>
          <w:szCs w:val="22"/>
        </w:rPr>
        <w:t xml:space="preserve">la zone </w:t>
      </w:r>
      <w:r>
        <w:rPr>
          <w:rFonts w:ascii="Calibri" w:hAnsi="Calibri"/>
          <w:sz w:val="22"/>
          <w:szCs w:val="22"/>
        </w:rPr>
        <w:t>ou les pays d</w:t>
      </w:r>
      <w:r w:rsidR="004F7541">
        <w:rPr>
          <w:rFonts w:ascii="Calibri" w:hAnsi="Calibri"/>
          <w:sz w:val="22"/>
          <w:szCs w:val="22"/>
        </w:rPr>
        <w:t>’</w:t>
      </w:r>
      <w:r>
        <w:rPr>
          <w:rFonts w:ascii="Calibri" w:hAnsi="Calibri"/>
          <w:sz w:val="22"/>
          <w:szCs w:val="22"/>
        </w:rPr>
        <w:t>origine des soumissionnaires potentiels</w:t>
      </w:r>
      <w:r w:rsidR="00A91FCA">
        <w:rPr>
          <w:rFonts w:ascii="Calibri" w:hAnsi="Calibri"/>
          <w:sz w:val="22"/>
          <w:szCs w:val="22"/>
        </w:rPr>
        <w:t>, et leur accès</w:t>
      </w:r>
      <w:r>
        <w:rPr>
          <w:rFonts w:ascii="Calibri" w:hAnsi="Calibri"/>
          <w:sz w:val="22"/>
          <w:szCs w:val="22"/>
        </w:rPr>
        <w:t xml:space="preserve"> à un avis de marché du PNUD.</w:t>
      </w:r>
    </w:p>
    <w:p w14:paraId="27FEC7C5" w14:textId="77777777" w:rsidR="008A4CDD" w:rsidRDefault="008A4CDD" w:rsidP="008A4CDD">
      <w:pPr>
        <w:shd w:val="clear" w:color="auto" w:fill="FFFFFF"/>
        <w:jc w:val="both"/>
        <w:textAlignment w:val="top"/>
        <w:rPr>
          <w:rFonts w:ascii="Calibri" w:hAnsi="Calibri" w:cs="Arial"/>
          <w:sz w:val="22"/>
          <w:szCs w:val="22"/>
        </w:rPr>
      </w:pPr>
    </w:p>
    <w:p w14:paraId="7C604469" w14:textId="77777777" w:rsidR="00EF78C5" w:rsidRDefault="00EF78C5" w:rsidP="008A4CDD">
      <w:pPr>
        <w:shd w:val="clear" w:color="auto" w:fill="FFFFFF"/>
        <w:jc w:val="both"/>
        <w:textAlignment w:val="top"/>
        <w:rPr>
          <w:rFonts w:ascii="Calibri" w:hAnsi="Calibri" w:cs="Arial"/>
          <w:sz w:val="22"/>
          <w:szCs w:val="22"/>
        </w:rPr>
      </w:pPr>
    </w:p>
    <w:p w14:paraId="46E4E4C3" w14:textId="77777777" w:rsidR="00EF78C5" w:rsidRPr="00336CF4" w:rsidRDefault="00EF78C5" w:rsidP="008A4CDD">
      <w:pPr>
        <w:shd w:val="clear" w:color="auto" w:fill="FFFFFF"/>
        <w:jc w:val="both"/>
        <w:textAlignment w:val="top"/>
        <w:rPr>
          <w:rFonts w:ascii="Calibri" w:hAnsi="Calibri" w:cs="Arial"/>
          <w:sz w:val="22"/>
          <w:szCs w:val="22"/>
        </w:rPr>
      </w:pPr>
    </w:p>
    <w:p w14:paraId="7442A322"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lastRenderedPageBreak/>
        <w:t>Meilleur intérêt du PNUD</w:t>
      </w:r>
    </w:p>
    <w:p w14:paraId="3B795600" w14:textId="77777777" w:rsidR="008A4CDD" w:rsidRPr="00336CF4" w:rsidRDefault="008A4CDD" w:rsidP="008A4CDD">
      <w:pPr>
        <w:shd w:val="clear" w:color="auto" w:fill="FFFFFF"/>
        <w:jc w:val="both"/>
        <w:textAlignment w:val="top"/>
        <w:rPr>
          <w:rFonts w:ascii="Calibri" w:hAnsi="Calibri" w:cs="Arial"/>
          <w:sz w:val="22"/>
          <w:szCs w:val="22"/>
        </w:rPr>
      </w:pPr>
    </w:p>
    <w:p w14:paraId="38E50136" w14:textId="77777777" w:rsidR="008A4CDD" w:rsidRPr="00336CF4" w:rsidRDefault="008A4CDD" w:rsidP="00922FF4">
      <w:pPr>
        <w:pStyle w:val="ListParagraph"/>
        <w:numPr>
          <w:ilvl w:val="0"/>
          <w:numId w:val="23"/>
        </w:numPr>
        <w:shd w:val="clear" w:color="auto" w:fill="FFFFFF"/>
        <w:jc w:val="both"/>
        <w:textAlignment w:val="top"/>
        <w:rPr>
          <w:rFonts w:ascii="Calibri" w:hAnsi="Calibri" w:cs="Arial"/>
          <w:sz w:val="22"/>
          <w:szCs w:val="22"/>
        </w:rPr>
      </w:pPr>
      <w:r>
        <w:rPr>
          <w:rFonts w:ascii="Calibri" w:hAnsi="Calibri"/>
          <w:sz w:val="22"/>
          <w:szCs w:val="22"/>
        </w:rPr>
        <w:t>Bien que de nombreuses décisions d</w:t>
      </w:r>
      <w:r w:rsidR="004F7541">
        <w:rPr>
          <w:rFonts w:ascii="Calibri" w:hAnsi="Calibri"/>
          <w:sz w:val="22"/>
          <w:szCs w:val="22"/>
        </w:rPr>
        <w:t>’</w:t>
      </w:r>
      <w:r>
        <w:rPr>
          <w:rFonts w:ascii="Calibri" w:hAnsi="Calibri"/>
          <w:sz w:val="22"/>
          <w:szCs w:val="22"/>
        </w:rPr>
        <w:t>approvisionnement soient subordonnées à des cas et à des environnements particuliers, elles doivent au minimum respecter tous les principes précédemment cités et défendre les intérêts du PNUD. Tous les processus, décisions et mesures connexes sont régis par le Règlement financier, les règles de gestion financière et les procédures du PNUD.</w:t>
      </w:r>
    </w:p>
    <w:p w14:paraId="446C4BD5" w14:textId="77777777" w:rsidR="008A4CDD" w:rsidRPr="00336CF4" w:rsidRDefault="008A4CDD" w:rsidP="003A403B">
      <w:pPr>
        <w:pStyle w:val="ListParagraph"/>
        <w:shd w:val="clear" w:color="auto" w:fill="FFFFFF"/>
        <w:ind w:left="1080"/>
        <w:jc w:val="both"/>
        <w:textAlignment w:val="top"/>
        <w:rPr>
          <w:rFonts w:ascii="Calibri" w:hAnsi="Calibri" w:cs="Arial"/>
          <w:sz w:val="22"/>
          <w:szCs w:val="22"/>
        </w:rPr>
      </w:pPr>
    </w:p>
    <w:p w14:paraId="09A614B5" w14:textId="77777777" w:rsidR="008A4CDD" w:rsidRPr="00336CF4" w:rsidRDefault="008A4CDD" w:rsidP="00922FF4">
      <w:pPr>
        <w:pStyle w:val="ListParagraph"/>
        <w:numPr>
          <w:ilvl w:val="0"/>
          <w:numId w:val="23"/>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accord de donateur exige d</w:t>
      </w:r>
      <w:r w:rsidR="004F7541">
        <w:rPr>
          <w:rFonts w:ascii="Calibri" w:hAnsi="Calibri"/>
          <w:sz w:val="22"/>
          <w:szCs w:val="22"/>
        </w:rPr>
        <w:t>’</w:t>
      </w:r>
      <w:r>
        <w:rPr>
          <w:rFonts w:ascii="Calibri" w:hAnsi="Calibri"/>
          <w:sz w:val="22"/>
          <w:szCs w:val="22"/>
        </w:rPr>
        <w:t>une unité administrative du PNUD qu</w:t>
      </w:r>
      <w:r w:rsidR="004F7541">
        <w:rPr>
          <w:rFonts w:ascii="Calibri" w:hAnsi="Calibri"/>
          <w:sz w:val="22"/>
          <w:szCs w:val="22"/>
        </w:rPr>
        <w:t>’</w:t>
      </w:r>
      <w:r>
        <w:rPr>
          <w:rFonts w:ascii="Calibri" w:hAnsi="Calibri"/>
          <w:sz w:val="22"/>
          <w:szCs w:val="22"/>
        </w:rPr>
        <w:t>elle accepte des limitations ou des conditions susceptibles de compromettre un des principes susmentionnés ou d</w:t>
      </w:r>
      <w:r w:rsidR="004F7541">
        <w:rPr>
          <w:rFonts w:ascii="Calibri" w:hAnsi="Calibri"/>
          <w:sz w:val="22"/>
          <w:szCs w:val="22"/>
        </w:rPr>
        <w:t>’</w:t>
      </w:r>
      <w:r>
        <w:rPr>
          <w:rFonts w:ascii="Calibri" w:hAnsi="Calibri"/>
          <w:sz w:val="22"/>
          <w:szCs w:val="22"/>
        </w:rPr>
        <w:t>être en conflit avec un de ces principes, elle doit obtenir l</w:t>
      </w:r>
      <w:r w:rsidR="004F7541">
        <w:rPr>
          <w:rFonts w:ascii="Calibri" w:hAnsi="Calibri"/>
          <w:sz w:val="22"/>
          <w:szCs w:val="22"/>
        </w:rPr>
        <w:t>’</w:t>
      </w:r>
      <w:r>
        <w:rPr>
          <w:rFonts w:ascii="Calibri" w:hAnsi="Calibri"/>
          <w:sz w:val="22"/>
          <w:szCs w:val="22"/>
        </w:rPr>
        <w:t>approbation préalable du chef de la section des achats du PNUD avant que l</w:t>
      </w:r>
      <w:r w:rsidR="004F7541">
        <w:rPr>
          <w:rFonts w:ascii="Calibri" w:hAnsi="Calibri"/>
          <w:sz w:val="22"/>
          <w:szCs w:val="22"/>
        </w:rPr>
        <w:t>’</w:t>
      </w:r>
      <w:r>
        <w:rPr>
          <w:rFonts w:ascii="Calibri" w:hAnsi="Calibri"/>
          <w:sz w:val="22"/>
          <w:szCs w:val="22"/>
        </w:rPr>
        <w:t>accord ne soit finalisé.</w:t>
      </w:r>
    </w:p>
    <w:p w14:paraId="43750D90" w14:textId="77777777" w:rsidR="008A4CDD" w:rsidRPr="003A403B" w:rsidRDefault="008A4CDD" w:rsidP="008A4CDD">
      <w:pPr>
        <w:shd w:val="clear" w:color="auto" w:fill="FFFFFF"/>
        <w:jc w:val="both"/>
        <w:textAlignment w:val="top"/>
        <w:rPr>
          <w:rFonts w:ascii="Calibri" w:hAnsi="Calibri" w:cs="Arial"/>
          <w:color w:val="333333"/>
          <w:sz w:val="22"/>
          <w:szCs w:val="22"/>
        </w:rPr>
      </w:pPr>
    </w:p>
    <w:p w14:paraId="7C9634C9" w14:textId="77777777" w:rsidR="008A4CDD" w:rsidRPr="00336CF4" w:rsidRDefault="008A4CDD" w:rsidP="00D56D1F">
      <w:pPr>
        <w:pStyle w:val="Head1"/>
      </w:pPr>
      <w:bookmarkStart w:id="1" w:name="_Toc177561749"/>
      <w:r>
        <w:t>Aperçu général du processus d</w:t>
      </w:r>
      <w:r w:rsidR="004F7541">
        <w:t>’</w:t>
      </w:r>
      <w:r>
        <w:t>achat</w:t>
      </w:r>
      <w:bookmarkEnd w:id="1"/>
    </w:p>
    <w:p w14:paraId="2973FD4E" w14:textId="77777777" w:rsidR="00F40BE2" w:rsidRPr="00336CF4" w:rsidRDefault="00F40BE2" w:rsidP="008A4CDD">
      <w:pPr>
        <w:shd w:val="clear" w:color="auto" w:fill="FFFFFF"/>
        <w:ind w:hanging="540"/>
        <w:jc w:val="both"/>
        <w:textAlignment w:val="top"/>
        <w:rPr>
          <w:rFonts w:ascii="Calibri" w:hAnsi="Calibri" w:cs="Arial"/>
          <w:sz w:val="22"/>
          <w:szCs w:val="22"/>
        </w:rPr>
      </w:pPr>
    </w:p>
    <w:p w14:paraId="61C95D98" w14:textId="77777777" w:rsidR="008A4CDD" w:rsidRPr="0097772A" w:rsidRDefault="00F40BE2"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Les différentes </w:t>
      </w:r>
      <w:r w:rsidRPr="0097772A">
        <w:rPr>
          <w:rFonts w:ascii="Calibri" w:hAnsi="Calibri"/>
          <w:sz w:val="22"/>
          <w:szCs w:val="22"/>
        </w:rPr>
        <w:t>méthodes de passation des marchés sont résumées comme suit</w:t>
      </w:r>
      <w:r w:rsidR="0049528D" w:rsidRPr="0097772A">
        <w:rPr>
          <w:rFonts w:ascii="Calibri" w:hAnsi="Calibri"/>
          <w:sz w:val="22"/>
          <w:szCs w:val="22"/>
        </w:rPr>
        <w:t> :</w:t>
      </w:r>
    </w:p>
    <w:p w14:paraId="05187C45" w14:textId="77777777" w:rsidR="00F40BE2" w:rsidRPr="0097772A" w:rsidRDefault="00F40BE2" w:rsidP="008A4CDD">
      <w:pPr>
        <w:shd w:val="clear" w:color="auto" w:fill="FFFFFF"/>
        <w:jc w:val="both"/>
        <w:textAlignment w:val="top"/>
        <w:rPr>
          <w:rFonts w:ascii="Calibri" w:hAnsi="Calibr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546"/>
        <w:gridCol w:w="1702"/>
        <w:gridCol w:w="1879"/>
        <w:gridCol w:w="2521"/>
        <w:gridCol w:w="1607"/>
      </w:tblGrid>
      <w:tr w:rsidR="00336CF4" w:rsidRPr="0097772A" w14:paraId="52256322" w14:textId="77777777" w:rsidTr="008A4CDD">
        <w:tc>
          <w:tcPr>
            <w:tcW w:w="75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6413B3"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Méthode de passation de marchés</w:t>
            </w:r>
          </w:p>
        </w:tc>
        <w:tc>
          <w:tcPr>
            <w:tcW w:w="9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546914"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Valeur du contrat</w:t>
            </w:r>
          </w:p>
        </w:tc>
        <w:tc>
          <w:tcPr>
            <w:tcW w:w="10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50272A"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Type d</w:t>
            </w:r>
            <w:r w:rsidR="004F7541" w:rsidRPr="0097772A">
              <w:rPr>
                <w:rFonts w:ascii="Calibri" w:hAnsi="Calibri"/>
                <w:b/>
                <w:bCs/>
                <w:sz w:val="22"/>
                <w:szCs w:val="22"/>
              </w:rPr>
              <w:t>’</w:t>
            </w:r>
            <w:r w:rsidRPr="0097772A">
              <w:rPr>
                <w:rFonts w:ascii="Calibri" w:hAnsi="Calibri"/>
                <w:b/>
                <w:bCs/>
                <w:sz w:val="22"/>
                <w:szCs w:val="22"/>
              </w:rPr>
              <w:t>exigence</w:t>
            </w:r>
          </w:p>
        </w:tc>
        <w:tc>
          <w:tcPr>
            <w:tcW w:w="138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FB5CB0"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Méthode d</w:t>
            </w:r>
            <w:r w:rsidR="004F7541" w:rsidRPr="0097772A">
              <w:rPr>
                <w:rFonts w:ascii="Calibri" w:hAnsi="Calibri"/>
                <w:b/>
                <w:bCs/>
                <w:sz w:val="22"/>
                <w:szCs w:val="22"/>
              </w:rPr>
              <w:t>’</w:t>
            </w:r>
            <w:r w:rsidRPr="0097772A">
              <w:rPr>
                <w:rFonts w:ascii="Calibri" w:hAnsi="Calibri"/>
                <w:b/>
                <w:bCs/>
                <w:sz w:val="22"/>
                <w:szCs w:val="22"/>
              </w:rPr>
              <w:t>appel à la concurrence</w:t>
            </w:r>
          </w:p>
        </w:tc>
        <w:tc>
          <w:tcPr>
            <w:tcW w:w="8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1F8B08"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Type de concurrence</w:t>
            </w:r>
          </w:p>
        </w:tc>
      </w:tr>
      <w:tr w:rsidR="00336CF4" w:rsidRPr="00336CF4" w14:paraId="6EA71A20" w14:textId="77777777" w:rsidTr="008A4CDD">
        <w:trPr>
          <w:trHeight w:val="980"/>
        </w:trPr>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58F626"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Micro-achat</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E8181A" w14:textId="104F0487" w:rsidR="008A4CDD" w:rsidRPr="0097772A" w:rsidRDefault="008A4CDD" w:rsidP="00384E0E">
            <w:pPr>
              <w:spacing w:before="100" w:beforeAutospacing="1" w:after="100" w:afterAutospacing="1"/>
              <w:jc w:val="center"/>
              <w:rPr>
                <w:rFonts w:ascii="Calibri" w:hAnsi="Calibri" w:cs="Arial"/>
                <w:sz w:val="22"/>
                <w:szCs w:val="22"/>
              </w:rPr>
            </w:pPr>
            <w:r w:rsidRPr="0097772A">
              <w:rPr>
                <w:rFonts w:ascii="Calibri" w:hAnsi="Calibri"/>
                <w:sz w:val="22"/>
                <w:szCs w:val="22"/>
              </w:rPr>
              <w:t xml:space="preserve">Inférieur à </w:t>
            </w:r>
            <w:r w:rsidR="005A061A" w:rsidRPr="0097772A">
              <w:rPr>
                <w:rFonts w:ascii="Calibri" w:hAnsi="Calibri"/>
                <w:sz w:val="22"/>
                <w:szCs w:val="22"/>
              </w:rPr>
              <w:t>$</w:t>
            </w:r>
            <w:r w:rsidRPr="0097772A">
              <w:rPr>
                <w:rFonts w:ascii="Calibri" w:hAnsi="Calibri"/>
                <w:sz w:val="22"/>
                <w:szCs w:val="22"/>
              </w:rPr>
              <w:t>5</w:t>
            </w:r>
            <w:r w:rsidR="005A061A" w:rsidRPr="0097772A">
              <w:rPr>
                <w:rFonts w:ascii="Calibri" w:hAnsi="Calibri"/>
                <w:sz w:val="22"/>
                <w:szCs w:val="22"/>
              </w:rPr>
              <w:t>,</w:t>
            </w:r>
            <w:r w:rsidRPr="0097772A">
              <w:rPr>
                <w:rFonts w:ascii="Calibri" w:hAnsi="Calibri"/>
                <w:sz w:val="22"/>
                <w:szCs w:val="22"/>
              </w:rPr>
              <w:t>000</w:t>
            </w:r>
            <w:r w:rsidR="00AA1E5C" w:rsidRPr="0097772A">
              <w:rPr>
                <w:rFonts w:ascii="Calibri" w:hAnsi="Calibri"/>
                <w:sz w:val="22"/>
                <w:szCs w:val="22"/>
              </w:rPr>
              <w:t> </w:t>
            </w:r>
            <w:r w:rsidR="00384E0E" w:rsidRPr="0097772A">
              <w:rPr>
                <w:rFonts w:ascii="Calibri" w:hAnsi="Calibri"/>
                <w:sz w:val="22"/>
                <w:szCs w:val="22"/>
              </w:rPr>
              <w:t>D</w:t>
            </w:r>
            <w:r w:rsidR="0049528D" w:rsidRPr="0097772A">
              <w:rPr>
                <w:rFonts w:ascii="Calibri" w:hAnsi="Calibri"/>
                <w:sz w:val="22"/>
                <w:szCs w:val="22"/>
              </w:rPr>
              <w:t xml:space="preserve">ollars </w:t>
            </w:r>
            <w:r w:rsidR="00384E0E" w:rsidRPr="0097772A">
              <w:rPr>
                <w:rFonts w:ascii="Calibri" w:hAnsi="Calibri"/>
                <w:sz w:val="22"/>
                <w:szCs w:val="22"/>
              </w:rPr>
              <w:t>US</w:t>
            </w:r>
            <w:r w:rsidR="005A061A" w:rsidRPr="00A27F28">
              <w:rPr>
                <w:rFonts w:ascii="Calibri" w:hAnsi="Calibri"/>
                <w:sz w:val="22"/>
                <w:szCs w:val="22"/>
              </w:rPr>
              <w:t xml:space="preserve"> </w:t>
            </w:r>
            <w:r w:rsidR="005A061A" w:rsidRPr="008A7BDD">
              <w:rPr>
                <w:rFonts w:ascii="Calibri" w:hAnsi="Calibri"/>
                <w:sz w:val="22"/>
                <w:szCs w:val="22"/>
              </w:rPr>
              <w:t>($10,000 si le bureau</w:t>
            </w:r>
            <w:r w:rsidR="00F8774B" w:rsidRPr="008A7BDD">
              <w:rPr>
                <w:rFonts w:ascii="Calibri" w:hAnsi="Calibri"/>
                <w:sz w:val="22"/>
                <w:szCs w:val="22"/>
              </w:rPr>
              <w:t xml:space="preserve"> approuve</w:t>
            </w:r>
            <w:r w:rsidR="005A061A" w:rsidRPr="0097772A">
              <w:rPr>
                <w:rFonts w:ascii="Calibri" w:hAnsi="Calibri"/>
                <w:sz w:val="22"/>
                <w:szCs w:val="22"/>
              </w:rPr>
              <w:t>)</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F16081" w14:textId="77777777" w:rsidR="008A4CDD" w:rsidRPr="00A27F28" w:rsidRDefault="008A4CDD" w:rsidP="008A4CDD">
            <w:pPr>
              <w:spacing w:before="100" w:beforeAutospacing="1" w:after="100" w:afterAutospacing="1"/>
              <w:jc w:val="center"/>
              <w:rPr>
                <w:rFonts w:ascii="Calibri" w:hAnsi="Calibri" w:cs="Arial"/>
                <w:sz w:val="22"/>
                <w:szCs w:val="22"/>
              </w:rPr>
            </w:pPr>
            <w:r w:rsidRPr="00A27F28">
              <w:rPr>
                <w:rFonts w:ascii="Calibri" w:hAnsi="Calibri"/>
                <w:sz w:val="22"/>
                <w:szCs w:val="22"/>
              </w:rPr>
              <w:t>Biens, services ou travaux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102483"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sz w:val="22"/>
                <w:szCs w:val="22"/>
              </w:rPr>
              <w:t>Prospection (par téléphone, Internet, démarchage, etc.)</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555B95" w14:textId="77777777" w:rsidR="008A4CDD" w:rsidRPr="00336CF4" w:rsidRDefault="008A4CDD" w:rsidP="00922FF4">
            <w:pPr>
              <w:spacing w:before="100" w:beforeAutospacing="1" w:after="100" w:afterAutospacing="1"/>
              <w:jc w:val="center"/>
              <w:rPr>
                <w:rFonts w:ascii="Calibri" w:hAnsi="Calibri" w:cs="Arial"/>
                <w:sz w:val="22"/>
                <w:szCs w:val="22"/>
              </w:rPr>
            </w:pPr>
            <w:r w:rsidRPr="0097772A">
              <w:rPr>
                <w:rFonts w:ascii="Calibri" w:hAnsi="Calibri"/>
                <w:sz w:val="22"/>
                <w:szCs w:val="22"/>
              </w:rPr>
              <w:t>Limitée au niveau international ou national</w:t>
            </w:r>
          </w:p>
        </w:tc>
      </w:tr>
      <w:tr w:rsidR="00336CF4" w:rsidRPr="00336CF4" w14:paraId="6A7AB0EB"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A23AE8"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Demande de prix</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AA4BB" w14:textId="1BC9EDF6" w:rsidR="008A4CDD" w:rsidRPr="00336CF4" w:rsidRDefault="005A061A" w:rsidP="00AA1E5C">
            <w:pPr>
              <w:spacing w:before="100" w:beforeAutospacing="1" w:after="100" w:afterAutospacing="1"/>
              <w:jc w:val="center"/>
              <w:rPr>
                <w:rFonts w:ascii="Calibri" w:hAnsi="Calibri" w:cs="Arial"/>
                <w:sz w:val="22"/>
                <w:szCs w:val="22"/>
              </w:rPr>
            </w:pPr>
            <w:r>
              <w:rPr>
                <w:rFonts w:ascii="Calibri" w:hAnsi="Calibri"/>
                <w:sz w:val="22"/>
                <w:szCs w:val="22"/>
              </w:rPr>
              <w:t>$</w:t>
            </w:r>
            <w:r w:rsidR="00DF163A">
              <w:rPr>
                <w:rFonts w:ascii="Calibri" w:hAnsi="Calibri"/>
                <w:sz w:val="22"/>
                <w:szCs w:val="22"/>
              </w:rPr>
              <w:t>5</w:t>
            </w:r>
            <w:r w:rsidR="00AA1E5C">
              <w:rPr>
                <w:rFonts w:ascii="Calibri" w:hAnsi="Calibri"/>
                <w:sz w:val="22"/>
                <w:szCs w:val="22"/>
              </w:rPr>
              <w:t> </w:t>
            </w:r>
            <w:r w:rsidR="00DF163A">
              <w:rPr>
                <w:rFonts w:ascii="Calibri" w:hAnsi="Calibri"/>
                <w:sz w:val="22"/>
                <w:szCs w:val="22"/>
              </w:rPr>
              <w:t xml:space="preserve">000 à </w:t>
            </w:r>
            <w:r w:rsidR="00D75FAA">
              <w:rPr>
                <w:rFonts w:ascii="Calibri" w:hAnsi="Calibri"/>
                <w:sz w:val="22"/>
                <w:szCs w:val="22"/>
              </w:rPr>
              <w:t>19</w:t>
            </w:r>
            <w:r w:rsidR="00DF163A">
              <w:rPr>
                <w:rFonts w:ascii="Calibri" w:hAnsi="Calibri"/>
                <w:sz w:val="22"/>
                <w:szCs w:val="22"/>
              </w:rPr>
              <w:t>9</w:t>
            </w:r>
            <w:r w:rsidR="00AA1E5C">
              <w:rPr>
                <w:rFonts w:ascii="Calibri" w:hAnsi="Calibri"/>
                <w:sz w:val="22"/>
                <w:szCs w:val="22"/>
              </w:rPr>
              <w:t> </w:t>
            </w:r>
            <w:r w:rsidR="00DF163A">
              <w:rPr>
                <w:rFonts w:ascii="Calibri" w:hAnsi="Calibri"/>
                <w:sz w:val="22"/>
                <w:szCs w:val="22"/>
              </w:rPr>
              <w:t>999</w:t>
            </w:r>
            <w:r w:rsidR="00AA1E5C">
              <w:rPr>
                <w:rFonts w:ascii="Calibri" w:hAnsi="Calibri"/>
                <w:sz w:val="22"/>
                <w:szCs w:val="22"/>
              </w:rPr>
              <w:t> </w:t>
            </w:r>
            <w:r w:rsidR="0049528D">
              <w:rPr>
                <w:rFonts w:ascii="Calibri" w:hAnsi="Calibri"/>
                <w:sz w:val="22"/>
                <w:szCs w:val="22"/>
              </w:rPr>
              <w:t xml:space="preserve">dollars des </w:t>
            </w:r>
            <w:r w:rsidR="00E90DF1">
              <w:rPr>
                <w:rFonts w:ascii="Calibri" w:hAnsi="Calibri"/>
                <w:sz w:val="22"/>
                <w:szCs w:val="22"/>
              </w:rPr>
              <w:t xml:space="preserve">Etats-Unis </w:t>
            </w:r>
            <w:r w:rsidR="00E90DF1" w:rsidRPr="008A7BDD">
              <w:rPr>
                <w:rFonts w:ascii="Calibri" w:hAnsi="Calibri"/>
                <w:sz w:val="22"/>
                <w:szCs w:val="22"/>
              </w:rPr>
              <w:t>(</w:t>
            </w:r>
            <w:r w:rsidR="00736709" w:rsidRPr="008A7BDD">
              <w:rPr>
                <w:rFonts w:ascii="Calibri" w:hAnsi="Calibri"/>
                <w:sz w:val="22"/>
                <w:szCs w:val="22"/>
              </w:rPr>
              <w:t>$10,000 si le bureau approuve</w:t>
            </w:r>
            <w:r w:rsidR="00736709" w:rsidRPr="0097772A">
              <w:rPr>
                <w:rFonts w:ascii="Calibri" w:hAnsi="Calibri"/>
                <w:sz w:val="22"/>
                <w:szCs w:val="22"/>
              </w:rPr>
              <w:t>)</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4E7A97"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Biens, services ou travaux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C1D8D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Demande de prix écrite</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A84562"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Limitée au niveau international ou national</w:t>
            </w:r>
          </w:p>
        </w:tc>
      </w:tr>
      <w:tr w:rsidR="00336CF4" w:rsidRPr="00336CF4" w14:paraId="034CFEEF"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20BF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Appel d</w:t>
            </w:r>
            <w:r w:rsidR="004F7541">
              <w:rPr>
                <w:rFonts w:ascii="Calibri" w:hAnsi="Calibri"/>
                <w:b/>
                <w:bCs/>
                <w:sz w:val="22"/>
                <w:szCs w:val="22"/>
              </w:rPr>
              <w:t>’</w:t>
            </w:r>
            <w:r>
              <w:rPr>
                <w:rFonts w:ascii="Calibri" w:hAnsi="Calibri"/>
                <w:b/>
                <w:bCs/>
                <w:sz w:val="22"/>
                <w:szCs w:val="22"/>
              </w:rPr>
              <w:t>offres</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F333AB" w14:textId="0991515E" w:rsidR="008A4CDD" w:rsidRPr="00336CF4" w:rsidRDefault="00E90DF1" w:rsidP="000C16E5">
            <w:pPr>
              <w:spacing w:before="100" w:beforeAutospacing="1" w:after="100" w:afterAutospacing="1"/>
              <w:jc w:val="center"/>
              <w:rPr>
                <w:rFonts w:ascii="Calibri" w:hAnsi="Calibri" w:cs="Arial"/>
                <w:sz w:val="22"/>
                <w:szCs w:val="22"/>
              </w:rPr>
            </w:pPr>
            <w:r>
              <w:rPr>
                <w:rFonts w:ascii="Calibri" w:hAnsi="Calibri"/>
                <w:sz w:val="22"/>
                <w:szCs w:val="22"/>
              </w:rPr>
              <w:t>$</w:t>
            </w:r>
            <w:r w:rsidR="001A5C0A">
              <w:rPr>
                <w:rFonts w:ascii="Calibri" w:hAnsi="Calibri"/>
                <w:sz w:val="22"/>
                <w:szCs w:val="22"/>
              </w:rPr>
              <w:t>200</w:t>
            </w:r>
            <w:r w:rsidR="00AA1E5C">
              <w:rPr>
                <w:rFonts w:ascii="Calibri" w:hAnsi="Calibri"/>
                <w:sz w:val="22"/>
                <w:szCs w:val="22"/>
              </w:rPr>
              <w:t> </w:t>
            </w:r>
            <w:r w:rsidR="008A4CDD">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sidR="008A4CDD">
              <w:rPr>
                <w:rFonts w:ascii="Calibri" w:hAnsi="Calibri"/>
                <w:sz w:val="22"/>
                <w:szCs w:val="22"/>
              </w:rPr>
              <w:t xml:space="preserve"> et plus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11EEAE"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Biens ou travaux</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FE4E98"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Publicité dans les médias internationaux</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19FEB3"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Ouverte à l</w:t>
            </w:r>
            <w:r w:rsidR="004F7541">
              <w:rPr>
                <w:rFonts w:ascii="Calibri" w:hAnsi="Calibri"/>
                <w:sz w:val="22"/>
                <w:szCs w:val="22"/>
              </w:rPr>
              <w:t>’</w:t>
            </w:r>
            <w:r>
              <w:rPr>
                <w:rFonts w:ascii="Calibri" w:hAnsi="Calibri"/>
                <w:sz w:val="22"/>
                <w:szCs w:val="22"/>
              </w:rPr>
              <w:t>international</w:t>
            </w:r>
          </w:p>
        </w:tc>
      </w:tr>
      <w:tr w:rsidR="00336CF4" w:rsidRPr="00336CF4" w14:paraId="02F0A286"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DCCB80"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Invitation à soumissionner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77BB94" w14:textId="294DA1C8" w:rsidR="008A4CDD" w:rsidRPr="00336CF4" w:rsidRDefault="00E90DF1" w:rsidP="000C16E5">
            <w:pPr>
              <w:spacing w:before="100" w:beforeAutospacing="1" w:after="100" w:afterAutospacing="1"/>
              <w:jc w:val="center"/>
              <w:rPr>
                <w:rFonts w:ascii="Calibri" w:hAnsi="Calibri" w:cs="Arial"/>
                <w:sz w:val="22"/>
                <w:szCs w:val="22"/>
              </w:rPr>
            </w:pPr>
            <w:r>
              <w:rPr>
                <w:rFonts w:ascii="Calibri" w:hAnsi="Calibri"/>
                <w:sz w:val="22"/>
                <w:szCs w:val="22"/>
              </w:rPr>
              <w:t>$</w:t>
            </w:r>
            <w:r w:rsidR="001A5C0A">
              <w:rPr>
                <w:rFonts w:ascii="Calibri" w:hAnsi="Calibri"/>
                <w:sz w:val="22"/>
                <w:szCs w:val="22"/>
              </w:rPr>
              <w:t>200</w:t>
            </w:r>
            <w:r w:rsidR="00AA1E5C">
              <w:rPr>
                <w:rFonts w:ascii="Calibri" w:hAnsi="Calibri"/>
                <w:sz w:val="22"/>
                <w:szCs w:val="22"/>
              </w:rPr>
              <w:t> </w:t>
            </w:r>
            <w:r w:rsidR="008A4CDD">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sidR="008A4CDD">
              <w:rPr>
                <w:rFonts w:ascii="Calibri" w:hAnsi="Calibri"/>
                <w:sz w:val="22"/>
                <w:szCs w:val="22"/>
              </w:rPr>
              <w:t xml:space="preserve"> et plus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63F19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Services</w:t>
            </w:r>
          </w:p>
          <w:p w14:paraId="1137D2A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8E4E7"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Publicité dans les médias internationaux</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92270A"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Ouverte à l</w:t>
            </w:r>
            <w:r w:rsidR="004F7541">
              <w:rPr>
                <w:rFonts w:ascii="Calibri" w:hAnsi="Calibri"/>
                <w:sz w:val="22"/>
                <w:szCs w:val="22"/>
              </w:rPr>
              <w:t>’</w:t>
            </w:r>
            <w:r>
              <w:rPr>
                <w:rFonts w:ascii="Calibri" w:hAnsi="Calibri"/>
                <w:sz w:val="22"/>
                <w:szCs w:val="22"/>
              </w:rPr>
              <w:t>international</w:t>
            </w:r>
          </w:p>
        </w:tc>
      </w:tr>
      <w:tr w:rsidR="0095172A" w:rsidRPr="00336CF4" w14:paraId="21320B95"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9C0AE8" w14:textId="63AD817D" w:rsidR="0095172A" w:rsidRDefault="0095172A" w:rsidP="008A4CDD">
            <w:pPr>
              <w:spacing w:before="100" w:beforeAutospacing="1" w:after="100" w:afterAutospacing="1"/>
              <w:jc w:val="center"/>
              <w:rPr>
                <w:rFonts w:ascii="Calibri" w:hAnsi="Calibri"/>
                <w:b/>
                <w:bCs/>
                <w:sz w:val="22"/>
                <w:szCs w:val="22"/>
              </w:rPr>
            </w:pPr>
            <w:r w:rsidRPr="0095172A">
              <w:rPr>
                <w:rFonts w:ascii="Calibri" w:hAnsi="Calibri"/>
                <w:b/>
                <w:bCs/>
                <w:sz w:val="22"/>
                <w:szCs w:val="22"/>
              </w:rPr>
              <w:t>Demande de proposition - pour une faible valeur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5B2AEA" w14:textId="694A2D4B" w:rsidR="0095172A" w:rsidRDefault="0095172A" w:rsidP="000C16E5">
            <w:pPr>
              <w:spacing w:before="100" w:beforeAutospacing="1" w:after="100" w:afterAutospacing="1"/>
              <w:jc w:val="center"/>
              <w:rPr>
                <w:rFonts w:ascii="Calibri" w:hAnsi="Calibri"/>
                <w:sz w:val="22"/>
                <w:szCs w:val="22"/>
              </w:rPr>
            </w:pPr>
            <w:r w:rsidRPr="0095172A">
              <w:rPr>
                <w:rFonts w:ascii="Calibri" w:hAnsi="Calibri"/>
                <w:sz w:val="22"/>
                <w:szCs w:val="22"/>
              </w:rPr>
              <w:t>Jusqu'à 199 999 dollars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48A449" w14:textId="77777777" w:rsidR="0095172A" w:rsidRPr="00336CF4" w:rsidRDefault="0095172A" w:rsidP="0095172A">
            <w:pPr>
              <w:spacing w:before="100" w:beforeAutospacing="1" w:after="100" w:afterAutospacing="1"/>
              <w:jc w:val="center"/>
              <w:rPr>
                <w:rFonts w:ascii="Calibri" w:hAnsi="Calibri" w:cs="Arial"/>
                <w:sz w:val="22"/>
                <w:szCs w:val="22"/>
              </w:rPr>
            </w:pPr>
            <w:r>
              <w:rPr>
                <w:rFonts w:ascii="Calibri" w:hAnsi="Calibri"/>
                <w:sz w:val="22"/>
                <w:szCs w:val="22"/>
              </w:rPr>
              <w:t>Services</w:t>
            </w:r>
          </w:p>
          <w:p w14:paraId="3C8A3B89" w14:textId="77777777" w:rsidR="0095172A" w:rsidRDefault="0095172A" w:rsidP="008A4CDD">
            <w:pPr>
              <w:spacing w:before="100" w:beforeAutospacing="1" w:after="100" w:afterAutospacing="1"/>
              <w:jc w:val="center"/>
              <w:rPr>
                <w:rFonts w:ascii="Calibri" w:hAnsi="Calibri"/>
                <w:sz w:val="22"/>
                <w:szCs w:val="22"/>
              </w:rPr>
            </w:pP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1AB929" w14:textId="7CB4EE0E" w:rsidR="0095172A" w:rsidRDefault="0095172A" w:rsidP="008A4CDD">
            <w:pPr>
              <w:spacing w:before="100" w:beforeAutospacing="1" w:after="100" w:afterAutospacing="1"/>
              <w:jc w:val="center"/>
              <w:rPr>
                <w:rFonts w:ascii="Calibri" w:hAnsi="Calibri"/>
                <w:sz w:val="22"/>
                <w:szCs w:val="22"/>
              </w:rPr>
            </w:pPr>
            <w:r w:rsidRPr="0095172A">
              <w:rPr>
                <w:rFonts w:ascii="Calibri" w:hAnsi="Calibri"/>
                <w:sz w:val="22"/>
                <w:szCs w:val="22"/>
              </w:rPr>
              <w:t>Demande écrite de proposition</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3E0AD4" w14:textId="3BD84CB3" w:rsidR="0095172A" w:rsidRDefault="0095172A" w:rsidP="008A4CDD">
            <w:pPr>
              <w:spacing w:before="100" w:beforeAutospacing="1" w:after="100" w:afterAutospacing="1"/>
              <w:jc w:val="center"/>
              <w:rPr>
                <w:rFonts w:ascii="Calibri" w:hAnsi="Calibri"/>
                <w:sz w:val="22"/>
                <w:szCs w:val="22"/>
              </w:rPr>
            </w:pPr>
            <w:r>
              <w:rPr>
                <w:rFonts w:ascii="Calibri" w:hAnsi="Calibri"/>
                <w:sz w:val="22"/>
                <w:szCs w:val="22"/>
              </w:rPr>
              <w:t>Limitée au niveau international ou national</w:t>
            </w:r>
          </w:p>
        </w:tc>
      </w:tr>
      <w:tr w:rsidR="008A4CDD" w:rsidRPr="00336CF4" w14:paraId="747C86C6"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9793C4"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Marché par entente directe</w:t>
            </w:r>
          </w:p>
          <w:p w14:paraId="260CC30A"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3124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Tout montant dans les circonstances permises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00F7B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 xml:space="preserve">Services, </w:t>
            </w:r>
            <w:r w:rsidR="00C76156">
              <w:rPr>
                <w:rFonts w:ascii="Calibri" w:hAnsi="Calibri"/>
                <w:sz w:val="22"/>
                <w:szCs w:val="22"/>
              </w:rPr>
              <w:t>biens</w:t>
            </w:r>
            <w:r>
              <w:rPr>
                <w:rFonts w:ascii="Calibri" w:hAnsi="Calibri"/>
                <w:sz w:val="22"/>
                <w:szCs w:val="22"/>
              </w:rPr>
              <w:t xml:space="preserve"> ou travaux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2D3EF1"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Invitation ou négociation directe</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4743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Aucune</w:t>
            </w:r>
          </w:p>
        </w:tc>
      </w:tr>
    </w:tbl>
    <w:p w14:paraId="2E5795E4" w14:textId="77777777" w:rsidR="008A4CDD" w:rsidRPr="00336CF4" w:rsidRDefault="00D56D1F" w:rsidP="00D56D1F">
      <w:pPr>
        <w:pStyle w:val="Head1"/>
      </w:pPr>
      <w:bookmarkStart w:id="2" w:name="_Toc177561750"/>
      <w:r>
        <w:lastRenderedPageBreak/>
        <w:t>Types de concurrence</w:t>
      </w:r>
      <w:bookmarkEnd w:id="2"/>
      <w:r>
        <w:t xml:space="preserve"> </w:t>
      </w:r>
    </w:p>
    <w:p w14:paraId="711E2630" w14:textId="77777777" w:rsidR="008A4CDD" w:rsidRPr="00336CF4" w:rsidRDefault="008A4CDD" w:rsidP="008A4CDD">
      <w:pPr>
        <w:shd w:val="clear" w:color="auto" w:fill="FFFFFF"/>
        <w:textAlignment w:val="top"/>
        <w:rPr>
          <w:rFonts w:ascii="Calibri" w:hAnsi="Calibri" w:cs="Arial"/>
          <w:sz w:val="22"/>
          <w:szCs w:val="22"/>
        </w:rPr>
      </w:pPr>
    </w:p>
    <w:p w14:paraId="2CAC01E4" w14:textId="77777777" w:rsidR="008A4CDD" w:rsidRPr="003A403B"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neutralité, l</w:t>
      </w:r>
      <w:r w:rsidR="004F7541">
        <w:rPr>
          <w:rFonts w:ascii="Calibri" w:hAnsi="Calibri"/>
          <w:sz w:val="22"/>
          <w:szCs w:val="22"/>
        </w:rPr>
        <w:t>’</w:t>
      </w:r>
      <w:r>
        <w:rPr>
          <w:rFonts w:ascii="Calibri" w:hAnsi="Calibri"/>
          <w:sz w:val="22"/>
          <w:szCs w:val="22"/>
        </w:rPr>
        <w:t>économie et l</w:t>
      </w:r>
      <w:r w:rsidR="004F7541">
        <w:rPr>
          <w:rFonts w:ascii="Calibri" w:hAnsi="Calibri"/>
          <w:sz w:val="22"/>
          <w:szCs w:val="22"/>
        </w:rPr>
        <w:t>’</w:t>
      </w:r>
      <w:r>
        <w:rPr>
          <w:rFonts w:ascii="Calibri" w:hAnsi="Calibri"/>
          <w:sz w:val="22"/>
          <w:szCs w:val="22"/>
        </w:rPr>
        <w:t>efficacité en matière d</w:t>
      </w:r>
      <w:r w:rsidR="004F7541">
        <w:rPr>
          <w:rFonts w:ascii="Calibri" w:hAnsi="Calibri"/>
          <w:sz w:val="22"/>
          <w:szCs w:val="22"/>
        </w:rPr>
        <w:t>’</w:t>
      </w:r>
      <w:r>
        <w:rPr>
          <w:rFonts w:ascii="Calibri" w:hAnsi="Calibri"/>
          <w:sz w:val="22"/>
          <w:szCs w:val="22"/>
        </w:rPr>
        <w:t>approvisionnement ne peuvent être atteintes que par le biais de conditions de concurrence identiques entre les soumissionnaires potentiels. Le Règlement financier et les règles de gestion financière du PNUD (règle</w:t>
      </w:r>
      <w:r w:rsidR="004F7541">
        <w:rPr>
          <w:rFonts w:ascii="Calibri" w:hAnsi="Calibri"/>
          <w:sz w:val="22"/>
          <w:szCs w:val="22"/>
        </w:rPr>
        <w:t> </w:t>
      </w:r>
      <w:r>
        <w:rPr>
          <w:rFonts w:ascii="Calibri" w:hAnsi="Calibri"/>
          <w:sz w:val="22"/>
          <w:szCs w:val="22"/>
        </w:rPr>
        <w:t>121.03) mettent l</w:t>
      </w:r>
      <w:r w:rsidR="004F7541">
        <w:rPr>
          <w:rFonts w:ascii="Calibri" w:hAnsi="Calibri"/>
          <w:sz w:val="22"/>
          <w:szCs w:val="22"/>
        </w:rPr>
        <w:t>’</w:t>
      </w:r>
      <w:r>
        <w:rPr>
          <w:rFonts w:ascii="Calibri" w:hAnsi="Calibri"/>
          <w:sz w:val="22"/>
          <w:szCs w:val="22"/>
        </w:rPr>
        <w:t>accent sur la concurrence sur une base géographique aussi large que possible et adaptée au marché.</w:t>
      </w:r>
    </w:p>
    <w:p w14:paraId="5DD14472" w14:textId="77777777" w:rsidR="008A4CDD" w:rsidRPr="003A403B" w:rsidRDefault="008A4CDD" w:rsidP="008A4CDD">
      <w:pPr>
        <w:shd w:val="clear" w:color="auto" w:fill="FFFFFF"/>
        <w:textAlignment w:val="top"/>
        <w:rPr>
          <w:rFonts w:ascii="Calibri" w:hAnsi="Calibri" w:cs="Arial"/>
          <w:sz w:val="22"/>
          <w:szCs w:val="22"/>
        </w:rPr>
      </w:pPr>
    </w:p>
    <w:p w14:paraId="403BA13B" w14:textId="77777777" w:rsidR="008A4CDD" w:rsidRPr="003A403B"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fonction des besoins et de la valeur totale du contrat, le PNUD adopte l</w:t>
      </w:r>
      <w:r w:rsidR="004F7541">
        <w:rPr>
          <w:rFonts w:ascii="Calibri" w:hAnsi="Calibri"/>
          <w:sz w:val="22"/>
          <w:szCs w:val="22"/>
        </w:rPr>
        <w:t>’</w:t>
      </w:r>
      <w:r>
        <w:rPr>
          <w:rFonts w:ascii="Calibri" w:hAnsi="Calibri"/>
          <w:sz w:val="22"/>
          <w:szCs w:val="22"/>
        </w:rPr>
        <w:t>un des types de mise en concurrence suivants.</w:t>
      </w:r>
    </w:p>
    <w:p w14:paraId="4AA529C7" w14:textId="77777777" w:rsidR="00D56D1F" w:rsidRPr="003A403B" w:rsidRDefault="00D56D1F" w:rsidP="008A4CDD">
      <w:pPr>
        <w:shd w:val="clear" w:color="auto" w:fill="FFFFFF"/>
        <w:textAlignment w:val="top"/>
        <w:rPr>
          <w:rFonts w:ascii="Calibri" w:hAnsi="Calibri" w:cs="Arial"/>
          <w:sz w:val="22"/>
          <w:szCs w:val="22"/>
        </w:rPr>
      </w:pPr>
    </w:p>
    <w:p w14:paraId="3D408CDD" w14:textId="77777777" w:rsidR="008A4CDD" w:rsidRPr="003A403B" w:rsidRDefault="008A4CDD" w:rsidP="004B51E2">
      <w:pPr>
        <w:pStyle w:val="Head2"/>
        <w:rPr>
          <w:color w:val="auto"/>
        </w:rPr>
      </w:pPr>
      <w:bookmarkStart w:id="3" w:name="_Toc177561751"/>
      <w:r>
        <w:rPr>
          <w:color w:val="auto"/>
        </w:rPr>
        <w:t>Concurrence internationale ouverte</w:t>
      </w:r>
      <w:bookmarkEnd w:id="3"/>
    </w:p>
    <w:p w14:paraId="7068BE64"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D5D06CC" w14:textId="2A0A4BE2"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 xml:space="preserve">ouverture de la concurrence au marché international offre des chances égales à tous les fournisseurs admissibles. Cela implique une </w:t>
      </w:r>
      <w:r w:rsidR="008C41A2">
        <w:rPr>
          <w:rFonts w:ascii="Calibri" w:hAnsi="Calibri"/>
          <w:sz w:val="22"/>
          <w:szCs w:val="22"/>
        </w:rPr>
        <w:t>publication</w:t>
      </w:r>
      <w:r>
        <w:rPr>
          <w:rFonts w:ascii="Calibri" w:hAnsi="Calibri"/>
          <w:sz w:val="22"/>
          <w:szCs w:val="22"/>
        </w:rPr>
        <w:t xml:space="preserve"> dans des médias accessibles à l</w:t>
      </w:r>
      <w:r w:rsidR="004F7541">
        <w:rPr>
          <w:rFonts w:ascii="Calibri" w:hAnsi="Calibri"/>
          <w:sz w:val="22"/>
          <w:szCs w:val="22"/>
        </w:rPr>
        <w:t>’</w:t>
      </w:r>
      <w:r>
        <w:rPr>
          <w:rFonts w:ascii="Calibri" w:hAnsi="Calibri"/>
          <w:sz w:val="22"/>
          <w:szCs w:val="22"/>
        </w:rPr>
        <w:t>échelle mondiale. Les conditions suivantes doivent être remplies</w:t>
      </w:r>
      <w:r w:rsidR="0049528D">
        <w:rPr>
          <w:rFonts w:ascii="Calibri" w:hAnsi="Calibri"/>
          <w:sz w:val="22"/>
          <w:szCs w:val="22"/>
        </w:rPr>
        <w:t> :</w:t>
      </w:r>
    </w:p>
    <w:p w14:paraId="74DAC5B4" w14:textId="77777777" w:rsidR="008A4CDD" w:rsidRPr="003A403B" w:rsidRDefault="008A4CDD" w:rsidP="008A4CDD">
      <w:pPr>
        <w:shd w:val="clear" w:color="auto" w:fill="FFFFFF"/>
        <w:textAlignment w:val="top"/>
        <w:rPr>
          <w:rFonts w:ascii="Calibri" w:hAnsi="Calibri" w:cs="Arial"/>
          <w:sz w:val="22"/>
          <w:szCs w:val="22"/>
        </w:rPr>
      </w:pPr>
    </w:p>
    <w:p w14:paraId="07DF8580" w14:textId="77777777" w:rsidR="008A4CDD" w:rsidRPr="00BD2B48" w:rsidRDefault="008A4CDD" w:rsidP="00D166FA">
      <w:pPr>
        <w:pStyle w:val="ListParagraph"/>
        <w:numPr>
          <w:ilvl w:val="0"/>
          <w:numId w:val="2"/>
        </w:numPr>
        <w:shd w:val="clear" w:color="auto" w:fill="FFFFFF"/>
        <w:ind w:left="2160" w:hanging="720"/>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appel à la concurrence doit être publié sur le site Web du PNUD</w:t>
      </w:r>
      <w:r w:rsidR="0049528D">
        <w:rPr>
          <w:rFonts w:ascii="Calibri" w:hAnsi="Calibri"/>
          <w:sz w:val="22"/>
          <w:szCs w:val="22"/>
        </w:rPr>
        <w:t> ;</w:t>
      </w:r>
    </w:p>
    <w:p w14:paraId="251143C3" w14:textId="77777777" w:rsidR="00BD2B48" w:rsidRPr="003A403B" w:rsidRDefault="00BD2B48" w:rsidP="00BD2B48">
      <w:pPr>
        <w:pStyle w:val="ListParagraph"/>
        <w:shd w:val="clear" w:color="auto" w:fill="FFFFFF"/>
        <w:ind w:left="2160"/>
        <w:textAlignment w:val="top"/>
        <w:rPr>
          <w:rFonts w:ascii="Calibri" w:hAnsi="Calibri" w:cs="Arial"/>
          <w:sz w:val="22"/>
          <w:szCs w:val="22"/>
        </w:rPr>
      </w:pPr>
    </w:p>
    <w:p w14:paraId="22615586" w14:textId="77777777" w:rsidR="00BD2B48" w:rsidRPr="000C15D2" w:rsidRDefault="008A4CDD" w:rsidP="00BD2B48">
      <w:pPr>
        <w:pStyle w:val="ListParagraph"/>
        <w:numPr>
          <w:ilvl w:val="0"/>
          <w:numId w:val="2"/>
        </w:numPr>
        <w:shd w:val="clear" w:color="auto" w:fill="FFFFFF"/>
        <w:ind w:left="2160" w:hanging="720"/>
        <w:textAlignment w:val="top"/>
        <w:rPr>
          <w:rFonts w:asciiTheme="majorHAnsi" w:hAnsiTheme="majorHAnsi" w:cstheme="majorHAnsi"/>
          <w:color w:val="333333"/>
          <w:sz w:val="22"/>
          <w:szCs w:val="22"/>
        </w:rPr>
      </w:pPr>
      <w:r w:rsidRPr="000C15D2">
        <w:rPr>
          <w:rFonts w:asciiTheme="majorHAnsi" w:hAnsiTheme="majorHAnsi" w:cstheme="majorHAnsi"/>
          <w:sz w:val="22"/>
          <w:szCs w:val="22"/>
        </w:rPr>
        <w:t>Il doit être affiché sur le Portail mondial pour les fournisseurs des organismes des Nations Unies (</w:t>
      </w:r>
      <w:r w:rsidR="004F7541" w:rsidRPr="000C15D2">
        <w:rPr>
          <w:rFonts w:asciiTheme="majorHAnsi" w:hAnsiTheme="majorHAnsi" w:cstheme="majorHAnsi"/>
          <w:sz w:val="22"/>
          <w:szCs w:val="22"/>
        </w:rPr>
        <w:t>c’est-à-dire</w:t>
      </w:r>
      <w:r w:rsidRPr="000C15D2">
        <w:rPr>
          <w:rFonts w:asciiTheme="majorHAnsi" w:hAnsiTheme="majorHAnsi" w:cstheme="majorHAnsi"/>
          <w:sz w:val="22"/>
          <w:szCs w:val="22"/>
        </w:rPr>
        <w:t xml:space="preserve"> </w:t>
      </w:r>
      <w:hyperlink r:id="rId13" w:history="1">
        <w:r w:rsidRPr="000C15D2">
          <w:rPr>
            <w:rFonts w:asciiTheme="majorHAnsi" w:hAnsiTheme="majorHAnsi" w:cstheme="majorHAnsi"/>
            <w:color w:val="336699"/>
            <w:sz w:val="22"/>
            <w:szCs w:val="22"/>
          </w:rPr>
          <w:t>www.ungm.org</w:t>
        </w:r>
      </w:hyperlink>
      <w:r w:rsidRPr="000C15D2">
        <w:rPr>
          <w:rFonts w:asciiTheme="majorHAnsi" w:hAnsiTheme="majorHAnsi" w:cstheme="majorHAnsi"/>
          <w:sz w:val="22"/>
          <w:szCs w:val="22"/>
        </w:rPr>
        <w:t>)</w:t>
      </w:r>
      <w:r w:rsidR="0049528D" w:rsidRPr="000C15D2">
        <w:rPr>
          <w:rFonts w:asciiTheme="majorHAnsi" w:hAnsiTheme="majorHAnsi" w:cstheme="majorHAnsi"/>
          <w:sz w:val="22"/>
          <w:szCs w:val="22"/>
        </w:rPr>
        <w:t> ;</w:t>
      </w:r>
      <w:r w:rsidRPr="000C15D2">
        <w:rPr>
          <w:rFonts w:asciiTheme="majorHAnsi" w:hAnsiTheme="majorHAnsi" w:cstheme="majorHAnsi"/>
          <w:sz w:val="22"/>
          <w:szCs w:val="22"/>
        </w:rPr>
        <w:t xml:space="preserve"> et</w:t>
      </w:r>
    </w:p>
    <w:p w14:paraId="0B1ACCAD" w14:textId="77777777" w:rsidR="00BD2B48" w:rsidRPr="00BD2B48" w:rsidRDefault="00BD2B48" w:rsidP="00BD2B48">
      <w:pPr>
        <w:shd w:val="clear" w:color="auto" w:fill="FFFFFF"/>
        <w:textAlignment w:val="top"/>
        <w:rPr>
          <w:rFonts w:ascii="Calibri" w:hAnsi="Calibri" w:cs="Arial"/>
          <w:color w:val="333333"/>
          <w:sz w:val="22"/>
          <w:szCs w:val="22"/>
        </w:rPr>
      </w:pPr>
    </w:p>
    <w:p w14:paraId="1E2AB7E8" w14:textId="77777777" w:rsidR="008A4CDD" w:rsidRPr="003A403B" w:rsidRDefault="008A4CDD" w:rsidP="00D166FA">
      <w:pPr>
        <w:pStyle w:val="ListParagraph"/>
        <w:numPr>
          <w:ilvl w:val="0"/>
          <w:numId w:val="2"/>
        </w:numPr>
        <w:shd w:val="clear" w:color="auto" w:fill="FFFFFF"/>
        <w:ind w:left="2160" w:hanging="720"/>
        <w:textAlignment w:val="top"/>
        <w:rPr>
          <w:rFonts w:ascii="Calibri" w:hAnsi="Calibri" w:cs="Arial"/>
          <w:sz w:val="22"/>
          <w:szCs w:val="22"/>
        </w:rPr>
      </w:pPr>
      <w:r>
        <w:rPr>
          <w:rFonts w:ascii="Calibri" w:hAnsi="Calibri"/>
          <w:sz w:val="22"/>
          <w:szCs w:val="22"/>
        </w:rPr>
        <w:t>Les annonces publicitaires doivent rester en ligne pendant au moins deux semaines.</w:t>
      </w:r>
    </w:p>
    <w:p w14:paraId="67DDF574" w14:textId="77777777" w:rsidR="008A4CDD" w:rsidRPr="003A403B" w:rsidRDefault="008A4CDD" w:rsidP="008A4CDD">
      <w:pPr>
        <w:shd w:val="clear" w:color="auto" w:fill="FFFFFF"/>
        <w:textAlignment w:val="top"/>
        <w:rPr>
          <w:rFonts w:ascii="Calibri" w:hAnsi="Calibri" w:cs="Arial"/>
          <w:color w:val="333333"/>
          <w:sz w:val="22"/>
          <w:szCs w:val="22"/>
        </w:rPr>
      </w:pPr>
    </w:p>
    <w:p w14:paraId="491E497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diligence raisonnable exige que l</w:t>
      </w:r>
      <w:r w:rsidR="004F7541">
        <w:rPr>
          <w:rFonts w:ascii="Calibri" w:hAnsi="Calibri"/>
          <w:sz w:val="22"/>
          <w:szCs w:val="22"/>
        </w:rPr>
        <w:t>’</w:t>
      </w:r>
      <w:r>
        <w:rPr>
          <w:rFonts w:ascii="Calibri" w:hAnsi="Calibri"/>
          <w:sz w:val="22"/>
          <w:szCs w:val="22"/>
        </w:rPr>
        <w:t>annonce soit complétée par des études de marché visant à élargir le champ concurrentiel. Ces efforts peuvent comprendre, sans toutefois s</w:t>
      </w:r>
      <w:r w:rsidR="004F7541">
        <w:rPr>
          <w:rFonts w:ascii="Calibri" w:hAnsi="Calibri"/>
          <w:sz w:val="22"/>
          <w:szCs w:val="22"/>
        </w:rPr>
        <w:t>’</w:t>
      </w:r>
      <w:r>
        <w:rPr>
          <w:rFonts w:ascii="Calibri" w:hAnsi="Calibri"/>
          <w:sz w:val="22"/>
          <w:szCs w:val="22"/>
        </w:rPr>
        <w:t>y limiter, l</w:t>
      </w:r>
      <w:r w:rsidR="004F7541">
        <w:rPr>
          <w:rFonts w:ascii="Calibri" w:hAnsi="Calibri"/>
          <w:sz w:val="22"/>
          <w:szCs w:val="22"/>
        </w:rPr>
        <w:t>’</w:t>
      </w:r>
      <w:r>
        <w:rPr>
          <w:rFonts w:ascii="Calibri" w:hAnsi="Calibri"/>
          <w:sz w:val="22"/>
          <w:szCs w:val="22"/>
        </w:rPr>
        <w:t>identification préalable d</w:t>
      </w:r>
      <w:r w:rsidR="004F7541">
        <w:rPr>
          <w:rFonts w:ascii="Calibri" w:hAnsi="Calibri"/>
          <w:sz w:val="22"/>
          <w:szCs w:val="22"/>
        </w:rPr>
        <w:t>’</w:t>
      </w:r>
      <w:r>
        <w:rPr>
          <w:rFonts w:ascii="Calibri" w:hAnsi="Calibri"/>
          <w:sz w:val="22"/>
          <w:szCs w:val="22"/>
        </w:rPr>
        <w:t>entités reconnues comme des spécialistes ou des sources fiables, et les informer directement de l</w:t>
      </w:r>
      <w:r w:rsidR="004F7541">
        <w:rPr>
          <w:rFonts w:ascii="Calibri" w:hAnsi="Calibri"/>
          <w:sz w:val="22"/>
          <w:szCs w:val="22"/>
        </w:rPr>
        <w:t>’</w:t>
      </w:r>
      <w:r>
        <w:rPr>
          <w:rFonts w:ascii="Calibri" w:hAnsi="Calibri"/>
          <w:sz w:val="22"/>
          <w:szCs w:val="22"/>
        </w:rPr>
        <w:t>appel à la concurrence. Ils peuvent également inclure la publication dans des sites Web ou des revues à large diffusion.</w:t>
      </w:r>
    </w:p>
    <w:p w14:paraId="29F64542" w14:textId="77777777" w:rsidR="008A4CDD" w:rsidRPr="003A403B" w:rsidRDefault="008A4CDD" w:rsidP="008A4CDD">
      <w:pPr>
        <w:shd w:val="clear" w:color="auto" w:fill="FFFFFF"/>
        <w:textAlignment w:val="top"/>
        <w:rPr>
          <w:rFonts w:ascii="Calibri" w:hAnsi="Calibri" w:cs="Arial"/>
          <w:sz w:val="22"/>
          <w:szCs w:val="22"/>
        </w:rPr>
      </w:pPr>
    </w:p>
    <w:p w14:paraId="67CBD0B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processus de présélection est entrepris au moyen d</w:t>
      </w:r>
      <w:r w:rsidR="004F7541">
        <w:rPr>
          <w:rFonts w:ascii="Calibri" w:hAnsi="Calibri"/>
          <w:sz w:val="22"/>
          <w:szCs w:val="22"/>
        </w:rPr>
        <w:t>’</w:t>
      </w:r>
      <w:r>
        <w:rPr>
          <w:rFonts w:ascii="Calibri" w:hAnsi="Calibri"/>
          <w:sz w:val="22"/>
          <w:szCs w:val="22"/>
        </w:rPr>
        <w:t>une annonce ouverte, généralement comme étape préliminaire à un appel d</w:t>
      </w:r>
      <w:r w:rsidR="004F7541">
        <w:rPr>
          <w:rFonts w:ascii="Calibri" w:hAnsi="Calibri"/>
          <w:sz w:val="22"/>
          <w:szCs w:val="22"/>
        </w:rPr>
        <w:t>’</w:t>
      </w:r>
      <w:r>
        <w:rPr>
          <w:rFonts w:ascii="Calibri" w:hAnsi="Calibri"/>
          <w:sz w:val="22"/>
          <w:szCs w:val="22"/>
        </w:rPr>
        <w:t>offres ou à une invitation à soumissionner, la concurrence entre les soumissionnaires admissibles présélectionnés est considérée comme une concurrence internationale ouverte.</w:t>
      </w:r>
    </w:p>
    <w:p w14:paraId="1111D65E" w14:textId="77777777" w:rsidR="008A4CDD" w:rsidRPr="003A403B" w:rsidRDefault="008A4CDD" w:rsidP="008A4CDD">
      <w:pPr>
        <w:shd w:val="clear" w:color="auto" w:fill="FFFFFF"/>
        <w:textAlignment w:val="top"/>
        <w:rPr>
          <w:rFonts w:ascii="Calibri" w:hAnsi="Calibri" w:cs="Arial"/>
          <w:sz w:val="22"/>
          <w:szCs w:val="22"/>
        </w:rPr>
      </w:pPr>
    </w:p>
    <w:p w14:paraId="7459933C" w14:textId="77777777" w:rsidR="008A4CDD" w:rsidRPr="003A403B" w:rsidRDefault="008A4CDD" w:rsidP="00D166FA">
      <w:pPr>
        <w:pStyle w:val="Head2"/>
        <w:rPr>
          <w:color w:val="auto"/>
        </w:rPr>
      </w:pPr>
      <w:bookmarkStart w:id="4" w:name="_Toc177561752"/>
      <w:r>
        <w:rPr>
          <w:color w:val="auto"/>
        </w:rPr>
        <w:t>Concurrence internationale limitée</w:t>
      </w:r>
      <w:bookmarkEnd w:id="4"/>
    </w:p>
    <w:p w14:paraId="2B7262C1" w14:textId="77777777" w:rsidR="008A4CDD" w:rsidRPr="003A403B" w:rsidRDefault="008A4CDD" w:rsidP="008A4CDD">
      <w:pPr>
        <w:shd w:val="clear" w:color="auto" w:fill="FFFFFF"/>
        <w:textAlignment w:val="top"/>
        <w:rPr>
          <w:rFonts w:ascii="Calibri" w:hAnsi="Calibri" w:cs="Arial"/>
          <w:sz w:val="22"/>
          <w:szCs w:val="22"/>
        </w:rPr>
      </w:pPr>
    </w:p>
    <w:p w14:paraId="5E4346A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concurrence internationale limitée est réalisée en réduisant le champ de la concurrence à une liste restreinte de soumissionnaires potentiels. Cette situation est déterminée au préalable par une évaluation non discriminatoire des qualifications. Un tel processus peut utiliser diverses méthodes de recherche de fournisseurs, telles que</w:t>
      </w:r>
      <w:r w:rsidR="0049528D">
        <w:rPr>
          <w:rFonts w:ascii="Calibri" w:hAnsi="Calibri"/>
          <w:sz w:val="22"/>
          <w:szCs w:val="22"/>
        </w:rPr>
        <w:t> :</w:t>
      </w:r>
    </w:p>
    <w:p w14:paraId="55F95106"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58A63868" w14:textId="77777777" w:rsidR="008A4CDD"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Utilisation des fichiers existants</w:t>
      </w:r>
    </w:p>
    <w:p w14:paraId="7BCED6D4"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4914762E"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Présélection à partir de séries précédentes de sélection ou de manifestations d</w:t>
      </w:r>
      <w:r w:rsidR="004F7541">
        <w:rPr>
          <w:rFonts w:ascii="Calibri" w:hAnsi="Calibri"/>
          <w:sz w:val="22"/>
          <w:szCs w:val="22"/>
        </w:rPr>
        <w:t>’</w:t>
      </w:r>
      <w:r>
        <w:rPr>
          <w:rFonts w:ascii="Calibri" w:hAnsi="Calibri"/>
          <w:sz w:val="22"/>
          <w:szCs w:val="22"/>
        </w:rPr>
        <w:t>intérêt provenant d</w:t>
      </w:r>
      <w:r w:rsidR="004F7541">
        <w:rPr>
          <w:rFonts w:ascii="Calibri" w:hAnsi="Calibri"/>
          <w:sz w:val="22"/>
          <w:szCs w:val="22"/>
        </w:rPr>
        <w:t>’</w:t>
      </w:r>
      <w:r>
        <w:rPr>
          <w:rFonts w:ascii="Calibri" w:hAnsi="Calibri"/>
          <w:sz w:val="22"/>
          <w:szCs w:val="22"/>
        </w:rPr>
        <w:t>un autre processus de sélection, en supposant que les biens ou services sont similaires</w:t>
      </w:r>
    </w:p>
    <w:p w14:paraId="3106A398" w14:textId="77777777" w:rsidR="00FD7D0B" w:rsidRPr="00FD7D0B" w:rsidRDefault="00FD7D0B" w:rsidP="00FD7D0B">
      <w:pPr>
        <w:pStyle w:val="ListParagraph"/>
        <w:shd w:val="clear" w:color="auto" w:fill="FFFFFF"/>
        <w:ind w:left="1800"/>
        <w:textAlignment w:val="top"/>
        <w:rPr>
          <w:rFonts w:ascii="Calibri" w:hAnsi="Calibri" w:cs="Arial"/>
          <w:sz w:val="22"/>
          <w:szCs w:val="22"/>
        </w:rPr>
      </w:pPr>
    </w:p>
    <w:p w14:paraId="66BED2BC"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Anciens fournisseurs qui ont donné satisfaction auparavant</w:t>
      </w:r>
    </w:p>
    <w:p w14:paraId="41A7724E"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4FD8E56A"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Fournisseurs recommandés par d</w:t>
      </w:r>
      <w:r w:rsidR="004F7541">
        <w:rPr>
          <w:rFonts w:ascii="Calibri" w:hAnsi="Calibri"/>
          <w:sz w:val="22"/>
          <w:szCs w:val="22"/>
        </w:rPr>
        <w:t>’</w:t>
      </w:r>
      <w:r>
        <w:rPr>
          <w:rFonts w:ascii="Calibri" w:hAnsi="Calibri"/>
          <w:sz w:val="22"/>
          <w:szCs w:val="22"/>
        </w:rPr>
        <w:t>autres entités des Nations Unies</w:t>
      </w:r>
    </w:p>
    <w:p w14:paraId="4EE5ED7F"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65D500BE"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Ouvrages de référence accessibles au public et bases de données en ligne</w:t>
      </w:r>
    </w:p>
    <w:p w14:paraId="378A7089" w14:textId="77777777" w:rsidR="008A4CDD" w:rsidRPr="003A403B" w:rsidRDefault="008A4CDD" w:rsidP="00FD7D0B">
      <w:pPr>
        <w:pStyle w:val="ListParagraph"/>
        <w:shd w:val="clear" w:color="auto" w:fill="FFFFFF"/>
        <w:ind w:left="1800"/>
        <w:textAlignment w:val="top"/>
        <w:rPr>
          <w:rFonts w:ascii="Calibri" w:hAnsi="Calibri" w:cs="Arial"/>
          <w:sz w:val="22"/>
          <w:szCs w:val="22"/>
        </w:rPr>
      </w:pPr>
      <w:r>
        <w:rPr>
          <w:rFonts w:ascii="Calibri" w:hAnsi="Calibri"/>
          <w:sz w:val="22"/>
          <w:szCs w:val="22"/>
        </w:rPr>
        <w:t xml:space="preserve"> </w:t>
      </w:r>
    </w:p>
    <w:p w14:paraId="550C06BE"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Appel à manifestation d</w:t>
      </w:r>
      <w:r w:rsidR="004F7541">
        <w:rPr>
          <w:rFonts w:ascii="Calibri" w:hAnsi="Calibri"/>
          <w:sz w:val="22"/>
          <w:szCs w:val="22"/>
        </w:rPr>
        <w:t>’</w:t>
      </w:r>
      <w:r>
        <w:rPr>
          <w:rFonts w:ascii="Calibri" w:hAnsi="Calibri"/>
          <w:sz w:val="22"/>
          <w:szCs w:val="22"/>
        </w:rPr>
        <w:t>intérêt publié</w:t>
      </w:r>
    </w:p>
    <w:p w14:paraId="496B9219"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3ED09236" w14:textId="77777777" w:rsidR="008A4CDD" w:rsidRPr="003A403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Annuaires professionnels classiques</w:t>
      </w:r>
    </w:p>
    <w:p w14:paraId="6286063E" w14:textId="77777777" w:rsidR="008A4CDD" w:rsidRPr="003A403B" w:rsidRDefault="008A4CDD" w:rsidP="008A4CDD">
      <w:pPr>
        <w:shd w:val="clear" w:color="auto" w:fill="FFFFFF"/>
        <w:textAlignment w:val="top"/>
        <w:rPr>
          <w:rFonts w:ascii="Calibri" w:hAnsi="Calibri" w:cs="Arial"/>
          <w:sz w:val="22"/>
          <w:szCs w:val="22"/>
        </w:rPr>
      </w:pPr>
    </w:p>
    <w:p w14:paraId="4AAA768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Tous les soumissionnaires présélectionnés doivent soumettre une offre en utilisant les documents et instructions standard comme stipulé dans une demande de prix, une invitation à soumissionner ou un appel d</w:t>
      </w:r>
      <w:r w:rsidR="004F7541">
        <w:rPr>
          <w:rFonts w:ascii="Calibri" w:hAnsi="Calibri"/>
          <w:sz w:val="22"/>
          <w:szCs w:val="22"/>
        </w:rPr>
        <w:t>’</w:t>
      </w:r>
      <w:r>
        <w:rPr>
          <w:rFonts w:ascii="Calibri" w:hAnsi="Calibri"/>
          <w:sz w:val="22"/>
          <w:szCs w:val="22"/>
        </w:rPr>
        <w:t>offres.</w:t>
      </w:r>
    </w:p>
    <w:p w14:paraId="0892ECFF" w14:textId="77777777" w:rsidR="008A4CDD" w:rsidRPr="003A403B" w:rsidRDefault="008A4CDD" w:rsidP="008A4CDD">
      <w:pPr>
        <w:shd w:val="clear" w:color="auto" w:fill="FFFFFF"/>
        <w:textAlignment w:val="top"/>
        <w:rPr>
          <w:rFonts w:ascii="Calibri" w:hAnsi="Calibri" w:cs="Arial"/>
          <w:sz w:val="22"/>
          <w:szCs w:val="22"/>
        </w:rPr>
      </w:pPr>
    </w:p>
    <w:p w14:paraId="079AAA16"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Ce mode de mise en concurrence est approprié </w:t>
      </w:r>
      <w:r w:rsidR="00C76156">
        <w:rPr>
          <w:rFonts w:ascii="Calibri" w:hAnsi="Calibri"/>
          <w:sz w:val="22"/>
          <w:szCs w:val="22"/>
        </w:rPr>
        <w:t>lorsque</w:t>
      </w:r>
      <w:r w:rsidR="0049528D">
        <w:rPr>
          <w:rFonts w:ascii="Calibri" w:hAnsi="Calibri"/>
          <w:sz w:val="22"/>
          <w:szCs w:val="22"/>
        </w:rPr>
        <w:t> :</w:t>
      </w:r>
    </w:p>
    <w:p w14:paraId="537BD15A" w14:textId="77777777" w:rsidR="008A4CDD" w:rsidRPr="003A403B" w:rsidRDefault="008A4CDD" w:rsidP="008A4CDD">
      <w:pPr>
        <w:shd w:val="clear" w:color="auto" w:fill="FFFFFF"/>
        <w:textAlignment w:val="top"/>
        <w:rPr>
          <w:rFonts w:ascii="Calibri" w:hAnsi="Calibri" w:cs="Arial"/>
          <w:sz w:val="22"/>
          <w:szCs w:val="22"/>
        </w:rPr>
      </w:pPr>
    </w:p>
    <w:p w14:paraId="501B4ED9" w14:textId="2DCDB94C" w:rsidR="008A4CDD" w:rsidRPr="00BD2B48" w:rsidRDefault="008A4CDD" w:rsidP="00FD7D0B">
      <w:pPr>
        <w:pStyle w:val="ListParagraph"/>
        <w:numPr>
          <w:ilvl w:val="0"/>
          <w:numId w:val="6"/>
        </w:numPr>
        <w:shd w:val="clear" w:color="auto" w:fill="FFFFFF"/>
        <w:ind w:left="1800"/>
        <w:jc w:val="both"/>
        <w:textAlignment w:val="top"/>
        <w:rPr>
          <w:rFonts w:ascii="Calibri" w:hAnsi="Calibri" w:cs="Arial"/>
          <w:sz w:val="22"/>
          <w:szCs w:val="22"/>
        </w:rPr>
      </w:pPr>
      <w:r>
        <w:rPr>
          <w:rFonts w:ascii="Calibri" w:hAnsi="Calibri"/>
          <w:sz w:val="22"/>
          <w:szCs w:val="22"/>
        </w:rPr>
        <w:t xml:space="preserve">La valeur du contrat est relativement faible (moins de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p>
    <w:p w14:paraId="42ACBCEA" w14:textId="77777777" w:rsidR="00BD2B48" w:rsidRPr="003A403B" w:rsidRDefault="00BD2B48" w:rsidP="00FD7D0B">
      <w:pPr>
        <w:pStyle w:val="ListParagraph"/>
        <w:shd w:val="clear" w:color="auto" w:fill="FFFFFF"/>
        <w:ind w:left="1800" w:hanging="360"/>
        <w:jc w:val="both"/>
        <w:textAlignment w:val="top"/>
        <w:rPr>
          <w:rFonts w:ascii="Calibri" w:hAnsi="Calibri" w:cs="Arial"/>
          <w:sz w:val="22"/>
          <w:szCs w:val="22"/>
        </w:rPr>
      </w:pPr>
    </w:p>
    <w:p w14:paraId="77D82DED" w14:textId="77777777" w:rsidR="008A4CDD" w:rsidRPr="00BD2B48" w:rsidRDefault="008A4CDD" w:rsidP="00FD7D0B">
      <w:pPr>
        <w:pStyle w:val="ListParagraph"/>
        <w:numPr>
          <w:ilvl w:val="0"/>
          <w:numId w:val="6"/>
        </w:numPr>
        <w:shd w:val="clear" w:color="auto" w:fill="FFFFFF"/>
        <w:ind w:left="1800"/>
        <w:jc w:val="both"/>
        <w:textAlignment w:val="top"/>
        <w:rPr>
          <w:rFonts w:ascii="Calibri" w:hAnsi="Calibri" w:cs="Arial"/>
          <w:sz w:val="22"/>
          <w:szCs w:val="22"/>
        </w:rPr>
      </w:pPr>
      <w:r>
        <w:rPr>
          <w:rFonts w:ascii="Calibri" w:hAnsi="Calibri"/>
          <w:sz w:val="22"/>
          <w:szCs w:val="22"/>
        </w:rPr>
        <w:t>Le marché est fortement régulé ou contrôlé, ou l</w:t>
      </w:r>
      <w:r w:rsidR="004F7541">
        <w:rPr>
          <w:rFonts w:ascii="Calibri" w:hAnsi="Calibri"/>
          <w:sz w:val="22"/>
          <w:szCs w:val="22"/>
        </w:rPr>
        <w:t>’</w:t>
      </w:r>
      <w:r>
        <w:rPr>
          <w:rFonts w:ascii="Calibri" w:hAnsi="Calibri"/>
          <w:sz w:val="22"/>
          <w:szCs w:val="22"/>
        </w:rPr>
        <w:t>industrie est très oligopolistique, et il est de notoriété publique que seules quelques entités peuvent répondre aux exigences</w:t>
      </w:r>
      <w:r w:rsidR="0049528D">
        <w:rPr>
          <w:rFonts w:ascii="Calibri" w:hAnsi="Calibri"/>
          <w:sz w:val="22"/>
          <w:szCs w:val="22"/>
        </w:rPr>
        <w:t> ;</w:t>
      </w:r>
      <w:r>
        <w:rPr>
          <w:rFonts w:ascii="Calibri" w:hAnsi="Calibri"/>
          <w:sz w:val="22"/>
          <w:szCs w:val="22"/>
        </w:rPr>
        <w:t xml:space="preserve"> elles doivent toutes être invitées directement à présenter une offre.</w:t>
      </w:r>
    </w:p>
    <w:p w14:paraId="3B66E3E5" w14:textId="77777777" w:rsidR="00BD2B48" w:rsidRPr="00BD2B48" w:rsidRDefault="00BD2B48" w:rsidP="00FD7D0B">
      <w:pPr>
        <w:shd w:val="clear" w:color="auto" w:fill="FFFFFF"/>
        <w:ind w:left="1800" w:hanging="360"/>
        <w:jc w:val="both"/>
        <w:textAlignment w:val="top"/>
        <w:rPr>
          <w:rFonts w:ascii="Calibri" w:hAnsi="Calibri" w:cs="Arial"/>
          <w:sz w:val="22"/>
          <w:szCs w:val="22"/>
        </w:rPr>
      </w:pPr>
    </w:p>
    <w:p w14:paraId="75419956" w14:textId="77777777" w:rsidR="008A4CDD" w:rsidRPr="003A403B" w:rsidRDefault="008A4CDD" w:rsidP="00FD7D0B">
      <w:pPr>
        <w:pStyle w:val="ListParagraph"/>
        <w:numPr>
          <w:ilvl w:val="0"/>
          <w:numId w:val="6"/>
        </w:numPr>
        <w:shd w:val="clear" w:color="auto" w:fill="FFFFFF"/>
        <w:ind w:left="1800"/>
        <w:jc w:val="both"/>
        <w:textAlignment w:val="top"/>
        <w:rPr>
          <w:rFonts w:ascii="Calibri" w:hAnsi="Calibri" w:cs="Arial"/>
          <w:sz w:val="22"/>
          <w:szCs w:val="22"/>
        </w:rPr>
      </w:pPr>
      <w:r>
        <w:rPr>
          <w:rFonts w:ascii="Calibri" w:hAnsi="Calibri"/>
          <w:sz w:val="22"/>
          <w:szCs w:val="22"/>
        </w:rPr>
        <w:t>D</w:t>
      </w:r>
      <w:r w:rsidR="004F7541">
        <w:rPr>
          <w:rFonts w:ascii="Calibri" w:hAnsi="Calibri"/>
          <w:sz w:val="22"/>
          <w:szCs w:val="22"/>
        </w:rPr>
        <w:t>’</w:t>
      </w:r>
      <w:r>
        <w:rPr>
          <w:rFonts w:ascii="Calibri" w:hAnsi="Calibri"/>
          <w:sz w:val="22"/>
          <w:szCs w:val="22"/>
        </w:rPr>
        <w:t>autres raisons exceptionnelles qui peuvent justifier ou expliquer un écart par rapport à la concurrence internationale ouverte peuvent être autorisées par le chef de la section des achats.</w:t>
      </w:r>
    </w:p>
    <w:p w14:paraId="70A46D94" w14:textId="77777777" w:rsidR="008A4CDD" w:rsidRPr="003A403B" w:rsidRDefault="008A4CDD" w:rsidP="00FD7D0B">
      <w:pPr>
        <w:shd w:val="clear" w:color="auto" w:fill="FFFFFF"/>
        <w:ind w:left="1800" w:hanging="360"/>
        <w:textAlignment w:val="top"/>
        <w:rPr>
          <w:rFonts w:ascii="Calibri" w:hAnsi="Calibri" w:cs="Arial"/>
          <w:sz w:val="22"/>
          <w:szCs w:val="22"/>
        </w:rPr>
      </w:pPr>
      <w:r>
        <w:rPr>
          <w:rFonts w:ascii="Calibri" w:hAnsi="Calibri"/>
          <w:sz w:val="22"/>
          <w:szCs w:val="22"/>
        </w:rPr>
        <w:t> </w:t>
      </w:r>
    </w:p>
    <w:p w14:paraId="6F0CB1FC"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concurrence internationale limitée est appliquée, les unités administratives doivent s</w:t>
      </w:r>
      <w:r w:rsidR="004F7541">
        <w:rPr>
          <w:rFonts w:ascii="Calibri" w:hAnsi="Calibri"/>
          <w:sz w:val="22"/>
          <w:szCs w:val="22"/>
        </w:rPr>
        <w:t>’</w:t>
      </w:r>
      <w:r>
        <w:rPr>
          <w:rFonts w:ascii="Calibri" w:hAnsi="Calibri"/>
          <w:sz w:val="22"/>
          <w:szCs w:val="22"/>
        </w:rPr>
        <w:t>assurer qu</w:t>
      </w:r>
      <w:r w:rsidR="004F7541">
        <w:rPr>
          <w:rFonts w:ascii="Calibri" w:hAnsi="Calibri"/>
          <w:sz w:val="22"/>
          <w:szCs w:val="22"/>
        </w:rPr>
        <w:t>’</w:t>
      </w:r>
      <w:r>
        <w:rPr>
          <w:rFonts w:ascii="Calibri" w:hAnsi="Calibri"/>
          <w:sz w:val="22"/>
          <w:szCs w:val="22"/>
        </w:rPr>
        <w:t>un nombre suffisant de soumissionnaires potentiels est invité, et qu</w:t>
      </w:r>
      <w:r w:rsidR="004F7541">
        <w:rPr>
          <w:rFonts w:ascii="Calibri" w:hAnsi="Calibri"/>
          <w:sz w:val="22"/>
          <w:szCs w:val="22"/>
        </w:rPr>
        <w:t>’</w:t>
      </w:r>
      <w:r>
        <w:rPr>
          <w:rFonts w:ascii="Calibri" w:hAnsi="Calibri"/>
          <w:sz w:val="22"/>
          <w:szCs w:val="22"/>
        </w:rPr>
        <w:t>au moins trois offres sont reçues et évaluées afin d</w:t>
      </w:r>
      <w:r w:rsidR="004F7541">
        <w:rPr>
          <w:rFonts w:ascii="Calibri" w:hAnsi="Calibri"/>
          <w:sz w:val="22"/>
          <w:szCs w:val="22"/>
        </w:rPr>
        <w:t>’</w:t>
      </w:r>
      <w:r>
        <w:rPr>
          <w:rFonts w:ascii="Calibri" w:hAnsi="Calibri"/>
          <w:sz w:val="22"/>
          <w:szCs w:val="22"/>
        </w:rPr>
        <w:t>établir un rapport qualité-prix. Lorsque malgré tous les efforts ce nombre minimum de soumissionnaires n</w:t>
      </w:r>
      <w:r w:rsidR="004F7541">
        <w:rPr>
          <w:rFonts w:ascii="Calibri" w:hAnsi="Calibri"/>
          <w:sz w:val="22"/>
          <w:szCs w:val="22"/>
        </w:rPr>
        <w:t>’</w:t>
      </w:r>
      <w:r>
        <w:rPr>
          <w:rFonts w:ascii="Calibri" w:hAnsi="Calibri"/>
          <w:sz w:val="22"/>
          <w:szCs w:val="22"/>
        </w:rPr>
        <w:t>est pas atteint, il convient de fournir une justification écrite.</w:t>
      </w:r>
    </w:p>
    <w:p w14:paraId="55150E0D" w14:textId="77777777" w:rsidR="008A4CDD" w:rsidRPr="003A403B" w:rsidRDefault="008A4CDD" w:rsidP="008A4CDD">
      <w:pPr>
        <w:shd w:val="clear" w:color="auto" w:fill="FFFFFF"/>
        <w:textAlignment w:val="top"/>
        <w:rPr>
          <w:rFonts w:ascii="Calibri" w:hAnsi="Calibri" w:cs="Arial"/>
          <w:sz w:val="22"/>
          <w:szCs w:val="22"/>
        </w:rPr>
      </w:pPr>
    </w:p>
    <w:p w14:paraId="23C8EC28"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Limiter le champ concurrentiel à une seule région ou liste de pays, pour quelque raison que ce soit, est considéré comme une concurrence internationale limitée.</w:t>
      </w:r>
    </w:p>
    <w:p w14:paraId="6E186F6E" w14:textId="77777777" w:rsidR="008A4CDD" w:rsidRPr="003A403B" w:rsidRDefault="008A4CDD" w:rsidP="008A4CDD">
      <w:pPr>
        <w:shd w:val="clear" w:color="auto" w:fill="FFFFFF"/>
        <w:textAlignment w:val="top"/>
        <w:rPr>
          <w:rFonts w:ascii="Calibri" w:hAnsi="Calibri" w:cs="Arial"/>
          <w:color w:val="333333"/>
          <w:sz w:val="22"/>
          <w:szCs w:val="22"/>
        </w:rPr>
      </w:pPr>
    </w:p>
    <w:p w14:paraId="3A77B1F1" w14:textId="77777777" w:rsidR="008A4CDD" w:rsidRPr="003A403B" w:rsidRDefault="008A4CDD" w:rsidP="00D166FA">
      <w:pPr>
        <w:pStyle w:val="Head2"/>
      </w:pPr>
      <w:bookmarkStart w:id="5" w:name="_Toc177561753"/>
      <w:r>
        <w:t>Concurrence nationale</w:t>
      </w:r>
      <w:bookmarkEnd w:id="5"/>
    </w:p>
    <w:p w14:paraId="1CF24272" w14:textId="77777777" w:rsidR="008A4CDD" w:rsidRPr="003A403B" w:rsidRDefault="008A4CDD" w:rsidP="008A4CDD">
      <w:pPr>
        <w:shd w:val="clear" w:color="auto" w:fill="FFFFFF"/>
        <w:textAlignment w:val="top"/>
        <w:rPr>
          <w:rFonts w:ascii="Calibri" w:hAnsi="Calibri" w:cs="Arial"/>
          <w:color w:val="333333"/>
          <w:sz w:val="22"/>
          <w:szCs w:val="22"/>
        </w:rPr>
      </w:pPr>
    </w:p>
    <w:p w14:paraId="14EBC55E" w14:textId="6ABF3B54"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Bien que la concurrence internationale soit le mode d</w:t>
      </w:r>
      <w:r w:rsidR="004F7541">
        <w:rPr>
          <w:rFonts w:ascii="Calibri" w:hAnsi="Calibri"/>
          <w:sz w:val="22"/>
          <w:szCs w:val="22"/>
        </w:rPr>
        <w:t>’</w:t>
      </w:r>
      <w:r>
        <w:rPr>
          <w:rFonts w:ascii="Calibri" w:hAnsi="Calibri"/>
          <w:sz w:val="22"/>
          <w:szCs w:val="22"/>
        </w:rPr>
        <w:t xml:space="preserve">approvisionnement préféré par le PNUD, la concurrence nationale peut être autorisée lorsque la valeur de la demande est inférieure à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et lorsqu</w:t>
      </w:r>
      <w:r w:rsidR="004F7541">
        <w:rPr>
          <w:rFonts w:ascii="Calibri" w:hAnsi="Calibri"/>
          <w:sz w:val="22"/>
          <w:szCs w:val="22"/>
        </w:rPr>
        <w:t>’</w:t>
      </w:r>
      <w:r>
        <w:rPr>
          <w:rFonts w:ascii="Calibri" w:hAnsi="Calibri"/>
          <w:sz w:val="22"/>
          <w:szCs w:val="22"/>
        </w:rPr>
        <w:t>il existe également une ou plusieurs</w:t>
      </w:r>
      <w:r w:rsidR="00C76156">
        <w:rPr>
          <w:rFonts w:ascii="Calibri" w:hAnsi="Calibri"/>
          <w:sz w:val="22"/>
          <w:szCs w:val="22"/>
        </w:rPr>
        <w:t xml:space="preserve"> des</w:t>
      </w:r>
      <w:r>
        <w:rPr>
          <w:rFonts w:ascii="Calibri" w:hAnsi="Calibri"/>
          <w:sz w:val="22"/>
          <w:szCs w:val="22"/>
        </w:rPr>
        <w:t xml:space="preserve"> circonstances suivantes</w:t>
      </w:r>
      <w:r w:rsidR="0049528D">
        <w:rPr>
          <w:rFonts w:ascii="Calibri" w:hAnsi="Calibri"/>
          <w:sz w:val="22"/>
          <w:szCs w:val="22"/>
        </w:rPr>
        <w:t> :</w:t>
      </w:r>
      <w:r>
        <w:rPr>
          <w:rFonts w:ascii="Calibri" w:hAnsi="Calibri"/>
          <w:sz w:val="22"/>
          <w:szCs w:val="22"/>
        </w:rPr>
        <w:t xml:space="preserve"> </w:t>
      </w:r>
    </w:p>
    <w:p w14:paraId="33FF523C" w14:textId="77777777" w:rsidR="008A4CDD" w:rsidRPr="003A403B" w:rsidRDefault="008A4CDD" w:rsidP="008A4CDD">
      <w:pPr>
        <w:shd w:val="clear" w:color="auto" w:fill="FFFFFF"/>
        <w:textAlignment w:val="top"/>
        <w:rPr>
          <w:rFonts w:ascii="Calibri" w:hAnsi="Calibri" w:cs="Arial"/>
          <w:sz w:val="22"/>
          <w:szCs w:val="22"/>
        </w:rPr>
      </w:pPr>
      <w:bookmarkStart w:id="6" w:name="p31"/>
      <w:bookmarkStart w:id="7" w:name="p32"/>
      <w:bookmarkEnd w:id="6"/>
      <w:bookmarkEnd w:id="7"/>
    </w:p>
    <w:p w14:paraId="65028C48" w14:textId="77777777" w:rsidR="00BD2B48" w:rsidRPr="00BD2B48"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Les biens, services ou travaux requis sont disponibles localement à des prix à peu près identiques ou inférieurs à ceux de qualité comparable sur le marché mondial.</w:t>
      </w:r>
    </w:p>
    <w:p w14:paraId="2DCC80BF" w14:textId="77777777" w:rsidR="008A4CDD" w:rsidRPr="003A403B" w:rsidRDefault="008A4CDD" w:rsidP="00BD2B48">
      <w:pPr>
        <w:pStyle w:val="ListParagraph"/>
        <w:shd w:val="clear" w:color="auto" w:fill="FFFFFF"/>
        <w:ind w:left="1800"/>
        <w:jc w:val="both"/>
        <w:textAlignment w:val="top"/>
        <w:rPr>
          <w:rFonts w:ascii="Calibri" w:hAnsi="Calibri" w:cs="Arial"/>
          <w:sz w:val="22"/>
          <w:szCs w:val="22"/>
        </w:rPr>
      </w:pPr>
      <w:r>
        <w:rPr>
          <w:rFonts w:ascii="Calibri" w:hAnsi="Calibri"/>
          <w:sz w:val="22"/>
          <w:szCs w:val="22"/>
        </w:rPr>
        <w:t xml:space="preserve"> </w:t>
      </w:r>
    </w:p>
    <w:p w14:paraId="1973EA05" w14:textId="77777777" w:rsidR="00BD2B48" w:rsidRPr="00BD2B48"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Il s</w:t>
      </w:r>
      <w:r w:rsidR="004F7541">
        <w:rPr>
          <w:rFonts w:ascii="Calibri" w:hAnsi="Calibri"/>
          <w:sz w:val="22"/>
          <w:szCs w:val="22"/>
        </w:rPr>
        <w:t>’</w:t>
      </w:r>
      <w:r>
        <w:rPr>
          <w:rFonts w:ascii="Calibri" w:hAnsi="Calibri"/>
          <w:sz w:val="22"/>
          <w:szCs w:val="22"/>
        </w:rPr>
        <w:t>agit d</w:t>
      </w:r>
      <w:r w:rsidR="004F7541">
        <w:rPr>
          <w:rFonts w:ascii="Calibri" w:hAnsi="Calibri"/>
          <w:sz w:val="22"/>
          <w:szCs w:val="22"/>
        </w:rPr>
        <w:t>’</w:t>
      </w:r>
      <w:r>
        <w:rPr>
          <w:rFonts w:ascii="Calibri" w:hAnsi="Calibri"/>
          <w:sz w:val="22"/>
          <w:szCs w:val="22"/>
        </w:rPr>
        <w:t>une demande pour des travaux de construction qui doivent être dispersés géographiquement dans diverses régions d</w:t>
      </w:r>
      <w:r w:rsidR="004F7541">
        <w:rPr>
          <w:rFonts w:ascii="Calibri" w:hAnsi="Calibri"/>
          <w:sz w:val="22"/>
          <w:szCs w:val="22"/>
        </w:rPr>
        <w:t>’</w:t>
      </w:r>
      <w:r>
        <w:rPr>
          <w:rFonts w:ascii="Calibri" w:hAnsi="Calibri"/>
          <w:sz w:val="22"/>
          <w:szCs w:val="22"/>
        </w:rPr>
        <w:t>un pays et qui nécessitent l</w:t>
      </w:r>
      <w:r w:rsidR="004F7541">
        <w:rPr>
          <w:rFonts w:ascii="Calibri" w:hAnsi="Calibri"/>
          <w:sz w:val="22"/>
          <w:szCs w:val="22"/>
        </w:rPr>
        <w:t>’</w:t>
      </w:r>
      <w:r>
        <w:rPr>
          <w:rFonts w:ascii="Calibri" w:hAnsi="Calibri"/>
          <w:sz w:val="22"/>
          <w:szCs w:val="22"/>
        </w:rPr>
        <w:t xml:space="preserve">utilisation importante </w:t>
      </w:r>
      <w:r>
        <w:rPr>
          <w:rFonts w:ascii="Calibri" w:hAnsi="Calibri"/>
          <w:sz w:val="22"/>
          <w:szCs w:val="22"/>
        </w:rPr>
        <w:lastRenderedPageBreak/>
        <w:t>de la main-d</w:t>
      </w:r>
      <w:r w:rsidR="004F7541">
        <w:rPr>
          <w:rFonts w:ascii="Calibri" w:hAnsi="Calibri"/>
          <w:sz w:val="22"/>
          <w:szCs w:val="22"/>
        </w:rPr>
        <w:t>’</w:t>
      </w:r>
      <w:r>
        <w:rPr>
          <w:rFonts w:ascii="Calibri" w:hAnsi="Calibri"/>
          <w:sz w:val="22"/>
          <w:szCs w:val="22"/>
        </w:rPr>
        <w:t xml:space="preserve">œuvre locale, et le pays </w:t>
      </w:r>
      <w:r w:rsidR="00AD7397">
        <w:rPr>
          <w:rFonts w:ascii="Calibri" w:hAnsi="Calibri"/>
          <w:sz w:val="22"/>
          <w:szCs w:val="22"/>
        </w:rPr>
        <w:t>dispose d</w:t>
      </w:r>
      <w:r w:rsidR="004F7541">
        <w:rPr>
          <w:rFonts w:ascii="Calibri" w:hAnsi="Calibri"/>
          <w:sz w:val="22"/>
          <w:szCs w:val="22"/>
        </w:rPr>
        <w:t>’</w:t>
      </w:r>
      <w:r>
        <w:rPr>
          <w:rFonts w:ascii="Calibri" w:hAnsi="Calibri"/>
          <w:sz w:val="22"/>
          <w:szCs w:val="22"/>
        </w:rPr>
        <w:t>une base suffisante d</w:t>
      </w:r>
      <w:r w:rsidR="004F7541">
        <w:rPr>
          <w:rFonts w:ascii="Calibri" w:hAnsi="Calibri"/>
          <w:sz w:val="22"/>
          <w:szCs w:val="22"/>
        </w:rPr>
        <w:t>’</w:t>
      </w:r>
      <w:r>
        <w:rPr>
          <w:rFonts w:ascii="Calibri" w:hAnsi="Calibri"/>
          <w:sz w:val="22"/>
          <w:szCs w:val="22"/>
        </w:rPr>
        <w:t>entrepreneurs ayant les qualifications et les compétences nécessaires pour réaliser les travaux.</w:t>
      </w:r>
    </w:p>
    <w:p w14:paraId="0EE57200" w14:textId="77777777" w:rsidR="00BD2B48" w:rsidRPr="003A403B" w:rsidRDefault="00BD2B48" w:rsidP="00BD2B48">
      <w:pPr>
        <w:pStyle w:val="ListParagraph"/>
        <w:shd w:val="clear" w:color="auto" w:fill="FFFFFF"/>
        <w:ind w:left="1800"/>
        <w:jc w:val="both"/>
        <w:textAlignment w:val="top"/>
        <w:rPr>
          <w:rFonts w:ascii="Calibri" w:hAnsi="Calibri" w:cs="Arial"/>
          <w:sz w:val="22"/>
          <w:szCs w:val="22"/>
        </w:rPr>
      </w:pPr>
    </w:p>
    <w:p w14:paraId="1353159C" w14:textId="77777777" w:rsidR="008A4CDD" w:rsidRPr="00BD2B48"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Les services demandés exigent une connaissance et une compréhension approfondies de l</w:t>
      </w:r>
      <w:r w:rsidR="004F7541">
        <w:rPr>
          <w:rFonts w:ascii="Calibri" w:hAnsi="Calibri"/>
          <w:sz w:val="22"/>
          <w:szCs w:val="22"/>
        </w:rPr>
        <w:t>’</w:t>
      </w:r>
      <w:r>
        <w:rPr>
          <w:rFonts w:ascii="Calibri" w:hAnsi="Calibri"/>
          <w:sz w:val="22"/>
          <w:szCs w:val="22"/>
        </w:rPr>
        <w:t>environnement, de la culture, de la langue, des dynamiques sociopolitiques au niveau local ou des systèmes nationaux qu</w:t>
      </w:r>
      <w:r w:rsidR="004F7541">
        <w:rPr>
          <w:rFonts w:ascii="Calibri" w:hAnsi="Calibri"/>
          <w:sz w:val="22"/>
          <w:szCs w:val="22"/>
        </w:rPr>
        <w:t>’</w:t>
      </w:r>
      <w:r>
        <w:rPr>
          <w:rFonts w:ascii="Calibri" w:hAnsi="Calibri"/>
          <w:sz w:val="22"/>
          <w:szCs w:val="22"/>
        </w:rPr>
        <w:t>une entité internationale ne possède probablement pas.</w:t>
      </w:r>
    </w:p>
    <w:p w14:paraId="7570D092" w14:textId="77777777" w:rsidR="00BD2B48" w:rsidRPr="00BD2B48" w:rsidRDefault="00BD2B48" w:rsidP="00BD2B48">
      <w:pPr>
        <w:shd w:val="clear" w:color="auto" w:fill="FFFFFF"/>
        <w:jc w:val="both"/>
        <w:textAlignment w:val="top"/>
        <w:rPr>
          <w:rFonts w:ascii="Calibri" w:hAnsi="Calibri" w:cs="Arial"/>
          <w:sz w:val="22"/>
          <w:szCs w:val="22"/>
        </w:rPr>
      </w:pPr>
    </w:p>
    <w:p w14:paraId="03FE5526" w14:textId="77777777" w:rsidR="008A4CDD" w:rsidRPr="003A403B"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Il est très peu probable qu</w:t>
      </w:r>
      <w:r w:rsidR="004F7541">
        <w:rPr>
          <w:rFonts w:ascii="Calibri" w:hAnsi="Calibri"/>
          <w:sz w:val="22"/>
          <w:szCs w:val="22"/>
        </w:rPr>
        <w:t>’</w:t>
      </w:r>
      <w:r>
        <w:rPr>
          <w:rFonts w:ascii="Calibri" w:hAnsi="Calibri"/>
          <w:sz w:val="22"/>
          <w:szCs w:val="22"/>
        </w:rPr>
        <w:t xml:space="preserve">une entité internationale </w:t>
      </w:r>
      <w:r w:rsidR="00C76156">
        <w:rPr>
          <w:rFonts w:ascii="Calibri" w:hAnsi="Calibri"/>
          <w:sz w:val="22"/>
          <w:szCs w:val="22"/>
        </w:rPr>
        <w:t xml:space="preserve">souhaite </w:t>
      </w:r>
      <w:r>
        <w:rPr>
          <w:rFonts w:ascii="Calibri" w:hAnsi="Calibri"/>
          <w:sz w:val="22"/>
          <w:szCs w:val="22"/>
        </w:rPr>
        <w:t>présenter une offre ou un partenariat avec des entités nationales, de sorte que les coûts administratifs et financiers liés à l</w:t>
      </w:r>
      <w:r w:rsidR="004F7541">
        <w:rPr>
          <w:rFonts w:ascii="Calibri" w:hAnsi="Calibri"/>
          <w:sz w:val="22"/>
          <w:szCs w:val="22"/>
        </w:rPr>
        <w:t>’</w:t>
      </w:r>
      <w:r>
        <w:rPr>
          <w:rFonts w:ascii="Calibri" w:hAnsi="Calibri"/>
          <w:sz w:val="22"/>
          <w:szCs w:val="22"/>
        </w:rPr>
        <w:t>ouverture au marché international ne seront pas avantageux.</w:t>
      </w:r>
    </w:p>
    <w:p w14:paraId="4F1539B1"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C531F8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personnel du PNUD doit justifier par écrit la concurrence nationale dans les documents relatifs à l</w:t>
      </w:r>
      <w:r w:rsidR="004F7541">
        <w:rPr>
          <w:rFonts w:ascii="Calibri" w:hAnsi="Calibri"/>
          <w:sz w:val="22"/>
          <w:szCs w:val="22"/>
        </w:rPr>
        <w:t>’</w:t>
      </w:r>
      <w:r>
        <w:rPr>
          <w:rFonts w:ascii="Calibri" w:hAnsi="Calibri"/>
          <w:sz w:val="22"/>
          <w:szCs w:val="22"/>
        </w:rPr>
        <w:t>approvisionnement. Si la publicité est souhaitée, la diffusion peut être limitée à tout ou partie des médias librement accessibles dans le pays. Toute entité internationale qui souhaite participer à une compétition nationale doit, à tout moment, être autorisée à le faire.</w:t>
      </w:r>
    </w:p>
    <w:p w14:paraId="1BEE65C7" w14:textId="77777777" w:rsidR="008A4CDD" w:rsidRDefault="008A4CDD" w:rsidP="008A4CDD">
      <w:pPr>
        <w:shd w:val="clear" w:color="auto" w:fill="FFFFFF"/>
        <w:textAlignment w:val="top"/>
        <w:rPr>
          <w:rFonts w:ascii="Calibri" w:hAnsi="Calibri" w:cs="Arial"/>
          <w:color w:val="333333"/>
          <w:sz w:val="22"/>
          <w:szCs w:val="22"/>
        </w:rPr>
      </w:pPr>
    </w:p>
    <w:p w14:paraId="136F315D" w14:textId="77777777" w:rsidR="000B3492" w:rsidRPr="003A403B" w:rsidRDefault="000B3492" w:rsidP="008A4CDD">
      <w:pPr>
        <w:shd w:val="clear" w:color="auto" w:fill="FFFFFF"/>
        <w:textAlignment w:val="top"/>
        <w:rPr>
          <w:rFonts w:ascii="Calibri" w:hAnsi="Calibri" w:cs="Arial"/>
          <w:color w:val="333333"/>
          <w:sz w:val="22"/>
          <w:szCs w:val="22"/>
        </w:rPr>
      </w:pPr>
    </w:p>
    <w:p w14:paraId="2BC56745" w14:textId="7F3A07AE" w:rsidR="008A4CDD" w:rsidRPr="003A403B" w:rsidRDefault="00D166FA" w:rsidP="00D166FA">
      <w:pPr>
        <w:pStyle w:val="Head1"/>
      </w:pPr>
      <w:bookmarkStart w:id="8" w:name="_Toc177561754"/>
      <w:r>
        <w:t>Méthodes de passation de marchés standard</w:t>
      </w:r>
      <w:r w:rsidR="0095172A">
        <w:t xml:space="preserve"> -t</w:t>
      </w:r>
      <w:r w:rsidR="0095172A" w:rsidRPr="0095172A">
        <w:t>outes les méthodes d'approvisionnement sont traitées dans la plateforme d'approvisionnement de bout en bout de Quantum/UNall.</w:t>
      </w:r>
      <w:bookmarkEnd w:id="8"/>
    </w:p>
    <w:p w14:paraId="4F179B88" w14:textId="77777777" w:rsidR="008A4CDD" w:rsidRPr="003A403B" w:rsidRDefault="008A4CDD" w:rsidP="008A4CDD">
      <w:pPr>
        <w:shd w:val="clear" w:color="auto" w:fill="FFFFFF"/>
        <w:textAlignment w:val="top"/>
        <w:rPr>
          <w:rFonts w:ascii="Calibri" w:hAnsi="Calibri" w:cs="Arial"/>
          <w:color w:val="333333"/>
          <w:sz w:val="22"/>
          <w:szCs w:val="22"/>
        </w:rPr>
      </w:pPr>
    </w:p>
    <w:p w14:paraId="57B68599" w14:textId="77777777" w:rsidR="008A4CDD" w:rsidRPr="003A403B" w:rsidRDefault="006E0EB5"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planification stratégique rigoureuse permettra de faire en sorte que les passations de marchés soient prévisibles, opportunes et répondent de façon adéquate aux besoins des programmes et des opérations. Une fois qu</w:t>
      </w:r>
      <w:r w:rsidR="004F7541">
        <w:rPr>
          <w:rFonts w:ascii="Calibri" w:hAnsi="Calibri"/>
          <w:sz w:val="22"/>
          <w:szCs w:val="22"/>
        </w:rPr>
        <w:t>’</w:t>
      </w:r>
      <w:r>
        <w:rPr>
          <w:rFonts w:ascii="Calibri" w:hAnsi="Calibri"/>
          <w:sz w:val="22"/>
          <w:szCs w:val="22"/>
        </w:rPr>
        <w:t>une demande a été écrite et approuvée et que l</w:t>
      </w:r>
      <w:r w:rsidR="004F7541">
        <w:rPr>
          <w:rFonts w:ascii="Calibri" w:hAnsi="Calibri"/>
          <w:sz w:val="22"/>
          <w:szCs w:val="22"/>
        </w:rPr>
        <w:t>’</w:t>
      </w:r>
      <w:r>
        <w:rPr>
          <w:rFonts w:ascii="Calibri" w:hAnsi="Calibri"/>
          <w:sz w:val="22"/>
          <w:szCs w:val="22"/>
        </w:rPr>
        <w:t>allocation du financement est assurée, la méthode de passation de marchés doit être déterminée, ainsi que le type de concurrence. Pour déterminer la méthode de passation de marchés la plus appropriée, il faut bien comprendre l</w:t>
      </w:r>
      <w:r w:rsidR="004F7541">
        <w:rPr>
          <w:rFonts w:ascii="Calibri" w:hAnsi="Calibri"/>
          <w:sz w:val="22"/>
          <w:szCs w:val="22"/>
        </w:rPr>
        <w:t>’</w:t>
      </w:r>
      <w:r>
        <w:rPr>
          <w:rFonts w:ascii="Calibri" w:hAnsi="Calibri"/>
          <w:sz w:val="22"/>
          <w:szCs w:val="22"/>
        </w:rPr>
        <w:t>objet et les résultats escomptés des biens, services ou travaux.</w:t>
      </w:r>
    </w:p>
    <w:p w14:paraId="10302C94" w14:textId="77777777" w:rsidR="008A4CDD" w:rsidRPr="003A403B" w:rsidRDefault="008A4CDD" w:rsidP="008A4CDD">
      <w:pPr>
        <w:shd w:val="clear" w:color="auto" w:fill="FFFFFF"/>
        <w:textAlignment w:val="top"/>
        <w:rPr>
          <w:rFonts w:ascii="Calibri" w:hAnsi="Calibri" w:cs="Arial"/>
          <w:sz w:val="22"/>
          <w:szCs w:val="22"/>
        </w:rPr>
      </w:pPr>
    </w:p>
    <w:p w14:paraId="232AF61F"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sections suivantes décrivent les méthodes de passation de marché standard.</w:t>
      </w:r>
    </w:p>
    <w:p w14:paraId="4230BA42" w14:textId="77777777" w:rsidR="008A4CDD" w:rsidRPr="003A403B" w:rsidRDefault="008A4CDD" w:rsidP="008A4CDD">
      <w:pPr>
        <w:shd w:val="clear" w:color="auto" w:fill="FFFFFF"/>
        <w:textAlignment w:val="top"/>
        <w:rPr>
          <w:rFonts w:ascii="Calibri" w:hAnsi="Calibri" w:cs="Arial"/>
          <w:color w:val="333333"/>
          <w:sz w:val="22"/>
          <w:szCs w:val="22"/>
        </w:rPr>
      </w:pPr>
    </w:p>
    <w:p w14:paraId="62665C40" w14:textId="77777777" w:rsidR="008A4CDD" w:rsidRPr="003A403B" w:rsidRDefault="008A4CDD" w:rsidP="00D166FA">
      <w:pPr>
        <w:pStyle w:val="Head2"/>
      </w:pPr>
      <w:bookmarkStart w:id="9" w:name="_Toc177561755"/>
      <w:r>
        <w:t>Micro-achat</w:t>
      </w:r>
      <w:bookmarkEnd w:id="9"/>
      <w:r>
        <w:t xml:space="preserve"> </w:t>
      </w:r>
    </w:p>
    <w:p w14:paraId="0BEE0122" w14:textId="77777777" w:rsidR="008A4CDD" w:rsidRPr="003A403B" w:rsidRDefault="008A4CDD" w:rsidP="008A4CDD">
      <w:pPr>
        <w:shd w:val="clear" w:color="auto" w:fill="FFFFFF"/>
        <w:textAlignment w:val="top"/>
        <w:rPr>
          <w:rFonts w:ascii="Calibri" w:hAnsi="Calibri" w:cs="Arial"/>
          <w:color w:val="333333"/>
          <w:sz w:val="22"/>
          <w:szCs w:val="22"/>
        </w:rPr>
      </w:pPr>
    </w:p>
    <w:p w14:paraId="69471457" w14:textId="30376F34" w:rsidR="00A95B96" w:rsidRPr="00BF26EB" w:rsidRDefault="0053476E" w:rsidP="005E6C0C">
      <w:pPr>
        <w:pStyle w:val="ListParagraph"/>
        <w:numPr>
          <w:ilvl w:val="0"/>
          <w:numId w:val="1"/>
        </w:numPr>
        <w:shd w:val="clear" w:color="auto" w:fill="FFFFFF"/>
        <w:jc w:val="both"/>
        <w:textAlignment w:val="top"/>
        <w:rPr>
          <w:rFonts w:ascii="Calibri" w:hAnsi="Calibri" w:cs="Arial"/>
          <w:sz w:val="22"/>
          <w:szCs w:val="22"/>
        </w:rPr>
      </w:pPr>
      <w:r w:rsidRPr="00BF26EB">
        <w:rPr>
          <w:rFonts w:ascii="Calibri" w:hAnsi="Calibri"/>
          <w:sz w:val="22"/>
          <w:szCs w:val="22"/>
        </w:rPr>
        <w:t xml:space="preserve">Le micro-achat est une méthode de passation de marchés simplifiée pour les biens facilement disponibles, les services </w:t>
      </w:r>
      <w:r w:rsidR="008C41A2" w:rsidRPr="00BF26EB">
        <w:rPr>
          <w:rFonts w:ascii="Calibri" w:hAnsi="Calibri"/>
          <w:sz w:val="22"/>
          <w:szCs w:val="22"/>
        </w:rPr>
        <w:t xml:space="preserve">récurrents </w:t>
      </w:r>
      <w:r w:rsidRPr="00BF26EB">
        <w:rPr>
          <w:rFonts w:ascii="Calibri" w:hAnsi="Calibri"/>
          <w:sz w:val="22"/>
          <w:szCs w:val="22"/>
        </w:rPr>
        <w:t xml:space="preserve">et les petits travaux, pour lesquels le montant contractuel ne dépasse pas 5 000 </w:t>
      </w:r>
      <w:r w:rsidR="0049528D" w:rsidRPr="00BF26EB">
        <w:rPr>
          <w:rFonts w:ascii="Calibri" w:hAnsi="Calibri"/>
          <w:sz w:val="22"/>
          <w:szCs w:val="22"/>
        </w:rPr>
        <w:t>dollars des États-Unis</w:t>
      </w:r>
      <w:r w:rsidRPr="00BF26EB">
        <w:rPr>
          <w:rFonts w:ascii="Calibri" w:hAnsi="Calibri"/>
          <w:sz w:val="22"/>
          <w:szCs w:val="22"/>
        </w:rPr>
        <w:t>. Ces achats peuvent constituer un volume important du total des achats du PNUD, mais leur valeur globale reste relativement faible. Un processus simplifié est préférable pour réduire les coûts de transaction</w:t>
      </w:r>
      <w:r w:rsidR="00BF26EB" w:rsidRPr="00BF26EB">
        <w:t xml:space="preserve"> </w:t>
      </w:r>
      <w:r w:rsidR="00BF26EB" w:rsidRPr="00BF26EB">
        <w:rPr>
          <w:rFonts w:ascii="Calibri" w:hAnsi="Calibri"/>
          <w:sz w:val="22"/>
          <w:szCs w:val="22"/>
        </w:rPr>
        <w:t>et ceci a été institué à Quantum pour une plus grande visibilité, responsabilité, rapport et transparence des dépenses d'approvisionnement de l'entreprise.</w:t>
      </w:r>
    </w:p>
    <w:p w14:paraId="66E43694" w14:textId="77777777" w:rsidR="00A95B96" w:rsidRDefault="0053476E"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bureaux de pays peuvent demander d</w:t>
      </w:r>
      <w:r w:rsidR="004F7541">
        <w:rPr>
          <w:rFonts w:ascii="Calibri" w:hAnsi="Calibri"/>
          <w:sz w:val="22"/>
          <w:szCs w:val="22"/>
        </w:rPr>
        <w:t>’</w:t>
      </w:r>
      <w:r>
        <w:rPr>
          <w:rFonts w:ascii="Calibri" w:hAnsi="Calibri"/>
          <w:sz w:val="22"/>
          <w:szCs w:val="22"/>
        </w:rPr>
        <w:t xml:space="preserve">augmenter le seuil de micro-achat à 10 000 </w:t>
      </w:r>
      <w:r w:rsidR="0049528D">
        <w:rPr>
          <w:rFonts w:ascii="Calibri" w:hAnsi="Calibri"/>
          <w:sz w:val="22"/>
          <w:szCs w:val="22"/>
        </w:rPr>
        <w:t>dollars des États-Unis</w:t>
      </w:r>
      <w:r>
        <w:rPr>
          <w:rFonts w:ascii="Calibri" w:hAnsi="Calibri"/>
          <w:sz w:val="22"/>
          <w:szCs w:val="22"/>
        </w:rPr>
        <w:t xml:space="preserve"> dans le cadre de la demande de délégation de pouvoirs accrue en matière d</w:t>
      </w:r>
      <w:r w:rsidR="004F7541">
        <w:rPr>
          <w:rFonts w:ascii="Calibri" w:hAnsi="Calibri"/>
          <w:sz w:val="22"/>
          <w:szCs w:val="22"/>
        </w:rPr>
        <w:t>’</w:t>
      </w:r>
      <w:r>
        <w:rPr>
          <w:rFonts w:ascii="Calibri" w:hAnsi="Calibri"/>
          <w:sz w:val="22"/>
          <w:szCs w:val="22"/>
        </w:rPr>
        <w:t>achats. Les bureaux de pays peuvent également demander d</w:t>
      </w:r>
      <w:r w:rsidR="004F7541">
        <w:rPr>
          <w:rFonts w:ascii="Calibri" w:hAnsi="Calibri"/>
          <w:sz w:val="22"/>
          <w:szCs w:val="22"/>
        </w:rPr>
        <w:t>’</w:t>
      </w:r>
      <w:r>
        <w:rPr>
          <w:rFonts w:ascii="Calibri" w:hAnsi="Calibri"/>
          <w:sz w:val="22"/>
          <w:szCs w:val="22"/>
        </w:rPr>
        <w:t>augmenter le seuil de micro-achat en tant que mesure indépendante. Les chefs régionaux des section</w:t>
      </w:r>
      <w:r w:rsidR="007A6825">
        <w:rPr>
          <w:rFonts w:ascii="Calibri" w:hAnsi="Calibri"/>
          <w:sz w:val="22"/>
          <w:szCs w:val="22"/>
        </w:rPr>
        <w:t>s</w:t>
      </w:r>
      <w:r>
        <w:rPr>
          <w:rFonts w:ascii="Calibri" w:hAnsi="Calibri"/>
          <w:sz w:val="22"/>
          <w:szCs w:val="22"/>
        </w:rPr>
        <w:t xml:space="preserve"> des achats (RCPO) autorisent cette augmentation lorsqu</w:t>
      </w:r>
      <w:r w:rsidR="004F7541">
        <w:rPr>
          <w:rFonts w:ascii="Calibri" w:hAnsi="Calibri"/>
          <w:sz w:val="22"/>
          <w:szCs w:val="22"/>
        </w:rPr>
        <w:t>’</w:t>
      </w:r>
      <w:r>
        <w:rPr>
          <w:rFonts w:ascii="Calibri" w:hAnsi="Calibri"/>
          <w:sz w:val="22"/>
          <w:szCs w:val="22"/>
        </w:rPr>
        <w:t>elle est dans le meilleur intérêt de l</w:t>
      </w:r>
      <w:r w:rsidR="004F7541">
        <w:rPr>
          <w:rFonts w:ascii="Calibri" w:hAnsi="Calibri"/>
          <w:sz w:val="22"/>
          <w:szCs w:val="22"/>
        </w:rPr>
        <w:t>’</w:t>
      </w:r>
      <w:r>
        <w:rPr>
          <w:rFonts w:ascii="Calibri" w:hAnsi="Calibri"/>
          <w:sz w:val="22"/>
          <w:szCs w:val="22"/>
        </w:rPr>
        <w:t>organisation et veillent à ce que cette approbation soit documentée de manière appropriée.</w:t>
      </w:r>
    </w:p>
    <w:p w14:paraId="5C0EB7F6" w14:textId="77777777" w:rsidR="00A95B96" w:rsidRDefault="00A95B96" w:rsidP="00A95B96">
      <w:pPr>
        <w:pStyle w:val="ListParagraph"/>
        <w:shd w:val="clear" w:color="auto" w:fill="FFFFFF"/>
        <w:jc w:val="both"/>
        <w:textAlignment w:val="top"/>
        <w:rPr>
          <w:rFonts w:ascii="Calibri" w:hAnsi="Calibri" w:cs="Arial"/>
          <w:sz w:val="22"/>
          <w:szCs w:val="22"/>
        </w:rPr>
      </w:pPr>
    </w:p>
    <w:p w14:paraId="3BB43D4C" w14:textId="77777777" w:rsidR="008A4CDD" w:rsidRPr="00A95B96" w:rsidRDefault="008A4CDD"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micro-achat peut être réalisé en suivant les étapes ci-dessous</w:t>
      </w:r>
      <w:r w:rsidR="0049528D">
        <w:rPr>
          <w:rFonts w:ascii="Calibri" w:hAnsi="Calibri"/>
          <w:sz w:val="22"/>
          <w:szCs w:val="22"/>
        </w:rPr>
        <w:t> :</w:t>
      </w:r>
    </w:p>
    <w:p w14:paraId="0CA059CA" w14:textId="77777777" w:rsidR="008A4CDD" w:rsidRPr="003A403B" w:rsidRDefault="008A4CDD" w:rsidP="008A4CDD">
      <w:pPr>
        <w:shd w:val="clear" w:color="auto" w:fill="FFFFFF"/>
        <w:textAlignment w:val="top"/>
        <w:rPr>
          <w:rFonts w:ascii="Calibri" w:hAnsi="Calibri" w:cs="Arial"/>
          <w:color w:val="333333"/>
          <w:sz w:val="22"/>
          <w:szCs w:val="22"/>
        </w:rPr>
      </w:pPr>
      <w:r>
        <w:rPr>
          <w:rFonts w:ascii="Calibri" w:hAnsi="Calibri"/>
          <w:color w:val="333333"/>
          <w:sz w:val="22"/>
          <w:szCs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3A403B" w:rsidRPr="003A403B" w14:paraId="62BF1647" w14:textId="77777777" w:rsidTr="008A4CDD">
        <w:trPr>
          <w:trHeight w:val="980"/>
        </w:trPr>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A1514D" w14:textId="77777777" w:rsidR="008A4CDD" w:rsidRPr="003A403B" w:rsidRDefault="008A4CDD" w:rsidP="008A4CDD">
            <w:pPr>
              <w:spacing w:before="100" w:beforeAutospacing="1" w:after="100" w:afterAutospacing="1"/>
              <w:rPr>
                <w:rFonts w:ascii="Calibri" w:hAnsi="Calibri" w:cs="Arial"/>
                <w:sz w:val="22"/>
                <w:szCs w:val="22"/>
              </w:rPr>
            </w:pPr>
          </w:p>
          <w:p w14:paraId="0DB8FCA6"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 xml:space="preserve">Processus de sélection </w:t>
            </w:r>
          </w:p>
        </w:tc>
        <w:tc>
          <w:tcPr>
            <w:tcW w:w="7380" w:type="dxa"/>
            <w:tcBorders>
              <w:top w:val="single" w:sz="8"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0CC12195"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t>Prospection d</w:t>
            </w:r>
            <w:r w:rsidR="004F7541">
              <w:rPr>
                <w:rFonts w:ascii="Calibri" w:hAnsi="Calibri"/>
                <w:sz w:val="22"/>
                <w:szCs w:val="22"/>
              </w:rPr>
              <w:t>’</w:t>
            </w:r>
            <w:r>
              <w:rPr>
                <w:rFonts w:ascii="Calibri" w:hAnsi="Calibri"/>
                <w:sz w:val="22"/>
                <w:szCs w:val="22"/>
              </w:rPr>
              <w:t>au moins deux fournisseurs, par téléphone, en ligne ou par le biais d</w:t>
            </w:r>
            <w:r w:rsidR="004F7541">
              <w:rPr>
                <w:rFonts w:ascii="Calibri" w:hAnsi="Calibri"/>
                <w:sz w:val="22"/>
                <w:szCs w:val="22"/>
              </w:rPr>
              <w:t>’</w:t>
            </w:r>
            <w:r>
              <w:rPr>
                <w:rFonts w:ascii="Calibri" w:hAnsi="Calibri"/>
                <w:sz w:val="22"/>
                <w:szCs w:val="22"/>
              </w:rPr>
              <w:t xml:space="preserve">achats locaux, </w:t>
            </w:r>
            <w:proofErr w:type="gramStart"/>
            <w:r>
              <w:rPr>
                <w:rFonts w:ascii="Calibri" w:hAnsi="Calibri"/>
                <w:sz w:val="22"/>
                <w:szCs w:val="22"/>
              </w:rPr>
              <w:t>ou</w:t>
            </w:r>
            <w:proofErr w:type="gramEnd"/>
          </w:p>
          <w:p w14:paraId="68320A39"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Justification de la passation directe de marchés, si les circonstances exigent que l</w:t>
            </w:r>
            <w:r w:rsidR="004F7541">
              <w:rPr>
                <w:rFonts w:ascii="Calibri" w:hAnsi="Calibri"/>
                <w:sz w:val="22"/>
                <w:szCs w:val="22"/>
              </w:rPr>
              <w:t>’</w:t>
            </w:r>
            <w:r>
              <w:rPr>
                <w:rFonts w:ascii="Calibri" w:hAnsi="Calibri"/>
                <w:sz w:val="22"/>
                <w:szCs w:val="22"/>
              </w:rPr>
              <w:t xml:space="preserve">on renonce à la prospection </w:t>
            </w:r>
          </w:p>
        </w:tc>
      </w:tr>
      <w:tr w:rsidR="003A403B" w:rsidRPr="003A403B" w14:paraId="741476B4" w14:textId="77777777" w:rsidTr="008A4CDD">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C69F5F" w14:textId="77777777" w:rsidR="008A4CDD" w:rsidRPr="003A403B" w:rsidRDefault="008A4CDD" w:rsidP="008A4CDD">
            <w:pPr>
              <w:spacing w:before="100" w:beforeAutospacing="1" w:after="100" w:afterAutospacing="1"/>
              <w:rPr>
                <w:rFonts w:ascii="Calibri" w:hAnsi="Calibri" w:cs="Arial"/>
                <w:sz w:val="22"/>
                <w:szCs w:val="22"/>
              </w:rPr>
            </w:pPr>
          </w:p>
          <w:p w14:paraId="79DCE9D5"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Documentation minimale</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2B0386EB" w14:textId="322562A9" w:rsidR="008A4CDD" w:rsidRPr="003A403B" w:rsidRDefault="00106A89" w:rsidP="008A4CDD">
            <w:pPr>
              <w:spacing w:before="100" w:beforeAutospacing="1" w:after="100" w:afterAutospacing="1"/>
              <w:rPr>
                <w:rFonts w:ascii="Calibri" w:hAnsi="Calibri" w:cs="Arial"/>
                <w:sz w:val="22"/>
                <w:szCs w:val="22"/>
              </w:rPr>
            </w:pPr>
            <w:r>
              <w:rPr>
                <w:rFonts w:ascii="Calibri" w:hAnsi="Calibri"/>
                <w:sz w:val="22"/>
                <w:szCs w:val="22"/>
              </w:rPr>
              <w:t>a</w:t>
            </w:r>
            <w:r w:rsidR="008A4CDD">
              <w:rPr>
                <w:rFonts w:ascii="Calibri" w:hAnsi="Calibri"/>
                <w:sz w:val="22"/>
                <w:szCs w:val="22"/>
              </w:rPr>
              <w:t>)</w:t>
            </w:r>
            <w:r w:rsidR="008A4CDD">
              <w:rPr>
                <w:rFonts w:ascii="Calibri" w:hAnsi="Calibri"/>
                <w:sz w:val="22"/>
                <w:szCs w:val="22"/>
              </w:rPr>
              <w:tab/>
              <w:t>Formulaire de prospection de micro-achat</w:t>
            </w:r>
            <w:r w:rsidR="00BF26EB">
              <w:rPr>
                <w:rFonts w:ascii="Calibri" w:hAnsi="Calibri"/>
                <w:sz w:val="22"/>
                <w:szCs w:val="22"/>
              </w:rPr>
              <w:t xml:space="preserve"> en Quantum</w:t>
            </w:r>
            <w:r w:rsidR="008A4CDD">
              <w:rPr>
                <w:rFonts w:ascii="Calibri" w:hAnsi="Calibri"/>
                <w:sz w:val="22"/>
                <w:szCs w:val="22"/>
              </w:rPr>
              <w:t xml:space="preserve"> dûment rempli, y compris les pièces justificatives, le cas échéant</w:t>
            </w:r>
          </w:p>
          <w:p w14:paraId="415BA6A2" w14:textId="77777777" w:rsidR="008A4CDD" w:rsidRPr="003A403B" w:rsidRDefault="008A4CDD" w:rsidP="0076131C">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Note jointe au dossier justifiant l</w:t>
            </w:r>
            <w:r w:rsidR="004F7541">
              <w:rPr>
                <w:rFonts w:ascii="Calibri" w:hAnsi="Calibri"/>
                <w:sz w:val="22"/>
                <w:szCs w:val="22"/>
              </w:rPr>
              <w:t>’</w:t>
            </w:r>
            <w:r>
              <w:rPr>
                <w:rFonts w:ascii="Calibri" w:hAnsi="Calibri"/>
                <w:sz w:val="22"/>
                <w:szCs w:val="22"/>
              </w:rPr>
              <w:t>abandon de la prospection (selon la règle 121.05 i)) si les circonstances l</w:t>
            </w:r>
            <w:r w:rsidR="004F7541">
              <w:rPr>
                <w:rFonts w:ascii="Calibri" w:hAnsi="Calibri"/>
                <w:sz w:val="22"/>
                <w:szCs w:val="22"/>
              </w:rPr>
              <w:t>’</w:t>
            </w:r>
            <w:r>
              <w:rPr>
                <w:rFonts w:ascii="Calibri" w:hAnsi="Calibri"/>
                <w:sz w:val="22"/>
                <w:szCs w:val="22"/>
              </w:rPr>
              <w:t>exigent</w:t>
            </w:r>
          </w:p>
        </w:tc>
      </w:tr>
      <w:tr w:rsidR="003A403B" w:rsidRPr="003A403B" w14:paraId="2206AF4D" w14:textId="77777777" w:rsidTr="008A4CDD">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1AE022" w14:textId="77777777" w:rsidR="008A4CDD" w:rsidRPr="003A403B" w:rsidRDefault="008A4CDD" w:rsidP="008A4CDD">
            <w:pPr>
              <w:spacing w:before="100" w:beforeAutospacing="1" w:after="100" w:afterAutospacing="1"/>
              <w:rPr>
                <w:rFonts w:ascii="Calibri" w:hAnsi="Calibri" w:cs="Arial"/>
                <w:sz w:val="22"/>
                <w:szCs w:val="22"/>
              </w:rPr>
            </w:pPr>
          </w:p>
          <w:p w14:paraId="32156539"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Appels d</w:t>
            </w:r>
            <w:r w:rsidR="004F7541">
              <w:rPr>
                <w:rFonts w:ascii="Calibri" w:hAnsi="Calibri"/>
                <w:b/>
                <w:bCs/>
                <w:sz w:val="22"/>
                <w:szCs w:val="22"/>
              </w:rPr>
              <w:t>’</w:t>
            </w:r>
            <w:r>
              <w:rPr>
                <w:rFonts w:ascii="Calibri" w:hAnsi="Calibri"/>
                <w:b/>
                <w:bCs/>
                <w:sz w:val="22"/>
                <w:szCs w:val="22"/>
              </w:rPr>
              <w:t>offres en ligne, et création et validation des bons de commandes, avec conditions générales en jointes</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17AC5294" w14:textId="74D02003" w:rsidR="008A4CDD" w:rsidRPr="000B49EB" w:rsidRDefault="008A4CDD" w:rsidP="008A4CDD">
            <w:pPr>
              <w:spacing w:before="100" w:beforeAutospacing="1" w:after="100" w:afterAutospacing="1"/>
              <w:rPr>
                <w:rFonts w:ascii="Calibri" w:hAnsi="Calibri" w:cs="Arial"/>
                <w:sz w:val="22"/>
                <w:szCs w:val="22"/>
                <w:highlight w:val="cyan"/>
              </w:rPr>
            </w:pPr>
            <w:r>
              <w:rPr>
                <w:rFonts w:ascii="Calibri" w:hAnsi="Calibri"/>
                <w:sz w:val="22"/>
                <w:szCs w:val="22"/>
              </w:rPr>
              <w:t>a)</w:t>
            </w:r>
            <w:r>
              <w:rPr>
                <w:rFonts w:ascii="Calibri" w:hAnsi="Calibri"/>
                <w:sz w:val="22"/>
                <w:szCs w:val="22"/>
              </w:rPr>
              <w:tab/>
            </w:r>
            <w:r w:rsidRPr="004C71BE">
              <w:rPr>
                <w:rFonts w:ascii="Calibri" w:hAnsi="Calibri"/>
                <w:sz w:val="22"/>
                <w:szCs w:val="22"/>
              </w:rPr>
              <w:t>Obligatoire pour tout achat d</w:t>
            </w:r>
            <w:r w:rsidR="004F7541" w:rsidRPr="004C71BE">
              <w:rPr>
                <w:rFonts w:ascii="Calibri" w:hAnsi="Calibri"/>
                <w:sz w:val="22"/>
                <w:szCs w:val="22"/>
              </w:rPr>
              <w:t>’</w:t>
            </w:r>
            <w:r w:rsidRPr="004C71BE">
              <w:rPr>
                <w:rFonts w:ascii="Calibri" w:hAnsi="Calibri"/>
                <w:sz w:val="22"/>
                <w:szCs w:val="22"/>
              </w:rPr>
              <w:t xml:space="preserve">actifs </w:t>
            </w:r>
            <w:r w:rsidR="00F72976">
              <w:rPr>
                <w:rFonts w:ascii="Calibri" w:hAnsi="Calibri"/>
                <w:sz w:val="22"/>
                <w:szCs w:val="22"/>
              </w:rPr>
              <w:t xml:space="preserve"> d’</w:t>
            </w:r>
            <w:r w:rsidRPr="004C71BE">
              <w:rPr>
                <w:rFonts w:ascii="Calibri" w:hAnsi="Calibri"/>
                <w:iCs/>
                <w:sz w:val="22"/>
                <w:szCs w:val="22"/>
              </w:rPr>
              <w:t xml:space="preserve">enregistrer toutes les informations pertinentes dans le module de gestion des actifs du système </w:t>
            </w:r>
            <w:r w:rsidR="00BF26EB">
              <w:rPr>
                <w:rFonts w:ascii="Calibri" w:hAnsi="Calibri"/>
                <w:iCs/>
                <w:sz w:val="22"/>
                <w:szCs w:val="22"/>
              </w:rPr>
              <w:t>Quantum</w:t>
            </w:r>
            <w:r w:rsidRPr="004C71BE">
              <w:rPr>
                <w:rFonts w:ascii="Calibri" w:hAnsi="Calibri"/>
                <w:iCs/>
                <w:sz w:val="22"/>
                <w:szCs w:val="22"/>
              </w:rPr>
              <w:t>).</w:t>
            </w:r>
          </w:p>
          <w:p w14:paraId="14AB2754" w14:textId="0F066659" w:rsidR="008A4CDD" w:rsidRPr="00E03ABE" w:rsidRDefault="00E6584C" w:rsidP="008A4CDD">
            <w:pPr>
              <w:spacing w:before="100" w:beforeAutospacing="1" w:after="100" w:afterAutospacing="1"/>
              <w:rPr>
                <w:rFonts w:ascii="Calibri" w:hAnsi="Calibri"/>
                <w:sz w:val="22"/>
                <w:szCs w:val="22"/>
              </w:rPr>
            </w:pPr>
            <w:r w:rsidRPr="00E03ABE">
              <w:rPr>
                <w:rFonts w:ascii="Calibri" w:hAnsi="Calibri"/>
                <w:sz w:val="22"/>
                <w:szCs w:val="22"/>
              </w:rPr>
              <w:t>b</w:t>
            </w:r>
            <w:r w:rsidR="008A4CDD" w:rsidRPr="00E03ABE">
              <w:rPr>
                <w:rFonts w:ascii="Calibri" w:hAnsi="Calibri"/>
                <w:sz w:val="22"/>
                <w:szCs w:val="22"/>
              </w:rPr>
              <w:t>)</w:t>
            </w:r>
            <w:r w:rsidR="008A4CDD" w:rsidRPr="00E03ABE">
              <w:rPr>
                <w:rFonts w:ascii="Calibri" w:hAnsi="Calibri"/>
                <w:sz w:val="22"/>
                <w:szCs w:val="22"/>
              </w:rPr>
              <w:tab/>
            </w:r>
            <w:r w:rsidR="0083651B" w:rsidRPr="0083651B">
              <w:rPr>
                <w:rFonts w:ascii="Calibri" w:hAnsi="Calibri"/>
                <w:sz w:val="22"/>
                <w:szCs w:val="22"/>
              </w:rPr>
              <w:t xml:space="preserve">Obligatoire pour tous les achats de biens, de services et de petits travaux lorsque le formulaire de micro-contrôle est utilisé. Le formulaire de </w:t>
            </w:r>
            <w:proofErr w:type="gramStart"/>
            <w:r w:rsidR="0083651B" w:rsidRPr="0083651B">
              <w:rPr>
                <w:rFonts w:ascii="Calibri" w:hAnsi="Calibri"/>
                <w:sz w:val="22"/>
                <w:szCs w:val="22"/>
              </w:rPr>
              <w:t>micro prospection</w:t>
            </w:r>
            <w:proofErr w:type="gramEnd"/>
            <w:r w:rsidR="0083651B" w:rsidRPr="0083651B">
              <w:rPr>
                <w:rFonts w:ascii="Calibri" w:hAnsi="Calibri"/>
                <w:sz w:val="22"/>
                <w:szCs w:val="22"/>
              </w:rPr>
              <w:t xml:space="preserve"> est maintenant rempli comme la demande d'achat dans Quantum et un bon de commande sans contact est automatiquement créé.</w:t>
            </w:r>
            <w:r w:rsidR="000B49EB" w:rsidRPr="00E03ABE">
              <w:rPr>
                <w:rFonts w:ascii="Calibri" w:hAnsi="Calibri"/>
                <w:sz w:val="22"/>
                <w:szCs w:val="22"/>
              </w:rPr>
              <w:t xml:space="preserve"> </w:t>
            </w:r>
          </w:p>
          <w:p w14:paraId="70FA8EDE" w14:textId="4221E156" w:rsidR="002135DD" w:rsidRPr="00A91FCA" w:rsidRDefault="00FD78BF" w:rsidP="002135DD">
            <w:pPr>
              <w:pStyle w:val="HTMLPreformatted"/>
              <w:shd w:val="clear" w:color="auto" w:fill="FFFFFF"/>
              <w:rPr>
                <w:rFonts w:asciiTheme="majorHAnsi" w:hAnsiTheme="majorHAnsi"/>
                <w:color w:val="212121"/>
                <w:sz w:val="22"/>
                <w:szCs w:val="22"/>
                <w:lang w:val="fr-FR"/>
              </w:rPr>
            </w:pPr>
            <w:r w:rsidRPr="00E03ABE">
              <w:rPr>
                <w:rFonts w:ascii="Calibri" w:hAnsi="Calibri"/>
                <w:sz w:val="22"/>
                <w:szCs w:val="22"/>
                <w:lang w:val="fr-FR"/>
              </w:rPr>
              <w:t>c</w:t>
            </w:r>
            <w:r w:rsidRPr="00E03ABE">
              <w:rPr>
                <w:rFonts w:asciiTheme="majorHAnsi" w:hAnsiTheme="majorHAnsi"/>
                <w:sz w:val="22"/>
                <w:szCs w:val="22"/>
                <w:lang w:val="fr-FR"/>
              </w:rPr>
              <w:t>)</w:t>
            </w:r>
            <w:r w:rsidR="00563B1F" w:rsidRPr="00E03ABE">
              <w:rPr>
                <w:rFonts w:asciiTheme="majorHAnsi" w:hAnsiTheme="majorHAnsi"/>
                <w:sz w:val="22"/>
                <w:szCs w:val="22"/>
                <w:lang w:val="fr-FR"/>
              </w:rPr>
              <w:t xml:space="preserve">          </w:t>
            </w:r>
            <w:r w:rsidRPr="00E03ABE">
              <w:rPr>
                <w:rFonts w:asciiTheme="majorHAnsi" w:hAnsiTheme="majorHAnsi"/>
                <w:sz w:val="22"/>
                <w:szCs w:val="22"/>
                <w:lang w:val="fr-FR"/>
              </w:rPr>
              <w:t xml:space="preserve">Obligatoire pour les </w:t>
            </w:r>
            <w:r w:rsidR="00A91FCA" w:rsidRPr="00E03ABE">
              <w:rPr>
                <w:rFonts w:asciiTheme="majorHAnsi" w:hAnsiTheme="majorHAnsi"/>
                <w:sz w:val="22"/>
                <w:szCs w:val="22"/>
                <w:lang w:val="fr-FR"/>
              </w:rPr>
              <w:t xml:space="preserve">Consultants Individuels </w:t>
            </w:r>
            <w:r w:rsidR="00146438" w:rsidRPr="00E03ABE">
              <w:rPr>
                <w:rFonts w:asciiTheme="majorHAnsi" w:hAnsiTheme="majorHAnsi"/>
                <w:sz w:val="22"/>
                <w:szCs w:val="22"/>
                <w:lang w:val="fr-FR"/>
              </w:rPr>
              <w:t>quels que soient le montant</w:t>
            </w:r>
            <w:r w:rsidR="00934E5E" w:rsidRPr="00E03ABE">
              <w:rPr>
                <w:rFonts w:asciiTheme="majorHAnsi" w:hAnsiTheme="majorHAnsi"/>
                <w:sz w:val="22"/>
                <w:szCs w:val="22"/>
                <w:lang w:val="fr-FR"/>
              </w:rPr>
              <w:t xml:space="preserve"> (Pour</w:t>
            </w:r>
            <w:r w:rsidR="002135DD" w:rsidRPr="00E03ABE">
              <w:rPr>
                <w:rFonts w:asciiTheme="majorHAnsi" w:hAnsiTheme="majorHAnsi"/>
                <w:sz w:val="22"/>
                <w:szCs w:val="22"/>
                <w:lang w:val="fr-FR"/>
              </w:rPr>
              <w:t xml:space="preserve"> les c</w:t>
            </w:r>
            <w:r w:rsidR="00934E5E" w:rsidRPr="00E03ABE">
              <w:rPr>
                <w:rFonts w:asciiTheme="majorHAnsi" w:hAnsiTheme="majorHAnsi"/>
                <w:sz w:val="22"/>
                <w:szCs w:val="22"/>
                <w:lang w:val="fr-FR"/>
              </w:rPr>
              <w:t>ontrats Individuels –</w:t>
            </w:r>
            <w:r w:rsidR="00A36738" w:rsidRPr="00E03ABE">
              <w:rPr>
                <w:rFonts w:asciiTheme="majorHAnsi" w:hAnsiTheme="majorHAnsi"/>
                <w:sz w:val="22"/>
                <w:szCs w:val="22"/>
                <w:lang w:val="fr-FR"/>
              </w:rPr>
              <w:t xml:space="preserve">IC— </w:t>
            </w:r>
            <w:r w:rsidR="002135DD" w:rsidRPr="00E03ABE">
              <w:rPr>
                <w:rFonts w:asciiTheme="majorHAnsi" w:hAnsiTheme="majorHAnsi"/>
                <w:sz w:val="22"/>
                <w:szCs w:val="22"/>
                <w:lang w:val="fr-FR"/>
              </w:rPr>
              <w:t>Le</w:t>
            </w:r>
            <w:r w:rsidR="00A36738" w:rsidRPr="00E03ABE">
              <w:rPr>
                <w:rFonts w:asciiTheme="majorHAnsi" w:hAnsiTheme="majorHAnsi"/>
                <w:sz w:val="22"/>
                <w:szCs w:val="22"/>
                <w:lang w:val="fr-FR"/>
              </w:rPr>
              <w:t xml:space="preserve"> </w:t>
            </w:r>
            <w:r w:rsidR="002135DD" w:rsidRPr="00E03ABE">
              <w:rPr>
                <w:rFonts w:asciiTheme="majorHAnsi" w:hAnsiTheme="majorHAnsi"/>
                <w:sz w:val="22"/>
                <w:szCs w:val="22"/>
                <w:lang w:val="fr-FR"/>
              </w:rPr>
              <w:t>m</w:t>
            </w:r>
            <w:r w:rsidR="00082407" w:rsidRPr="00E03ABE">
              <w:rPr>
                <w:rFonts w:asciiTheme="majorHAnsi" w:hAnsiTheme="majorHAnsi"/>
                <w:sz w:val="22"/>
                <w:szCs w:val="22"/>
                <w:lang w:val="fr-FR"/>
              </w:rPr>
              <w:t>odule</w:t>
            </w:r>
            <w:r w:rsidR="002135DD" w:rsidRPr="00E03ABE">
              <w:rPr>
                <w:rFonts w:asciiTheme="majorHAnsi" w:hAnsiTheme="majorHAnsi"/>
                <w:sz w:val="22"/>
                <w:szCs w:val="22"/>
                <w:lang w:val="fr-FR"/>
              </w:rPr>
              <w:t xml:space="preserve"> de</w:t>
            </w:r>
            <w:r w:rsidR="00082407" w:rsidRPr="00E03ABE">
              <w:rPr>
                <w:rFonts w:asciiTheme="majorHAnsi" w:hAnsiTheme="majorHAnsi"/>
                <w:sz w:val="22"/>
                <w:szCs w:val="22"/>
                <w:lang w:val="fr-FR"/>
              </w:rPr>
              <w:t xml:space="preserve"> </w:t>
            </w:r>
            <w:r w:rsidR="002135DD" w:rsidRPr="00E03ABE">
              <w:rPr>
                <w:rFonts w:asciiTheme="majorHAnsi" w:hAnsiTheme="majorHAnsi"/>
                <w:sz w:val="22"/>
                <w:szCs w:val="22"/>
                <w:lang w:val="fr-FR"/>
              </w:rPr>
              <w:t>g</w:t>
            </w:r>
            <w:r w:rsidR="00D415C1" w:rsidRPr="00E03ABE">
              <w:rPr>
                <w:rFonts w:asciiTheme="majorHAnsi" w:hAnsiTheme="majorHAnsi"/>
                <w:sz w:val="22"/>
                <w:szCs w:val="22"/>
                <w:lang w:val="fr-FR"/>
              </w:rPr>
              <w:t>estion de</w:t>
            </w:r>
            <w:r w:rsidR="00082407" w:rsidRPr="00E03ABE">
              <w:rPr>
                <w:rFonts w:asciiTheme="majorHAnsi" w:hAnsiTheme="majorHAnsi"/>
                <w:sz w:val="22"/>
                <w:szCs w:val="22"/>
                <w:lang w:val="fr-FR"/>
              </w:rPr>
              <w:t>s</w:t>
            </w:r>
            <w:r w:rsidR="00D415C1" w:rsidRPr="00E03ABE">
              <w:rPr>
                <w:rFonts w:asciiTheme="majorHAnsi" w:hAnsiTheme="majorHAnsi"/>
                <w:sz w:val="22"/>
                <w:szCs w:val="22"/>
                <w:lang w:val="fr-FR"/>
              </w:rPr>
              <w:t xml:space="preserve"> marchés</w:t>
            </w:r>
            <w:r w:rsidR="002B7DEA" w:rsidRPr="00E03ABE">
              <w:rPr>
                <w:rFonts w:asciiTheme="majorHAnsi" w:hAnsiTheme="majorHAnsi"/>
                <w:sz w:val="22"/>
                <w:szCs w:val="22"/>
                <w:lang w:val="fr-FR"/>
              </w:rPr>
              <w:t xml:space="preserve"> doit</w:t>
            </w:r>
            <w:r w:rsidR="002135DD" w:rsidRPr="00E03ABE">
              <w:rPr>
                <w:rFonts w:asciiTheme="majorHAnsi" w:hAnsiTheme="majorHAnsi"/>
                <w:sz w:val="22"/>
                <w:szCs w:val="22"/>
                <w:lang w:val="fr-FR"/>
              </w:rPr>
              <w:t xml:space="preserve"> </w:t>
            </w:r>
            <w:r w:rsidR="002135DD" w:rsidRPr="00E03ABE">
              <w:rPr>
                <w:rFonts w:asciiTheme="majorHAnsi" w:hAnsiTheme="majorHAnsi"/>
                <w:color w:val="212121"/>
                <w:sz w:val="22"/>
                <w:szCs w:val="22"/>
                <w:lang w:val="fr-FR"/>
              </w:rPr>
              <w:t>être utilisé avec E-Req et PO.</w:t>
            </w:r>
            <w:r w:rsidR="002135DD">
              <w:rPr>
                <w:rFonts w:asciiTheme="majorHAnsi" w:hAnsiTheme="majorHAnsi"/>
                <w:color w:val="212121"/>
                <w:sz w:val="22"/>
                <w:szCs w:val="22"/>
                <w:lang w:val="fr-FR"/>
              </w:rPr>
              <w:t xml:space="preserve"> </w:t>
            </w:r>
          </w:p>
          <w:p w14:paraId="4542232C" w14:textId="275F25F6" w:rsidR="002135DD" w:rsidRPr="00A91FCA" w:rsidRDefault="002135DD" w:rsidP="002135DD">
            <w:pPr>
              <w:pStyle w:val="HTMLPreformatted"/>
              <w:shd w:val="clear" w:color="auto" w:fill="FFFFFF"/>
              <w:rPr>
                <w:rFonts w:ascii="inherit" w:hAnsi="inherit" w:hint="eastAsia"/>
                <w:color w:val="212121"/>
                <w:lang w:val="fr-FR"/>
              </w:rPr>
            </w:pPr>
          </w:p>
          <w:p w14:paraId="48E8B222" w14:textId="35FBD145" w:rsidR="00FD78BF" w:rsidRPr="003A403B" w:rsidRDefault="002135DD" w:rsidP="002135DD">
            <w:pPr>
              <w:spacing w:before="100" w:beforeAutospacing="1" w:after="100" w:afterAutospacing="1"/>
              <w:rPr>
                <w:rFonts w:ascii="Calibri" w:hAnsi="Calibri" w:cs="Arial"/>
                <w:sz w:val="22"/>
                <w:szCs w:val="22"/>
              </w:rPr>
            </w:pPr>
            <w:r>
              <w:rPr>
                <w:rFonts w:ascii="Calibri" w:hAnsi="Calibri"/>
                <w:sz w:val="22"/>
                <w:szCs w:val="22"/>
              </w:rPr>
              <w:t xml:space="preserve"> </w:t>
            </w:r>
          </w:p>
        </w:tc>
      </w:tr>
    </w:tbl>
    <w:p w14:paraId="757FD47E" w14:textId="77777777" w:rsidR="00D166FA" w:rsidRPr="003A403B" w:rsidRDefault="00D166FA" w:rsidP="00D166FA">
      <w:pPr>
        <w:pStyle w:val="ListParagraph"/>
        <w:shd w:val="clear" w:color="auto" w:fill="FFFFFF"/>
        <w:jc w:val="both"/>
        <w:textAlignment w:val="top"/>
        <w:rPr>
          <w:rFonts w:ascii="Calibri" w:hAnsi="Calibri" w:cs="Arial"/>
          <w:color w:val="333333"/>
          <w:sz w:val="22"/>
          <w:szCs w:val="22"/>
        </w:rPr>
      </w:pPr>
    </w:p>
    <w:p w14:paraId="4407D677" w14:textId="77777777" w:rsidR="00223C4C" w:rsidRPr="00A95B96" w:rsidRDefault="00223C4C"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terme « prospection », tel qu</w:t>
      </w:r>
      <w:r w:rsidR="004F7541">
        <w:rPr>
          <w:rFonts w:ascii="Calibri" w:hAnsi="Calibri"/>
          <w:sz w:val="22"/>
          <w:szCs w:val="22"/>
        </w:rPr>
        <w:t>’</w:t>
      </w:r>
      <w:r>
        <w:rPr>
          <w:rFonts w:ascii="Calibri" w:hAnsi="Calibri"/>
          <w:sz w:val="22"/>
          <w:szCs w:val="22"/>
        </w:rPr>
        <w:t>indiqué ci-dessus, peut se référer à l</w:t>
      </w:r>
      <w:r w:rsidR="004F7541">
        <w:rPr>
          <w:rFonts w:ascii="Calibri" w:hAnsi="Calibri"/>
          <w:sz w:val="22"/>
          <w:szCs w:val="22"/>
        </w:rPr>
        <w:t>’</w:t>
      </w:r>
      <w:r>
        <w:rPr>
          <w:rFonts w:ascii="Calibri" w:hAnsi="Calibri"/>
          <w:sz w:val="22"/>
          <w:szCs w:val="22"/>
        </w:rPr>
        <w:t>une des méthodes suivantes</w:t>
      </w:r>
      <w:r w:rsidR="0049528D">
        <w:rPr>
          <w:rFonts w:ascii="Calibri" w:hAnsi="Calibri"/>
          <w:sz w:val="22"/>
          <w:szCs w:val="22"/>
        </w:rPr>
        <w:t> :</w:t>
      </w:r>
    </w:p>
    <w:p w14:paraId="7BBB7442" w14:textId="77777777" w:rsidR="00223C4C" w:rsidRPr="003A403B" w:rsidRDefault="00223C4C" w:rsidP="00223C4C">
      <w:pPr>
        <w:shd w:val="clear" w:color="auto" w:fill="FFFFFF"/>
        <w:textAlignment w:val="top"/>
        <w:rPr>
          <w:rFonts w:ascii="Calibri" w:hAnsi="Calibri" w:cs="Arial"/>
          <w:sz w:val="22"/>
          <w:szCs w:val="22"/>
        </w:rPr>
      </w:pPr>
      <w:r>
        <w:rPr>
          <w:rFonts w:ascii="Calibri" w:hAnsi="Calibri"/>
          <w:sz w:val="22"/>
          <w:szCs w:val="22"/>
        </w:rPr>
        <w:t> </w:t>
      </w:r>
    </w:p>
    <w:p w14:paraId="616810CB" w14:textId="77777777" w:rsidR="00223C4C" w:rsidRPr="00BD2B48" w:rsidRDefault="00223C4C" w:rsidP="00BD2B48">
      <w:pPr>
        <w:pStyle w:val="ListParagraph"/>
        <w:numPr>
          <w:ilvl w:val="1"/>
          <w:numId w:val="9"/>
        </w:numPr>
        <w:shd w:val="clear" w:color="auto" w:fill="FFFFFF"/>
        <w:ind w:left="1800"/>
        <w:jc w:val="both"/>
        <w:textAlignment w:val="top"/>
        <w:rPr>
          <w:rFonts w:ascii="Calibri" w:hAnsi="Calibri" w:cs="Arial"/>
          <w:sz w:val="22"/>
          <w:szCs w:val="22"/>
        </w:rPr>
      </w:pPr>
      <w:r>
        <w:rPr>
          <w:rFonts w:ascii="Calibri" w:hAnsi="Calibri"/>
          <w:sz w:val="22"/>
          <w:szCs w:val="22"/>
        </w:rPr>
        <w:t>Demande de renseignements par téléphone – le personnel du PNUD passe des appels téléphoniques pour se renseigner sur le coût et note les réponses des fournisseurs</w:t>
      </w:r>
      <w:r w:rsidR="0049528D">
        <w:rPr>
          <w:rFonts w:ascii="Calibri" w:hAnsi="Calibri"/>
          <w:sz w:val="22"/>
          <w:szCs w:val="22"/>
        </w:rPr>
        <w:t> ;</w:t>
      </w:r>
    </w:p>
    <w:p w14:paraId="70592FA8" w14:textId="77777777" w:rsidR="00BD2B48" w:rsidRPr="003A403B" w:rsidRDefault="00BD2B48" w:rsidP="00BD2B48">
      <w:pPr>
        <w:pStyle w:val="ListParagraph"/>
        <w:shd w:val="clear" w:color="auto" w:fill="FFFFFF"/>
        <w:ind w:left="1800"/>
        <w:jc w:val="both"/>
        <w:textAlignment w:val="top"/>
        <w:rPr>
          <w:rFonts w:ascii="Calibri" w:hAnsi="Calibri" w:cs="Arial"/>
          <w:sz w:val="22"/>
          <w:szCs w:val="22"/>
        </w:rPr>
      </w:pPr>
    </w:p>
    <w:p w14:paraId="28864029" w14:textId="77777777" w:rsidR="00BD2B48" w:rsidRPr="00BD2B48" w:rsidRDefault="00223C4C" w:rsidP="00BD2B48">
      <w:pPr>
        <w:pStyle w:val="ListParagraph"/>
        <w:numPr>
          <w:ilvl w:val="1"/>
          <w:numId w:val="9"/>
        </w:numPr>
        <w:shd w:val="clear" w:color="auto" w:fill="FFFFFF"/>
        <w:ind w:left="1800"/>
        <w:jc w:val="both"/>
        <w:textAlignment w:val="top"/>
        <w:rPr>
          <w:rFonts w:ascii="Calibri" w:hAnsi="Calibri" w:cs="Arial"/>
          <w:sz w:val="22"/>
          <w:szCs w:val="22"/>
        </w:rPr>
      </w:pPr>
      <w:r>
        <w:rPr>
          <w:rFonts w:ascii="Calibri" w:hAnsi="Calibri"/>
          <w:sz w:val="22"/>
          <w:szCs w:val="22"/>
        </w:rPr>
        <w:t>Navigation électronique – le personnel du PNUD consulte des sources ou catalogues en ligne et imprime les prix correspondant à la demande</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41582FC0" w14:textId="77777777" w:rsidR="00BD2B48" w:rsidRPr="003A403B" w:rsidRDefault="00BD2B48" w:rsidP="00BD2B48">
      <w:pPr>
        <w:pStyle w:val="ListParagraph"/>
        <w:shd w:val="clear" w:color="auto" w:fill="FFFFFF"/>
        <w:ind w:left="1800"/>
        <w:jc w:val="both"/>
        <w:textAlignment w:val="top"/>
        <w:rPr>
          <w:rFonts w:ascii="Calibri" w:hAnsi="Calibri" w:cs="Arial"/>
          <w:sz w:val="22"/>
          <w:szCs w:val="22"/>
        </w:rPr>
      </w:pPr>
    </w:p>
    <w:p w14:paraId="6F2C9DD5" w14:textId="77777777" w:rsidR="00223C4C" w:rsidRPr="003A403B" w:rsidRDefault="00223C4C" w:rsidP="00BD2B48">
      <w:pPr>
        <w:pStyle w:val="ListParagraph"/>
        <w:numPr>
          <w:ilvl w:val="1"/>
          <w:numId w:val="9"/>
        </w:numPr>
        <w:shd w:val="clear" w:color="auto" w:fill="FFFFFF"/>
        <w:ind w:left="1800"/>
        <w:jc w:val="both"/>
        <w:textAlignment w:val="top"/>
        <w:rPr>
          <w:rFonts w:ascii="Calibri" w:hAnsi="Calibri" w:cs="Arial"/>
          <w:sz w:val="22"/>
          <w:szCs w:val="22"/>
        </w:rPr>
      </w:pPr>
      <w:r>
        <w:rPr>
          <w:rFonts w:ascii="Calibri" w:hAnsi="Calibri"/>
          <w:sz w:val="22"/>
          <w:szCs w:val="22"/>
        </w:rPr>
        <w:t>Achats locaux – le personnel du PNUD va physiquement dans les magasins ou les boutiques environnant pour comparer les prix réels.</w:t>
      </w:r>
    </w:p>
    <w:p w14:paraId="1DAFE05A" w14:textId="77777777" w:rsidR="008A4CDD" w:rsidRPr="003A403B" w:rsidRDefault="00223C4C" w:rsidP="008A4CDD">
      <w:pPr>
        <w:shd w:val="clear" w:color="auto" w:fill="FFFFFF"/>
        <w:textAlignment w:val="top"/>
        <w:rPr>
          <w:rFonts w:ascii="Calibri" w:hAnsi="Calibri" w:cs="Arial"/>
          <w:sz w:val="22"/>
          <w:szCs w:val="22"/>
        </w:rPr>
      </w:pPr>
      <w:r>
        <w:rPr>
          <w:rFonts w:ascii="Calibri" w:hAnsi="Calibri"/>
          <w:sz w:val="22"/>
          <w:szCs w:val="22"/>
        </w:rPr>
        <w:t> </w:t>
      </w:r>
    </w:p>
    <w:p w14:paraId="7F3EACCA" w14:textId="10B5F45B" w:rsidR="008A4CDD" w:rsidRPr="003A403B" w:rsidRDefault="008A4CDD" w:rsidP="00A95B96">
      <w:pPr>
        <w:pStyle w:val="ListParagraph"/>
        <w:numPr>
          <w:ilvl w:val="0"/>
          <w:numId w:val="1"/>
        </w:numPr>
        <w:shd w:val="clear" w:color="auto" w:fill="FFFFFF"/>
        <w:jc w:val="both"/>
        <w:textAlignment w:val="top"/>
        <w:rPr>
          <w:rFonts w:ascii="Calibri" w:hAnsi="Calibri" w:cs="Arial"/>
          <w:sz w:val="22"/>
          <w:szCs w:val="22"/>
        </w:rPr>
      </w:pPr>
      <w:r w:rsidRPr="007F043F">
        <w:rPr>
          <w:rFonts w:asciiTheme="majorHAnsi" w:hAnsiTheme="majorHAnsi" w:cstheme="majorHAnsi"/>
          <w:sz w:val="22"/>
          <w:szCs w:val="22"/>
        </w:rPr>
        <w:t xml:space="preserve">Le </w:t>
      </w:r>
      <w:hyperlink r:id="rId14" w:history="1">
        <w:r w:rsidRPr="007F043F">
          <w:rPr>
            <w:rFonts w:asciiTheme="majorHAnsi" w:hAnsiTheme="majorHAnsi" w:cstheme="majorHAnsi"/>
            <w:color w:val="0072BC"/>
            <w:sz w:val="22"/>
            <w:szCs w:val="22"/>
            <w:u w:val="single"/>
          </w:rPr>
          <w:t>formulaire de prospection de micro-achat</w:t>
        </w:r>
      </w:hyperlink>
      <w:r w:rsidRPr="007F043F">
        <w:rPr>
          <w:rFonts w:asciiTheme="majorHAnsi" w:hAnsiTheme="majorHAnsi" w:cstheme="majorHAnsi"/>
          <w:sz w:val="22"/>
          <w:szCs w:val="22"/>
        </w:rPr>
        <w:t xml:space="preserve"> </w:t>
      </w:r>
      <w:r w:rsidR="00591318" w:rsidRPr="00591318">
        <w:rPr>
          <w:rFonts w:asciiTheme="majorHAnsi" w:hAnsiTheme="majorHAnsi" w:cstheme="majorHAnsi"/>
          <w:sz w:val="22"/>
          <w:szCs w:val="22"/>
        </w:rPr>
        <w:t xml:space="preserve">est un modèle simple développé pour documenter systématiquement l'interaction avec les </w:t>
      </w:r>
      <w:proofErr w:type="spellStart"/>
      <w:r w:rsidR="00591318">
        <w:rPr>
          <w:rFonts w:asciiTheme="majorHAnsi" w:hAnsiTheme="majorHAnsi" w:cstheme="majorHAnsi"/>
          <w:sz w:val="22"/>
          <w:szCs w:val="22"/>
        </w:rPr>
        <w:t>fournis</w:t>
      </w:r>
      <w:r w:rsidR="00591318" w:rsidRPr="00591318">
        <w:rPr>
          <w:rFonts w:asciiTheme="majorHAnsi" w:hAnsiTheme="majorHAnsi" w:cstheme="majorHAnsi"/>
          <w:sz w:val="22"/>
          <w:szCs w:val="22"/>
        </w:rPr>
        <w:t>eurs</w:t>
      </w:r>
      <w:proofErr w:type="spellEnd"/>
      <w:r w:rsidR="00591318" w:rsidRPr="00591318">
        <w:rPr>
          <w:rFonts w:asciiTheme="majorHAnsi" w:hAnsiTheme="majorHAnsi" w:cstheme="majorHAnsi"/>
          <w:sz w:val="22"/>
          <w:szCs w:val="22"/>
        </w:rPr>
        <w:t xml:space="preserve"> et il est maintenant établi dans un processus simplifié dans Quantum.</w:t>
      </w:r>
      <w:r>
        <w:t>.</w:t>
      </w:r>
      <w:r>
        <w:rPr>
          <w:rFonts w:ascii="Calibri" w:hAnsi="Calibri"/>
          <w:sz w:val="22"/>
          <w:szCs w:val="22"/>
        </w:rPr>
        <w:t xml:space="preserve"> Il est généralement renseigné par le personnel chargé des achats, ou tout personnel désigné pour le faire, tout en assurant la conformité avec le cadre de contrôle interne.</w:t>
      </w:r>
    </w:p>
    <w:p w14:paraId="2277C842"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684A3DA7"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fournisseurs peuvent être issus ou non d</w:t>
      </w:r>
      <w:r w:rsidR="004F7541">
        <w:rPr>
          <w:rFonts w:ascii="Calibri" w:hAnsi="Calibri"/>
          <w:sz w:val="22"/>
          <w:szCs w:val="22"/>
        </w:rPr>
        <w:t>’</w:t>
      </w:r>
      <w:r>
        <w:rPr>
          <w:rFonts w:ascii="Calibri" w:hAnsi="Calibri"/>
          <w:sz w:val="22"/>
          <w:szCs w:val="22"/>
        </w:rPr>
        <w:t>une liste d</w:t>
      </w:r>
      <w:r w:rsidR="004F7541">
        <w:rPr>
          <w:rFonts w:ascii="Calibri" w:hAnsi="Calibri"/>
          <w:sz w:val="22"/>
          <w:szCs w:val="22"/>
        </w:rPr>
        <w:t>’</w:t>
      </w:r>
      <w:r>
        <w:rPr>
          <w:rFonts w:ascii="Calibri" w:hAnsi="Calibri"/>
          <w:sz w:val="22"/>
          <w:szCs w:val="22"/>
        </w:rPr>
        <w:t>une unité administrative. Si la prospection n</w:t>
      </w:r>
      <w:r w:rsidR="004F7541">
        <w:rPr>
          <w:rFonts w:ascii="Calibri" w:hAnsi="Calibri"/>
          <w:sz w:val="22"/>
          <w:szCs w:val="22"/>
        </w:rPr>
        <w:t>’</w:t>
      </w:r>
      <w:r>
        <w:rPr>
          <w:rFonts w:ascii="Calibri" w:hAnsi="Calibri"/>
          <w:sz w:val="22"/>
          <w:szCs w:val="22"/>
        </w:rPr>
        <w:t>est pas retenue, une justification écrite, sous la forme d</w:t>
      </w:r>
      <w:r w:rsidR="004F7541">
        <w:rPr>
          <w:rFonts w:ascii="Calibri" w:hAnsi="Calibri"/>
          <w:sz w:val="22"/>
          <w:szCs w:val="22"/>
        </w:rPr>
        <w:t>’</w:t>
      </w:r>
      <w:r>
        <w:rPr>
          <w:rFonts w:ascii="Calibri" w:hAnsi="Calibri"/>
          <w:sz w:val="22"/>
          <w:szCs w:val="22"/>
        </w:rPr>
        <w:t xml:space="preserve">une note au dossier, devra être approuvée par le responsable des opérations de </w:t>
      </w:r>
      <w:r w:rsidR="00AC0FBF">
        <w:rPr>
          <w:rFonts w:ascii="Calibri" w:hAnsi="Calibri"/>
          <w:sz w:val="22"/>
          <w:szCs w:val="22"/>
        </w:rPr>
        <w:t>l’Unité</w:t>
      </w:r>
      <w:r>
        <w:rPr>
          <w:rFonts w:ascii="Calibri" w:hAnsi="Calibri"/>
          <w:sz w:val="22"/>
          <w:szCs w:val="22"/>
        </w:rPr>
        <w:t xml:space="preserve"> administrative.</w:t>
      </w:r>
    </w:p>
    <w:p w14:paraId="032C19EC" w14:textId="77777777" w:rsidR="008A4CDD" w:rsidRPr="003A403B" w:rsidRDefault="008A4CDD" w:rsidP="008A4CDD">
      <w:pPr>
        <w:shd w:val="clear" w:color="auto" w:fill="FFFFFF"/>
        <w:textAlignment w:val="top"/>
        <w:rPr>
          <w:rFonts w:ascii="Calibri" w:hAnsi="Calibri" w:cs="Arial"/>
          <w:color w:val="333333"/>
          <w:sz w:val="22"/>
          <w:szCs w:val="22"/>
        </w:rPr>
      </w:pPr>
      <w:r>
        <w:rPr>
          <w:rFonts w:ascii="Calibri" w:hAnsi="Calibri"/>
          <w:color w:val="FF0000"/>
          <w:sz w:val="22"/>
          <w:szCs w:val="22"/>
        </w:rPr>
        <w:t> </w:t>
      </w:r>
    </w:p>
    <w:p w14:paraId="4DEB1593" w14:textId="77777777" w:rsidR="008A4CDD" w:rsidRPr="003A403B" w:rsidRDefault="008A4CDD" w:rsidP="00D166FA">
      <w:pPr>
        <w:pStyle w:val="Head2"/>
      </w:pPr>
      <w:bookmarkStart w:id="10" w:name="_Toc177561756"/>
      <w:r>
        <w:lastRenderedPageBreak/>
        <w:t>Déterminer la meilleure offre</w:t>
      </w:r>
      <w:bookmarkEnd w:id="10"/>
      <w:r>
        <w:br/>
      </w:r>
    </w:p>
    <w:p w14:paraId="4EA7940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Lorsque la prospection porte sur au moins deux fournisseurs, le contrat est attribué à celui qui respecte les exigences et offre le prix le plus bas. Lorsque le fournisseur avec le deuxième prix le plus bas offre une qualité nettement supérieure et que le prix est supérieur de 10</w:t>
      </w:r>
      <w:r w:rsidR="00AA1E5C">
        <w:rPr>
          <w:rFonts w:ascii="Calibri" w:hAnsi="Calibri"/>
          <w:sz w:val="22"/>
          <w:szCs w:val="22"/>
        </w:rPr>
        <w:t> </w:t>
      </w:r>
      <w:r>
        <w:rPr>
          <w:rFonts w:ascii="Calibri" w:hAnsi="Calibri"/>
          <w:sz w:val="22"/>
          <w:szCs w:val="22"/>
        </w:rPr>
        <w:t>pour cent au plus, ce fournisseur peut être sélectionné si le budget est suffisant pour couvrir la différence de prix. Une qualité supérieure fait référence à des offres qui dépassent les exigences prédéterminées. Elle ne s</w:t>
      </w:r>
      <w:r w:rsidR="004F7541">
        <w:rPr>
          <w:rFonts w:ascii="Calibri" w:hAnsi="Calibri"/>
          <w:sz w:val="22"/>
          <w:szCs w:val="22"/>
        </w:rPr>
        <w:t>’</w:t>
      </w:r>
      <w:r>
        <w:rPr>
          <w:rFonts w:ascii="Calibri" w:hAnsi="Calibri"/>
          <w:sz w:val="22"/>
          <w:szCs w:val="22"/>
        </w:rPr>
        <w:t>applique pas aux fonctionnalités, qualités ou caractéristiques non spécifiées à l</w:t>
      </w:r>
      <w:r w:rsidR="004F7541">
        <w:rPr>
          <w:rFonts w:ascii="Calibri" w:hAnsi="Calibri"/>
          <w:sz w:val="22"/>
          <w:szCs w:val="22"/>
        </w:rPr>
        <w:t>’</w:t>
      </w:r>
      <w:r>
        <w:rPr>
          <w:rFonts w:ascii="Calibri" w:hAnsi="Calibri"/>
          <w:sz w:val="22"/>
          <w:szCs w:val="22"/>
        </w:rPr>
        <w:t>origine comme des exigences.</w:t>
      </w:r>
    </w:p>
    <w:p w14:paraId="0DE5AE8D" w14:textId="77777777" w:rsidR="008A4CDD" w:rsidRPr="003A403B" w:rsidRDefault="008A4CDD" w:rsidP="008A4CDD">
      <w:pPr>
        <w:shd w:val="clear" w:color="auto" w:fill="FFFFFF"/>
        <w:textAlignment w:val="top"/>
        <w:rPr>
          <w:rFonts w:ascii="Calibri" w:hAnsi="Calibri" w:cs="Arial"/>
          <w:sz w:val="22"/>
          <w:szCs w:val="22"/>
        </w:rPr>
      </w:pPr>
    </w:p>
    <w:p w14:paraId="3F6615F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formulaire de prospection de micro-achat est conçu pour que le personnel qui l</w:t>
      </w:r>
      <w:r w:rsidR="004F7541">
        <w:rPr>
          <w:rFonts w:ascii="Calibri" w:hAnsi="Calibri"/>
          <w:sz w:val="22"/>
          <w:szCs w:val="22"/>
        </w:rPr>
        <w:t>’</w:t>
      </w:r>
      <w:r>
        <w:rPr>
          <w:rFonts w:ascii="Calibri" w:hAnsi="Calibri"/>
          <w:sz w:val="22"/>
          <w:szCs w:val="22"/>
        </w:rPr>
        <w:t>utilise puisse recommander un fournisseur, en fonction des politiques et des critères d</w:t>
      </w:r>
      <w:r w:rsidR="004F7541">
        <w:rPr>
          <w:rFonts w:ascii="Calibri" w:hAnsi="Calibri"/>
          <w:sz w:val="22"/>
          <w:szCs w:val="22"/>
        </w:rPr>
        <w:t>’</w:t>
      </w:r>
      <w:r>
        <w:rPr>
          <w:rFonts w:ascii="Calibri" w:hAnsi="Calibri"/>
          <w:sz w:val="22"/>
          <w:szCs w:val="22"/>
        </w:rPr>
        <w:t>attribution pertinents. Le demandeur peut confirmer la recommandation ou choisir un autre fournisseur, en écrivant une justification pour ce dernier sur le même formulaire. Lorsque le personnel chargé des achats et le demandeur ne sont pas d</w:t>
      </w:r>
      <w:r w:rsidR="004F7541">
        <w:rPr>
          <w:rFonts w:ascii="Calibri" w:hAnsi="Calibri"/>
          <w:sz w:val="22"/>
          <w:szCs w:val="22"/>
        </w:rPr>
        <w:t>’</w:t>
      </w:r>
      <w:r>
        <w:rPr>
          <w:rFonts w:ascii="Calibri" w:hAnsi="Calibri"/>
          <w:sz w:val="22"/>
          <w:szCs w:val="22"/>
        </w:rPr>
        <w:t>accord sur le choix du fournisseur, ils sont encouragés à discuter de la question et à assurer la cohérence de la décision finale avec les politiques applicables.</w:t>
      </w:r>
    </w:p>
    <w:p w14:paraId="4A64734D" w14:textId="77777777" w:rsidR="008A4CDD" w:rsidRPr="003A403B" w:rsidRDefault="008A4CDD" w:rsidP="008A4CDD">
      <w:pPr>
        <w:shd w:val="clear" w:color="auto" w:fill="FFFFFF"/>
        <w:textAlignment w:val="top"/>
        <w:rPr>
          <w:rFonts w:ascii="Calibri" w:hAnsi="Calibri" w:cs="Arial"/>
          <w:sz w:val="22"/>
          <w:szCs w:val="22"/>
        </w:rPr>
      </w:pPr>
    </w:p>
    <w:p w14:paraId="0AA82605"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option de micro-achat vise à apporter une certaine flexibilité lorsque les demandes sont de faible valeur et ne devraient pas être de nouveau nécessaires à court terme. Lorsqu</w:t>
      </w:r>
      <w:r w:rsidR="004F7541">
        <w:rPr>
          <w:rFonts w:ascii="Calibri" w:hAnsi="Calibri"/>
          <w:sz w:val="22"/>
          <w:szCs w:val="22"/>
        </w:rPr>
        <w:t>’</w:t>
      </w:r>
      <w:r>
        <w:rPr>
          <w:rFonts w:ascii="Calibri" w:hAnsi="Calibri"/>
          <w:sz w:val="22"/>
          <w:szCs w:val="22"/>
        </w:rPr>
        <w:t>il existe une indication claire ou une demande prévue pour le même type de biens, de services ou de petits travaux, d</w:t>
      </w:r>
      <w:r w:rsidR="004F7541">
        <w:rPr>
          <w:rFonts w:ascii="Calibri" w:hAnsi="Calibri"/>
          <w:sz w:val="22"/>
          <w:szCs w:val="22"/>
        </w:rPr>
        <w:t>’</w:t>
      </w:r>
      <w:r>
        <w:rPr>
          <w:rFonts w:ascii="Calibri" w:hAnsi="Calibri"/>
          <w:sz w:val="22"/>
          <w:szCs w:val="22"/>
        </w:rPr>
        <w:t>autres méthodes de passation de marchés applicables aux demandes de valeur plus importantes doivent être utilisées, en fonction du volume agrégé.</w:t>
      </w:r>
    </w:p>
    <w:p w14:paraId="6FC74782" w14:textId="77777777" w:rsidR="008A4CDD" w:rsidRPr="003A403B" w:rsidRDefault="008A4CDD" w:rsidP="008A4CDD">
      <w:pPr>
        <w:shd w:val="clear" w:color="auto" w:fill="FFFFFF"/>
        <w:textAlignment w:val="top"/>
        <w:rPr>
          <w:rFonts w:ascii="Calibri" w:hAnsi="Calibri" w:cs="Arial"/>
          <w:sz w:val="22"/>
          <w:szCs w:val="22"/>
        </w:rPr>
      </w:pPr>
    </w:p>
    <w:p w14:paraId="4B0F412F"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Fractionner des demandes de montants importants en unités d</w:t>
      </w:r>
      <w:r w:rsidR="004F7541">
        <w:rPr>
          <w:rFonts w:ascii="Calibri" w:hAnsi="Calibri"/>
          <w:sz w:val="22"/>
          <w:szCs w:val="22"/>
        </w:rPr>
        <w:t>’</w:t>
      </w:r>
      <w:r>
        <w:rPr>
          <w:rFonts w:ascii="Calibri" w:hAnsi="Calibri"/>
          <w:sz w:val="22"/>
          <w:szCs w:val="22"/>
        </w:rPr>
        <w:t xml:space="preserve">une valeur inférieure à 5 000 </w:t>
      </w:r>
      <w:r w:rsidR="0049528D">
        <w:rPr>
          <w:rFonts w:ascii="Calibri" w:hAnsi="Calibri"/>
          <w:sz w:val="22"/>
          <w:szCs w:val="22"/>
        </w:rPr>
        <w:t>dollars des États-Unis</w:t>
      </w:r>
      <w:r>
        <w:rPr>
          <w:rFonts w:ascii="Calibri" w:hAnsi="Calibri"/>
          <w:sz w:val="22"/>
          <w:szCs w:val="22"/>
        </w:rPr>
        <w:t xml:space="preserve"> uniquement pour appliquer la méthode du micro-achat est une dérive importante par rapport aux politiques et procédures d</w:t>
      </w:r>
      <w:r w:rsidR="004F7541">
        <w:rPr>
          <w:rFonts w:ascii="Calibri" w:hAnsi="Calibri"/>
          <w:sz w:val="22"/>
          <w:szCs w:val="22"/>
        </w:rPr>
        <w:t>’</w:t>
      </w:r>
      <w:r>
        <w:rPr>
          <w:rFonts w:ascii="Calibri" w:hAnsi="Calibri"/>
          <w:sz w:val="22"/>
          <w:szCs w:val="22"/>
        </w:rPr>
        <w:t xml:space="preserve">achat standard du PNUD et doit être </w:t>
      </w:r>
      <w:r w:rsidR="00554D54">
        <w:rPr>
          <w:rFonts w:ascii="Calibri" w:hAnsi="Calibri"/>
          <w:sz w:val="22"/>
          <w:szCs w:val="22"/>
        </w:rPr>
        <w:t xml:space="preserve">évité </w:t>
      </w:r>
      <w:r>
        <w:rPr>
          <w:rFonts w:ascii="Calibri" w:hAnsi="Calibri"/>
          <w:sz w:val="22"/>
          <w:szCs w:val="22"/>
        </w:rPr>
        <w:t>en toutes circonstances.</w:t>
      </w:r>
    </w:p>
    <w:p w14:paraId="234484C3" w14:textId="77777777" w:rsidR="008A4CDD" w:rsidRPr="003A403B" w:rsidRDefault="008A4CDD" w:rsidP="008A4CDD">
      <w:pPr>
        <w:shd w:val="clear" w:color="auto" w:fill="FFFFFF"/>
        <w:textAlignment w:val="top"/>
        <w:rPr>
          <w:rFonts w:ascii="Calibri" w:hAnsi="Calibri" w:cs="Arial"/>
          <w:sz w:val="22"/>
          <w:szCs w:val="22"/>
        </w:rPr>
      </w:pPr>
    </w:p>
    <w:p w14:paraId="16A5FAC5" w14:textId="77777777" w:rsidR="008A4CDD" w:rsidRPr="003A403B" w:rsidRDefault="008A4CDD" w:rsidP="008A4CDD">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accumulation des paiements effectués à un fournisseur par une utilisation répétée du micro-achat doit être contrôlée par des unités administratives dotées de fonctions de contrôle des achats. Lorsque ces paiements cumulés atteignent des seuils qui nécessitent un examen du comité des achats, l</w:t>
      </w:r>
      <w:r w:rsidR="004F7541">
        <w:rPr>
          <w:rFonts w:ascii="Calibri" w:hAnsi="Calibri"/>
          <w:sz w:val="22"/>
          <w:szCs w:val="22"/>
        </w:rPr>
        <w:t>’</w:t>
      </w:r>
      <w:r>
        <w:rPr>
          <w:rFonts w:ascii="Calibri" w:hAnsi="Calibri"/>
          <w:sz w:val="22"/>
          <w:szCs w:val="22"/>
        </w:rPr>
        <w:t>affaire doit être soumise au comité compétent. Les responsables des unités administratives sont chargés de veiller à ce que la flexibilité supplémentaire du micro-achat ne présente pa</w:t>
      </w:r>
      <w:r w:rsidR="004F7541">
        <w:rPr>
          <w:rFonts w:ascii="Calibri" w:hAnsi="Calibri"/>
          <w:sz w:val="22"/>
          <w:szCs w:val="22"/>
        </w:rPr>
        <w:t>s</w:t>
      </w:r>
      <w:r>
        <w:rPr>
          <w:rFonts w:ascii="Calibri" w:hAnsi="Calibri"/>
          <w:sz w:val="22"/>
          <w:szCs w:val="22"/>
        </w:rPr>
        <w:t xml:space="preserve"> de risques pour le PNUD ou ne les augmente pas.</w:t>
      </w:r>
    </w:p>
    <w:p w14:paraId="78920771" w14:textId="77777777" w:rsidR="008A4CDD" w:rsidRPr="003A403B" w:rsidRDefault="008A4CDD" w:rsidP="008A4CDD">
      <w:pPr>
        <w:shd w:val="clear" w:color="auto" w:fill="FFFFFF"/>
        <w:textAlignment w:val="top"/>
        <w:rPr>
          <w:rFonts w:ascii="Calibri" w:hAnsi="Calibri" w:cs="Arial"/>
          <w:color w:val="333333"/>
          <w:sz w:val="22"/>
          <w:szCs w:val="22"/>
        </w:rPr>
      </w:pPr>
    </w:p>
    <w:p w14:paraId="15347CE1" w14:textId="77777777" w:rsidR="008A4CDD" w:rsidRPr="003A403B" w:rsidRDefault="008A4CDD" w:rsidP="003A403B">
      <w:pPr>
        <w:pStyle w:val="Head2"/>
      </w:pPr>
      <w:bookmarkStart w:id="11" w:name="_Toc177561757"/>
      <w:r>
        <w:t>Demande de prix</w:t>
      </w:r>
      <w:bookmarkEnd w:id="11"/>
    </w:p>
    <w:p w14:paraId="19A77CE9" w14:textId="77777777" w:rsidR="008A4CDD" w:rsidRPr="003A403B" w:rsidRDefault="008A4CDD" w:rsidP="008A4CDD">
      <w:pPr>
        <w:shd w:val="clear" w:color="auto" w:fill="FFFFFF"/>
        <w:textAlignment w:val="top"/>
        <w:rPr>
          <w:rFonts w:ascii="Calibri" w:hAnsi="Calibri" w:cs="Arial"/>
          <w:color w:val="333333"/>
          <w:sz w:val="22"/>
          <w:szCs w:val="22"/>
        </w:rPr>
      </w:pPr>
    </w:p>
    <w:p w14:paraId="496FC0D3" w14:textId="797C2242"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sidRPr="0025269D">
        <w:rPr>
          <w:rFonts w:ascii="Calibri" w:hAnsi="Calibri"/>
          <w:sz w:val="22"/>
          <w:szCs w:val="22"/>
        </w:rPr>
        <w:t>U</w:t>
      </w:r>
      <w:r>
        <w:t xml:space="preserve">ne </w:t>
      </w:r>
      <w:hyperlink r:id="rId15" w:history="1">
        <w:r>
          <w:rPr>
            <w:rStyle w:val="Hyperlink"/>
            <w:rFonts w:ascii="Calibri" w:hAnsi="Calibri"/>
            <w:sz w:val="22"/>
            <w:szCs w:val="22"/>
          </w:rPr>
          <w:t>demande de prix</w:t>
        </w:r>
      </w:hyperlink>
      <w:r>
        <w:t xml:space="preserve"> </w:t>
      </w:r>
      <w:r w:rsidRPr="0025269D">
        <w:rPr>
          <w:rFonts w:ascii="Calibri" w:hAnsi="Calibri"/>
          <w:sz w:val="22"/>
          <w:szCs w:val="22"/>
        </w:rPr>
        <w:t>est utilisée pour acheter des biens courants, des services ou des travaux, ou toute combinaison de ceux-ci.</w:t>
      </w:r>
      <w:r>
        <w:rPr>
          <w:rFonts w:ascii="Calibri" w:hAnsi="Calibri"/>
          <w:sz w:val="22"/>
          <w:szCs w:val="22"/>
        </w:rPr>
        <w:t xml:space="preserve"> Une demande écrite accompagnée d</w:t>
      </w:r>
      <w:r w:rsidR="004F7541">
        <w:rPr>
          <w:rFonts w:ascii="Calibri" w:hAnsi="Calibri"/>
          <w:sz w:val="22"/>
          <w:szCs w:val="22"/>
        </w:rPr>
        <w:t>’</w:t>
      </w:r>
      <w:r>
        <w:rPr>
          <w:rFonts w:ascii="Calibri" w:hAnsi="Calibri"/>
          <w:sz w:val="22"/>
          <w:szCs w:val="22"/>
        </w:rPr>
        <w:t>une description claire des besoins est envoyée à un fournisseur, en sollicitant une soumission de prix écrite.</w:t>
      </w:r>
      <w:r w:rsidR="00AA1E5C">
        <w:rPr>
          <w:rFonts w:ascii="Calibri" w:hAnsi="Calibri"/>
          <w:sz w:val="22"/>
          <w:szCs w:val="22"/>
        </w:rPr>
        <w:t xml:space="preserve"> </w:t>
      </w:r>
      <w:r>
        <w:rPr>
          <w:rFonts w:ascii="Calibri" w:hAnsi="Calibri"/>
          <w:sz w:val="22"/>
          <w:szCs w:val="22"/>
        </w:rPr>
        <w:t xml:space="preserve">Une demande de prix est obligatoire pour les valeurs contractuelles comprises entre </w:t>
      </w:r>
      <w:r w:rsidR="007A203A">
        <w:rPr>
          <w:rFonts w:ascii="Calibri" w:hAnsi="Calibri"/>
          <w:sz w:val="22"/>
          <w:szCs w:val="22"/>
        </w:rPr>
        <w:t>$</w:t>
      </w:r>
      <w:r>
        <w:rPr>
          <w:rFonts w:ascii="Calibri" w:hAnsi="Calibri"/>
          <w:sz w:val="22"/>
          <w:szCs w:val="22"/>
        </w:rPr>
        <w:t>5</w:t>
      </w:r>
      <w:r w:rsidR="00AA1E5C">
        <w:rPr>
          <w:rFonts w:ascii="Calibri" w:hAnsi="Calibri"/>
          <w:sz w:val="22"/>
          <w:szCs w:val="22"/>
        </w:rPr>
        <w:t> </w:t>
      </w:r>
      <w:r w:rsidRPr="0097772A">
        <w:rPr>
          <w:rFonts w:ascii="Calibri" w:hAnsi="Calibri"/>
          <w:sz w:val="22"/>
          <w:szCs w:val="22"/>
        </w:rPr>
        <w:t>000</w:t>
      </w:r>
      <w:r w:rsidR="007A203A" w:rsidRPr="0097772A">
        <w:rPr>
          <w:rFonts w:ascii="Calibri" w:hAnsi="Calibri"/>
          <w:sz w:val="22"/>
          <w:szCs w:val="22"/>
        </w:rPr>
        <w:t xml:space="preserve"> ($10,000 si le bureau approuve)</w:t>
      </w:r>
      <w:r>
        <w:rPr>
          <w:rFonts w:ascii="Calibri" w:hAnsi="Calibri"/>
          <w:sz w:val="22"/>
          <w:szCs w:val="22"/>
        </w:rPr>
        <w:t xml:space="preserve"> et </w:t>
      </w:r>
      <w:r w:rsidR="00D75FAA">
        <w:rPr>
          <w:rFonts w:ascii="Calibri" w:hAnsi="Calibri"/>
          <w:sz w:val="22"/>
          <w:szCs w:val="22"/>
        </w:rPr>
        <w:t>20</w:t>
      </w:r>
      <w:r>
        <w:rPr>
          <w:rFonts w:ascii="Calibri" w:hAnsi="Calibri"/>
          <w:sz w:val="22"/>
          <w:szCs w:val="22"/>
        </w:rPr>
        <w:t>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r w:rsidR="00AA1E5C">
        <w:rPr>
          <w:rFonts w:ascii="Calibri" w:hAnsi="Calibri"/>
          <w:sz w:val="22"/>
          <w:szCs w:val="22"/>
        </w:rPr>
        <w:t xml:space="preserve"> </w:t>
      </w:r>
      <w:r>
        <w:rPr>
          <w:rFonts w:ascii="Calibri" w:hAnsi="Calibri"/>
          <w:sz w:val="22"/>
          <w:szCs w:val="22"/>
        </w:rPr>
        <w:t>Au-delà de ce montant, les appels d</w:t>
      </w:r>
      <w:r w:rsidR="004F7541">
        <w:rPr>
          <w:rFonts w:ascii="Calibri" w:hAnsi="Calibri"/>
          <w:sz w:val="22"/>
          <w:szCs w:val="22"/>
        </w:rPr>
        <w:t>’</w:t>
      </w:r>
      <w:r>
        <w:rPr>
          <w:rFonts w:ascii="Calibri" w:hAnsi="Calibri"/>
          <w:sz w:val="22"/>
          <w:szCs w:val="22"/>
        </w:rPr>
        <w:t>offres ou les invitations à soumissionner doivent être utilisés.</w:t>
      </w:r>
    </w:p>
    <w:p w14:paraId="5F4531BF"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C925715"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demande de prix doit au moins inclure les spécifications, les conditions de livraison et le lieu de livraison, entre autres considérations.</w:t>
      </w:r>
      <w:r w:rsidR="00C76156">
        <w:rPr>
          <w:rFonts w:ascii="Calibri" w:hAnsi="Calibri"/>
          <w:sz w:val="22"/>
          <w:szCs w:val="22"/>
        </w:rPr>
        <w:t xml:space="preserve"> </w:t>
      </w:r>
      <w:r>
        <w:rPr>
          <w:rFonts w:ascii="Calibri" w:hAnsi="Calibri"/>
          <w:sz w:val="22"/>
          <w:szCs w:val="22"/>
        </w:rPr>
        <w:t>Elle doit retourner un minimum de trois offres recevables. Il est préférable d</w:t>
      </w:r>
      <w:r w:rsidR="004F7541">
        <w:rPr>
          <w:rFonts w:ascii="Calibri" w:hAnsi="Calibri"/>
          <w:sz w:val="22"/>
          <w:szCs w:val="22"/>
        </w:rPr>
        <w:t>’</w:t>
      </w:r>
      <w:r>
        <w:rPr>
          <w:rFonts w:ascii="Calibri" w:hAnsi="Calibri"/>
          <w:sz w:val="22"/>
          <w:szCs w:val="22"/>
        </w:rPr>
        <w:t>inviter plus de trois fournisseurs à participer, car certains peuvent ne pas fournir d</w:t>
      </w:r>
      <w:r w:rsidR="004F7541">
        <w:rPr>
          <w:rFonts w:ascii="Calibri" w:hAnsi="Calibri"/>
          <w:sz w:val="22"/>
          <w:szCs w:val="22"/>
        </w:rPr>
        <w:t>’</w:t>
      </w:r>
      <w:r>
        <w:rPr>
          <w:rFonts w:ascii="Calibri" w:hAnsi="Calibri"/>
          <w:sz w:val="22"/>
          <w:szCs w:val="22"/>
        </w:rPr>
        <w:t>offres adéquates, tandis que d</w:t>
      </w:r>
      <w:r w:rsidR="004F7541">
        <w:rPr>
          <w:rFonts w:ascii="Calibri" w:hAnsi="Calibri"/>
          <w:sz w:val="22"/>
          <w:szCs w:val="22"/>
        </w:rPr>
        <w:t>’</w:t>
      </w:r>
      <w:r>
        <w:rPr>
          <w:rFonts w:ascii="Calibri" w:hAnsi="Calibri"/>
          <w:sz w:val="22"/>
          <w:szCs w:val="22"/>
        </w:rPr>
        <w:t>autres peuvent ne pas soumettre d</w:t>
      </w:r>
      <w:r w:rsidR="004F7541">
        <w:rPr>
          <w:rFonts w:ascii="Calibri" w:hAnsi="Calibri"/>
          <w:sz w:val="22"/>
          <w:szCs w:val="22"/>
        </w:rPr>
        <w:t>’</w:t>
      </w:r>
      <w:r>
        <w:rPr>
          <w:rFonts w:ascii="Calibri" w:hAnsi="Calibri"/>
          <w:sz w:val="22"/>
          <w:szCs w:val="22"/>
        </w:rPr>
        <w:t>offre.</w:t>
      </w:r>
    </w:p>
    <w:p w14:paraId="1523B3A6" w14:textId="77777777" w:rsidR="008A4CDD" w:rsidRPr="003A403B" w:rsidRDefault="008A4CDD" w:rsidP="008A4CDD">
      <w:pPr>
        <w:shd w:val="clear" w:color="auto" w:fill="FFFFFF"/>
        <w:textAlignment w:val="top"/>
        <w:rPr>
          <w:rFonts w:ascii="Calibri" w:hAnsi="Calibri" w:cs="Arial"/>
          <w:sz w:val="22"/>
          <w:szCs w:val="22"/>
        </w:rPr>
      </w:pPr>
    </w:p>
    <w:p w14:paraId="15AF93E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est pas nécessaire de la publier, il est préférable que la demande de prix soit étayée par une liste dans laquelle le PNUD peut trouver des soumissionnaires potentiels ayant un niveau de qualité et de performance établis. Lorsqu</w:t>
      </w:r>
      <w:r w:rsidR="004F7541">
        <w:rPr>
          <w:rFonts w:ascii="Calibri" w:hAnsi="Calibri"/>
          <w:sz w:val="22"/>
          <w:szCs w:val="22"/>
        </w:rPr>
        <w:t>’</w:t>
      </w:r>
      <w:r>
        <w:rPr>
          <w:rFonts w:ascii="Calibri" w:hAnsi="Calibri"/>
          <w:sz w:val="22"/>
          <w:szCs w:val="22"/>
        </w:rPr>
        <w:t>aucune liste n</w:t>
      </w:r>
      <w:r w:rsidR="004F7541">
        <w:rPr>
          <w:rFonts w:ascii="Calibri" w:hAnsi="Calibri"/>
          <w:sz w:val="22"/>
          <w:szCs w:val="22"/>
        </w:rPr>
        <w:t>’</w:t>
      </w:r>
      <w:r>
        <w:rPr>
          <w:rFonts w:ascii="Calibri" w:hAnsi="Calibri"/>
          <w:sz w:val="22"/>
          <w:szCs w:val="22"/>
        </w:rPr>
        <w:t>existe, les éléments suivants peuvent être considérés comme des sources de soumissionnaires potentiels</w:t>
      </w:r>
      <w:r w:rsidR="0049528D">
        <w:rPr>
          <w:rFonts w:ascii="Calibri" w:hAnsi="Calibri"/>
          <w:sz w:val="22"/>
          <w:szCs w:val="22"/>
        </w:rPr>
        <w:t> :</w:t>
      </w:r>
    </w:p>
    <w:p w14:paraId="0BC9483B" w14:textId="77777777" w:rsidR="008A4CDD" w:rsidRPr="003A403B" w:rsidRDefault="008A4CDD" w:rsidP="008A4CDD">
      <w:pPr>
        <w:shd w:val="clear" w:color="auto" w:fill="FFFFFF"/>
        <w:textAlignment w:val="top"/>
        <w:rPr>
          <w:rFonts w:ascii="Calibri" w:hAnsi="Calibri" w:cs="Arial"/>
          <w:sz w:val="22"/>
          <w:szCs w:val="22"/>
        </w:rPr>
      </w:pPr>
    </w:p>
    <w:p w14:paraId="43E4ADF7" w14:textId="77777777" w:rsidR="008A4CDD" w:rsidRPr="00BD2B48"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anciens fournisseurs qui ont donné satisfaction auparavant</w:t>
      </w:r>
    </w:p>
    <w:p w14:paraId="36F2AEDA"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172ABE09" w14:textId="77777777" w:rsidR="00BD2B48" w:rsidRPr="00BD2B48"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fournisseurs recommandés par d</w:t>
      </w:r>
      <w:r w:rsidR="004F7541">
        <w:rPr>
          <w:rFonts w:ascii="Calibri" w:hAnsi="Calibri"/>
          <w:sz w:val="22"/>
          <w:szCs w:val="22"/>
        </w:rPr>
        <w:t>’</w:t>
      </w:r>
      <w:r>
        <w:rPr>
          <w:rFonts w:ascii="Calibri" w:hAnsi="Calibri"/>
          <w:sz w:val="22"/>
          <w:szCs w:val="22"/>
        </w:rPr>
        <w:t xml:space="preserve">autres organismes de </w:t>
      </w:r>
      <w:r w:rsidR="004F7541">
        <w:rPr>
          <w:rFonts w:ascii="Calibri" w:hAnsi="Calibri"/>
          <w:sz w:val="22"/>
          <w:szCs w:val="22"/>
        </w:rPr>
        <w:t>l’Organisation des Nations Unies (ONU)</w:t>
      </w:r>
    </w:p>
    <w:p w14:paraId="5DC914C4"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062E9792" w14:textId="77777777" w:rsidR="00BD2B48" w:rsidRPr="00BD2B48"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ouvrages de référence et bases de données en ligne accessibles au public</w:t>
      </w:r>
    </w:p>
    <w:p w14:paraId="447972E3"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023946CF" w14:textId="77777777" w:rsidR="008A4CDD" w:rsidRPr="003A403B"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répertoires commerciaux en versions imprimées, électroniques ou en ligne.</w:t>
      </w:r>
    </w:p>
    <w:p w14:paraId="6A5E2C98" w14:textId="77777777" w:rsidR="008A4CDD" w:rsidRPr="003A403B" w:rsidRDefault="008A4CDD" w:rsidP="008A4CDD">
      <w:pPr>
        <w:shd w:val="clear" w:color="auto" w:fill="FFFFFF"/>
        <w:textAlignment w:val="top"/>
        <w:rPr>
          <w:rFonts w:ascii="Calibri" w:hAnsi="Calibri" w:cs="Arial"/>
          <w:sz w:val="22"/>
          <w:szCs w:val="22"/>
        </w:rPr>
      </w:pPr>
    </w:p>
    <w:p w14:paraId="39E1A24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tous les cas, les conditions générales du PNUD doivent être jointes à la demande de prix.</w:t>
      </w:r>
    </w:p>
    <w:p w14:paraId="201C6813" w14:textId="77777777" w:rsidR="008A4CDD" w:rsidRPr="003A403B" w:rsidRDefault="008A4CDD" w:rsidP="008A4CDD">
      <w:pPr>
        <w:shd w:val="clear" w:color="auto" w:fill="FFFFFF"/>
        <w:textAlignment w:val="top"/>
        <w:rPr>
          <w:rFonts w:ascii="Calibri" w:hAnsi="Calibri" w:cs="Arial"/>
          <w:color w:val="333333"/>
          <w:sz w:val="22"/>
          <w:szCs w:val="22"/>
        </w:rPr>
      </w:pPr>
    </w:p>
    <w:p w14:paraId="7CD15D4B" w14:textId="77777777" w:rsidR="008A4CDD" w:rsidRPr="003A403B" w:rsidRDefault="008A4CDD" w:rsidP="00D166FA">
      <w:pPr>
        <w:pStyle w:val="Head2"/>
      </w:pPr>
      <w:bookmarkStart w:id="12" w:name="_Toc177561758"/>
      <w:r>
        <w:t>Déterminer la meilleure offre</w:t>
      </w:r>
      <w:bookmarkEnd w:id="12"/>
    </w:p>
    <w:p w14:paraId="06F4EF86" w14:textId="77777777" w:rsidR="008A4CDD" w:rsidRPr="003A403B" w:rsidRDefault="008A4CDD" w:rsidP="008A4CDD">
      <w:pPr>
        <w:shd w:val="clear" w:color="auto" w:fill="FFFFFF"/>
        <w:textAlignment w:val="top"/>
        <w:rPr>
          <w:rFonts w:ascii="Calibri" w:hAnsi="Calibri" w:cs="Arial"/>
          <w:color w:val="333333"/>
          <w:sz w:val="22"/>
          <w:szCs w:val="22"/>
        </w:rPr>
      </w:pPr>
    </w:p>
    <w:p w14:paraId="7D95A318"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color w:val="333333"/>
          <w:sz w:val="22"/>
          <w:szCs w:val="22"/>
        </w:rPr>
        <w:t xml:space="preserve"> </w:t>
      </w:r>
      <w:r>
        <w:rPr>
          <w:rFonts w:ascii="Calibri" w:hAnsi="Calibri"/>
          <w:sz w:val="22"/>
          <w:szCs w:val="22"/>
        </w:rPr>
        <w:t>Les offres des soumissionnaires doivent au minimum comprendre le prix et les autres conditions commerciales. Les devis doivent être soumis par écrit et inclure les informations requises dans le modèle fourni par le PNUD.</w:t>
      </w:r>
    </w:p>
    <w:p w14:paraId="709ED17E" w14:textId="77777777" w:rsidR="008A4CDD" w:rsidRPr="003A403B" w:rsidRDefault="008A4CDD" w:rsidP="008A4CDD">
      <w:pPr>
        <w:shd w:val="clear" w:color="auto" w:fill="FFFFFF"/>
        <w:textAlignment w:val="top"/>
        <w:rPr>
          <w:rFonts w:ascii="Calibri" w:hAnsi="Calibri" w:cs="Arial"/>
          <w:sz w:val="22"/>
          <w:szCs w:val="22"/>
        </w:rPr>
      </w:pPr>
    </w:p>
    <w:p w14:paraId="17D7BFB1"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4AE1B8F3" w14:textId="77777777" w:rsidR="008A4CDD" w:rsidRPr="003A403B" w:rsidRDefault="008A4CDD" w:rsidP="008A4CDD">
      <w:pPr>
        <w:shd w:val="clear" w:color="auto" w:fill="FFFFFF"/>
        <w:textAlignment w:val="top"/>
        <w:rPr>
          <w:rFonts w:ascii="Calibri" w:hAnsi="Calibri" w:cs="Arial"/>
          <w:sz w:val="22"/>
          <w:szCs w:val="22"/>
        </w:rPr>
      </w:pPr>
    </w:p>
    <w:p w14:paraId="50811F56" w14:textId="77777777" w:rsidR="00BD2B48" w:rsidRPr="00BD2B48" w:rsidRDefault="008A4CDD" w:rsidP="00BD2B48">
      <w:pPr>
        <w:pStyle w:val="ListParagraph"/>
        <w:numPr>
          <w:ilvl w:val="1"/>
          <w:numId w:val="11"/>
        </w:numPr>
        <w:shd w:val="clear" w:color="auto" w:fill="FFFFFF"/>
        <w:ind w:left="1800"/>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049C1703" w14:textId="77777777" w:rsidR="008A4CDD" w:rsidRPr="003A403B" w:rsidRDefault="008A4CDD" w:rsidP="00BD2B48">
      <w:pPr>
        <w:pStyle w:val="ListParagraph"/>
        <w:shd w:val="clear" w:color="auto" w:fill="FFFFFF"/>
        <w:ind w:left="1800"/>
        <w:textAlignment w:val="top"/>
        <w:rPr>
          <w:rFonts w:ascii="Calibri" w:hAnsi="Calibri" w:cs="Arial"/>
          <w:sz w:val="22"/>
          <w:szCs w:val="22"/>
        </w:rPr>
      </w:pPr>
      <w:r>
        <w:rPr>
          <w:rFonts w:ascii="Calibri" w:hAnsi="Calibri"/>
          <w:sz w:val="22"/>
          <w:szCs w:val="22"/>
        </w:rPr>
        <w:t xml:space="preserve"> </w:t>
      </w:r>
    </w:p>
    <w:p w14:paraId="732B8FB9" w14:textId="77777777" w:rsidR="00BD2B48" w:rsidRPr="00BD2B48" w:rsidRDefault="008A4CDD" w:rsidP="00BD2B48">
      <w:pPr>
        <w:pStyle w:val="ListParagraph"/>
        <w:numPr>
          <w:ilvl w:val="1"/>
          <w:numId w:val="11"/>
        </w:numPr>
        <w:shd w:val="clear" w:color="auto" w:fill="FFFFFF"/>
        <w:ind w:left="1800"/>
        <w:textAlignment w:val="top"/>
        <w:rPr>
          <w:rFonts w:ascii="Calibri" w:hAnsi="Calibri" w:cs="Arial"/>
          <w:sz w:val="22"/>
          <w:szCs w:val="22"/>
        </w:rPr>
      </w:pPr>
      <w:r>
        <w:rPr>
          <w:rFonts w:ascii="Calibri" w:hAnsi="Calibri"/>
          <w:sz w:val="22"/>
          <w:szCs w:val="22"/>
        </w:rPr>
        <w:t xml:space="preserve">Respecter les spécifications, les délais de livraison et les </w:t>
      </w:r>
      <w:r w:rsidR="00C76156">
        <w:rPr>
          <w:rFonts w:ascii="Calibri" w:hAnsi="Calibri"/>
          <w:sz w:val="22"/>
          <w:szCs w:val="22"/>
        </w:rPr>
        <w:t>conditions générales</w:t>
      </w:r>
      <w:r>
        <w:rPr>
          <w:rFonts w:ascii="Calibri" w:hAnsi="Calibri"/>
          <w:sz w:val="22"/>
          <w:szCs w:val="22"/>
        </w:rPr>
        <w:t xml:space="preserve"> du PNUD</w:t>
      </w:r>
    </w:p>
    <w:p w14:paraId="6935B0E7"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4BD08222" w14:textId="77777777" w:rsidR="008A4CDD" w:rsidRPr="003A403B" w:rsidRDefault="008A4CDD" w:rsidP="00BD2B48">
      <w:pPr>
        <w:pStyle w:val="ListParagraph"/>
        <w:numPr>
          <w:ilvl w:val="1"/>
          <w:numId w:val="11"/>
        </w:numPr>
        <w:shd w:val="clear" w:color="auto" w:fill="FFFFFF"/>
        <w:ind w:left="1800"/>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191D21A1" w14:textId="77777777" w:rsidR="008A4CDD" w:rsidRPr="003A403B" w:rsidRDefault="008A4CDD" w:rsidP="00D166FA">
      <w:pPr>
        <w:shd w:val="clear" w:color="auto" w:fill="FFFFFF"/>
        <w:ind w:left="2160" w:hanging="720"/>
        <w:textAlignment w:val="top"/>
        <w:rPr>
          <w:rFonts w:ascii="Calibri" w:hAnsi="Calibri" w:cs="Arial"/>
          <w:sz w:val="22"/>
          <w:szCs w:val="22"/>
        </w:rPr>
      </w:pPr>
    </w:p>
    <w:p w14:paraId="0D9FD7B6"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tant que base solide pour établir un bon rapport qualité</w:t>
      </w:r>
      <w:r w:rsidR="00C76156">
        <w:rPr>
          <w:rFonts w:ascii="Calibri" w:hAnsi="Calibri"/>
          <w:sz w:val="22"/>
          <w:szCs w:val="22"/>
        </w:rPr>
        <w:t>-</w:t>
      </w:r>
      <w:r>
        <w:rPr>
          <w:rFonts w:ascii="Calibri" w:hAnsi="Calibri"/>
          <w:sz w:val="22"/>
          <w:szCs w:val="22"/>
        </w:rPr>
        <w:t>prix, après évaluation d</w:t>
      </w:r>
      <w:r w:rsidR="004F7541">
        <w:rPr>
          <w:rFonts w:ascii="Calibri" w:hAnsi="Calibri"/>
          <w:sz w:val="22"/>
          <w:szCs w:val="22"/>
        </w:rPr>
        <w:t>’</w:t>
      </w:r>
      <w:r>
        <w:rPr>
          <w:rFonts w:ascii="Calibri" w:hAnsi="Calibri"/>
          <w:sz w:val="22"/>
          <w:szCs w:val="22"/>
        </w:rPr>
        <w:t>au moins trois offres, le marché est attribué à la proposition la moins chère.</w:t>
      </w:r>
    </w:p>
    <w:p w14:paraId="482319C3" w14:textId="77777777" w:rsidR="008A4CDD" w:rsidRPr="003A403B" w:rsidRDefault="008A4CDD" w:rsidP="008A4CDD">
      <w:pPr>
        <w:shd w:val="clear" w:color="auto" w:fill="FFFFFF"/>
        <w:textAlignment w:val="top"/>
        <w:rPr>
          <w:rFonts w:ascii="Calibri" w:hAnsi="Calibri" w:cs="Arial"/>
          <w:sz w:val="22"/>
          <w:szCs w:val="22"/>
        </w:rPr>
      </w:pPr>
    </w:p>
    <w:p w14:paraId="05A033F9" w14:textId="77777777" w:rsidR="008A4CDD" w:rsidRPr="003A403B" w:rsidRDefault="005970E2"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que la demande de prix est une méthode non officielle d</w:t>
      </w:r>
      <w:r w:rsidR="004F7541">
        <w:rPr>
          <w:rFonts w:ascii="Calibri" w:hAnsi="Calibri"/>
          <w:sz w:val="22"/>
          <w:szCs w:val="22"/>
        </w:rPr>
        <w:t>’</w:t>
      </w:r>
      <w:r>
        <w:rPr>
          <w:rFonts w:ascii="Calibri" w:hAnsi="Calibri"/>
          <w:sz w:val="22"/>
          <w:szCs w:val="22"/>
        </w:rPr>
        <w:t>appel à la concurrence, lorsque le fournisseur avec le deuxième prix le plus bas offre une qualité nettement supérieure et que le prix est supérieur de 10</w:t>
      </w:r>
      <w:r w:rsidR="00AA1E5C">
        <w:rPr>
          <w:rFonts w:ascii="Calibri" w:hAnsi="Calibri"/>
          <w:sz w:val="22"/>
          <w:szCs w:val="22"/>
        </w:rPr>
        <w:t> </w:t>
      </w:r>
      <w:r>
        <w:rPr>
          <w:rFonts w:ascii="Calibri" w:hAnsi="Calibri"/>
          <w:sz w:val="22"/>
          <w:szCs w:val="22"/>
        </w:rPr>
        <w:t>pour cent au plus, ce fournisseur peut être sélectionné si le budget est suffisant pour couvrir la différence de prix. Une qualité supérieure fait référence à des offres qui dépassent les exigences prédéterminées. Elle ne s</w:t>
      </w:r>
      <w:r w:rsidR="004F7541">
        <w:rPr>
          <w:rFonts w:ascii="Calibri" w:hAnsi="Calibri"/>
          <w:sz w:val="22"/>
          <w:szCs w:val="22"/>
        </w:rPr>
        <w:t>’</w:t>
      </w:r>
      <w:r>
        <w:rPr>
          <w:rFonts w:ascii="Calibri" w:hAnsi="Calibri"/>
          <w:sz w:val="22"/>
          <w:szCs w:val="22"/>
        </w:rPr>
        <w:t>applique pas aux fonctionnalités, qualités ou caractéristiques non spécifiées à l</w:t>
      </w:r>
      <w:r w:rsidR="004F7541">
        <w:rPr>
          <w:rFonts w:ascii="Calibri" w:hAnsi="Calibri"/>
          <w:sz w:val="22"/>
          <w:szCs w:val="22"/>
        </w:rPr>
        <w:t>’</w:t>
      </w:r>
      <w:r>
        <w:rPr>
          <w:rFonts w:ascii="Calibri" w:hAnsi="Calibri"/>
          <w:sz w:val="22"/>
          <w:szCs w:val="22"/>
        </w:rPr>
        <w:t>origine comme des exigences.</w:t>
      </w:r>
      <w:r w:rsidR="00AA1E5C">
        <w:rPr>
          <w:rFonts w:ascii="Calibri" w:hAnsi="Calibri"/>
          <w:sz w:val="22"/>
          <w:szCs w:val="22"/>
        </w:rPr>
        <w:t xml:space="preserve"> </w:t>
      </w:r>
      <w:r>
        <w:rPr>
          <w:rFonts w:ascii="Calibri" w:hAnsi="Calibri"/>
          <w:sz w:val="22"/>
          <w:szCs w:val="22"/>
        </w:rPr>
        <w:t>Une telle décision doit être documentée par le demandeur.</w:t>
      </w:r>
    </w:p>
    <w:p w14:paraId="6DF67AAC" w14:textId="77777777" w:rsidR="008A4CDD" w:rsidRPr="003A403B" w:rsidRDefault="008A4CDD" w:rsidP="008A4CDD">
      <w:pPr>
        <w:shd w:val="clear" w:color="auto" w:fill="FFFFFF"/>
        <w:textAlignment w:val="top"/>
        <w:rPr>
          <w:rFonts w:ascii="Calibri" w:hAnsi="Calibri" w:cs="Arial"/>
          <w:sz w:val="22"/>
          <w:szCs w:val="22"/>
        </w:rPr>
      </w:pPr>
    </w:p>
    <w:p w14:paraId="23CD009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 résumé comparatif et des documents d</w:t>
      </w:r>
      <w:r w:rsidR="004F7541">
        <w:rPr>
          <w:rFonts w:ascii="Calibri" w:hAnsi="Calibri"/>
          <w:sz w:val="22"/>
          <w:szCs w:val="22"/>
        </w:rPr>
        <w:t>’</w:t>
      </w:r>
      <w:r>
        <w:rPr>
          <w:rFonts w:ascii="Calibri" w:hAnsi="Calibri"/>
          <w:sz w:val="22"/>
          <w:szCs w:val="22"/>
        </w:rPr>
        <w:t>offres mettant en évidence dans quelle mesure les exigences sont respectées peuvent être préparés par le personnel chargé des achats.</w:t>
      </w:r>
      <w:r w:rsidR="00AA1E5C">
        <w:rPr>
          <w:rFonts w:ascii="Calibri" w:hAnsi="Calibri"/>
          <w:sz w:val="22"/>
          <w:szCs w:val="22"/>
        </w:rPr>
        <w:t xml:space="preserve"> </w:t>
      </w:r>
      <w:r>
        <w:rPr>
          <w:rFonts w:ascii="Calibri" w:hAnsi="Calibri"/>
          <w:sz w:val="22"/>
          <w:szCs w:val="22"/>
        </w:rPr>
        <w:t>Mais la décision finale d</w:t>
      </w:r>
      <w:r w:rsidR="004F7541">
        <w:rPr>
          <w:rFonts w:ascii="Calibri" w:hAnsi="Calibri"/>
          <w:sz w:val="22"/>
          <w:szCs w:val="22"/>
        </w:rPr>
        <w:t>’</w:t>
      </w:r>
      <w:r>
        <w:rPr>
          <w:rFonts w:ascii="Calibri" w:hAnsi="Calibri"/>
          <w:sz w:val="22"/>
          <w:szCs w:val="22"/>
        </w:rPr>
        <w:t>attribution doit être confirmée par le demandeur, après quoi le personnel chargé des achats confirmera l</w:t>
      </w:r>
      <w:r w:rsidR="004F7541">
        <w:rPr>
          <w:rFonts w:ascii="Calibri" w:hAnsi="Calibri"/>
          <w:sz w:val="22"/>
          <w:szCs w:val="22"/>
        </w:rPr>
        <w:t>’</w:t>
      </w:r>
      <w:r>
        <w:rPr>
          <w:rFonts w:ascii="Calibri" w:hAnsi="Calibri"/>
          <w:sz w:val="22"/>
          <w:szCs w:val="22"/>
        </w:rPr>
        <w:t>achat.</w:t>
      </w:r>
    </w:p>
    <w:p w14:paraId="0A9B5355" w14:textId="77777777" w:rsidR="008A4CDD" w:rsidRPr="003A403B" w:rsidRDefault="008A4CDD" w:rsidP="008A4CDD">
      <w:pPr>
        <w:shd w:val="clear" w:color="auto" w:fill="FFFFFF"/>
        <w:textAlignment w:val="top"/>
        <w:rPr>
          <w:rFonts w:ascii="Calibri" w:hAnsi="Calibri" w:cs="Arial"/>
          <w:sz w:val="22"/>
          <w:szCs w:val="22"/>
        </w:rPr>
      </w:pPr>
    </w:p>
    <w:p w14:paraId="03D88E2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 processus de demande de prix est considéré comme concurrentiel, même s</w:t>
      </w:r>
      <w:r w:rsidR="004F7541">
        <w:rPr>
          <w:rFonts w:ascii="Calibri" w:hAnsi="Calibri"/>
          <w:sz w:val="22"/>
          <w:szCs w:val="22"/>
        </w:rPr>
        <w:t>’</w:t>
      </w:r>
      <w:r>
        <w:rPr>
          <w:rFonts w:ascii="Calibri" w:hAnsi="Calibri"/>
          <w:sz w:val="22"/>
          <w:szCs w:val="22"/>
        </w:rPr>
        <w:t>il donne lieu à moins de trois offres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25D1BFA4" w14:textId="77777777" w:rsidR="008A4CDD" w:rsidRPr="003A403B" w:rsidRDefault="008A4CDD" w:rsidP="008A4CDD">
      <w:pPr>
        <w:shd w:val="clear" w:color="auto" w:fill="FFFFFF"/>
        <w:textAlignment w:val="top"/>
        <w:rPr>
          <w:rFonts w:ascii="Calibri" w:hAnsi="Calibri" w:cs="Arial"/>
          <w:sz w:val="22"/>
          <w:szCs w:val="22"/>
        </w:rPr>
      </w:pPr>
    </w:p>
    <w:p w14:paraId="7AB1B1C5" w14:textId="3EE2E9C3"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Chaque fois que des biens, des services ou des travaux faisant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une demande de prix sont jugés nécessaires de façon répétée, au cours d</w:t>
      </w:r>
      <w:r w:rsidR="004F7541">
        <w:rPr>
          <w:rFonts w:ascii="Calibri" w:hAnsi="Calibri"/>
          <w:sz w:val="22"/>
          <w:szCs w:val="22"/>
        </w:rPr>
        <w:t>’</w:t>
      </w:r>
      <w:r>
        <w:rPr>
          <w:rFonts w:ascii="Calibri" w:hAnsi="Calibri"/>
          <w:sz w:val="22"/>
          <w:szCs w:val="22"/>
        </w:rPr>
        <w:t>une période supérieure ou égale à une année civile, un cadre ou un accord à long terme doit être envisagé et établi conformément à la directive pertinente.</w:t>
      </w:r>
      <w:r w:rsidR="00AA1E5C">
        <w:rPr>
          <w:rFonts w:ascii="Calibri" w:hAnsi="Calibri"/>
          <w:sz w:val="22"/>
          <w:szCs w:val="22"/>
        </w:rPr>
        <w:t xml:space="preserve"> </w:t>
      </w:r>
      <w:r>
        <w:rPr>
          <w:rFonts w:ascii="Calibri" w:hAnsi="Calibri"/>
          <w:sz w:val="22"/>
          <w:szCs w:val="22"/>
        </w:rPr>
        <w:t xml:space="preserve">Chaque fois que ces biens, services ou travaux doivent dépasser une valeur totale de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au cours d</w:t>
      </w:r>
      <w:r w:rsidR="004F7541">
        <w:rPr>
          <w:rFonts w:ascii="Calibri" w:hAnsi="Calibri"/>
          <w:sz w:val="22"/>
          <w:szCs w:val="22"/>
        </w:rPr>
        <w:t>’</w:t>
      </w:r>
      <w:r>
        <w:rPr>
          <w:rFonts w:ascii="Calibri" w:hAnsi="Calibri"/>
          <w:sz w:val="22"/>
          <w:szCs w:val="22"/>
        </w:rPr>
        <w:t>une même année civile, la méthode de passation de marchés doit être un appel d</w:t>
      </w:r>
      <w:r w:rsidR="004F7541">
        <w:rPr>
          <w:rFonts w:ascii="Calibri" w:hAnsi="Calibri"/>
          <w:sz w:val="22"/>
          <w:szCs w:val="22"/>
        </w:rPr>
        <w:t>’</w:t>
      </w:r>
      <w:r>
        <w:rPr>
          <w:rFonts w:ascii="Calibri" w:hAnsi="Calibri"/>
          <w:sz w:val="22"/>
          <w:szCs w:val="22"/>
        </w:rPr>
        <w:t>offres ou une invitation à soumissionner.</w:t>
      </w:r>
    </w:p>
    <w:p w14:paraId="0DFDBF71" w14:textId="77777777" w:rsidR="008A4CDD" w:rsidRPr="003A403B" w:rsidRDefault="008A4CDD" w:rsidP="008A4CDD">
      <w:pPr>
        <w:shd w:val="clear" w:color="auto" w:fill="FFFFFF"/>
        <w:textAlignment w:val="top"/>
        <w:rPr>
          <w:rFonts w:ascii="Calibri" w:hAnsi="Calibri" w:cs="Arial"/>
          <w:sz w:val="22"/>
          <w:szCs w:val="22"/>
        </w:rPr>
      </w:pPr>
    </w:p>
    <w:p w14:paraId="5AA602A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accumulation des paiements effectués à un fournisseur par une utilisation répétée de la demande de prix doit être contrôlée par des unités administratives dotées de fonctions de contrôle des achats.</w:t>
      </w:r>
      <w:r w:rsidR="00AA1E5C">
        <w:rPr>
          <w:rFonts w:ascii="Calibri" w:hAnsi="Calibri"/>
          <w:sz w:val="22"/>
          <w:szCs w:val="22"/>
        </w:rPr>
        <w:t xml:space="preserve"> </w:t>
      </w:r>
      <w:r>
        <w:rPr>
          <w:rFonts w:ascii="Calibri" w:hAnsi="Calibri"/>
          <w:sz w:val="22"/>
          <w:szCs w:val="22"/>
        </w:rPr>
        <w:t>Lorsque ces paiements cumulatifs atteignent des seuils qui nécessitent un examen du comité des marchés, l</w:t>
      </w:r>
      <w:r w:rsidR="004F7541">
        <w:rPr>
          <w:rFonts w:ascii="Calibri" w:hAnsi="Calibri"/>
          <w:sz w:val="22"/>
          <w:szCs w:val="22"/>
        </w:rPr>
        <w:t>’</w:t>
      </w:r>
      <w:r>
        <w:rPr>
          <w:rFonts w:ascii="Calibri" w:hAnsi="Calibri"/>
          <w:sz w:val="22"/>
          <w:szCs w:val="22"/>
        </w:rPr>
        <w:t>affaire doit être soumise au comité compétent.</w:t>
      </w:r>
    </w:p>
    <w:p w14:paraId="2DC1A2A1" w14:textId="77777777" w:rsidR="008A4CDD" w:rsidRDefault="008A4CDD" w:rsidP="008A4CDD">
      <w:pPr>
        <w:shd w:val="clear" w:color="auto" w:fill="FFFFFF"/>
        <w:textAlignment w:val="top"/>
        <w:rPr>
          <w:rFonts w:ascii="Calibri" w:hAnsi="Calibri" w:cs="Arial"/>
          <w:color w:val="333333"/>
          <w:sz w:val="22"/>
          <w:szCs w:val="22"/>
        </w:rPr>
      </w:pPr>
    </w:p>
    <w:p w14:paraId="7888D706" w14:textId="77777777" w:rsidR="004269EF" w:rsidRPr="003A403B" w:rsidRDefault="004269EF" w:rsidP="008A4CDD">
      <w:pPr>
        <w:shd w:val="clear" w:color="auto" w:fill="FFFFFF"/>
        <w:textAlignment w:val="top"/>
        <w:rPr>
          <w:rFonts w:ascii="Calibri" w:hAnsi="Calibri" w:cs="Arial"/>
          <w:color w:val="333333"/>
          <w:sz w:val="22"/>
          <w:szCs w:val="22"/>
        </w:rPr>
      </w:pPr>
    </w:p>
    <w:p w14:paraId="34ADE788" w14:textId="77777777" w:rsidR="008A4CDD" w:rsidRPr="003A403B" w:rsidRDefault="008A4CDD" w:rsidP="00D166FA">
      <w:pPr>
        <w:pStyle w:val="Head2"/>
      </w:pPr>
      <w:bookmarkStart w:id="13" w:name="_Toc177561759"/>
      <w:r>
        <w:t>Appel d</w:t>
      </w:r>
      <w:r w:rsidR="004F7541">
        <w:t>’</w:t>
      </w:r>
      <w:r>
        <w:t>offres</w:t>
      </w:r>
      <w:bookmarkEnd w:id="13"/>
    </w:p>
    <w:p w14:paraId="0E982B0B" w14:textId="77777777" w:rsidR="008A4CDD" w:rsidRPr="003A403B" w:rsidRDefault="008A4CDD" w:rsidP="008A4CDD">
      <w:pPr>
        <w:shd w:val="clear" w:color="auto" w:fill="FFFFFF"/>
        <w:textAlignment w:val="top"/>
        <w:rPr>
          <w:rFonts w:ascii="Calibri" w:hAnsi="Calibri" w:cs="Arial"/>
          <w:color w:val="333333"/>
          <w:sz w:val="22"/>
          <w:szCs w:val="22"/>
        </w:rPr>
      </w:pPr>
    </w:p>
    <w:p w14:paraId="7EB80847" w14:textId="77828646"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 appel d</w:t>
      </w:r>
      <w:r w:rsidR="004F7541">
        <w:rPr>
          <w:rFonts w:ascii="Calibri" w:hAnsi="Calibri"/>
          <w:sz w:val="22"/>
          <w:szCs w:val="22"/>
        </w:rPr>
        <w:t>’</w:t>
      </w:r>
      <w:r>
        <w:rPr>
          <w:rFonts w:ascii="Calibri" w:hAnsi="Calibri"/>
          <w:sz w:val="22"/>
          <w:szCs w:val="22"/>
        </w:rPr>
        <w:t>offres est utilisé pour acheter des biens ou des travaux d</w:t>
      </w:r>
      <w:r w:rsidR="004F7541">
        <w:rPr>
          <w:rFonts w:ascii="Calibri" w:hAnsi="Calibri"/>
          <w:sz w:val="22"/>
          <w:szCs w:val="22"/>
        </w:rPr>
        <w:t>’</w:t>
      </w:r>
      <w:r>
        <w:rPr>
          <w:rFonts w:ascii="Calibri" w:hAnsi="Calibri"/>
          <w:sz w:val="22"/>
          <w:szCs w:val="22"/>
        </w:rPr>
        <w:t xml:space="preserve">une valeur de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ou plus.</w:t>
      </w:r>
      <w:r w:rsidR="00AA1E5C">
        <w:rPr>
          <w:rFonts w:ascii="Calibri" w:hAnsi="Calibri"/>
          <w:sz w:val="22"/>
          <w:szCs w:val="22"/>
        </w:rPr>
        <w:t xml:space="preserve"> </w:t>
      </w:r>
      <w:r>
        <w:rPr>
          <w:rFonts w:ascii="Calibri" w:hAnsi="Calibri"/>
          <w:sz w:val="22"/>
          <w:szCs w:val="22"/>
        </w:rPr>
        <w:t>Il n</w:t>
      </w:r>
      <w:r w:rsidR="004F7541">
        <w:rPr>
          <w:rFonts w:ascii="Calibri" w:hAnsi="Calibri"/>
          <w:sz w:val="22"/>
          <w:szCs w:val="22"/>
        </w:rPr>
        <w:t>’</w:t>
      </w:r>
      <w:r>
        <w:rPr>
          <w:rFonts w:ascii="Calibri" w:hAnsi="Calibri"/>
          <w:sz w:val="22"/>
          <w:szCs w:val="22"/>
        </w:rPr>
        <w:t>oblige pas les soumissionnaires éventuels à préciser le mode de production, les approches techniques, ni la gestion ou la supervision des activités requises.</w:t>
      </w:r>
      <w:r w:rsidR="00AA1E5C">
        <w:rPr>
          <w:rFonts w:ascii="Calibri" w:hAnsi="Calibri"/>
          <w:sz w:val="22"/>
          <w:szCs w:val="22"/>
        </w:rPr>
        <w:t xml:space="preserve"> </w:t>
      </w:r>
      <w:r>
        <w:rPr>
          <w:rFonts w:ascii="Calibri" w:hAnsi="Calibri"/>
          <w:sz w:val="22"/>
          <w:szCs w:val="22"/>
        </w:rPr>
        <w:t>L</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 ne demande que des détails sur les coûts pour répondre aux spécifications précises des produits.</w:t>
      </w:r>
      <w:r w:rsidR="00AA1E5C">
        <w:rPr>
          <w:rFonts w:ascii="Calibri" w:hAnsi="Calibri"/>
          <w:sz w:val="22"/>
          <w:szCs w:val="22"/>
        </w:rPr>
        <w:t xml:space="preserve"> </w:t>
      </w:r>
      <w:r>
        <w:rPr>
          <w:rFonts w:ascii="Calibri" w:hAnsi="Calibri"/>
          <w:sz w:val="22"/>
          <w:szCs w:val="22"/>
        </w:rPr>
        <w:t>La méthode peut également être utilisée dans la recherche de travaux de construction ou de services qui peuvent être quantitativement et qualitativement définis.</w:t>
      </w:r>
    </w:p>
    <w:p w14:paraId="75229057"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4A083FE2" w14:textId="0248C20F"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appel</w:t>
      </w:r>
      <w:r w:rsidR="003B624A">
        <w:rPr>
          <w:rFonts w:ascii="Calibri" w:hAnsi="Calibri"/>
          <w:sz w:val="22"/>
          <w:szCs w:val="22"/>
        </w:rPr>
        <w:t>s</w:t>
      </w:r>
      <w:r>
        <w:rPr>
          <w:rFonts w:ascii="Calibri" w:hAnsi="Calibri"/>
          <w:sz w:val="22"/>
          <w:szCs w:val="22"/>
        </w:rPr>
        <w:t xml:space="preserve"> d</w:t>
      </w:r>
      <w:r w:rsidR="004F7541">
        <w:rPr>
          <w:rFonts w:ascii="Calibri" w:hAnsi="Calibri"/>
          <w:sz w:val="22"/>
          <w:szCs w:val="22"/>
        </w:rPr>
        <w:t>’</w:t>
      </w:r>
      <w:r>
        <w:rPr>
          <w:rFonts w:ascii="Calibri" w:hAnsi="Calibri"/>
          <w:sz w:val="22"/>
          <w:szCs w:val="22"/>
        </w:rPr>
        <w:t>offres doivent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une concurrence internationale ouverte. À ce titre, ils doivent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 xml:space="preserve">une </w:t>
      </w:r>
      <w:r w:rsidR="008C41A2">
        <w:rPr>
          <w:rFonts w:ascii="Calibri" w:hAnsi="Calibri"/>
          <w:sz w:val="22"/>
          <w:szCs w:val="22"/>
        </w:rPr>
        <w:t>publication</w:t>
      </w:r>
      <w:r>
        <w:rPr>
          <w:rFonts w:ascii="Calibri" w:hAnsi="Calibri"/>
          <w:sz w:val="22"/>
          <w:szCs w:val="22"/>
        </w:rPr>
        <w:t xml:space="preserve"> d</w:t>
      </w:r>
      <w:r w:rsidRPr="002D2F87">
        <w:rPr>
          <w:rFonts w:asciiTheme="majorHAnsi" w:hAnsiTheme="majorHAnsi" w:cstheme="majorHAnsi"/>
          <w:sz w:val="22"/>
          <w:szCs w:val="22"/>
        </w:rPr>
        <w:t>ans les médias internationaux, y compris la presse écrite et en ligne. La possibilité de marché doit au minimum être annoncée ou publiée sur les pages de diffusion des achats du site Web du PNUD (</w:t>
      </w:r>
      <w:hyperlink r:id="rId16" w:history="1">
        <w:r w:rsidRPr="002D2F87">
          <w:rPr>
            <w:rStyle w:val="Hyperlink"/>
            <w:rFonts w:asciiTheme="majorHAnsi" w:hAnsiTheme="majorHAnsi" w:cstheme="majorHAnsi"/>
            <w:sz w:val="22"/>
            <w:szCs w:val="22"/>
          </w:rPr>
          <w:t>www.undp.org</w:t>
        </w:r>
      </w:hyperlink>
      <w:r w:rsidRPr="002D2F87">
        <w:rPr>
          <w:rFonts w:asciiTheme="majorHAnsi" w:hAnsiTheme="majorHAnsi" w:cstheme="majorHAnsi"/>
          <w:sz w:val="22"/>
          <w:szCs w:val="22"/>
        </w:rPr>
        <w:t>) et du Portail mondial pour les fournisseurs des organismes des Nations Unies (</w:t>
      </w:r>
      <w:hyperlink r:id="rId17" w:history="1">
        <w:r w:rsidRPr="002D2F87">
          <w:rPr>
            <w:rStyle w:val="Hyperlink"/>
            <w:rFonts w:asciiTheme="majorHAnsi" w:hAnsiTheme="majorHAnsi" w:cstheme="majorHAnsi"/>
            <w:sz w:val="22"/>
            <w:szCs w:val="22"/>
          </w:rPr>
          <w:t>www.ungm.org</w:t>
        </w:r>
      </w:hyperlink>
      <w:r w:rsidRPr="002D2F87">
        <w:rPr>
          <w:rFonts w:asciiTheme="majorHAnsi" w:hAnsiTheme="majorHAnsi" w:cstheme="majorHAnsi"/>
          <w:sz w:val="22"/>
          <w:szCs w:val="22"/>
        </w:rPr>
        <w:t>) pendant au moins deux semaines. De plus, une notification directe doit être envoyée à une liste restreinte de fournisseurs qualifiés pour répondre aux exigences, sur la base d</w:t>
      </w:r>
      <w:r w:rsidR="004F7541">
        <w:rPr>
          <w:rFonts w:asciiTheme="majorHAnsi" w:hAnsiTheme="majorHAnsi" w:cstheme="majorHAnsi"/>
          <w:sz w:val="22"/>
          <w:szCs w:val="22"/>
        </w:rPr>
        <w:t>’</w:t>
      </w:r>
      <w:r w:rsidRPr="002D2F87">
        <w:rPr>
          <w:rFonts w:asciiTheme="majorHAnsi" w:hAnsiTheme="majorHAnsi" w:cstheme="majorHAnsi"/>
          <w:sz w:val="22"/>
          <w:szCs w:val="22"/>
        </w:rPr>
        <w:t>une étude de marché rigour</w:t>
      </w:r>
      <w:r>
        <w:rPr>
          <w:rFonts w:ascii="Calibri" w:hAnsi="Calibri"/>
          <w:sz w:val="22"/>
          <w:szCs w:val="22"/>
        </w:rPr>
        <w:t>euse.</w:t>
      </w:r>
    </w:p>
    <w:p w14:paraId="398798B2" w14:textId="77777777" w:rsidR="008A4CDD" w:rsidRPr="003A403B" w:rsidRDefault="008A4CDD" w:rsidP="008A4CDD">
      <w:pPr>
        <w:shd w:val="clear" w:color="auto" w:fill="FFFFFF"/>
        <w:textAlignment w:val="top"/>
        <w:rPr>
          <w:rFonts w:ascii="Calibri" w:hAnsi="Calibri" w:cs="Arial"/>
          <w:color w:val="333333"/>
          <w:sz w:val="22"/>
          <w:szCs w:val="22"/>
        </w:rPr>
      </w:pPr>
    </w:p>
    <w:p w14:paraId="21F9A51B"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liste restreinte de vendeurs est la seule base pour solliciter des offres, une justification adéquate doit être faite et conservée dans les dossiers - par exemple, la preuve d</w:t>
      </w:r>
      <w:r w:rsidR="004F7541">
        <w:rPr>
          <w:rFonts w:ascii="Calibri" w:hAnsi="Calibri"/>
          <w:sz w:val="22"/>
          <w:szCs w:val="22"/>
        </w:rPr>
        <w:t>’</w:t>
      </w:r>
      <w:r>
        <w:rPr>
          <w:rFonts w:ascii="Calibri" w:hAnsi="Calibri"/>
          <w:sz w:val="22"/>
          <w:szCs w:val="22"/>
        </w:rPr>
        <w:t>une publicité précédente pour une manifestation d</w:t>
      </w:r>
      <w:r w:rsidR="004F7541">
        <w:rPr>
          <w:rFonts w:ascii="Calibri" w:hAnsi="Calibri"/>
          <w:sz w:val="22"/>
          <w:szCs w:val="22"/>
        </w:rPr>
        <w:t>’</w:t>
      </w:r>
      <w:r>
        <w:rPr>
          <w:rFonts w:ascii="Calibri" w:hAnsi="Calibri"/>
          <w:sz w:val="22"/>
          <w:szCs w:val="22"/>
        </w:rPr>
        <w:t>intérêt ou la conclusion d</w:t>
      </w:r>
      <w:r w:rsidR="004F7541">
        <w:rPr>
          <w:rFonts w:ascii="Calibri" w:hAnsi="Calibri"/>
          <w:sz w:val="22"/>
          <w:szCs w:val="22"/>
        </w:rPr>
        <w:t>’</w:t>
      </w:r>
      <w:r>
        <w:rPr>
          <w:rFonts w:ascii="Calibri" w:hAnsi="Calibri"/>
          <w:sz w:val="22"/>
          <w:szCs w:val="22"/>
        </w:rPr>
        <w:t>un processus de présélection approfondi et fondé sur des critères au cours des 12</w:t>
      </w:r>
      <w:r w:rsidR="00AA1E5C">
        <w:rPr>
          <w:rFonts w:ascii="Calibri" w:hAnsi="Calibri"/>
          <w:sz w:val="22"/>
          <w:szCs w:val="22"/>
        </w:rPr>
        <w:t> </w:t>
      </w:r>
      <w:r>
        <w:rPr>
          <w:rFonts w:ascii="Calibri" w:hAnsi="Calibri"/>
          <w:sz w:val="22"/>
          <w:szCs w:val="22"/>
        </w:rPr>
        <w:t>derniers mois.</w:t>
      </w:r>
    </w:p>
    <w:p w14:paraId="013FB861" w14:textId="77777777" w:rsidR="008A4CDD" w:rsidRPr="003A403B" w:rsidRDefault="008A4CDD" w:rsidP="008A4CDD">
      <w:pPr>
        <w:shd w:val="clear" w:color="auto" w:fill="FFFFFF"/>
        <w:textAlignment w:val="top"/>
        <w:rPr>
          <w:rFonts w:ascii="Calibri" w:hAnsi="Calibri" w:cs="Arial"/>
          <w:sz w:val="22"/>
          <w:szCs w:val="22"/>
        </w:rPr>
      </w:pPr>
    </w:p>
    <w:p w14:paraId="0491243A" w14:textId="75890213" w:rsidR="008A4CDD" w:rsidRPr="00D451D8" w:rsidRDefault="008A4CDD" w:rsidP="00D166FA">
      <w:pPr>
        <w:pStyle w:val="ListParagraph"/>
        <w:numPr>
          <w:ilvl w:val="0"/>
          <w:numId w:val="1"/>
        </w:numPr>
        <w:shd w:val="clear" w:color="auto" w:fill="FFFFFF"/>
        <w:jc w:val="both"/>
        <w:textAlignment w:val="top"/>
        <w:rPr>
          <w:rFonts w:asciiTheme="majorHAnsi" w:hAnsiTheme="majorHAnsi" w:cstheme="majorHAnsi"/>
          <w:sz w:val="22"/>
          <w:szCs w:val="22"/>
        </w:rPr>
      </w:pPr>
      <w:r>
        <w:rPr>
          <w:rFonts w:ascii="Calibri" w:hAnsi="Calibri"/>
          <w:sz w:val="22"/>
          <w:szCs w:val="22"/>
        </w:rPr>
        <w:t>Un appel d</w:t>
      </w:r>
      <w:r w:rsidR="004F7541">
        <w:rPr>
          <w:rFonts w:ascii="Calibri" w:hAnsi="Calibri"/>
          <w:sz w:val="22"/>
          <w:szCs w:val="22"/>
        </w:rPr>
        <w:t>’</w:t>
      </w:r>
      <w:r>
        <w:rPr>
          <w:rFonts w:ascii="Calibri" w:hAnsi="Calibri"/>
          <w:sz w:val="22"/>
          <w:szCs w:val="22"/>
        </w:rPr>
        <w:t>offres doit comprendre au minimum les instructions d</w:t>
      </w:r>
      <w:r w:rsidR="004F7541">
        <w:rPr>
          <w:rFonts w:ascii="Calibri" w:hAnsi="Calibri"/>
          <w:sz w:val="22"/>
          <w:szCs w:val="22"/>
        </w:rPr>
        <w:t>’</w:t>
      </w:r>
      <w:r>
        <w:rPr>
          <w:rFonts w:ascii="Calibri" w:hAnsi="Calibri"/>
          <w:sz w:val="22"/>
          <w:szCs w:val="22"/>
        </w:rPr>
        <w:t>offre, les exigences détaillées (spécifications, conditions de livraison, critères de sélection, etc.) e</w:t>
      </w:r>
      <w:r w:rsidRPr="00D451D8">
        <w:rPr>
          <w:rFonts w:asciiTheme="majorHAnsi" w:hAnsiTheme="majorHAnsi" w:cstheme="majorHAnsi"/>
          <w:sz w:val="22"/>
          <w:szCs w:val="22"/>
        </w:rPr>
        <w:t xml:space="preserve">t les </w:t>
      </w:r>
      <w:r w:rsidR="00C76156">
        <w:rPr>
          <w:rFonts w:asciiTheme="majorHAnsi" w:hAnsiTheme="majorHAnsi" w:cstheme="majorHAnsi"/>
          <w:sz w:val="22"/>
          <w:szCs w:val="22"/>
        </w:rPr>
        <w:t>conditions générales</w:t>
      </w:r>
      <w:r w:rsidRPr="00D451D8">
        <w:rPr>
          <w:rFonts w:asciiTheme="majorHAnsi" w:hAnsiTheme="majorHAnsi" w:cstheme="majorHAnsi"/>
          <w:sz w:val="22"/>
          <w:szCs w:val="22"/>
        </w:rPr>
        <w:t xml:space="preserve"> types du contrat qui seront </w:t>
      </w:r>
      <w:r w:rsidR="00C76156">
        <w:rPr>
          <w:rFonts w:asciiTheme="majorHAnsi" w:hAnsiTheme="majorHAnsi" w:cstheme="majorHAnsi"/>
          <w:sz w:val="22"/>
          <w:szCs w:val="22"/>
        </w:rPr>
        <w:t>signés</w:t>
      </w:r>
      <w:r w:rsidRPr="00D451D8">
        <w:rPr>
          <w:rFonts w:asciiTheme="majorHAnsi" w:hAnsiTheme="majorHAnsi" w:cstheme="majorHAnsi"/>
          <w:sz w:val="22"/>
          <w:szCs w:val="22"/>
        </w:rPr>
        <w:t xml:space="preserve"> par le PNUD et le soumissionnaire retenu. Les règles et les exigences du processus de sélection sont définies dans le </w:t>
      </w:r>
      <w:hyperlink r:id="rId18" w:history="1">
        <w:r w:rsidRPr="00D451D8">
          <w:rPr>
            <w:rStyle w:val="Hyperlink"/>
            <w:rFonts w:asciiTheme="majorHAnsi" w:hAnsiTheme="majorHAnsi" w:cstheme="majorHAnsi"/>
            <w:sz w:val="22"/>
            <w:szCs w:val="22"/>
          </w:rPr>
          <w:t>modèle d</w:t>
        </w:r>
        <w:r w:rsidR="004F7541">
          <w:rPr>
            <w:rStyle w:val="Hyperlink"/>
            <w:rFonts w:asciiTheme="majorHAnsi" w:hAnsiTheme="majorHAnsi" w:cstheme="majorHAnsi"/>
            <w:sz w:val="22"/>
            <w:szCs w:val="22"/>
          </w:rPr>
          <w:t>’</w:t>
        </w:r>
        <w:r w:rsidRPr="00D451D8">
          <w:rPr>
            <w:rStyle w:val="Hyperlink"/>
            <w:rFonts w:asciiTheme="majorHAnsi" w:hAnsiTheme="majorHAnsi" w:cstheme="majorHAnsi"/>
            <w:sz w:val="22"/>
            <w:szCs w:val="22"/>
          </w:rPr>
          <w:t>appel d</w:t>
        </w:r>
        <w:r w:rsidR="004F7541">
          <w:rPr>
            <w:rStyle w:val="Hyperlink"/>
            <w:rFonts w:asciiTheme="majorHAnsi" w:hAnsiTheme="majorHAnsi" w:cstheme="majorHAnsi"/>
            <w:sz w:val="22"/>
            <w:szCs w:val="22"/>
          </w:rPr>
          <w:t>’</w:t>
        </w:r>
        <w:r w:rsidRPr="00D451D8">
          <w:rPr>
            <w:rStyle w:val="Hyperlink"/>
            <w:rFonts w:asciiTheme="majorHAnsi" w:hAnsiTheme="majorHAnsi" w:cstheme="majorHAnsi"/>
            <w:sz w:val="22"/>
            <w:szCs w:val="22"/>
          </w:rPr>
          <w:t>offres</w:t>
        </w:r>
      </w:hyperlink>
      <w:r w:rsidRPr="00D451D8">
        <w:rPr>
          <w:rFonts w:asciiTheme="majorHAnsi" w:hAnsiTheme="majorHAnsi" w:cstheme="majorHAnsi"/>
          <w:sz w:val="22"/>
          <w:szCs w:val="22"/>
        </w:rPr>
        <w:t>.</w:t>
      </w:r>
    </w:p>
    <w:p w14:paraId="4F278762" w14:textId="77777777" w:rsidR="008A4CDD" w:rsidRPr="003A403B" w:rsidRDefault="008A4CDD" w:rsidP="008A4CDD">
      <w:pPr>
        <w:shd w:val="clear" w:color="auto" w:fill="FFFFFF"/>
        <w:textAlignment w:val="top"/>
        <w:rPr>
          <w:rFonts w:ascii="Calibri" w:hAnsi="Calibri" w:cs="Arial"/>
          <w:sz w:val="22"/>
          <w:szCs w:val="22"/>
        </w:rPr>
      </w:pPr>
    </w:p>
    <w:p w14:paraId="3A81966C"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unités administratives peuvent initier un appel d</w:t>
      </w:r>
      <w:r w:rsidR="004F7541">
        <w:rPr>
          <w:rFonts w:ascii="Calibri" w:hAnsi="Calibri"/>
          <w:sz w:val="22"/>
          <w:szCs w:val="22"/>
        </w:rPr>
        <w:t>’</w:t>
      </w:r>
      <w:r>
        <w:rPr>
          <w:rFonts w:ascii="Calibri" w:hAnsi="Calibri"/>
          <w:sz w:val="22"/>
          <w:szCs w:val="22"/>
        </w:rPr>
        <w:t>offres en procédant à la présélection des éventuels soumissionnaires, avant de lancer l</w:t>
      </w:r>
      <w:r w:rsidR="004F7541">
        <w:rPr>
          <w:rFonts w:ascii="Calibri" w:hAnsi="Calibri"/>
          <w:sz w:val="22"/>
          <w:szCs w:val="22"/>
        </w:rPr>
        <w:t>’</w:t>
      </w:r>
      <w:r>
        <w:rPr>
          <w:rFonts w:ascii="Calibri" w:hAnsi="Calibri"/>
          <w:sz w:val="22"/>
          <w:szCs w:val="22"/>
        </w:rPr>
        <w:t>invitation. La présélection est recommandée lorsque le marché est tellement vaste qu</w:t>
      </w:r>
      <w:r w:rsidR="004F7541">
        <w:rPr>
          <w:rFonts w:ascii="Calibri" w:hAnsi="Calibri"/>
          <w:sz w:val="22"/>
          <w:szCs w:val="22"/>
        </w:rPr>
        <w:t>’</w:t>
      </w:r>
      <w:r>
        <w:rPr>
          <w:rFonts w:ascii="Calibri" w:hAnsi="Calibri"/>
          <w:sz w:val="22"/>
          <w:szCs w:val="22"/>
        </w:rPr>
        <w:t>il pourrait y avoir trop de candidats éventuels, et le PNUD préférerait n</w:t>
      </w:r>
      <w:r w:rsidR="004F7541">
        <w:rPr>
          <w:rFonts w:ascii="Calibri" w:hAnsi="Calibri"/>
          <w:sz w:val="22"/>
          <w:szCs w:val="22"/>
        </w:rPr>
        <w:t>’</w:t>
      </w:r>
      <w:r>
        <w:rPr>
          <w:rFonts w:ascii="Calibri" w:hAnsi="Calibri"/>
          <w:sz w:val="22"/>
          <w:szCs w:val="22"/>
        </w:rPr>
        <w:t>accorder le contrat qu</w:t>
      </w:r>
      <w:r w:rsidR="004F7541">
        <w:rPr>
          <w:rFonts w:ascii="Calibri" w:hAnsi="Calibri"/>
          <w:sz w:val="22"/>
          <w:szCs w:val="22"/>
        </w:rPr>
        <w:t>’</w:t>
      </w:r>
      <w:r>
        <w:rPr>
          <w:rFonts w:ascii="Calibri" w:hAnsi="Calibri"/>
          <w:sz w:val="22"/>
          <w:szCs w:val="22"/>
        </w:rPr>
        <w:t>à ceux qui remplissent ou dépassent pleinement les qualifications requises. Ceci est fortement recommandé pour l</w:t>
      </w:r>
      <w:r w:rsidR="004F7541">
        <w:rPr>
          <w:rFonts w:ascii="Calibri" w:hAnsi="Calibri"/>
          <w:sz w:val="22"/>
          <w:szCs w:val="22"/>
        </w:rPr>
        <w:t>’</w:t>
      </w:r>
      <w:r>
        <w:rPr>
          <w:rFonts w:ascii="Calibri" w:hAnsi="Calibri"/>
          <w:sz w:val="22"/>
          <w:szCs w:val="22"/>
        </w:rPr>
        <w:t>acquisition de travaux de construction et d</w:t>
      </w:r>
      <w:r w:rsidR="004F7541">
        <w:rPr>
          <w:rFonts w:ascii="Calibri" w:hAnsi="Calibri"/>
          <w:sz w:val="22"/>
          <w:szCs w:val="22"/>
        </w:rPr>
        <w:t>’</w:t>
      </w:r>
      <w:r>
        <w:rPr>
          <w:rFonts w:ascii="Calibri" w:hAnsi="Calibri"/>
          <w:sz w:val="22"/>
          <w:szCs w:val="22"/>
        </w:rPr>
        <w:t>autres acquisitions complexes présentant des risques élevés.</w:t>
      </w:r>
    </w:p>
    <w:p w14:paraId="18748354" w14:textId="77777777" w:rsidR="008A4CDD" w:rsidRPr="003A403B" w:rsidRDefault="008A4CDD" w:rsidP="008A4CDD">
      <w:pPr>
        <w:shd w:val="clear" w:color="auto" w:fill="FFFFFF"/>
        <w:textAlignment w:val="top"/>
        <w:rPr>
          <w:rFonts w:ascii="Calibri" w:hAnsi="Calibri" w:cs="Arial"/>
          <w:sz w:val="22"/>
          <w:szCs w:val="22"/>
        </w:rPr>
      </w:pPr>
    </w:p>
    <w:p w14:paraId="48DEFC0A"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document de présélection doit décrire toutes les qualifications, y compris, mais sans s</w:t>
      </w:r>
      <w:r w:rsidR="004F7541">
        <w:rPr>
          <w:rFonts w:ascii="Calibri" w:hAnsi="Calibri"/>
          <w:sz w:val="22"/>
          <w:szCs w:val="22"/>
        </w:rPr>
        <w:t>’</w:t>
      </w:r>
      <w:r>
        <w:rPr>
          <w:rFonts w:ascii="Calibri" w:hAnsi="Calibri"/>
          <w:sz w:val="22"/>
          <w:szCs w:val="22"/>
        </w:rPr>
        <w:t>y limiter, les licences, les obligations, les chaînes d</w:t>
      </w:r>
      <w:r w:rsidR="004F7541">
        <w:rPr>
          <w:rFonts w:ascii="Calibri" w:hAnsi="Calibri"/>
          <w:sz w:val="22"/>
          <w:szCs w:val="22"/>
        </w:rPr>
        <w:t>’</w:t>
      </w:r>
      <w:r>
        <w:rPr>
          <w:rFonts w:ascii="Calibri" w:hAnsi="Calibri"/>
          <w:sz w:val="22"/>
          <w:szCs w:val="22"/>
        </w:rPr>
        <w:t>approvisionnement, les stocks et les expériences précédentes dans des contrats similaires. Les soumissionnaires potentiels doivent répondre par écrit au document de présélection. Les règles et les exigences du processus de présélection sont définies dans le modèle d</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w:t>
      </w:r>
    </w:p>
    <w:p w14:paraId="2D77F343" w14:textId="77777777" w:rsidR="008A4CDD" w:rsidRPr="003A403B" w:rsidRDefault="008A4CDD" w:rsidP="008A4CDD">
      <w:pPr>
        <w:shd w:val="clear" w:color="auto" w:fill="FFFFFF"/>
        <w:textAlignment w:val="top"/>
        <w:rPr>
          <w:rFonts w:ascii="Calibri" w:hAnsi="Calibri" w:cs="Arial"/>
          <w:color w:val="333333"/>
          <w:sz w:val="22"/>
          <w:szCs w:val="22"/>
        </w:rPr>
      </w:pPr>
    </w:p>
    <w:p w14:paraId="6DBC0CD5" w14:textId="77777777" w:rsidR="008A4CDD" w:rsidRPr="003A403B" w:rsidRDefault="008A4CDD" w:rsidP="00D166FA">
      <w:pPr>
        <w:pStyle w:val="Head2"/>
      </w:pPr>
      <w:bookmarkStart w:id="14" w:name="_Toc177561760"/>
      <w:r>
        <w:t>Déterminer la meilleure offre</w:t>
      </w:r>
      <w:bookmarkEnd w:id="14"/>
    </w:p>
    <w:p w14:paraId="624529C2" w14:textId="77777777" w:rsidR="008A4CDD" w:rsidRPr="003A403B" w:rsidRDefault="008A4CDD" w:rsidP="00D166FA">
      <w:pPr>
        <w:pStyle w:val="Head2"/>
        <w:rPr>
          <w:u w:val="single"/>
        </w:rPr>
      </w:pPr>
    </w:p>
    <w:p w14:paraId="125FE45A"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offres soumises en réponse à un appel d</w:t>
      </w:r>
      <w:r w:rsidR="004F7541">
        <w:rPr>
          <w:rFonts w:ascii="Calibri" w:hAnsi="Calibri"/>
          <w:sz w:val="22"/>
          <w:szCs w:val="22"/>
        </w:rPr>
        <w:t>’</w:t>
      </w:r>
      <w:r>
        <w:rPr>
          <w:rFonts w:ascii="Calibri" w:hAnsi="Calibri"/>
          <w:sz w:val="22"/>
          <w:szCs w:val="22"/>
        </w:rPr>
        <w:t>offres doivent être composées principalement du prix et d</w:t>
      </w:r>
      <w:r w:rsidR="004F7541">
        <w:rPr>
          <w:rFonts w:ascii="Calibri" w:hAnsi="Calibri"/>
          <w:sz w:val="22"/>
          <w:szCs w:val="22"/>
        </w:rPr>
        <w:t>’</w:t>
      </w:r>
      <w:r>
        <w:rPr>
          <w:rFonts w:ascii="Calibri" w:hAnsi="Calibri"/>
          <w:sz w:val="22"/>
          <w:szCs w:val="22"/>
        </w:rPr>
        <w:t>autres conditions commerciales basées sur les exigences du PNUD.</w:t>
      </w:r>
    </w:p>
    <w:p w14:paraId="03C80141" w14:textId="77777777" w:rsidR="008A4CDD" w:rsidRPr="003A403B" w:rsidRDefault="008A4CDD" w:rsidP="008A4CDD">
      <w:pPr>
        <w:shd w:val="clear" w:color="auto" w:fill="FFFFFF"/>
        <w:textAlignment w:val="top"/>
        <w:rPr>
          <w:rFonts w:ascii="Calibri" w:hAnsi="Calibri" w:cs="Arial"/>
          <w:sz w:val="22"/>
          <w:szCs w:val="22"/>
        </w:rPr>
      </w:pPr>
    </w:p>
    <w:p w14:paraId="2AE4C2B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250E2DB0" w14:textId="77777777" w:rsidR="008A4CDD" w:rsidRPr="003A403B" w:rsidRDefault="008A4CDD" w:rsidP="008A4CDD">
      <w:pPr>
        <w:shd w:val="clear" w:color="auto" w:fill="FFFFFF"/>
        <w:textAlignment w:val="top"/>
        <w:rPr>
          <w:rFonts w:ascii="Calibri" w:hAnsi="Calibri" w:cs="Arial"/>
          <w:sz w:val="22"/>
          <w:szCs w:val="22"/>
        </w:rPr>
      </w:pPr>
    </w:p>
    <w:p w14:paraId="2BFB788E" w14:textId="77777777" w:rsidR="00BD2B48" w:rsidRPr="00BD2B48" w:rsidRDefault="008A4CDD" w:rsidP="00BD2B48">
      <w:pPr>
        <w:pStyle w:val="ListParagraph"/>
        <w:numPr>
          <w:ilvl w:val="1"/>
          <w:numId w:val="12"/>
        </w:numPr>
        <w:shd w:val="clear" w:color="auto" w:fill="FFFFFF"/>
        <w:ind w:left="1800"/>
        <w:jc w:val="both"/>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694C9B3A" w14:textId="77777777" w:rsidR="008A4CDD" w:rsidRPr="003A403B" w:rsidRDefault="008A4CDD" w:rsidP="00BD2B48">
      <w:pPr>
        <w:pStyle w:val="ListParagraph"/>
        <w:shd w:val="clear" w:color="auto" w:fill="FFFFFF"/>
        <w:ind w:left="1800"/>
        <w:jc w:val="both"/>
        <w:textAlignment w:val="top"/>
        <w:rPr>
          <w:rFonts w:ascii="Calibri" w:hAnsi="Calibri" w:cs="Arial"/>
          <w:sz w:val="22"/>
          <w:szCs w:val="22"/>
        </w:rPr>
      </w:pPr>
      <w:r>
        <w:rPr>
          <w:rFonts w:ascii="Calibri" w:hAnsi="Calibri"/>
          <w:sz w:val="22"/>
          <w:szCs w:val="22"/>
        </w:rPr>
        <w:t xml:space="preserve"> </w:t>
      </w:r>
    </w:p>
    <w:p w14:paraId="3AEBF063" w14:textId="77777777" w:rsidR="008A4CDD" w:rsidRPr="00BD2B48" w:rsidRDefault="008A4CDD" w:rsidP="00BD2B48">
      <w:pPr>
        <w:pStyle w:val="ListParagraph"/>
        <w:numPr>
          <w:ilvl w:val="1"/>
          <w:numId w:val="12"/>
        </w:numPr>
        <w:shd w:val="clear" w:color="auto" w:fill="FFFFFF"/>
        <w:ind w:left="1800"/>
        <w:jc w:val="both"/>
        <w:textAlignment w:val="top"/>
        <w:rPr>
          <w:rFonts w:ascii="Calibri" w:hAnsi="Calibri" w:cs="Arial"/>
          <w:sz w:val="22"/>
          <w:szCs w:val="22"/>
        </w:rPr>
      </w:pPr>
      <w:r>
        <w:rPr>
          <w:rFonts w:ascii="Calibri" w:hAnsi="Calibri"/>
          <w:sz w:val="22"/>
          <w:szCs w:val="22"/>
        </w:rPr>
        <w:t xml:space="preserve">Respecter les spécifications, les délais de livraison et les </w:t>
      </w:r>
      <w:r w:rsidR="00C76156">
        <w:rPr>
          <w:rFonts w:ascii="Calibri" w:hAnsi="Calibri"/>
          <w:sz w:val="22"/>
          <w:szCs w:val="22"/>
        </w:rPr>
        <w:t>conditions générales</w:t>
      </w:r>
      <w:r>
        <w:rPr>
          <w:rFonts w:ascii="Calibri" w:hAnsi="Calibri"/>
          <w:sz w:val="22"/>
          <w:szCs w:val="22"/>
        </w:rPr>
        <w:t xml:space="preserve"> du PNUD</w:t>
      </w:r>
    </w:p>
    <w:p w14:paraId="0871EA86" w14:textId="77777777" w:rsidR="00BD2B48" w:rsidRPr="00BD2B48" w:rsidRDefault="00BD2B48" w:rsidP="00BD2B48">
      <w:pPr>
        <w:shd w:val="clear" w:color="auto" w:fill="FFFFFF"/>
        <w:jc w:val="both"/>
        <w:textAlignment w:val="top"/>
        <w:rPr>
          <w:rFonts w:ascii="Calibri" w:hAnsi="Calibri" w:cs="Arial"/>
          <w:sz w:val="22"/>
          <w:szCs w:val="22"/>
        </w:rPr>
      </w:pPr>
    </w:p>
    <w:p w14:paraId="153EC104" w14:textId="77777777" w:rsidR="008A4CDD" w:rsidRPr="003A403B" w:rsidRDefault="008A4CDD" w:rsidP="00BD2B48">
      <w:pPr>
        <w:pStyle w:val="ListParagraph"/>
        <w:numPr>
          <w:ilvl w:val="1"/>
          <w:numId w:val="12"/>
        </w:numPr>
        <w:shd w:val="clear" w:color="auto" w:fill="FFFFFF"/>
        <w:ind w:left="1800"/>
        <w:jc w:val="both"/>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237F81FC" w14:textId="77777777" w:rsidR="008A4CDD" w:rsidRPr="003A403B" w:rsidRDefault="008A4CDD" w:rsidP="008A4CDD">
      <w:pPr>
        <w:shd w:val="clear" w:color="auto" w:fill="FFFFFF"/>
        <w:textAlignment w:val="top"/>
        <w:rPr>
          <w:rFonts w:ascii="Calibri" w:hAnsi="Calibri" w:cs="Arial"/>
          <w:color w:val="333333"/>
          <w:sz w:val="22"/>
          <w:szCs w:val="22"/>
        </w:rPr>
      </w:pPr>
    </w:p>
    <w:p w14:paraId="6DAA579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évaluation des offres est décrite dans la politique appropriée sur l</w:t>
      </w:r>
      <w:r w:rsidR="004F7541">
        <w:rPr>
          <w:rFonts w:ascii="Calibri" w:hAnsi="Calibri"/>
          <w:sz w:val="22"/>
          <w:szCs w:val="22"/>
        </w:rPr>
        <w:t>’</w:t>
      </w:r>
      <w:r>
        <w:rPr>
          <w:rFonts w:ascii="Calibri" w:hAnsi="Calibri"/>
          <w:sz w:val="22"/>
          <w:szCs w:val="22"/>
        </w:rPr>
        <w:t>évaluation des offres. Pour des raisons d</w:t>
      </w:r>
      <w:r w:rsidR="004F7541">
        <w:rPr>
          <w:rFonts w:ascii="Calibri" w:hAnsi="Calibri"/>
          <w:sz w:val="22"/>
          <w:szCs w:val="22"/>
        </w:rPr>
        <w:t>’</w:t>
      </w:r>
      <w:r>
        <w:rPr>
          <w:rFonts w:ascii="Calibri" w:hAnsi="Calibri"/>
          <w:sz w:val="22"/>
          <w:szCs w:val="22"/>
        </w:rPr>
        <w:t>économie et d</w:t>
      </w:r>
      <w:r w:rsidR="004F7541">
        <w:rPr>
          <w:rFonts w:ascii="Calibri" w:hAnsi="Calibri"/>
          <w:sz w:val="22"/>
          <w:szCs w:val="22"/>
        </w:rPr>
        <w:t>’</w:t>
      </w:r>
      <w:r>
        <w:rPr>
          <w:rFonts w:ascii="Calibri" w:hAnsi="Calibri"/>
          <w:sz w:val="22"/>
          <w:szCs w:val="22"/>
        </w:rPr>
        <w:t>efficacité, un minimum de trois offres doit être évalué. Une fois qu</w:t>
      </w:r>
      <w:r w:rsidR="004F7541">
        <w:rPr>
          <w:rFonts w:ascii="Calibri" w:hAnsi="Calibri"/>
          <w:sz w:val="22"/>
          <w:szCs w:val="22"/>
        </w:rPr>
        <w:t>’</w:t>
      </w:r>
      <w:r>
        <w:rPr>
          <w:rFonts w:ascii="Calibri" w:hAnsi="Calibri"/>
          <w:sz w:val="22"/>
          <w:szCs w:val="22"/>
        </w:rPr>
        <w:t>une liste restreinte a été déterminée, le contrat est attribué au soumissionnaire qui offre le prix le plus bas.</w:t>
      </w:r>
    </w:p>
    <w:p w14:paraId="3AF035A5" w14:textId="77777777" w:rsidR="008A4CDD" w:rsidRPr="003A403B" w:rsidRDefault="008A4CDD" w:rsidP="008A4CDD">
      <w:pPr>
        <w:shd w:val="clear" w:color="auto" w:fill="FFFFFF"/>
        <w:textAlignment w:val="top"/>
        <w:rPr>
          <w:rFonts w:ascii="Calibri" w:hAnsi="Calibri" w:cs="Arial"/>
          <w:sz w:val="22"/>
          <w:szCs w:val="22"/>
        </w:rPr>
      </w:pPr>
    </w:p>
    <w:p w14:paraId="2C46CE7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procédure d</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 est considérée comme concurrentielle, même si elle donne lieu à moins de trois offres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336C5931" w14:textId="77777777" w:rsidR="008A4CDD" w:rsidRPr="00336CF4" w:rsidRDefault="008A4CDD" w:rsidP="008A4CDD">
      <w:pPr>
        <w:shd w:val="clear" w:color="auto" w:fill="FFFFFF"/>
        <w:textAlignment w:val="top"/>
        <w:rPr>
          <w:rFonts w:ascii="Calibri" w:hAnsi="Calibri" w:cs="Arial"/>
          <w:sz w:val="22"/>
          <w:szCs w:val="22"/>
        </w:rPr>
      </w:pPr>
    </w:p>
    <w:p w14:paraId="5EA68716"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certaines circonstances, l</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 xml:space="preserve">offres peut être utilisé pour établir un cadre ou un accord à long terme. </w:t>
      </w:r>
      <w:r w:rsidR="00AC0FBF">
        <w:rPr>
          <w:rFonts w:ascii="Calibri" w:hAnsi="Calibri"/>
          <w:sz w:val="22"/>
          <w:szCs w:val="22"/>
        </w:rPr>
        <w:t>L’Unité</w:t>
      </w:r>
      <w:r>
        <w:rPr>
          <w:rFonts w:ascii="Calibri" w:hAnsi="Calibri"/>
          <w:sz w:val="22"/>
          <w:szCs w:val="22"/>
        </w:rPr>
        <w:t xml:space="preserve"> administrative doit faire une prévision réaliste des besoins, de la date estimée de la demande et de la valeur totale approximative du contrat.</w:t>
      </w:r>
    </w:p>
    <w:p w14:paraId="3599527A" w14:textId="77777777" w:rsidR="008A4CDD" w:rsidRPr="00336CF4" w:rsidRDefault="008A4CDD" w:rsidP="008A4CDD">
      <w:pPr>
        <w:shd w:val="clear" w:color="auto" w:fill="FFFFFF"/>
        <w:textAlignment w:val="top"/>
        <w:rPr>
          <w:rFonts w:ascii="Calibri" w:hAnsi="Calibri" w:cs="Arial"/>
          <w:sz w:val="22"/>
          <w:szCs w:val="22"/>
        </w:rPr>
      </w:pPr>
    </w:p>
    <w:p w14:paraId="55FDD2FB" w14:textId="77777777" w:rsidR="008A4CDD" w:rsidRPr="003A403B" w:rsidRDefault="008A4CDD" w:rsidP="00D166FA">
      <w:pPr>
        <w:pStyle w:val="Head2"/>
      </w:pPr>
      <w:bookmarkStart w:id="15" w:name="_Toc177561761"/>
      <w:r>
        <w:t>Invitation à soumissionner</w:t>
      </w:r>
      <w:bookmarkEnd w:id="15"/>
    </w:p>
    <w:p w14:paraId="0593DE06" w14:textId="77777777" w:rsidR="008A4CDD" w:rsidRPr="003A403B" w:rsidRDefault="008A4CDD" w:rsidP="008A4CDD">
      <w:pPr>
        <w:shd w:val="clear" w:color="auto" w:fill="FFFFFF"/>
        <w:textAlignment w:val="top"/>
        <w:rPr>
          <w:rFonts w:ascii="Calibri" w:hAnsi="Calibri" w:cs="Arial"/>
          <w:color w:val="333333"/>
          <w:sz w:val="22"/>
          <w:szCs w:val="22"/>
        </w:rPr>
      </w:pPr>
    </w:p>
    <w:p w14:paraId="14B942CE" w14:textId="1A06CA39"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Une invitation à soumissionner est utilisée pour acheter des biens, des services et des travaux lorsque les intrants ou les produits ne peuvent pas être définis de manière quantitative et qualitative avec </w:t>
      </w:r>
      <w:r>
        <w:rPr>
          <w:rFonts w:ascii="Calibri" w:hAnsi="Calibri"/>
          <w:sz w:val="22"/>
          <w:szCs w:val="22"/>
        </w:rPr>
        <w:lastRenderedPageBreak/>
        <w:t xml:space="preserve">suffisamment de détails au moment de la demande, et sont évalués à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ou plus. Le processus d</w:t>
      </w:r>
      <w:r w:rsidR="004F7541">
        <w:rPr>
          <w:rFonts w:ascii="Calibri" w:hAnsi="Calibri"/>
          <w:sz w:val="22"/>
          <w:szCs w:val="22"/>
        </w:rPr>
        <w:t>’</w:t>
      </w:r>
      <w:r>
        <w:rPr>
          <w:rFonts w:ascii="Calibri" w:hAnsi="Calibri"/>
          <w:sz w:val="22"/>
          <w:szCs w:val="22"/>
        </w:rPr>
        <w:t>examen et l</w:t>
      </w:r>
      <w:r w:rsidR="004F7541">
        <w:rPr>
          <w:rFonts w:ascii="Calibri" w:hAnsi="Calibri"/>
          <w:sz w:val="22"/>
          <w:szCs w:val="22"/>
        </w:rPr>
        <w:t>’</w:t>
      </w:r>
      <w:r>
        <w:rPr>
          <w:rFonts w:ascii="Calibri" w:hAnsi="Calibri"/>
          <w:sz w:val="22"/>
          <w:szCs w:val="22"/>
        </w:rPr>
        <w:t>analyse doivent être formalisés et détaillés afin d</w:t>
      </w:r>
      <w:r w:rsidR="004F7541">
        <w:rPr>
          <w:rFonts w:ascii="Calibri" w:hAnsi="Calibri"/>
          <w:sz w:val="22"/>
          <w:szCs w:val="22"/>
        </w:rPr>
        <w:t>’</w:t>
      </w:r>
      <w:r>
        <w:rPr>
          <w:rFonts w:ascii="Calibri" w:hAnsi="Calibri"/>
          <w:sz w:val="22"/>
          <w:szCs w:val="22"/>
        </w:rPr>
        <w:t>éliminer les risques de subjectivité.</w:t>
      </w:r>
    </w:p>
    <w:p w14:paraId="22449C46" w14:textId="77777777" w:rsidR="008A4CDD" w:rsidRPr="003A403B" w:rsidRDefault="008A4CDD" w:rsidP="008A4CDD">
      <w:pPr>
        <w:shd w:val="clear" w:color="auto" w:fill="FFFFFF"/>
        <w:textAlignment w:val="top"/>
        <w:rPr>
          <w:rFonts w:ascii="Calibri" w:hAnsi="Calibri" w:cs="Arial"/>
          <w:sz w:val="22"/>
          <w:szCs w:val="22"/>
        </w:rPr>
      </w:pPr>
    </w:p>
    <w:p w14:paraId="3D2BEF30" w14:textId="00EBCB71" w:rsidR="008A4CDD" w:rsidRPr="003A403B" w:rsidRDefault="008A4CDD" w:rsidP="00D166FA">
      <w:pPr>
        <w:pStyle w:val="ListParagraph"/>
        <w:numPr>
          <w:ilvl w:val="0"/>
          <w:numId w:val="1"/>
        </w:numPr>
        <w:shd w:val="clear" w:color="auto" w:fill="FFFFFF"/>
        <w:jc w:val="both"/>
        <w:textAlignment w:val="top"/>
        <w:rPr>
          <w:rFonts w:ascii="Calibri" w:hAnsi="Calibri" w:cs="Arial"/>
          <w:color w:val="333333"/>
          <w:sz w:val="22"/>
          <w:szCs w:val="22"/>
        </w:rPr>
      </w:pPr>
      <w:r>
        <w:rPr>
          <w:rFonts w:ascii="Calibri" w:hAnsi="Calibri"/>
          <w:sz w:val="22"/>
          <w:szCs w:val="22"/>
        </w:rPr>
        <w:t xml:space="preserve">Lorsque le temps et les ressources le permettent, ou selon la nature de la demande, </w:t>
      </w:r>
      <w:hyperlink r:id="rId19" w:history="1">
        <w:r w:rsidRPr="00BF26EB">
          <w:rPr>
            <w:rStyle w:val="Hyperlink"/>
            <w:rFonts w:ascii="Calibri" w:hAnsi="Calibri"/>
            <w:sz w:val="22"/>
            <w:szCs w:val="22"/>
          </w:rPr>
          <w:t>les invitations à soumissionner</w:t>
        </w:r>
      </w:hyperlink>
      <w:r>
        <w:rPr>
          <w:rFonts w:ascii="Calibri" w:hAnsi="Calibri"/>
          <w:sz w:val="22"/>
          <w:szCs w:val="22"/>
        </w:rPr>
        <w:t xml:space="preserve"> peuvent également être utilisées pour acheter des biens, des services et des travaux d</w:t>
      </w:r>
      <w:r w:rsidR="004F7541">
        <w:rPr>
          <w:rFonts w:ascii="Calibri" w:hAnsi="Calibri"/>
          <w:sz w:val="22"/>
          <w:szCs w:val="22"/>
        </w:rPr>
        <w:t>’</w:t>
      </w:r>
      <w:r>
        <w:rPr>
          <w:rFonts w:ascii="Calibri" w:hAnsi="Calibri"/>
          <w:sz w:val="22"/>
          <w:szCs w:val="22"/>
        </w:rPr>
        <w:t xml:space="preserve">une valeur inférieure à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p>
    <w:p w14:paraId="5983E265" w14:textId="77777777" w:rsidR="008A4CDD" w:rsidRPr="003A403B" w:rsidRDefault="008A4CDD" w:rsidP="008A4CDD">
      <w:pPr>
        <w:shd w:val="clear" w:color="auto" w:fill="FFFFFF"/>
        <w:textAlignment w:val="top"/>
        <w:rPr>
          <w:rFonts w:ascii="Calibri" w:hAnsi="Calibri" w:cs="Arial"/>
          <w:color w:val="333333"/>
          <w:sz w:val="22"/>
          <w:szCs w:val="22"/>
        </w:rPr>
      </w:pPr>
    </w:p>
    <w:p w14:paraId="3391345A" w14:textId="67005570"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invitations à soumissionner doivent être soumises à un</w:t>
      </w:r>
      <w:r w:rsidR="004F7541">
        <w:rPr>
          <w:rFonts w:ascii="Calibri" w:hAnsi="Calibri"/>
          <w:sz w:val="22"/>
          <w:szCs w:val="22"/>
        </w:rPr>
        <w:t>e</w:t>
      </w:r>
      <w:r>
        <w:rPr>
          <w:rFonts w:ascii="Calibri" w:hAnsi="Calibri"/>
          <w:sz w:val="22"/>
          <w:szCs w:val="22"/>
        </w:rPr>
        <w:t xml:space="preserve"> concurrence internationale ouverte et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 xml:space="preserve">une </w:t>
      </w:r>
      <w:r w:rsidR="008C41A2">
        <w:rPr>
          <w:rFonts w:ascii="Calibri" w:hAnsi="Calibri"/>
          <w:sz w:val="22"/>
          <w:szCs w:val="22"/>
        </w:rPr>
        <w:t xml:space="preserve">publication </w:t>
      </w:r>
      <w:r>
        <w:rPr>
          <w:rFonts w:ascii="Calibri" w:hAnsi="Calibri"/>
          <w:sz w:val="22"/>
          <w:szCs w:val="22"/>
        </w:rPr>
        <w:t>dans les méd</w:t>
      </w:r>
      <w:r w:rsidRPr="00DD16A9">
        <w:rPr>
          <w:rFonts w:asciiTheme="majorHAnsi" w:hAnsiTheme="majorHAnsi" w:cstheme="majorHAnsi"/>
          <w:sz w:val="22"/>
          <w:szCs w:val="22"/>
        </w:rPr>
        <w:t>ias internationaux. La possibilité de marché doit au minimum être annoncée ou publiée sur les pages de diffusion des achats du site Web du PNUD (</w:t>
      </w:r>
      <w:hyperlink r:id="rId20" w:history="1">
        <w:r w:rsidRPr="00DD16A9">
          <w:rPr>
            <w:rStyle w:val="Hyperlink"/>
            <w:rFonts w:asciiTheme="majorHAnsi" w:hAnsiTheme="majorHAnsi" w:cstheme="majorHAnsi"/>
            <w:sz w:val="22"/>
            <w:szCs w:val="22"/>
          </w:rPr>
          <w:t>www.undp.org</w:t>
        </w:r>
      </w:hyperlink>
      <w:r w:rsidRPr="00DD16A9">
        <w:rPr>
          <w:rFonts w:asciiTheme="majorHAnsi" w:hAnsiTheme="majorHAnsi" w:cstheme="majorHAnsi"/>
          <w:sz w:val="22"/>
          <w:szCs w:val="22"/>
        </w:rPr>
        <w:t>) et du Portail mondial pour les fournisseurs des organismes des Nations Unies (</w:t>
      </w:r>
      <w:hyperlink r:id="rId21" w:history="1">
        <w:r w:rsidRPr="00DD16A9">
          <w:rPr>
            <w:rStyle w:val="Hyperlink"/>
            <w:rFonts w:asciiTheme="majorHAnsi" w:hAnsiTheme="majorHAnsi" w:cstheme="majorHAnsi"/>
            <w:sz w:val="22"/>
            <w:szCs w:val="22"/>
          </w:rPr>
          <w:t>www.ungm.org</w:t>
        </w:r>
      </w:hyperlink>
      <w:r w:rsidRPr="00DD16A9">
        <w:rPr>
          <w:rFonts w:asciiTheme="majorHAnsi" w:hAnsiTheme="majorHAnsi" w:cstheme="majorHAnsi"/>
          <w:sz w:val="22"/>
          <w:szCs w:val="22"/>
        </w:rPr>
        <w:t xml:space="preserve">) pendant au moins deux semaines. </w:t>
      </w:r>
      <w:r>
        <w:rPr>
          <w:rFonts w:ascii="Calibri" w:hAnsi="Calibri"/>
          <w:sz w:val="22"/>
          <w:szCs w:val="22"/>
        </w:rPr>
        <w:t>De plus, une notification directe doit être envoyée à une liste restreinte de fournisseurs qualifiés pour répondre aux exigences, sur la base d</w:t>
      </w:r>
      <w:r w:rsidR="004F7541">
        <w:rPr>
          <w:rFonts w:ascii="Calibri" w:hAnsi="Calibri"/>
          <w:sz w:val="22"/>
          <w:szCs w:val="22"/>
        </w:rPr>
        <w:t>’</w:t>
      </w:r>
      <w:r>
        <w:rPr>
          <w:rFonts w:ascii="Calibri" w:hAnsi="Calibri"/>
          <w:sz w:val="22"/>
          <w:szCs w:val="22"/>
        </w:rPr>
        <w:t>une étude de marché rigoureuse.</w:t>
      </w:r>
    </w:p>
    <w:p w14:paraId="64923D9B" w14:textId="77777777" w:rsidR="008A4CDD" w:rsidRPr="003A403B" w:rsidRDefault="008A4CDD" w:rsidP="008A4CDD">
      <w:pPr>
        <w:shd w:val="clear" w:color="auto" w:fill="FFFFFF"/>
        <w:textAlignment w:val="top"/>
        <w:rPr>
          <w:rFonts w:ascii="Calibri" w:hAnsi="Calibri" w:cs="Arial"/>
          <w:color w:val="333333"/>
          <w:sz w:val="22"/>
          <w:szCs w:val="22"/>
        </w:rPr>
      </w:pPr>
    </w:p>
    <w:p w14:paraId="59524623"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liste restreinte de vendeurs est la seule base pour solliciter des offres, une justification adéquate doit être faite et conservée dans les dossiers - par exemple, la preuve d</w:t>
      </w:r>
      <w:r w:rsidR="004F7541">
        <w:rPr>
          <w:rFonts w:ascii="Calibri" w:hAnsi="Calibri"/>
          <w:sz w:val="22"/>
          <w:szCs w:val="22"/>
        </w:rPr>
        <w:t>’</w:t>
      </w:r>
      <w:r>
        <w:rPr>
          <w:rFonts w:ascii="Calibri" w:hAnsi="Calibri"/>
          <w:sz w:val="22"/>
          <w:szCs w:val="22"/>
        </w:rPr>
        <w:t>une publicité précédente pour une manifestation d</w:t>
      </w:r>
      <w:r w:rsidR="004F7541">
        <w:rPr>
          <w:rFonts w:ascii="Calibri" w:hAnsi="Calibri"/>
          <w:sz w:val="22"/>
          <w:szCs w:val="22"/>
        </w:rPr>
        <w:t>’</w:t>
      </w:r>
      <w:r>
        <w:rPr>
          <w:rFonts w:ascii="Calibri" w:hAnsi="Calibri"/>
          <w:sz w:val="22"/>
          <w:szCs w:val="22"/>
        </w:rPr>
        <w:t>intérêt ou la conclusion d</w:t>
      </w:r>
      <w:r w:rsidR="004F7541">
        <w:rPr>
          <w:rFonts w:ascii="Calibri" w:hAnsi="Calibri"/>
          <w:sz w:val="22"/>
          <w:szCs w:val="22"/>
        </w:rPr>
        <w:t>’</w:t>
      </w:r>
      <w:r>
        <w:rPr>
          <w:rFonts w:ascii="Calibri" w:hAnsi="Calibri"/>
          <w:sz w:val="22"/>
          <w:szCs w:val="22"/>
        </w:rPr>
        <w:t>un processus de présélection approfondi et fondé sur des critères au cours des 12</w:t>
      </w:r>
      <w:r w:rsidR="00AA1E5C">
        <w:rPr>
          <w:rFonts w:ascii="Calibri" w:hAnsi="Calibri"/>
          <w:sz w:val="22"/>
          <w:szCs w:val="22"/>
        </w:rPr>
        <w:t> </w:t>
      </w:r>
      <w:r>
        <w:rPr>
          <w:rFonts w:ascii="Calibri" w:hAnsi="Calibri"/>
          <w:sz w:val="22"/>
          <w:szCs w:val="22"/>
        </w:rPr>
        <w:t>derniers mois.</w:t>
      </w:r>
    </w:p>
    <w:p w14:paraId="44599CF5" w14:textId="77777777" w:rsidR="008A4CDD" w:rsidRPr="00336CF4" w:rsidRDefault="008A4CDD" w:rsidP="008A4CDD">
      <w:pPr>
        <w:shd w:val="clear" w:color="auto" w:fill="FFFFFF"/>
        <w:textAlignment w:val="top"/>
        <w:rPr>
          <w:rFonts w:ascii="Calibri" w:hAnsi="Calibri" w:cs="Arial"/>
          <w:sz w:val="22"/>
          <w:szCs w:val="22"/>
        </w:rPr>
      </w:pPr>
    </w:p>
    <w:p w14:paraId="3CE74097" w14:textId="6B793ADD"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invitation à soumissionner doit comprendre au minimum les instructions aux soumissionnaires, les exigences détaillées (termes de référence</w:t>
      </w:r>
      <w:r w:rsidRPr="00DD16A9">
        <w:rPr>
          <w:rFonts w:asciiTheme="majorHAnsi" w:hAnsiTheme="majorHAnsi" w:cstheme="majorHAnsi"/>
          <w:sz w:val="22"/>
          <w:szCs w:val="22"/>
        </w:rPr>
        <w:t xml:space="preserve">, critères de sélection, etc.) et les conditions générales du contrat du PNUD qui sera signé par le PNUD avec le soumissionnaire retenu. Les règles et les exigences du processus de sélection sont définies dans </w:t>
      </w:r>
      <w:hyperlink r:id="rId22" w:history="1">
        <w:r w:rsidRPr="00DD16A9">
          <w:rPr>
            <w:rStyle w:val="Hyperlink"/>
            <w:rFonts w:asciiTheme="majorHAnsi" w:hAnsiTheme="majorHAnsi" w:cstheme="majorHAnsi"/>
            <w:sz w:val="22"/>
            <w:szCs w:val="22"/>
          </w:rPr>
          <w:t>le modèle d</w:t>
        </w:r>
        <w:r w:rsidR="004F7541">
          <w:rPr>
            <w:rStyle w:val="Hyperlink"/>
            <w:rFonts w:asciiTheme="majorHAnsi" w:hAnsiTheme="majorHAnsi" w:cstheme="majorHAnsi"/>
            <w:sz w:val="22"/>
            <w:szCs w:val="22"/>
          </w:rPr>
          <w:t>’</w:t>
        </w:r>
        <w:r w:rsidRPr="00DD16A9">
          <w:rPr>
            <w:rStyle w:val="Hyperlink"/>
            <w:rFonts w:asciiTheme="majorHAnsi" w:hAnsiTheme="majorHAnsi" w:cstheme="majorHAnsi"/>
            <w:sz w:val="22"/>
            <w:szCs w:val="22"/>
          </w:rPr>
          <w:t>invitation à soumissionner</w:t>
        </w:r>
      </w:hyperlink>
      <w:r>
        <w:t>.</w:t>
      </w:r>
    </w:p>
    <w:p w14:paraId="0EA5B5AD" w14:textId="77777777" w:rsidR="008A4CDD" w:rsidRPr="00336CF4" w:rsidRDefault="008A4CDD" w:rsidP="008A4CDD">
      <w:pPr>
        <w:shd w:val="clear" w:color="auto" w:fill="FFFFFF"/>
        <w:textAlignment w:val="top"/>
        <w:rPr>
          <w:rFonts w:ascii="Calibri" w:hAnsi="Calibri" w:cs="Arial"/>
          <w:sz w:val="22"/>
          <w:szCs w:val="22"/>
        </w:rPr>
      </w:pPr>
    </w:p>
    <w:p w14:paraId="06377901"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propositions répondant à la demande doivent comporter deux soumissions</w:t>
      </w:r>
      <w:r w:rsidR="0049528D">
        <w:rPr>
          <w:rFonts w:ascii="Calibri" w:hAnsi="Calibri"/>
          <w:sz w:val="22"/>
          <w:szCs w:val="22"/>
        </w:rPr>
        <w:t> :</w:t>
      </w:r>
      <w:r>
        <w:rPr>
          <w:rFonts w:ascii="Calibri" w:hAnsi="Calibri"/>
          <w:sz w:val="22"/>
          <w:szCs w:val="22"/>
        </w:rPr>
        <w:t xml:space="preserve"> une technique et une financière. La première décrit comment les exigences, les spécifications, le cahier des charges ou les termes de référence stipulés seront respectés. Tous les coûts connexes doivent être pris en compte dans une soumission financière distincte.</w:t>
      </w:r>
    </w:p>
    <w:p w14:paraId="1929D5F6" w14:textId="77777777" w:rsidR="008A4CDD" w:rsidRPr="00336CF4" w:rsidRDefault="008A4CDD" w:rsidP="008A4CDD">
      <w:pPr>
        <w:shd w:val="clear" w:color="auto" w:fill="FFFFFF"/>
        <w:textAlignment w:val="top"/>
        <w:rPr>
          <w:rFonts w:ascii="Calibri" w:hAnsi="Calibri" w:cs="Arial"/>
          <w:sz w:val="22"/>
          <w:szCs w:val="22"/>
        </w:rPr>
      </w:pPr>
    </w:p>
    <w:p w14:paraId="7501F37D" w14:textId="77777777" w:rsidR="008A4CDD" w:rsidRPr="00336CF4" w:rsidRDefault="008A4CDD" w:rsidP="00D166FA">
      <w:pPr>
        <w:pStyle w:val="Head2"/>
        <w:rPr>
          <w:color w:val="auto"/>
        </w:rPr>
      </w:pPr>
      <w:bookmarkStart w:id="16" w:name="_Toc177561762"/>
      <w:r>
        <w:rPr>
          <w:color w:val="auto"/>
        </w:rPr>
        <w:t>Déterminer la meilleure offre</w:t>
      </w:r>
      <w:bookmarkEnd w:id="16"/>
    </w:p>
    <w:p w14:paraId="66E6FA4B" w14:textId="77777777" w:rsidR="008A4CDD" w:rsidRPr="00336CF4" w:rsidRDefault="008A4CDD" w:rsidP="008A4CDD">
      <w:pPr>
        <w:shd w:val="clear" w:color="auto" w:fill="FFFFFF"/>
        <w:textAlignment w:val="top"/>
        <w:rPr>
          <w:rFonts w:ascii="Calibri" w:hAnsi="Calibri" w:cs="Arial"/>
          <w:sz w:val="22"/>
          <w:szCs w:val="22"/>
          <w:u w:val="single"/>
        </w:rPr>
      </w:pPr>
    </w:p>
    <w:p w14:paraId="461D0110"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61BE9947" w14:textId="77777777" w:rsidR="008A4CDD" w:rsidRPr="00336CF4" w:rsidRDefault="008A4CDD" w:rsidP="008A4CDD">
      <w:pPr>
        <w:shd w:val="clear" w:color="auto" w:fill="FFFFFF"/>
        <w:textAlignment w:val="top"/>
        <w:rPr>
          <w:rFonts w:ascii="Calibri" w:hAnsi="Calibri" w:cs="Arial"/>
          <w:sz w:val="22"/>
          <w:szCs w:val="22"/>
        </w:rPr>
      </w:pPr>
    </w:p>
    <w:p w14:paraId="680B2A28" w14:textId="77777777" w:rsidR="00BD2B48" w:rsidRPr="00336CF4" w:rsidRDefault="008A4CDD" w:rsidP="00BD2B48">
      <w:pPr>
        <w:pStyle w:val="ListParagraph"/>
        <w:numPr>
          <w:ilvl w:val="1"/>
          <w:numId w:val="13"/>
        </w:numPr>
        <w:shd w:val="clear" w:color="auto" w:fill="FFFFFF"/>
        <w:ind w:left="1800"/>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0F5D39EB" w14:textId="77777777" w:rsidR="008A4CDD" w:rsidRPr="00336CF4" w:rsidRDefault="008A4CDD" w:rsidP="00BD2B48">
      <w:pPr>
        <w:pStyle w:val="ListParagraph"/>
        <w:shd w:val="clear" w:color="auto" w:fill="FFFFFF"/>
        <w:ind w:left="1800"/>
        <w:textAlignment w:val="top"/>
        <w:rPr>
          <w:rFonts w:ascii="Calibri" w:hAnsi="Calibri" w:cs="Arial"/>
          <w:sz w:val="22"/>
          <w:szCs w:val="22"/>
        </w:rPr>
      </w:pPr>
      <w:r>
        <w:rPr>
          <w:rFonts w:ascii="Calibri" w:hAnsi="Calibri"/>
          <w:sz w:val="22"/>
          <w:szCs w:val="22"/>
        </w:rPr>
        <w:t xml:space="preserve"> </w:t>
      </w:r>
    </w:p>
    <w:p w14:paraId="0683A9BE" w14:textId="77777777" w:rsidR="00BD2B48" w:rsidRPr="00336CF4" w:rsidRDefault="008A4CDD" w:rsidP="00BD2B48">
      <w:pPr>
        <w:pStyle w:val="ListParagraph"/>
        <w:numPr>
          <w:ilvl w:val="1"/>
          <w:numId w:val="13"/>
        </w:numPr>
        <w:shd w:val="clear" w:color="auto" w:fill="FFFFFF"/>
        <w:ind w:left="1800"/>
        <w:textAlignment w:val="top"/>
        <w:rPr>
          <w:rFonts w:ascii="Calibri" w:hAnsi="Calibri" w:cs="Arial"/>
          <w:sz w:val="22"/>
          <w:szCs w:val="22"/>
        </w:rPr>
      </w:pPr>
      <w:r>
        <w:rPr>
          <w:rFonts w:ascii="Calibri" w:hAnsi="Calibri"/>
          <w:sz w:val="22"/>
          <w:szCs w:val="22"/>
        </w:rPr>
        <w:t>Respecter les exigences des termes de référence, etc.</w:t>
      </w:r>
    </w:p>
    <w:p w14:paraId="04138870" w14:textId="77777777" w:rsidR="00BD2B48" w:rsidRPr="00336CF4" w:rsidRDefault="00BD2B48" w:rsidP="00BD2B48">
      <w:pPr>
        <w:pStyle w:val="ListParagraph"/>
        <w:shd w:val="clear" w:color="auto" w:fill="FFFFFF"/>
        <w:ind w:left="1800"/>
        <w:textAlignment w:val="top"/>
        <w:rPr>
          <w:rFonts w:ascii="Calibri" w:hAnsi="Calibri" w:cs="Arial"/>
          <w:sz w:val="22"/>
          <w:szCs w:val="22"/>
        </w:rPr>
      </w:pPr>
    </w:p>
    <w:p w14:paraId="7C65DCD1" w14:textId="77777777" w:rsidR="008A4CDD" w:rsidRPr="00336CF4" w:rsidRDefault="008A4CDD" w:rsidP="00BD2B48">
      <w:pPr>
        <w:pStyle w:val="ListParagraph"/>
        <w:numPr>
          <w:ilvl w:val="1"/>
          <w:numId w:val="13"/>
        </w:numPr>
        <w:shd w:val="clear" w:color="auto" w:fill="FFFFFF"/>
        <w:ind w:left="1800"/>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6AD53D9A" w14:textId="77777777" w:rsidR="008A4CDD" w:rsidRPr="00336CF4" w:rsidRDefault="008A4CDD" w:rsidP="008A4CDD">
      <w:pPr>
        <w:shd w:val="clear" w:color="auto" w:fill="FFFFFF"/>
        <w:textAlignment w:val="top"/>
        <w:rPr>
          <w:rFonts w:ascii="Calibri" w:hAnsi="Calibri" w:cs="Arial"/>
          <w:sz w:val="22"/>
          <w:szCs w:val="22"/>
        </w:rPr>
      </w:pPr>
    </w:p>
    <w:p w14:paraId="11A92A92"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évaluation des propositions applicable pour la méthode de l</w:t>
      </w:r>
      <w:r w:rsidR="004F7541">
        <w:rPr>
          <w:rFonts w:ascii="Calibri" w:hAnsi="Calibri"/>
          <w:sz w:val="22"/>
          <w:szCs w:val="22"/>
        </w:rPr>
        <w:t>’</w:t>
      </w:r>
      <w:r>
        <w:rPr>
          <w:rFonts w:ascii="Calibri" w:hAnsi="Calibri"/>
          <w:sz w:val="22"/>
          <w:szCs w:val="22"/>
        </w:rPr>
        <w:t>invitation à soumissionner est décrite dans la politique appropriée sur l</w:t>
      </w:r>
      <w:r w:rsidR="004F7541">
        <w:rPr>
          <w:rFonts w:ascii="Calibri" w:hAnsi="Calibri"/>
          <w:sz w:val="22"/>
          <w:szCs w:val="22"/>
        </w:rPr>
        <w:t>’</w:t>
      </w:r>
      <w:r>
        <w:rPr>
          <w:rFonts w:ascii="Calibri" w:hAnsi="Calibri"/>
          <w:sz w:val="22"/>
          <w:szCs w:val="22"/>
        </w:rPr>
        <w:t>évaluation des offres. Pour des raisons d</w:t>
      </w:r>
      <w:r w:rsidR="004F7541">
        <w:rPr>
          <w:rFonts w:ascii="Calibri" w:hAnsi="Calibri"/>
          <w:sz w:val="22"/>
          <w:szCs w:val="22"/>
        </w:rPr>
        <w:t>’</w:t>
      </w:r>
      <w:r>
        <w:rPr>
          <w:rFonts w:ascii="Calibri" w:hAnsi="Calibri"/>
          <w:sz w:val="22"/>
          <w:szCs w:val="22"/>
        </w:rPr>
        <w:t>économie et d</w:t>
      </w:r>
      <w:r w:rsidR="004F7541">
        <w:rPr>
          <w:rFonts w:ascii="Calibri" w:hAnsi="Calibri"/>
          <w:sz w:val="22"/>
          <w:szCs w:val="22"/>
        </w:rPr>
        <w:t>’</w:t>
      </w:r>
      <w:r>
        <w:rPr>
          <w:rFonts w:ascii="Calibri" w:hAnsi="Calibri"/>
          <w:sz w:val="22"/>
          <w:szCs w:val="22"/>
        </w:rPr>
        <w:t>efficacité, un minimum de trois soumissions techniques doit être évalué. Lors de l</w:t>
      </w:r>
      <w:r w:rsidR="004F7541">
        <w:rPr>
          <w:rFonts w:ascii="Calibri" w:hAnsi="Calibri"/>
          <w:sz w:val="22"/>
          <w:szCs w:val="22"/>
        </w:rPr>
        <w:t>’</w:t>
      </w:r>
      <w:r>
        <w:rPr>
          <w:rFonts w:ascii="Calibri" w:hAnsi="Calibri"/>
          <w:sz w:val="22"/>
          <w:szCs w:val="22"/>
        </w:rPr>
        <w:t>évaluation technique, les soumissions financières des soumissionnaires techniquement qualifiés sont évaluées. Selon la nature des exigences, l</w:t>
      </w:r>
      <w:r w:rsidR="004F7541">
        <w:rPr>
          <w:rFonts w:ascii="Calibri" w:hAnsi="Calibri"/>
          <w:sz w:val="22"/>
          <w:szCs w:val="22"/>
        </w:rPr>
        <w:t>’</w:t>
      </w:r>
      <w:r>
        <w:rPr>
          <w:rFonts w:ascii="Calibri" w:hAnsi="Calibri"/>
          <w:sz w:val="22"/>
          <w:szCs w:val="22"/>
        </w:rPr>
        <w:t>attribution du marché sera déterminée selon l</w:t>
      </w:r>
      <w:r w:rsidR="004F7541">
        <w:rPr>
          <w:rFonts w:ascii="Calibri" w:hAnsi="Calibri"/>
          <w:sz w:val="22"/>
          <w:szCs w:val="22"/>
        </w:rPr>
        <w:t>’</w:t>
      </w:r>
      <w:r>
        <w:rPr>
          <w:rFonts w:ascii="Calibri" w:hAnsi="Calibri"/>
          <w:sz w:val="22"/>
          <w:szCs w:val="22"/>
        </w:rPr>
        <w:t>une des méthodes suivantes</w:t>
      </w:r>
      <w:r w:rsidR="0049528D">
        <w:rPr>
          <w:rFonts w:ascii="Calibri" w:hAnsi="Calibri"/>
          <w:sz w:val="22"/>
          <w:szCs w:val="22"/>
        </w:rPr>
        <w:t> :</w:t>
      </w:r>
    </w:p>
    <w:p w14:paraId="21D2CCA0" w14:textId="77777777" w:rsidR="008A4CDD" w:rsidRPr="00336CF4" w:rsidRDefault="008A4CDD" w:rsidP="008A4CDD">
      <w:pPr>
        <w:shd w:val="clear" w:color="auto" w:fill="FFFFFF"/>
        <w:textAlignment w:val="top"/>
        <w:rPr>
          <w:rFonts w:ascii="Calibri" w:hAnsi="Calibri" w:cs="Arial"/>
          <w:sz w:val="22"/>
          <w:szCs w:val="22"/>
        </w:rPr>
      </w:pPr>
    </w:p>
    <w:p w14:paraId="2F00E8B3" w14:textId="77777777" w:rsidR="008A4CDD" w:rsidRPr="00336CF4" w:rsidRDefault="008A4CDD" w:rsidP="00BD2B48">
      <w:pPr>
        <w:pStyle w:val="ListParagraph"/>
        <w:numPr>
          <w:ilvl w:val="1"/>
          <w:numId w:val="14"/>
        </w:numPr>
        <w:shd w:val="clear" w:color="auto" w:fill="FFFFFF"/>
        <w:ind w:left="1800"/>
        <w:jc w:val="both"/>
        <w:textAlignment w:val="top"/>
        <w:rPr>
          <w:rFonts w:ascii="Calibri" w:hAnsi="Calibri" w:cs="Arial"/>
          <w:sz w:val="22"/>
          <w:szCs w:val="22"/>
        </w:rPr>
      </w:pPr>
      <w:r>
        <w:rPr>
          <w:rFonts w:ascii="Calibri" w:hAnsi="Calibri"/>
          <w:sz w:val="22"/>
          <w:szCs w:val="22"/>
        </w:rPr>
        <w:t>Offre la moins chère</w:t>
      </w:r>
    </w:p>
    <w:p w14:paraId="50EBD4F2" w14:textId="77777777" w:rsidR="00BD2B48" w:rsidRPr="00336CF4" w:rsidRDefault="00BD2B48" w:rsidP="00BD2B48">
      <w:pPr>
        <w:pStyle w:val="ListParagraph"/>
        <w:shd w:val="clear" w:color="auto" w:fill="FFFFFF"/>
        <w:ind w:left="1800" w:hanging="360"/>
        <w:jc w:val="both"/>
        <w:textAlignment w:val="top"/>
        <w:rPr>
          <w:rFonts w:ascii="Calibri" w:hAnsi="Calibri" w:cs="Arial"/>
          <w:sz w:val="22"/>
          <w:szCs w:val="22"/>
        </w:rPr>
      </w:pPr>
    </w:p>
    <w:p w14:paraId="0255316B" w14:textId="77777777" w:rsidR="008A4CDD" w:rsidRPr="00336CF4" w:rsidRDefault="008A4CDD" w:rsidP="00BD2B48">
      <w:pPr>
        <w:pStyle w:val="ListParagraph"/>
        <w:numPr>
          <w:ilvl w:val="1"/>
          <w:numId w:val="14"/>
        </w:numPr>
        <w:shd w:val="clear" w:color="auto" w:fill="FFFFFF"/>
        <w:ind w:left="1800"/>
        <w:jc w:val="both"/>
        <w:textAlignment w:val="top"/>
        <w:rPr>
          <w:rFonts w:ascii="Calibri" w:hAnsi="Calibri" w:cs="Arial"/>
          <w:sz w:val="22"/>
          <w:szCs w:val="22"/>
        </w:rPr>
      </w:pPr>
      <w:r>
        <w:rPr>
          <w:rFonts w:ascii="Calibri" w:hAnsi="Calibri"/>
          <w:sz w:val="22"/>
          <w:szCs w:val="22"/>
        </w:rPr>
        <w:t>La proposition la mieux notée en utilisant la méthode de notation combinée, qui effectue une pondération entre les soumissions techniques et financières énoncées dans l</w:t>
      </w:r>
      <w:r w:rsidR="004F7541">
        <w:rPr>
          <w:rFonts w:ascii="Calibri" w:hAnsi="Calibri"/>
          <w:sz w:val="22"/>
          <w:szCs w:val="22"/>
        </w:rPr>
        <w:t>’</w:t>
      </w:r>
      <w:r>
        <w:rPr>
          <w:rFonts w:ascii="Calibri" w:hAnsi="Calibri"/>
          <w:sz w:val="22"/>
          <w:szCs w:val="22"/>
        </w:rPr>
        <w:t>invitation à soumissionner.</w:t>
      </w:r>
    </w:p>
    <w:p w14:paraId="19557FC2" w14:textId="77777777" w:rsidR="008A4CDD" w:rsidRPr="00336CF4" w:rsidRDefault="008A4CDD" w:rsidP="008A4CDD">
      <w:pPr>
        <w:shd w:val="clear" w:color="auto" w:fill="FFFFFF"/>
        <w:textAlignment w:val="top"/>
        <w:rPr>
          <w:rFonts w:ascii="Calibri" w:hAnsi="Calibri" w:cs="Arial"/>
          <w:sz w:val="22"/>
          <w:szCs w:val="22"/>
        </w:rPr>
      </w:pPr>
    </w:p>
    <w:p w14:paraId="0012FD90"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Chaque fois que la deuxième méthode est utilisée, le coefficient de pondération entre les propositions techniques et financières sera respectivement de 70</w:t>
      </w:r>
      <w:r w:rsidR="00C76156">
        <w:rPr>
          <w:rFonts w:ascii="Calibri" w:hAnsi="Calibri"/>
          <w:sz w:val="22"/>
          <w:szCs w:val="22"/>
        </w:rPr>
        <w:t> </w:t>
      </w:r>
      <w:r w:rsidR="0049528D">
        <w:rPr>
          <w:rFonts w:ascii="Calibri" w:hAnsi="Calibri"/>
          <w:sz w:val="22"/>
          <w:szCs w:val="22"/>
        </w:rPr>
        <w:t>pour cent</w:t>
      </w:r>
      <w:r>
        <w:rPr>
          <w:rFonts w:ascii="Calibri" w:hAnsi="Calibri"/>
          <w:sz w:val="22"/>
          <w:szCs w:val="22"/>
        </w:rPr>
        <w:t xml:space="preserve"> et 30</w:t>
      </w:r>
      <w:r w:rsidR="00C76156">
        <w:rPr>
          <w:rFonts w:ascii="Calibri" w:hAnsi="Calibri"/>
          <w:sz w:val="22"/>
          <w:szCs w:val="22"/>
        </w:rPr>
        <w:t> </w:t>
      </w:r>
      <w:r w:rsidR="0049528D">
        <w:rPr>
          <w:rFonts w:ascii="Calibri" w:hAnsi="Calibri"/>
          <w:sz w:val="22"/>
          <w:szCs w:val="22"/>
        </w:rPr>
        <w:t>pour cent</w:t>
      </w:r>
      <w:r>
        <w:rPr>
          <w:rFonts w:ascii="Calibri" w:hAnsi="Calibri"/>
          <w:sz w:val="22"/>
          <w:szCs w:val="22"/>
        </w:rPr>
        <w:t>. Les propositions dont la note, à la fin de l</w:t>
      </w:r>
      <w:r w:rsidR="004F7541">
        <w:rPr>
          <w:rFonts w:ascii="Calibri" w:hAnsi="Calibri"/>
          <w:sz w:val="22"/>
          <w:szCs w:val="22"/>
        </w:rPr>
        <w:t>’</w:t>
      </w:r>
      <w:r>
        <w:rPr>
          <w:rFonts w:ascii="Calibri" w:hAnsi="Calibri"/>
          <w:sz w:val="22"/>
          <w:szCs w:val="22"/>
        </w:rPr>
        <w:t>évaluation de la soumission technique, n</w:t>
      </w:r>
      <w:r w:rsidR="004F7541">
        <w:rPr>
          <w:rFonts w:ascii="Calibri" w:hAnsi="Calibri"/>
          <w:sz w:val="22"/>
          <w:szCs w:val="22"/>
        </w:rPr>
        <w:t>’</w:t>
      </w:r>
      <w:r>
        <w:rPr>
          <w:rFonts w:ascii="Calibri" w:hAnsi="Calibri"/>
          <w:sz w:val="22"/>
          <w:szCs w:val="22"/>
        </w:rPr>
        <w:t>atteignent pas le seuil minimum d</w:t>
      </w:r>
      <w:r w:rsidR="004F7541">
        <w:rPr>
          <w:rFonts w:ascii="Calibri" w:hAnsi="Calibri"/>
          <w:sz w:val="22"/>
          <w:szCs w:val="22"/>
        </w:rPr>
        <w:t>’</w:t>
      </w:r>
      <w:r>
        <w:rPr>
          <w:rFonts w:ascii="Calibri" w:hAnsi="Calibri"/>
          <w:sz w:val="22"/>
          <w:szCs w:val="22"/>
        </w:rPr>
        <w:t>admission de 70 pour cent, sont déclarées irrecevables et ne sont plus qualifiées.</w:t>
      </w:r>
    </w:p>
    <w:p w14:paraId="73963DBF" w14:textId="77777777" w:rsidR="008A4CDD" w:rsidRPr="00336CF4" w:rsidRDefault="008A4CDD" w:rsidP="008A4CDD">
      <w:pPr>
        <w:shd w:val="clear" w:color="auto" w:fill="FFFFFF"/>
        <w:textAlignment w:val="top"/>
        <w:rPr>
          <w:rFonts w:ascii="Calibri" w:hAnsi="Calibri" w:cs="Arial"/>
          <w:sz w:val="22"/>
          <w:szCs w:val="22"/>
        </w:rPr>
      </w:pPr>
    </w:p>
    <w:p w14:paraId="65CBD0AE" w14:textId="77777777" w:rsidR="00A2272B"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Dans la mesure du possible, la proportion de la soumission technique ne devrait pas dépasser 70 </w:t>
      </w:r>
      <w:r w:rsidR="0049528D">
        <w:rPr>
          <w:rFonts w:ascii="Calibri" w:hAnsi="Calibri"/>
          <w:sz w:val="22"/>
          <w:szCs w:val="22"/>
        </w:rPr>
        <w:t>pour cent</w:t>
      </w:r>
      <w:r>
        <w:rPr>
          <w:rFonts w:ascii="Calibri" w:hAnsi="Calibri"/>
          <w:sz w:val="22"/>
          <w:szCs w:val="22"/>
        </w:rPr>
        <w:t>. Si, dans certains cas, il faut accorder une plus grande importance à la conformité technique, les unités administratives doivent d</w:t>
      </w:r>
      <w:r w:rsidR="004F7541">
        <w:rPr>
          <w:rFonts w:ascii="Calibri" w:hAnsi="Calibri"/>
          <w:sz w:val="22"/>
          <w:szCs w:val="22"/>
        </w:rPr>
        <w:t>’</w:t>
      </w:r>
      <w:r>
        <w:rPr>
          <w:rFonts w:ascii="Calibri" w:hAnsi="Calibri"/>
          <w:sz w:val="22"/>
          <w:szCs w:val="22"/>
        </w:rPr>
        <w:t>abord envisager de se concentrer sur les critères techniques de sélection, tout en évitant le risque de restreindre excessivement le champ concurrentiel.</w:t>
      </w:r>
    </w:p>
    <w:p w14:paraId="57119A45" w14:textId="77777777" w:rsidR="00A2272B" w:rsidRPr="00336CF4" w:rsidRDefault="00A2272B" w:rsidP="008A4CDD">
      <w:pPr>
        <w:shd w:val="clear" w:color="auto" w:fill="FFFFFF"/>
        <w:textAlignment w:val="top"/>
        <w:rPr>
          <w:rFonts w:ascii="Calibri" w:hAnsi="Calibri" w:cs="Arial"/>
          <w:sz w:val="22"/>
          <w:szCs w:val="22"/>
        </w:rPr>
      </w:pPr>
    </w:p>
    <w:p w14:paraId="59583AF5"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aucun cas, une unité administrative ne doit augmenter la proportion de la soumission technique pour augmenter la subjectivité de la notation globale. L</w:t>
      </w:r>
      <w:r w:rsidR="004F7541">
        <w:rPr>
          <w:rFonts w:ascii="Calibri" w:hAnsi="Calibri"/>
          <w:sz w:val="22"/>
          <w:szCs w:val="22"/>
        </w:rPr>
        <w:t>’</w:t>
      </w:r>
      <w:r>
        <w:rPr>
          <w:rFonts w:ascii="Calibri" w:hAnsi="Calibri"/>
          <w:sz w:val="22"/>
          <w:szCs w:val="22"/>
        </w:rPr>
        <w:t>augmentation de la proportion de la soumission technique au-delà de 70</w:t>
      </w:r>
      <w:r w:rsidR="00562CFA">
        <w:rPr>
          <w:rFonts w:ascii="Calibri" w:hAnsi="Calibri"/>
          <w:sz w:val="22"/>
          <w:szCs w:val="22"/>
        </w:rPr>
        <w:t> </w:t>
      </w:r>
      <w:r>
        <w:rPr>
          <w:rFonts w:ascii="Calibri" w:hAnsi="Calibri"/>
          <w:sz w:val="22"/>
          <w:szCs w:val="22"/>
        </w:rPr>
        <w:t xml:space="preserve">pour cent nécessite une demande au </w:t>
      </w:r>
      <w:r w:rsidR="00AC0FBF">
        <w:rPr>
          <w:rFonts w:ascii="Calibri" w:hAnsi="Calibri"/>
          <w:sz w:val="22"/>
          <w:szCs w:val="22"/>
        </w:rPr>
        <w:t>Chef</w:t>
      </w:r>
      <w:r>
        <w:rPr>
          <w:rFonts w:ascii="Calibri" w:hAnsi="Calibri"/>
          <w:sz w:val="22"/>
          <w:szCs w:val="22"/>
        </w:rPr>
        <w:t xml:space="preserve"> de </w:t>
      </w:r>
      <w:r w:rsidR="00AC0FBF">
        <w:rPr>
          <w:rFonts w:ascii="Calibri" w:hAnsi="Calibri"/>
          <w:sz w:val="22"/>
          <w:szCs w:val="22"/>
        </w:rPr>
        <w:t>l’Unité</w:t>
      </w:r>
      <w:r>
        <w:rPr>
          <w:rFonts w:ascii="Calibri" w:hAnsi="Calibri"/>
          <w:sz w:val="22"/>
          <w:szCs w:val="22"/>
        </w:rPr>
        <w:t xml:space="preserve"> des services d</w:t>
      </w:r>
      <w:r w:rsidR="004F7541">
        <w:rPr>
          <w:rFonts w:ascii="Calibri" w:hAnsi="Calibri"/>
          <w:sz w:val="22"/>
          <w:szCs w:val="22"/>
        </w:rPr>
        <w:t>’</w:t>
      </w:r>
      <w:r>
        <w:rPr>
          <w:rFonts w:ascii="Calibri" w:hAnsi="Calibri"/>
          <w:sz w:val="22"/>
          <w:szCs w:val="22"/>
        </w:rPr>
        <w:t xml:space="preserve">achat au </w:t>
      </w:r>
      <w:r w:rsidR="00AC0FBF">
        <w:rPr>
          <w:rFonts w:ascii="Calibri" w:hAnsi="Calibri"/>
          <w:sz w:val="22"/>
          <w:szCs w:val="22"/>
        </w:rPr>
        <w:t>Bureau</w:t>
      </w:r>
      <w:r>
        <w:rPr>
          <w:rFonts w:ascii="Calibri" w:hAnsi="Calibri"/>
          <w:sz w:val="22"/>
          <w:szCs w:val="22"/>
        </w:rPr>
        <w:t xml:space="preserve"> des services de gestion avant de publier l</w:t>
      </w:r>
      <w:r w:rsidR="004F7541">
        <w:rPr>
          <w:rFonts w:ascii="Calibri" w:hAnsi="Calibri"/>
          <w:sz w:val="22"/>
          <w:szCs w:val="22"/>
        </w:rPr>
        <w:t>’</w:t>
      </w:r>
      <w:r>
        <w:rPr>
          <w:rFonts w:ascii="Calibri" w:hAnsi="Calibri"/>
          <w:sz w:val="22"/>
          <w:szCs w:val="22"/>
        </w:rPr>
        <w:t>invitation à soumissionner. La demande doit être accompagnée d</w:t>
      </w:r>
      <w:r w:rsidR="004F7541">
        <w:rPr>
          <w:rFonts w:ascii="Calibri" w:hAnsi="Calibri"/>
          <w:sz w:val="22"/>
          <w:szCs w:val="22"/>
        </w:rPr>
        <w:t>’</w:t>
      </w:r>
      <w:r>
        <w:rPr>
          <w:rFonts w:ascii="Calibri" w:hAnsi="Calibri"/>
          <w:sz w:val="22"/>
          <w:szCs w:val="22"/>
        </w:rPr>
        <w:t>une justification appropriée et peut être approuvée ou rejetée.</w:t>
      </w:r>
    </w:p>
    <w:p w14:paraId="28DAA671" w14:textId="77777777" w:rsidR="008A4CDD" w:rsidRPr="00336CF4" w:rsidRDefault="008A4CDD" w:rsidP="00D166FA">
      <w:pPr>
        <w:pStyle w:val="Head2"/>
        <w:rPr>
          <w:color w:val="auto"/>
        </w:rPr>
      </w:pPr>
    </w:p>
    <w:p w14:paraId="673003EE" w14:textId="77777777" w:rsidR="008A4CDD" w:rsidRPr="00336CF4" w:rsidRDefault="00D166FA" w:rsidP="00D166FA">
      <w:pPr>
        <w:pStyle w:val="Head2"/>
        <w:rPr>
          <w:color w:val="auto"/>
        </w:rPr>
      </w:pPr>
      <w:bookmarkStart w:id="17" w:name="_Toc177561763"/>
      <w:r>
        <w:rPr>
          <w:iCs/>
          <w:color w:val="auto"/>
        </w:rPr>
        <w:t>Procédures d</w:t>
      </w:r>
      <w:r w:rsidR="004F7541">
        <w:rPr>
          <w:iCs/>
          <w:color w:val="auto"/>
        </w:rPr>
        <w:t>’</w:t>
      </w:r>
      <w:r>
        <w:rPr>
          <w:iCs/>
          <w:color w:val="auto"/>
        </w:rPr>
        <w:t>invitation à soumissionner en une ou deux étapes</w:t>
      </w:r>
      <w:bookmarkEnd w:id="17"/>
    </w:p>
    <w:p w14:paraId="3813BB38" w14:textId="77777777" w:rsidR="008A4CDD" w:rsidRPr="00336CF4" w:rsidRDefault="008A4CDD" w:rsidP="008A4CDD">
      <w:pPr>
        <w:shd w:val="clear" w:color="auto" w:fill="FFFFFF"/>
        <w:textAlignment w:val="top"/>
        <w:rPr>
          <w:rFonts w:ascii="Calibri" w:hAnsi="Calibri" w:cs="Arial"/>
          <w:sz w:val="22"/>
          <w:szCs w:val="22"/>
        </w:rPr>
      </w:pPr>
    </w:p>
    <w:p w14:paraId="6802338D"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 de la planification d</w:t>
      </w:r>
      <w:r w:rsidR="004F7541">
        <w:rPr>
          <w:rFonts w:ascii="Calibri" w:hAnsi="Calibri"/>
          <w:sz w:val="22"/>
          <w:szCs w:val="22"/>
        </w:rPr>
        <w:t>’</w:t>
      </w:r>
      <w:r>
        <w:rPr>
          <w:rFonts w:ascii="Calibri" w:hAnsi="Calibri"/>
          <w:sz w:val="22"/>
          <w:szCs w:val="22"/>
        </w:rPr>
        <w:t>une invitation à soumissionner, les unités administratives doivent choisir entre une procédure en une seule étape ou une procédure en deux étapes.</w:t>
      </w:r>
    </w:p>
    <w:p w14:paraId="37808AC1" w14:textId="77777777" w:rsidR="008A4CDD" w:rsidRPr="00336CF4" w:rsidRDefault="008A4CDD" w:rsidP="008A4CDD">
      <w:pPr>
        <w:shd w:val="clear" w:color="auto" w:fill="FFFFFF"/>
        <w:textAlignment w:val="top"/>
        <w:rPr>
          <w:rFonts w:ascii="Calibri" w:hAnsi="Calibri" w:cs="Arial"/>
          <w:sz w:val="22"/>
          <w:szCs w:val="22"/>
        </w:rPr>
      </w:pPr>
    </w:p>
    <w:p w14:paraId="5957E27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une seule étape nécessite le dépôt simultané des soumissions techniques et financières. Le PNUD évalue d</w:t>
      </w:r>
      <w:r w:rsidR="004F7541">
        <w:rPr>
          <w:rFonts w:ascii="Calibri" w:hAnsi="Calibri"/>
          <w:sz w:val="22"/>
          <w:szCs w:val="22"/>
        </w:rPr>
        <w:t>’</w:t>
      </w:r>
      <w:r>
        <w:rPr>
          <w:rFonts w:ascii="Calibri" w:hAnsi="Calibri"/>
          <w:sz w:val="22"/>
          <w:szCs w:val="22"/>
        </w:rPr>
        <w:t xml:space="preserve">abord les soumissions techniques, puis les soumissions financières des fournisseurs jugés techniquement conformes. Des modèles </w:t>
      </w:r>
      <w:r w:rsidR="006C6CB9">
        <w:rPr>
          <w:rFonts w:ascii="Calibri" w:hAnsi="Calibri"/>
          <w:sz w:val="22"/>
          <w:szCs w:val="22"/>
        </w:rPr>
        <w:t>types</w:t>
      </w:r>
      <w:r>
        <w:rPr>
          <w:rFonts w:ascii="Calibri" w:hAnsi="Calibri"/>
          <w:sz w:val="22"/>
          <w:szCs w:val="22"/>
        </w:rPr>
        <w:t xml:space="preserve"> de demande de soumissions sont utilisés pour cette procédure.</w:t>
      </w:r>
    </w:p>
    <w:p w14:paraId="1B9876C1" w14:textId="77777777" w:rsidR="008A4CDD" w:rsidRPr="00336CF4" w:rsidRDefault="008A4CDD" w:rsidP="008A4CDD">
      <w:pPr>
        <w:shd w:val="clear" w:color="auto" w:fill="FFFFFF"/>
        <w:textAlignment w:val="top"/>
        <w:rPr>
          <w:rFonts w:ascii="Calibri" w:hAnsi="Calibri" w:cs="Arial"/>
          <w:sz w:val="22"/>
          <w:szCs w:val="22"/>
        </w:rPr>
      </w:pPr>
    </w:p>
    <w:p w14:paraId="43109D6F"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une seule étape est l</w:t>
      </w:r>
      <w:r w:rsidR="004F7541">
        <w:rPr>
          <w:rFonts w:ascii="Calibri" w:hAnsi="Calibri"/>
          <w:sz w:val="22"/>
          <w:szCs w:val="22"/>
        </w:rPr>
        <w:t>’</w:t>
      </w:r>
      <w:r>
        <w:rPr>
          <w:rFonts w:ascii="Calibri" w:hAnsi="Calibri"/>
          <w:sz w:val="22"/>
          <w:szCs w:val="22"/>
        </w:rPr>
        <w:t>approche privilégiée, et la plus appropriée pour des services relativement simples et standardisés. Elle demande moins de temps pour terminer la procédure de sélection et élargit le champ concurrentiel.</w:t>
      </w:r>
    </w:p>
    <w:p w14:paraId="6F748490" w14:textId="77777777" w:rsidR="008A4CDD" w:rsidRPr="00336CF4" w:rsidRDefault="008A4CDD" w:rsidP="008A4CDD">
      <w:pPr>
        <w:shd w:val="clear" w:color="auto" w:fill="FFFFFF"/>
        <w:textAlignment w:val="top"/>
        <w:rPr>
          <w:rFonts w:ascii="Calibri" w:hAnsi="Calibri" w:cs="Arial"/>
          <w:sz w:val="22"/>
          <w:szCs w:val="22"/>
        </w:rPr>
      </w:pPr>
    </w:p>
    <w:p w14:paraId="640E6EF6"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Dans une procédure en deux étapes, la première étape nécessite que </w:t>
      </w:r>
      <w:r w:rsidR="00AC0FBF">
        <w:rPr>
          <w:rFonts w:ascii="Calibri" w:hAnsi="Calibri"/>
          <w:sz w:val="22"/>
          <w:szCs w:val="22"/>
        </w:rPr>
        <w:t>l’Unité</w:t>
      </w:r>
      <w:r>
        <w:rPr>
          <w:rFonts w:ascii="Calibri" w:hAnsi="Calibri"/>
          <w:sz w:val="22"/>
          <w:szCs w:val="22"/>
        </w:rPr>
        <w:t xml:space="preserve"> administrative élabore la demande de propositions et les termes de référence avec une description générale des fonctions et des résultats, sans détails techniques. Les soumissionnaires ne proposent qu</w:t>
      </w:r>
      <w:r w:rsidR="004F7541">
        <w:rPr>
          <w:rFonts w:ascii="Calibri" w:hAnsi="Calibri"/>
          <w:sz w:val="22"/>
          <w:szCs w:val="22"/>
        </w:rPr>
        <w:t>’</w:t>
      </w:r>
      <w:r>
        <w:rPr>
          <w:rFonts w:ascii="Calibri" w:hAnsi="Calibri"/>
          <w:sz w:val="22"/>
          <w:szCs w:val="22"/>
        </w:rPr>
        <w:t>une soumission technique, qui est ensuite évaluée. Le PNUD indique aux soumissionnaires les éventuelles modifications à apporter pour que leurs propositions soient mieux adaptées sur le plan technique. À ce stade, il est très important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ait aucun échange d</w:t>
      </w:r>
      <w:r w:rsidR="004F7541">
        <w:rPr>
          <w:rFonts w:ascii="Calibri" w:hAnsi="Calibri"/>
          <w:sz w:val="22"/>
          <w:szCs w:val="22"/>
        </w:rPr>
        <w:t>’</w:t>
      </w:r>
      <w:r>
        <w:rPr>
          <w:rFonts w:ascii="Calibri" w:hAnsi="Calibri"/>
          <w:sz w:val="22"/>
          <w:szCs w:val="22"/>
        </w:rPr>
        <w:t>informations confidentielles entre le PNUD et les soumissionnaires. La gestion du processus et du flux d</w:t>
      </w:r>
      <w:r w:rsidR="004F7541">
        <w:rPr>
          <w:rFonts w:ascii="Calibri" w:hAnsi="Calibri"/>
          <w:sz w:val="22"/>
          <w:szCs w:val="22"/>
        </w:rPr>
        <w:t>’</w:t>
      </w:r>
      <w:r>
        <w:rPr>
          <w:rFonts w:ascii="Calibri" w:hAnsi="Calibri"/>
          <w:sz w:val="22"/>
          <w:szCs w:val="22"/>
        </w:rPr>
        <w:t>information est très critique et sensible.</w:t>
      </w:r>
    </w:p>
    <w:p w14:paraId="18C3CDE1" w14:textId="77777777" w:rsidR="008A4CDD" w:rsidRPr="00336CF4" w:rsidRDefault="008A4CDD" w:rsidP="00D166FA">
      <w:pPr>
        <w:pStyle w:val="ListParagraph"/>
        <w:shd w:val="clear" w:color="auto" w:fill="FFFFFF"/>
        <w:jc w:val="both"/>
        <w:textAlignment w:val="top"/>
        <w:rPr>
          <w:rFonts w:ascii="Calibri" w:hAnsi="Calibri" w:cs="Arial"/>
          <w:sz w:val="22"/>
          <w:szCs w:val="22"/>
        </w:rPr>
      </w:pPr>
    </w:p>
    <w:p w14:paraId="2ABDE38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 xml:space="preserve">Au cours de la deuxième étape de la procédure, en fonction des conclusions tirées de la première étape, </w:t>
      </w:r>
      <w:r w:rsidR="00AC0FBF">
        <w:rPr>
          <w:rFonts w:ascii="Calibri" w:hAnsi="Calibri"/>
          <w:sz w:val="22"/>
          <w:szCs w:val="22"/>
        </w:rPr>
        <w:t>l’Unité</w:t>
      </w:r>
      <w:r>
        <w:rPr>
          <w:rFonts w:ascii="Calibri" w:hAnsi="Calibri"/>
          <w:sz w:val="22"/>
          <w:szCs w:val="22"/>
        </w:rPr>
        <w:t xml:space="preserve"> administrative informe tous les soumissionnaires des modifications apportées à l</w:t>
      </w:r>
      <w:r w:rsidR="004F7541">
        <w:rPr>
          <w:rFonts w:ascii="Calibri" w:hAnsi="Calibri"/>
          <w:sz w:val="22"/>
          <w:szCs w:val="22"/>
        </w:rPr>
        <w:t>’</w:t>
      </w:r>
      <w:r>
        <w:rPr>
          <w:rFonts w:ascii="Calibri" w:hAnsi="Calibri"/>
          <w:sz w:val="22"/>
          <w:szCs w:val="22"/>
        </w:rPr>
        <w:t>invitation à soumissionner et aux termes de référence, et leur demande de soumettre une nouvelle et dernière série de soumissions techniques, ainsi que leurs soumissions financières.</w:t>
      </w:r>
    </w:p>
    <w:p w14:paraId="51CF04D1" w14:textId="77777777" w:rsidR="008A4CDD" w:rsidRPr="00336CF4" w:rsidRDefault="008A4CDD" w:rsidP="008A4CDD">
      <w:pPr>
        <w:shd w:val="clear" w:color="auto" w:fill="FFFFFF"/>
        <w:textAlignment w:val="top"/>
        <w:rPr>
          <w:rFonts w:ascii="Calibri" w:hAnsi="Calibri" w:cs="Arial"/>
          <w:sz w:val="22"/>
          <w:szCs w:val="22"/>
        </w:rPr>
      </w:pPr>
    </w:p>
    <w:p w14:paraId="0DF89E0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 de l</w:t>
      </w:r>
      <w:r w:rsidR="004F7541">
        <w:rPr>
          <w:rFonts w:ascii="Calibri" w:hAnsi="Calibri"/>
          <w:sz w:val="22"/>
          <w:szCs w:val="22"/>
        </w:rPr>
        <w:t>’</w:t>
      </w:r>
      <w:r>
        <w:rPr>
          <w:rFonts w:ascii="Calibri" w:hAnsi="Calibri"/>
          <w:sz w:val="22"/>
          <w:szCs w:val="22"/>
        </w:rPr>
        <w:t>utilisation de la procédure en deux étapes, il faut accorder aux soumissionnaires un délai suffisant à chaque étape. Avant d</w:t>
      </w:r>
      <w:r w:rsidR="004F7541">
        <w:rPr>
          <w:rFonts w:ascii="Calibri" w:hAnsi="Calibri"/>
          <w:sz w:val="22"/>
          <w:szCs w:val="22"/>
        </w:rPr>
        <w:t>’</w:t>
      </w:r>
      <w:r>
        <w:rPr>
          <w:rFonts w:ascii="Calibri" w:hAnsi="Calibri"/>
          <w:sz w:val="22"/>
          <w:szCs w:val="22"/>
        </w:rPr>
        <w:t>entreprendre cette procédure longue et risquée, les unités administratives doivent avoir une solide connaissance du marché. Le personnel chargé des ach</w:t>
      </w:r>
      <w:r w:rsidR="00AD7397">
        <w:rPr>
          <w:rFonts w:ascii="Calibri" w:hAnsi="Calibri"/>
          <w:sz w:val="22"/>
          <w:szCs w:val="22"/>
        </w:rPr>
        <w:t>ats qui gère la sélection doi</w:t>
      </w:r>
      <w:r>
        <w:rPr>
          <w:rFonts w:ascii="Calibri" w:hAnsi="Calibri"/>
          <w:sz w:val="22"/>
          <w:szCs w:val="22"/>
        </w:rPr>
        <w:t>t avoir un haut niveau d</w:t>
      </w:r>
      <w:r w:rsidR="004F7541">
        <w:rPr>
          <w:rFonts w:ascii="Calibri" w:hAnsi="Calibri"/>
          <w:sz w:val="22"/>
          <w:szCs w:val="22"/>
        </w:rPr>
        <w:t>’</w:t>
      </w:r>
      <w:r>
        <w:rPr>
          <w:rFonts w:ascii="Calibri" w:hAnsi="Calibri"/>
          <w:sz w:val="22"/>
          <w:szCs w:val="22"/>
        </w:rPr>
        <w:t>expertise pour garantir l</w:t>
      </w:r>
      <w:r w:rsidR="004F7541">
        <w:rPr>
          <w:rFonts w:ascii="Calibri" w:hAnsi="Calibri"/>
          <w:sz w:val="22"/>
          <w:szCs w:val="22"/>
        </w:rPr>
        <w:t>’</w:t>
      </w:r>
      <w:r>
        <w:rPr>
          <w:rFonts w:ascii="Calibri" w:hAnsi="Calibri"/>
          <w:sz w:val="22"/>
          <w:szCs w:val="22"/>
        </w:rPr>
        <w:t>intégrité de la procédure.</w:t>
      </w:r>
    </w:p>
    <w:p w14:paraId="15D3D6DA" w14:textId="77777777" w:rsidR="008A4CDD" w:rsidRPr="00336CF4" w:rsidRDefault="008A4CDD" w:rsidP="008A4CDD">
      <w:pPr>
        <w:shd w:val="clear" w:color="auto" w:fill="FFFFFF"/>
        <w:textAlignment w:val="top"/>
        <w:rPr>
          <w:rFonts w:ascii="Calibri" w:hAnsi="Calibri" w:cs="Arial"/>
          <w:sz w:val="22"/>
          <w:szCs w:val="22"/>
        </w:rPr>
      </w:pPr>
    </w:p>
    <w:p w14:paraId="7AE62E47"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deux étapes ne peut être appliquée que dans des circonstances exceptionnelles, lorsque les conditions suivantes sont remplies</w:t>
      </w:r>
      <w:r w:rsidR="0049528D">
        <w:rPr>
          <w:rFonts w:ascii="Calibri" w:hAnsi="Calibri"/>
          <w:sz w:val="22"/>
          <w:szCs w:val="22"/>
        </w:rPr>
        <w:t> :</w:t>
      </w:r>
    </w:p>
    <w:p w14:paraId="6B8A45C3" w14:textId="77777777" w:rsidR="008A4CDD" w:rsidRPr="00336CF4" w:rsidRDefault="008A4CDD" w:rsidP="008A4CDD">
      <w:pPr>
        <w:shd w:val="clear" w:color="auto" w:fill="FFFFFF"/>
        <w:textAlignment w:val="top"/>
        <w:rPr>
          <w:rFonts w:ascii="Calibri" w:hAnsi="Calibri" w:cs="Arial"/>
          <w:sz w:val="22"/>
          <w:szCs w:val="22"/>
        </w:rPr>
      </w:pPr>
    </w:p>
    <w:p w14:paraId="32A3404D" w14:textId="77777777" w:rsidR="008A4CDD" w:rsidRPr="00336CF4" w:rsidRDefault="008A4CDD" w:rsidP="00BD2B48">
      <w:pPr>
        <w:pStyle w:val="ListParagraph"/>
        <w:numPr>
          <w:ilvl w:val="1"/>
          <w:numId w:val="15"/>
        </w:numPr>
        <w:shd w:val="clear" w:color="auto" w:fill="FFFFFF"/>
        <w:ind w:left="1800"/>
        <w:textAlignment w:val="top"/>
        <w:rPr>
          <w:rFonts w:ascii="Calibri" w:hAnsi="Calibri" w:cs="Arial"/>
          <w:sz w:val="22"/>
          <w:szCs w:val="22"/>
        </w:rPr>
      </w:pPr>
      <w:r>
        <w:rPr>
          <w:rFonts w:ascii="Calibri" w:hAnsi="Calibri"/>
          <w:sz w:val="22"/>
          <w:szCs w:val="22"/>
        </w:rPr>
        <w:t>Les exigences sont très complexes, portant sur des biens ou des services hautement techniques</w:t>
      </w:r>
    </w:p>
    <w:p w14:paraId="3BE6AA8E" w14:textId="77777777" w:rsidR="00D742C2" w:rsidRPr="00336CF4" w:rsidRDefault="00D742C2" w:rsidP="00BD2B48">
      <w:pPr>
        <w:pStyle w:val="ListParagraph"/>
        <w:shd w:val="clear" w:color="auto" w:fill="FFFFFF"/>
        <w:ind w:left="1800" w:hanging="360"/>
        <w:textAlignment w:val="top"/>
        <w:rPr>
          <w:rFonts w:ascii="Calibri" w:hAnsi="Calibri" w:cs="Arial"/>
          <w:sz w:val="22"/>
          <w:szCs w:val="22"/>
        </w:rPr>
      </w:pPr>
    </w:p>
    <w:p w14:paraId="1B29E899" w14:textId="77777777" w:rsidR="008A4CDD" w:rsidRPr="00336CF4" w:rsidRDefault="008A4CDD" w:rsidP="00BD2B48">
      <w:pPr>
        <w:pStyle w:val="ListParagraph"/>
        <w:numPr>
          <w:ilvl w:val="1"/>
          <w:numId w:val="15"/>
        </w:numPr>
        <w:shd w:val="clear" w:color="auto" w:fill="FFFFFF"/>
        <w:ind w:left="1800"/>
        <w:jc w:val="both"/>
        <w:textAlignment w:val="top"/>
        <w:rPr>
          <w:rFonts w:ascii="Calibri" w:hAnsi="Calibri" w:cs="Arial"/>
          <w:sz w:val="22"/>
          <w:szCs w:val="22"/>
        </w:rPr>
      </w:pPr>
      <w:r>
        <w:rPr>
          <w:rFonts w:ascii="Calibri" w:hAnsi="Calibri"/>
          <w:sz w:val="22"/>
          <w:szCs w:val="22"/>
        </w:rPr>
        <w:t>Un cas ex ante décrivant la justification et le mécanisme pour appliquer cette procédure en deux étapes a été soumis et dûment approuvé par le comité consultatif régional pour les achats ou le comité consultatif pour les achats.</w:t>
      </w:r>
    </w:p>
    <w:p w14:paraId="31CCF559" w14:textId="77777777" w:rsidR="008A4CDD" w:rsidRPr="00336CF4" w:rsidRDefault="008A4CDD" w:rsidP="008A4CDD">
      <w:pPr>
        <w:shd w:val="clear" w:color="auto" w:fill="FFFFFF"/>
        <w:textAlignment w:val="top"/>
        <w:rPr>
          <w:rFonts w:ascii="Calibri" w:hAnsi="Calibri" w:cs="Arial"/>
          <w:sz w:val="22"/>
          <w:szCs w:val="22"/>
        </w:rPr>
      </w:pPr>
    </w:p>
    <w:p w14:paraId="1EED20EA"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procédure d</w:t>
      </w:r>
      <w:r w:rsidR="004F7541">
        <w:rPr>
          <w:rFonts w:ascii="Calibri" w:hAnsi="Calibri"/>
          <w:sz w:val="22"/>
          <w:szCs w:val="22"/>
        </w:rPr>
        <w:t>’</w:t>
      </w:r>
      <w:r>
        <w:rPr>
          <w:rFonts w:ascii="Calibri" w:hAnsi="Calibri"/>
          <w:sz w:val="22"/>
          <w:szCs w:val="22"/>
        </w:rPr>
        <w:t xml:space="preserve">invitation à soumissionner est considérée </w:t>
      </w:r>
      <w:r w:rsidR="00C76156">
        <w:rPr>
          <w:rFonts w:ascii="Calibri" w:hAnsi="Calibri"/>
          <w:sz w:val="22"/>
          <w:szCs w:val="22"/>
        </w:rPr>
        <w:t xml:space="preserve">comme </w:t>
      </w:r>
      <w:r>
        <w:rPr>
          <w:rFonts w:ascii="Calibri" w:hAnsi="Calibri"/>
          <w:sz w:val="22"/>
          <w:szCs w:val="22"/>
        </w:rPr>
        <w:t>concurrentielle même si elle donne lieu à moins de trois soumissions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0A1472B9" w14:textId="77777777" w:rsidR="008A4CDD" w:rsidRPr="00336CF4" w:rsidRDefault="008A4CDD" w:rsidP="008A4CDD">
      <w:pPr>
        <w:shd w:val="clear" w:color="auto" w:fill="FFFFFF"/>
        <w:textAlignment w:val="top"/>
        <w:rPr>
          <w:rFonts w:ascii="Calibri" w:hAnsi="Calibri" w:cs="Arial"/>
          <w:sz w:val="22"/>
          <w:szCs w:val="22"/>
        </w:rPr>
      </w:pPr>
    </w:p>
    <w:p w14:paraId="4D81E225"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certaines circonstances, l</w:t>
      </w:r>
      <w:r w:rsidR="004F7541">
        <w:rPr>
          <w:rFonts w:ascii="Calibri" w:hAnsi="Calibri"/>
          <w:sz w:val="22"/>
          <w:szCs w:val="22"/>
        </w:rPr>
        <w:t>’</w:t>
      </w:r>
      <w:r>
        <w:rPr>
          <w:rFonts w:ascii="Calibri" w:hAnsi="Calibri"/>
          <w:sz w:val="22"/>
          <w:szCs w:val="22"/>
        </w:rPr>
        <w:t xml:space="preserve">invitation à soumissionner </w:t>
      </w:r>
      <w:proofErr w:type="gramStart"/>
      <w:r>
        <w:rPr>
          <w:rFonts w:ascii="Calibri" w:hAnsi="Calibri"/>
          <w:sz w:val="22"/>
          <w:szCs w:val="22"/>
        </w:rPr>
        <w:t>peut être</w:t>
      </w:r>
      <w:proofErr w:type="gramEnd"/>
      <w:r>
        <w:rPr>
          <w:rFonts w:ascii="Calibri" w:hAnsi="Calibri"/>
          <w:sz w:val="22"/>
          <w:szCs w:val="22"/>
        </w:rPr>
        <w:t xml:space="preserve"> utilisée pour établir un cadre ou un accord à long terme. L</w:t>
      </w:r>
      <w:r w:rsidR="004F7541">
        <w:rPr>
          <w:rFonts w:ascii="Calibri" w:hAnsi="Calibri"/>
          <w:sz w:val="22"/>
          <w:szCs w:val="22"/>
        </w:rPr>
        <w:t>’</w:t>
      </w:r>
      <w:r w:rsidR="00AC0FBF">
        <w:rPr>
          <w:rFonts w:ascii="Calibri" w:hAnsi="Calibri"/>
          <w:sz w:val="22"/>
          <w:szCs w:val="22"/>
        </w:rPr>
        <w:t>U</w:t>
      </w:r>
      <w:r>
        <w:rPr>
          <w:rFonts w:ascii="Calibri" w:hAnsi="Calibri"/>
          <w:sz w:val="22"/>
          <w:szCs w:val="22"/>
        </w:rPr>
        <w:t>nité administrative doit faire une prévision réaliste des besoins, de la date estimée de la demande et de la valeur totale approximative du contrat pendant la durée de l</w:t>
      </w:r>
      <w:r w:rsidR="004F7541">
        <w:rPr>
          <w:rFonts w:ascii="Calibri" w:hAnsi="Calibri"/>
          <w:sz w:val="22"/>
          <w:szCs w:val="22"/>
        </w:rPr>
        <w:t>’</w:t>
      </w:r>
      <w:r>
        <w:rPr>
          <w:rFonts w:ascii="Calibri" w:hAnsi="Calibri"/>
          <w:sz w:val="22"/>
          <w:szCs w:val="22"/>
        </w:rPr>
        <w:t>accord.</w:t>
      </w:r>
    </w:p>
    <w:p w14:paraId="0ACD9576" w14:textId="77777777" w:rsidR="008A4CDD" w:rsidRPr="00336CF4" w:rsidRDefault="008A4CDD" w:rsidP="008A4CDD">
      <w:pPr>
        <w:shd w:val="clear" w:color="auto" w:fill="FFFFFF"/>
        <w:textAlignment w:val="top"/>
        <w:rPr>
          <w:rFonts w:ascii="Calibri" w:hAnsi="Calibri" w:cs="Arial"/>
          <w:sz w:val="22"/>
          <w:szCs w:val="22"/>
        </w:rPr>
      </w:pPr>
    </w:p>
    <w:p w14:paraId="0BEB988D" w14:textId="77777777" w:rsidR="008A4CDD" w:rsidRPr="00336CF4" w:rsidRDefault="00D742C2" w:rsidP="00D166FA">
      <w:pPr>
        <w:pStyle w:val="Head2"/>
        <w:rPr>
          <w:color w:val="auto"/>
        </w:rPr>
      </w:pPr>
      <w:bookmarkStart w:id="18" w:name="_Toc177561764"/>
      <w:r>
        <w:rPr>
          <w:color w:val="auto"/>
        </w:rPr>
        <w:t>Marché par entente directe</w:t>
      </w:r>
      <w:bookmarkEnd w:id="18"/>
    </w:p>
    <w:p w14:paraId="6848140A" w14:textId="77777777" w:rsidR="008A4CDD" w:rsidRPr="00336CF4" w:rsidRDefault="008A4CDD" w:rsidP="008A4CDD">
      <w:pPr>
        <w:shd w:val="clear" w:color="auto" w:fill="FFFFFF"/>
        <w:textAlignment w:val="top"/>
        <w:rPr>
          <w:rFonts w:ascii="Calibri" w:hAnsi="Calibri" w:cs="Arial"/>
          <w:sz w:val="22"/>
          <w:szCs w:val="22"/>
        </w:rPr>
      </w:pPr>
    </w:p>
    <w:p w14:paraId="3035B407"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Lorsque le coût d</w:t>
      </w:r>
      <w:r w:rsidR="004F7541">
        <w:rPr>
          <w:rFonts w:ascii="Calibri" w:hAnsi="Calibri"/>
          <w:sz w:val="22"/>
          <w:szCs w:val="22"/>
        </w:rPr>
        <w:t>’</w:t>
      </w:r>
      <w:r>
        <w:rPr>
          <w:rFonts w:ascii="Calibri" w:hAnsi="Calibri"/>
          <w:sz w:val="22"/>
          <w:szCs w:val="22"/>
        </w:rPr>
        <w:t>un processus de passation de marchés concurrentiel l</w:t>
      </w:r>
      <w:r w:rsidR="004F7541">
        <w:rPr>
          <w:rFonts w:ascii="Calibri" w:hAnsi="Calibri"/>
          <w:sz w:val="22"/>
          <w:szCs w:val="22"/>
        </w:rPr>
        <w:t>’</w:t>
      </w:r>
      <w:r>
        <w:rPr>
          <w:rFonts w:ascii="Calibri" w:hAnsi="Calibri"/>
          <w:sz w:val="22"/>
          <w:szCs w:val="22"/>
        </w:rPr>
        <w:t>emporte sur les avantages, il est possible d</w:t>
      </w:r>
      <w:r w:rsidR="004F7541">
        <w:rPr>
          <w:rFonts w:ascii="Calibri" w:hAnsi="Calibri"/>
          <w:sz w:val="22"/>
          <w:szCs w:val="22"/>
        </w:rPr>
        <w:t>’</w:t>
      </w:r>
      <w:r>
        <w:rPr>
          <w:rFonts w:ascii="Calibri" w:hAnsi="Calibri"/>
          <w:sz w:val="22"/>
          <w:szCs w:val="22"/>
        </w:rPr>
        <w:t>appliquer des méthodes non concurrentielles, si certaines conditions sont remplies. Les méthodes non concurrentielles sont connues sous les dénominations de contrat direct, contrat à fournisseur exclusif ou contrat à fournisseur unique.</w:t>
      </w:r>
    </w:p>
    <w:p w14:paraId="174835B4" w14:textId="77777777" w:rsidR="008A4CDD" w:rsidRPr="00336CF4"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484106F8" w14:textId="56BFF2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Conformément à la règle de gestion financière n</w:t>
      </w:r>
      <w:r w:rsidR="00562CFA" w:rsidRPr="00562CFA">
        <w:rPr>
          <w:rFonts w:ascii="Calibri" w:hAnsi="Calibri"/>
          <w:sz w:val="22"/>
          <w:szCs w:val="22"/>
          <w:vertAlign w:val="superscript"/>
        </w:rPr>
        <w:t>o</w:t>
      </w:r>
      <w:r w:rsidR="00562CFA">
        <w:rPr>
          <w:rFonts w:ascii="Calibri" w:hAnsi="Calibri"/>
          <w:sz w:val="22"/>
          <w:szCs w:val="22"/>
        </w:rPr>
        <w:t> </w:t>
      </w:r>
      <w:r>
        <w:rPr>
          <w:rFonts w:ascii="Calibri" w:hAnsi="Calibri"/>
          <w:sz w:val="22"/>
          <w:szCs w:val="22"/>
        </w:rPr>
        <w:t>121.05 du PNUD, l</w:t>
      </w:r>
      <w:r w:rsidR="004F7541">
        <w:rPr>
          <w:rFonts w:ascii="Calibri" w:hAnsi="Calibri"/>
          <w:sz w:val="22"/>
          <w:szCs w:val="22"/>
        </w:rPr>
        <w:t>’</w:t>
      </w:r>
      <w:r>
        <w:rPr>
          <w:rFonts w:ascii="Calibri" w:hAnsi="Calibri"/>
          <w:sz w:val="22"/>
          <w:szCs w:val="22"/>
        </w:rPr>
        <w:t>une des conditions suivantes peut justifier la passation d</w:t>
      </w:r>
      <w:r w:rsidR="004F7541">
        <w:rPr>
          <w:rFonts w:ascii="Calibri" w:hAnsi="Calibri"/>
          <w:sz w:val="22"/>
          <w:szCs w:val="22"/>
        </w:rPr>
        <w:t>’</w:t>
      </w:r>
      <w:r>
        <w:rPr>
          <w:rFonts w:ascii="Calibri" w:hAnsi="Calibri"/>
          <w:sz w:val="22"/>
          <w:szCs w:val="22"/>
        </w:rPr>
        <w:t>un marché par entente directe.</w:t>
      </w:r>
      <w:r w:rsidR="006A3F08">
        <w:rPr>
          <w:rFonts w:ascii="Calibri" w:hAnsi="Calibri"/>
          <w:sz w:val="22"/>
          <w:szCs w:val="22"/>
        </w:rPr>
        <w:t xml:space="preserve"> </w:t>
      </w:r>
    </w:p>
    <w:p w14:paraId="01B52400" w14:textId="77777777" w:rsidR="00BD2B48" w:rsidRDefault="00BD2B48" w:rsidP="00BD2B48">
      <w:pPr>
        <w:pStyle w:val="ListParagraph"/>
        <w:rPr>
          <w:rFonts w:ascii="Calibri" w:hAnsi="Calibri" w:cs="Arial"/>
          <w:sz w:val="22"/>
          <w:szCs w:val="22"/>
        </w:rPr>
      </w:pPr>
    </w:p>
    <w:p w14:paraId="00FB52D8" w14:textId="77777777" w:rsidR="00C9160C" w:rsidRPr="00BD2B48" w:rsidRDefault="00C9160C" w:rsidP="00BD2B48">
      <w:pPr>
        <w:pStyle w:val="ListParagraph"/>
        <w:rPr>
          <w:rFonts w:ascii="Calibri" w:hAnsi="Calibri" w:cs="Arial"/>
          <w:sz w:val="22"/>
          <w:szCs w:val="22"/>
        </w:rPr>
      </w:pPr>
    </w:p>
    <w:p w14:paraId="1D32C78E" w14:textId="77777777" w:rsidR="00BD2B48" w:rsidRDefault="00BD2B48" w:rsidP="00BD2B48">
      <w:pPr>
        <w:shd w:val="clear" w:color="auto" w:fill="FFFFFF"/>
        <w:jc w:val="both"/>
        <w:textAlignment w:val="top"/>
        <w:rPr>
          <w:rFonts w:ascii="Calibri" w:hAnsi="Calibri" w:cs="Arial"/>
          <w:sz w:val="22"/>
          <w:szCs w:val="22"/>
        </w:rPr>
      </w:pPr>
    </w:p>
    <w:p w14:paraId="401E44DE" w14:textId="77777777" w:rsidR="00BD2B48" w:rsidRPr="00BD2B48" w:rsidRDefault="00BD2B48" w:rsidP="00BD2B48">
      <w:pPr>
        <w:shd w:val="clear" w:color="auto" w:fill="FFFFFF"/>
        <w:jc w:val="both"/>
        <w:textAlignment w:val="top"/>
        <w:rPr>
          <w:rFonts w:ascii="Calibri" w:hAnsi="Calibri" w:cs="Arial"/>
          <w:sz w:val="22"/>
          <w:szCs w:val="22"/>
        </w:rPr>
      </w:pPr>
    </w:p>
    <w:p w14:paraId="6444BE8E" w14:textId="77777777" w:rsidR="008A4CDD" w:rsidRPr="00D742C2" w:rsidRDefault="008A4CDD" w:rsidP="008A4CDD">
      <w:pPr>
        <w:shd w:val="clear" w:color="auto" w:fill="FFFFFF"/>
        <w:textAlignment w:val="top"/>
        <w:rPr>
          <w:rFonts w:ascii="Calibri" w:hAnsi="Calibri" w:cs="Arial"/>
          <w:sz w:val="22"/>
          <w:szCs w:val="22"/>
        </w:rPr>
      </w:pP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85"/>
        <w:gridCol w:w="2863"/>
        <w:gridCol w:w="5231"/>
      </w:tblGrid>
      <w:tr w:rsidR="008A4CDD" w:rsidRPr="00D742C2" w14:paraId="4F5B19B0" w14:textId="77777777" w:rsidTr="00675EB1">
        <w:trPr>
          <w:trHeight w:val="811"/>
        </w:trPr>
        <w:tc>
          <w:tcPr>
            <w:tcW w:w="2241" w:type="pct"/>
            <w:gridSpan w:val="2"/>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14:paraId="3C4F397C" w14:textId="77777777" w:rsidR="008A4CDD" w:rsidRPr="00D742C2" w:rsidRDefault="008A4CDD" w:rsidP="008A4CDD">
            <w:pPr>
              <w:spacing w:before="100" w:beforeAutospacing="1" w:after="100" w:afterAutospacing="1"/>
              <w:rPr>
                <w:rFonts w:ascii="Calibri" w:hAnsi="Calibri" w:cs="Arial"/>
                <w:sz w:val="22"/>
                <w:szCs w:val="22"/>
              </w:rPr>
            </w:pPr>
          </w:p>
          <w:p w14:paraId="465D131A"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b/>
                <w:bCs/>
                <w:sz w:val="22"/>
                <w:szCs w:val="22"/>
              </w:rPr>
              <w:t>Circonstances permettant la passation d</w:t>
            </w:r>
            <w:r w:rsidR="004F7541">
              <w:rPr>
                <w:rFonts w:ascii="Calibri" w:hAnsi="Calibri"/>
                <w:b/>
                <w:bCs/>
                <w:sz w:val="22"/>
                <w:szCs w:val="22"/>
              </w:rPr>
              <w:t>’</w:t>
            </w:r>
            <w:r>
              <w:rPr>
                <w:rFonts w:ascii="Calibri" w:hAnsi="Calibri"/>
                <w:b/>
                <w:bCs/>
                <w:sz w:val="22"/>
                <w:szCs w:val="22"/>
              </w:rPr>
              <w:t>un marché par entente directe</w:t>
            </w:r>
          </w:p>
        </w:tc>
        <w:tc>
          <w:tcPr>
            <w:tcW w:w="2759" w:type="pct"/>
            <w:tcBorders>
              <w:top w:val="single" w:sz="8"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7BB2AA1A" w14:textId="77777777" w:rsidR="008A4CDD" w:rsidRPr="00D742C2" w:rsidRDefault="008A4CDD" w:rsidP="008A4CDD">
            <w:pPr>
              <w:spacing w:before="100" w:beforeAutospacing="1" w:after="100" w:afterAutospacing="1"/>
              <w:rPr>
                <w:rFonts w:ascii="Calibri" w:hAnsi="Calibri" w:cs="Arial"/>
                <w:sz w:val="22"/>
                <w:szCs w:val="22"/>
              </w:rPr>
            </w:pPr>
          </w:p>
          <w:p w14:paraId="1034A99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b/>
                <w:bCs/>
                <w:sz w:val="22"/>
                <w:szCs w:val="22"/>
              </w:rPr>
              <w:t>Exemples</w:t>
            </w:r>
          </w:p>
        </w:tc>
      </w:tr>
      <w:tr w:rsidR="008A4CDD" w:rsidRPr="00D742C2" w14:paraId="74F6C861"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4F55D3C" w14:textId="77777777" w:rsidR="008A4CDD" w:rsidRPr="00D742C2" w:rsidRDefault="008A4CDD" w:rsidP="008A4CDD">
            <w:pPr>
              <w:spacing w:before="100" w:beforeAutospacing="1" w:after="100" w:afterAutospacing="1"/>
              <w:rPr>
                <w:rFonts w:ascii="Calibri" w:hAnsi="Calibri" w:cs="Arial"/>
                <w:sz w:val="22"/>
                <w:szCs w:val="22"/>
              </w:rPr>
            </w:pPr>
          </w:p>
          <w:p w14:paraId="0406C102"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12272719" w14:textId="01EEBFEA" w:rsidR="008A4CDD" w:rsidRPr="00D742C2" w:rsidRDefault="008A4CDD" w:rsidP="0094596F">
            <w:pPr>
              <w:spacing w:before="100" w:beforeAutospacing="1" w:after="100" w:afterAutospacing="1"/>
              <w:rPr>
                <w:rFonts w:ascii="Calibri" w:hAnsi="Calibri" w:cs="Arial"/>
                <w:sz w:val="22"/>
                <w:szCs w:val="22"/>
              </w:rPr>
            </w:pPr>
            <w:r>
              <w:rPr>
                <w:rFonts w:ascii="Calibri" w:hAnsi="Calibri"/>
                <w:sz w:val="22"/>
                <w:szCs w:val="22"/>
              </w:rPr>
              <w:t xml:space="preserve">Lorsque le montant </w:t>
            </w:r>
            <w:r w:rsidR="0004103B">
              <w:rPr>
                <w:rFonts w:ascii="Calibri" w:hAnsi="Calibri"/>
                <w:sz w:val="22"/>
                <w:szCs w:val="22"/>
              </w:rPr>
              <w:t xml:space="preserve">du marché est inférieur à </w:t>
            </w:r>
            <w:r w:rsidR="00415C74">
              <w:rPr>
                <w:rFonts w:ascii="Calibri" w:hAnsi="Calibri"/>
                <w:sz w:val="22"/>
                <w:szCs w:val="22"/>
              </w:rPr>
              <w:t>$</w:t>
            </w:r>
            <w:r w:rsidR="0004103B">
              <w:rPr>
                <w:rFonts w:ascii="Calibri" w:hAnsi="Calibri"/>
                <w:sz w:val="22"/>
                <w:szCs w:val="22"/>
              </w:rPr>
              <w:t>5 000 </w:t>
            </w:r>
            <w:r w:rsidR="0049528D">
              <w:rPr>
                <w:rFonts w:ascii="Calibri" w:hAnsi="Calibri"/>
                <w:sz w:val="22"/>
                <w:szCs w:val="22"/>
              </w:rPr>
              <w:t>dollars des États-Unis</w:t>
            </w:r>
            <w:r w:rsidRPr="0097772A">
              <w:rPr>
                <w:rFonts w:ascii="Calibri" w:hAnsi="Calibri"/>
                <w:sz w:val="22"/>
                <w:szCs w:val="22"/>
              </w:rPr>
              <w:t>.</w:t>
            </w:r>
            <w:r w:rsidR="00415C74" w:rsidRPr="0097772A">
              <w:rPr>
                <w:rFonts w:ascii="Calibri" w:hAnsi="Calibri"/>
                <w:sz w:val="22"/>
                <w:szCs w:val="22"/>
              </w:rPr>
              <w:t xml:space="preserve"> (($10,000 si le bureau approuve)</w:t>
            </w:r>
            <w:r w:rsidR="00873F58">
              <w:rPr>
                <w:rFonts w:ascii="Calibri" w:hAnsi="Calibri"/>
                <w:sz w:val="22"/>
                <w:szCs w:val="22"/>
              </w:rPr>
              <w: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313947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Cela s</w:t>
            </w:r>
            <w:r w:rsidR="004F7541">
              <w:rPr>
                <w:rFonts w:ascii="Calibri" w:hAnsi="Calibri"/>
                <w:sz w:val="22"/>
                <w:szCs w:val="22"/>
              </w:rPr>
              <w:t>’</w:t>
            </w:r>
            <w:r>
              <w:rPr>
                <w:rFonts w:ascii="Calibri" w:hAnsi="Calibri"/>
                <w:sz w:val="22"/>
                <w:szCs w:val="22"/>
              </w:rPr>
              <w:t>applique aux biens, aux services ou aux petits travaux de faible montant, ou lorsque le temps et les coûts de transaction liés à l</w:t>
            </w:r>
            <w:r w:rsidR="004F7541">
              <w:rPr>
                <w:rFonts w:ascii="Calibri" w:hAnsi="Calibri"/>
                <w:sz w:val="22"/>
                <w:szCs w:val="22"/>
              </w:rPr>
              <w:t>’</w:t>
            </w:r>
            <w:r>
              <w:rPr>
                <w:rFonts w:ascii="Calibri" w:hAnsi="Calibri"/>
                <w:sz w:val="22"/>
                <w:szCs w:val="22"/>
              </w:rPr>
              <w:t>obtention de deux offres ne sont pas justifiés ou pratiques.</w:t>
            </w:r>
          </w:p>
          <w:p w14:paraId="21347846"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Lorsque le temps, les circonstances et les conditions du marché permettent de produire rapidement et facilement au moins deux devis, la sélection concurrentielle à l</w:t>
            </w:r>
            <w:r w:rsidR="004F7541">
              <w:rPr>
                <w:rFonts w:ascii="Calibri" w:hAnsi="Calibri"/>
                <w:sz w:val="22"/>
                <w:szCs w:val="22"/>
              </w:rPr>
              <w:t>’</w:t>
            </w:r>
            <w:r>
              <w:rPr>
                <w:rFonts w:ascii="Calibri" w:hAnsi="Calibri"/>
                <w:sz w:val="22"/>
                <w:szCs w:val="22"/>
              </w:rPr>
              <w:t>aide du formulaire de prospection de micro-achat reste le processus recommandé pour obtenir un rapport qualité-prix.</w:t>
            </w:r>
          </w:p>
        </w:tc>
      </w:tr>
      <w:tr w:rsidR="008A4CDD" w:rsidRPr="00D742C2" w14:paraId="57387C7F"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A7235DD" w14:textId="77777777" w:rsidR="008A4CDD" w:rsidRPr="00D742C2" w:rsidRDefault="008A4CDD" w:rsidP="008A4CDD">
            <w:pPr>
              <w:spacing w:before="100" w:beforeAutospacing="1" w:after="100" w:afterAutospacing="1"/>
              <w:rPr>
                <w:rFonts w:ascii="Calibri" w:hAnsi="Calibri" w:cs="Arial"/>
                <w:sz w:val="22"/>
                <w:szCs w:val="22"/>
              </w:rPr>
            </w:pPr>
          </w:p>
          <w:p w14:paraId="4A89263E"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0A8CF2E4" w14:textId="7DB11EF8"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Il n</w:t>
            </w:r>
            <w:r w:rsidR="004F7541">
              <w:rPr>
                <w:rFonts w:ascii="Calibri" w:hAnsi="Calibri"/>
                <w:sz w:val="22"/>
                <w:szCs w:val="22"/>
              </w:rPr>
              <w:t>’</w:t>
            </w:r>
            <w:r>
              <w:rPr>
                <w:rFonts w:ascii="Calibri" w:hAnsi="Calibri"/>
                <w:sz w:val="22"/>
                <w:szCs w:val="22"/>
              </w:rPr>
              <w:t>existe pas de sources d</w:t>
            </w:r>
            <w:r w:rsidR="004F7541">
              <w:rPr>
                <w:rFonts w:ascii="Calibri" w:hAnsi="Calibri"/>
                <w:sz w:val="22"/>
                <w:szCs w:val="22"/>
              </w:rPr>
              <w:t>’</w:t>
            </w:r>
            <w:r>
              <w:rPr>
                <w:rFonts w:ascii="Calibri" w:hAnsi="Calibri"/>
                <w:sz w:val="22"/>
                <w:szCs w:val="22"/>
              </w:rPr>
              <w:t>approvisionnement concurrentielles pour les biens ou services requis</w:t>
            </w:r>
            <w:r w:rsidR="00873F58">
              <w:rPr>
                <w:rFonts w:ascii="Calibri" w:hAnsi="Calibri"/>
                <w:sz w:val="22"/>
                <w:szCs w:val="22"/>
              </w:rPr>
              <w: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C4ECA8D"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t>Lorsqu</w:t>
            </w:r>
            <w:r w:rsidR="004F7541">
              <w:rPr>
                <w:rFonts w:ascii="Calibri" w:hAnsi="Calibri"/>
                <w:sz w:val="22"/>
                <w:szCs w:val="22"/>
              </w:rPr>
              <w:t>’</w:t>
            </w:r>
            <w:r>
              <w:rPr>
                <w:rFonts w:ascii="Calibri" w:hAnsi="Calibri"/>
                <w:sz w:val="22"/>
                <w:szCs w:val="22"/>
              </w:rPr>
              <w:t>il y a un monopole.</w:t>
            </w:r>
          </w:p>
          <w:p w14:paraId="55BD6621"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 que deux acteurs sur le marché, ce n</w:t>
            </w:r>
            <w:r w:rsidR="004F7541">
              <w:rPr>
                <w:rFonts w:ascii="Calibri" w:hAnsi="Calibri"/>
                <w:sz w:val="22"/>
                <w:szCs w:val="22"/>
              </w:rPr>
              <w:t>’</w:t>
            </w:r>
            <w:r>
              <w:rPr>
                <w:rFonts w:ascii="Calibri" w:hAnsi="Calibri"/>
                <w:sz w:val="22"/>
                <w:szCs w:val="22"/>
              </w:rPr>
              <w:t>est plus un monopole, et la comparaison entre les deux fournisseurs ou prestataires de services doit malgré tout être établie.</w:t>
            </w:r>
          </w:p>
          <w:p w14:paraId="5E03D0D6"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Lorsque les prix sont fixés par la législation nationale et qu</w:t>
            </w:r>
            <w:r w:rsidR="004F7541">
              <w:rPr>
                <w:rFonts w:ascii="Calibri" w:hAnsi="Calibri"/>
                <w:sz w:val="22"/>
                <w:szCs w:val="22"/>
              </w:rPr>
              <w:t>’</w:t>
            </w:r>
            <w:r>
              <w:rPr>
                <w:rFonts w:ascii="Calibri" w:hAnsi="Calibri"/>
                <w:sz w:val="22"/>
                <w:szCs w:val="22"/>
              </w:rPr>
              <w:t>ils sont en vigueur au moment de la passation de marché.</w:t>
            </w:r>
          </w:p>
          <w:p w14:paraId="536F7B3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Dans ce cas, la preuve d</w:t>
            </w:r>
            <w:r w:rsidR="004F7541">
              <w:rPr>
                <w:rFonts w:ascii="Calibri" w:hAnsi="Calibri"/>
                <w:sz w:val="22"/>
                <w:szCs w:val="22"/>
              </w:rPr>
              <w:t>’</w:t>
            </w:r>
            <w:r>
              <w:rPr>
                <w:rFonts w:ascii="Calibri" w:hAnsi="Calibri"/>
                <w:sz w:val="22"/>
                <w:szCs w:val="22"/>
              </w:rPr>
              <w:t>une telle législation doit être consignée chaque fois qu</w:t>
            </w:r>
            <w:r w:rsidR="004F7541">
              <w:rPr>
                <w:rFonts w:ascii="Calibri" w:hAnsi="Calibri"/>
                <w:sz w:val="22"/>
                <w:szCs w:val="22"/>
              </w:rPr>
              <w:t>’</w:t>
            </w:r>
            <w:r>
              <w:rPr>
                <w:rFonts w:ascii="Calibri" w:hAnsi="Calibri"/>
                <w:sz w:val="22"/>
                <w:szCs w:val="22"/>
              </w:rPr>
              <w:t>un marché par entente directe est réalisé.</w:t>
            </w:r>
          </w:p>
          <w:p w14:paraId="76D67572"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t>Lorsque la demande concerne un produit ou un service exclusif.</w:t>
            </w:r>
          </w:p>
          <w:p w14:paraId="1C64846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produit ou service exclusif est acheté, il faut établir pourquoi un produit ou service équivalent non</w:t>
            </w:r>
            <w:r w:rsidR="00C76156">
              <w:rPr>
                <w:rFonts w:ascii="Calibri" w:hAnsi="Calibri"/>
                <w:sz w:val="22"/>
                <w:szCs w:val="22"/>
              </w:rPr>
              <w:t xml:space="preserve"> </w:t>
            </w:r>
            <w:r>
              <w:rPr>
                <w:rFonts w:ascii="Calibri" w:hAnsi="Calibri"/>
                <w:sz w:val="22"/>
                <w:szCs w:val="22"/>
              </w:rPr>
              <w:t>breveté ne satisfait pas à la demande.</w:t>
            </w:r>
          </w:p>
        </w:tc>
      </w:tr>
      <w:tr w:rsidR="008A4CDD" w:rsidRPr="00D742C2" w14:paraId="7F69B837"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2D0CF180" w14:textId="77777777" w:rsidR="008A4CDD" w:rsidRPr="00D742C2" w:rsidRDefault="008A4CDD" w:rsidP="008A4CDD">
            <w:pPr>
              <w:spacing w:before="100" w:beforeAutospacing="1" w:after="100" w:afterAutospacing="1"/>
              <w:rPr>
                <w:rFonts w:ascii="Calibri" w:hAnsi="Calibri" w:cs="Arial"/>
                <w:sz w:val="22"/>
                <w:szCs w:val="22"/>
              </w:rPr>
            </w:pPr>
          </w:p>
          <w:p w14:paraId="64997B6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iii.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F206906" w14:textId="3F45192C" w:rsidR="008A4CDD" w:rsidRPr="00D742C2" w:rsidRDefault="008A4CDD" w:rsidP="00F51CCC">
            <w:pPr>
              <w:spacing w:before="100" w:beforeAutospacing="1" w:after="100" w:afterAutospacing="1"/>
              <w:rPr>
                <w:rFonts w:ascii="Calibri" w:hAnsi="Calibri" w:cs="Arial"/>
                <w:sz w:val="22"/>
                <w:szCs w:val="22"/>
              </w:rPr>
            </w:pPr>
            <w:r>
              <w:rPr>
                <w:rFonts w:ascii="Calibri" w:hAnsi="Calibri"/>
                <w:sz w:val="22"/>
                <w:szCs w:val="22"/>
              </w:rPr>
              <w:t>Une décision a déjà été prise ou les biens ou services requis doivent être</w:t>
            </w:r>
            <w:r>
              <w:rPr>
                <w:rFonts w:ascii="Calibri" w:hAnsi="Calibri"/>
                <w:sz w:val="22"/>
                <w:szCs w:val="22"/>
              </w:rPr>
              <w:cr/>
            </w:r>
            <w:r w:rsidR="00F51CCC">
              <w:rPr>
                <w:rFonts w:ascii="Calibri" w:hAnsi="Calibri"/>
                <w:sz w:val="22"/>
                <w:szCs w:val="22"/>
              </w:rPr>
              <w:t xml:space="preserve"> </w:t>
            </w:r>
            <w:proofErr w:type="gramStart"/>
            <w:r>
              <w:rPr>
                <w:rFonts w:ascii="Calibri" w:hAnsi="Calibri"/>
                <w:sz w:val="22"/>
                <w:szCs w:val="22"/>
              </w:rPr>
              <w:t>normalisés</w:t>
            </w:r>
            <w:proofErr w:type="gramEnd"/>
            <w:r w:rsidR="00873F58">
              <w:rPr>
                <w:rFonts w:ascii="Calibri" w:hAnsi="Calibri"/>
                <w:sz w:val="22"/>
                <w:szCs w:val="22"/>
              </w:rPr>
              <w: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969EB03"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La compatibilité et la cohérence avec les équipements, les systèmes ou les technologies existants peuvent nécessiter un modèle d</w:t>
            </w:r>
            <w:r w:rsidR="004F7541">
              <w:rPr>
                <w:rFonts w:ascii="Calibri" w:hAnsi="Calibri"/>
                <w:sz w:val="22"/>
                <w:szCs w:val="22"/>
              </w:rPr>
              <w:t>’</w:t>
            </w:r>
            <w:r>
              <w:rPr>
                <w:rFonts w:ascii="Calibri" w:hAnsi="Calibri"/>
                <w:sz w:val="22"/>
                <w:szCs w:val="22"/>
              </w:rPr>
              <w:t>une marque spécifique ou un type de produit ou de technologie spécifique, de sorte que tout changement pourrait avoir un impact direct sur le cycle de vie ou la durabilité pour les utilisateurs finaux.</w:t>
            </w:r>
          </w:p>
        </w:tc>
      </w:tr>
      <w:tr w:rsidR="008A4CDD" w:rsidRPr="00D742C2" w14:paraId="6F3D1AFE"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5CD05ED" w14:textId="77777777" w:rsidR="008A4CDD" w:rsidRPr="00D742C2" w:rsidRDefault="008A4CDD" w:rsidP="008A4CDD">
            <w:pPr>
              <w:spacing w:before="100" w:beforeAutospacing="1" w:after="100" w:afterAutospacing="1"/>
              <w:rPr>
                <w:rFonts w:ascii="Calibri" w:hAnsi="Calibri" w:cs="Arial"/>
                <w:sz w:val="22"/>
                <w:szCs w:val="22"/>
              </w:rPr>
            </w:pPr>
          </w:p>
          <w:p w14:paraId="756916F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iv.</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5BA2A83E"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Les achats proposés sont le résultat de la coopération avec d</w:t>
            </w:r>
            <w:r w:rsidR="004F7541">
              <w:rPr>
                <w:rFonts w:ascii="Calibri" w:hAnsi="Calibri"/>
                <w:sz w:val="22"/>
                <w:szCs w:val="22"/>
              </w:rPr>
              <w:t>’</w:t>
            </w:r>
            <w:r>
              <w:rPr>
                <w:rFonts w:ascii="Calibri" w:hAnsi="Calibri"/>
                <w:sz w:val="22"/>
                <w:szCs w:val="22"/>
              </w:rPr>
              <w:t>autres organisations au sein du système des Nations Unies.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A1D3A74"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La coopération avec d</w:t>
            </w:r>
            <w:r w:rsidR="004F7541">
              <w:rPr>
                <w:rFonts w:ascii="Calibri" w:hAnsi="Calibri"/>
                <w:sz w:val="22"/>
                <w:szCs w:val="22"/>
              </w:rPr>
              <w:t>’</w:t>
            </w:r>
            <w:r>
              <w:rPr>
                <w:rFonts w:ascii="Calibri" w:hAnsi="Calibri"/>
                <w:sz w:val="22"/>
                <w:szCs w:val="22"/>
              </w:rPr>
              <w:t xml:space="preserve">autres organisations du système des Nations Unies peut être utile pour répondre aux exigences du PNUD, à condition que leurs règles et </w:t>
            </w:r>
            <w:r>
              <w:rPr>
                <w:rFonts w:ascii="Calibri" w:hAnsi="Calibri"/>
                <w:sz w:val="22"/>
                <w:szCs w:val="22"/>
              </w:rPr>
              <w:lastRenderedPageBreak/>
              <w:t>règlementations soient compatibles avec celles du PNUD. Cette coopération peut comprendre</w:t>
            </w:r>
            <w:r w:rsidR="0049528D">
              <w:rPr>
                <w:rFonts w:ascii="Calibri" w:hAnsi="Calibri"/>
                <w:sz w:val="22"/>
                <w:szCs w:val="22"/>
              </w:rPr>
              <w:t> :</w:t>
            </w:r>
          </w:p>
          <w:p w14:paraId="1E58252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r>
            <w:r w:rsidR="00C76156">
              <w:rPr>
                <w:rFonts w:ascii="Calibri" w:hAnsi="Calibri"/>
                <w:sz w:val="22"/>
                <w:szCs w:val="22"/>
              </w:rPr>
              <w:t>L</w:t>
            </w:r>
            <w:r>
              <w:rPr>
                <w:rFonts w:ascii="Calibri" w:hAnsi="Calibri"/>
                <w:sz w:val="22"/>
                <w:szCs w:val="22"/>
              </w:rPr>
              <w:t>a réalisation d</w:t>
            </w:r>
            <w:r w:rsidR="004F7541">
              <w:rPr>
                <w:rFonts w:ascii="Calibri" w:hAnsi="Calibri"/>
                <w:sz w:val="22"/>
                <w:szCs w:val="22"/>
              </w:rPr>
              <w:t>’</w:t>
            </w:r>
            <w:r>
              <w:rPr>
                <w:rFonts w:ascii="Calibri" w:hAnsi="Calibri"/>
                <w:sz w:val="22"/>
                <w:szCs w:val="22"/>
              </w:rPr>
              <w:t>actions communes en matière d</w:t>
            </w:r>
            <w:r w:rsidR="004F7541">
              <w:rPr>
                <w:rFonts w:ascii="Calibri" w:hAnsi="Calibri"/>
                <w:sz w:val="22"/>
                <w:szCs w:val="22"/>
              </w:rPr>
              <w:t>’</w:t>
            </w:r>
            <w:r>
              <w:rPr>
                <w:rFonts w:ascii="Calibri" w:hAnsi="Calibri"/>
                <w:sz w:val="22"/>
                <w:szCs w:val="22"/>
              </w:rPr>
              <w:t>approvisionnement</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3695CE57"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r>
            <w:r w:rsidR="00C76156">
              <w:rPr>
                <w:rFonts w:ascii="Calibri" w:hAnsi="Calibri"/>
                <w:sz w:val="22"/>
                <w:szCs w:val="22"/>
              </w:rPr>
              <w:t>L</w:t>
            </w:r>
            <w:r>
              <w:rPr>
                <w:rFonts w:ascii="Calibri" w:hAnsi="Calibri"/>
                <w:sz w:val="22"/>
                <w:szCs w:val="22"/>
              </w:rPr>
              <w:t>a conclusion d</w:t>
            </w:r>
            <w:r w:rsidR="004F7541">
              <w:rPr>
                <w:rFonts w:ascii="Calibri" w:hAnsi="Calibri"/>
                <w:sz w:val="22"/>
                <w:szCs w:val="22"/>
              </w:rPr>
              <w:t>’</w:t>
            </w:r>
            <w:r>
              <w:rPr>
                <w:rFonts w:ascii="Calibri" w:hAnsi="Calibri"/>
                <w:sz w:val="22"/>
                <w:szCs w:val="22"/>
              </w:rPr>
              <w:t>un contrat par le PNUD en s</w:t>
            </w:r>
            <w:r w:rsidR="004F7541">
              <w:rPr>
                <w:rFonts w:ascii="Calibri" w:hAnsi="Calibri"/>
                <w:sz w:val="22"/>
                <w:szCs w:val="22"/>
              </w:rPr>
              <w:t>’</w:t>
            </w:r>
            <w:r>
              <w:rPr>
                <w:rFonts w:ascii="Calibri" w:hAnsi="Calibri"/>
                <w:sz w:val="22"/>
                <w:szCs w:val="22"/>
              </w:rPr>
              <w:t>appuyant sur une décision d</w:t>
            </w:r>
            <w:r w:rsidR="004F7541">
              <w:rPr>
                <w:rFonts w:ascii="Calibri" w:hAnsi="Calibri"/>
                <w:sz w:val="22"/>
                <w:szCs w:val="22"/>
              </w:rPr>
              <w:t>’</w:t>
            </w:r>
            <w:r>
              <w:rPr>
                <w:rFonts w:ascii="Calibri" w:hAnsi="Calibri"/>
                <w:sz w:val="22"/>
                <w:szCs w:val="22"/>
              </w:rPr>
              <w:t>achat d</w:t>
            </w:r>
            <w:r w:rsidR="004F7541">
              <w:rPr>
                <w:rFonts w:ascii="Calibri" w:hAnsi="Calibri"/>
                <w:sz w:val="22"/>
                <w:szCs w:val="22"/>
              </w:rPr>
              <w:t>’</w:t>
            </w:r>
            <w:r>
              <w:rPr>
                <w:rFonts w:ascii="Calibri" w:hAnsi="Calibri"/>
                <w:sz w:val="22"/>
                <w:szCs w:val="22"/>
              </w:rPr>
              <w:t>une autre organisation</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2C19A78A"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r>
            <w:r w:rsidR="00C76156">
              <w:rPr>
                <w:rFonts w:ascii="Calibri" w:hAnsi="Calibri"/>
                <w:sz w:val="22"/>
                <w:szCs w:val="22"/>
              </w:rPr>
              <w:t>U</w:t>
            </w:r>
            <w:r>
              <w:rPr>
                <w:rFonts w:ascii="Calibri" w:hAnsi="Calibri"/>
                <w:sz w:val="22"/>
                <w:szCs w:val="22"/>
              </w:rPr>
              <w:t>ne demande faite par le PNUD à une autre organisation des Nations Unies pour mener des activités d</w:t>
            </w:r>
            <w:r w:rsidR="004F7541">
              <w:rPr>
                <w:rFonts w:ascii="Calibri" w:hAnsi="Calibri"/>
                <w:sz w:val="22"/>
                <w:szCs w:val="22"/>
              </w:rPr>
              <w:t>’</w:t>
            </w:r>
            <w:r>
              <w:rPr>
                <w:rFonts w:ascii="Calibri" w:hAnsi="Calibri"/>
                <w:sz w:val="22"/>
                <w:szCs w:val="22"/>
              </w:rPr>
              <w:t>approvisionnement en son nom.</w:t>
            </w:r>
          </w:p>
        </w:tc>
      </w:tr>
      <w:tr w:rsidR="008A4CDD" w:rsidRPr="00D742C2" w14:paraId="7516D20B"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6417584" w14:textId="77777777" w:rsidR="008A4CDD" w:rsidRPr="00D742C2" w:rsidRDefault="008A4CDD" w:rsidP="008A4CDD">
            <w:pPr>
              <w:spacing w:before="100" w:beforeAutospacing="1" w:after="100" w:afterAutospacing="1"/>
              <w:rPr>
                <w:rFonts w:ascii="Calibri" w:hAnsi="Calibri" w:cs="Arial"/>
                <w:sz w:val="22"/>
                <w:szCs w:val="22"/>
              </w:rPr>
            </w:pPr>
          </w:p>
          <w:p w14:paraId="68460A83"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v.</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20E4151" w14:textId="0EFE123F"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 xml:space="preserve">Des offres portant sur des besoins identiques ont été obtenues de façon </w:t>
            </w:r>
            <w:r w:rsidR="0004103B">
              <w:rPr>
                <w:rFonts w:ascii="Calibri" w:hAnsi="Calibri"/>
                <w:sz w:val="22"/>
                <w:szCs w:val="22"/>
              </w:rPr>
              <w:t>concurrentielle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 et les prix et conditions offerts demeurent compétitifs.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7ECB8A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En appliquant cette justification, quatre conditions minimales doivent être remplies</w:t>
            </w:r>
            <w:r w:rsidR="0049528D">
              <w:rPr>
                <w:rFonts w:ascii="Calibri" w:hAnsi="Calibri"/>
                <w:sz w:val="22"/>
                <w:szCs w:val="22"/>
              </w:rPr>
              <w:t> :</w:t>
            </w:r>
          </w:p>
          <w:p w14:paraId="2F75FFD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r>
            <w:r w:rsidR="00C76156">
              <w:rPr>
                <w:rFonts w:ascii="Calibri" w:hAnsi="Calibri"/>
                <w:sz w:val="22"/>
                <w:szCs w:val="22"/>
              </w:rPr>
              <w:t>L</w:t>
            </w:r>
            <w:r>
              <w:rPr>
                <w:rFonts w:ascii="Calibri" w:hAnsi="Calibri"/>
                <w:sz w:val="22"/>
                <w:szCs w:val="22"/>
              </w:rPr>
              <w:t>es exigences sont identiques</w:t>
            </w:r>
            <w:r w:rsidR="0049528D">
              <w:rPr>
                <w:rFonts w:ascii="Calibri" w:hAnsi="Calibri"/>
                <w:sz w:val="22"/>
                <w:szCs w:val="22"/>
              </w:rPr>
              <w:t> ;</w:t>
            </w:r>
          </w:p>
          <w:p w14:paraId="5CE5CFD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r>
            <w:r w:rsidR="00C76156">
              <w:rPr>
                <w:rFonts w:ascii="Calibri" w:hAnsi="Calibri"/>
                <w:sz w:val="22"/>
                <w:szCs w:val="22"/>
              </w:rPr>
              <w:t>L</w:t>
            </w:r>
            <w:r w:rsidR="004F7541">
              <w:rPr>
                <w:rFonts w:ascii="Calibri" w:hAnsi="Calibri"/>
                <w:sz w:val="22"/>
                <w:szCs w:val="22"/>
              </w:rPr>
              <w:t>’</w:t>
            </w:r>
            <w:r>
              <w:rPr>
                <w:rFonts w:ascii="Calibri" w:hAnsi="Calibri"/>
                <w:sz w:val="22"/>
                <w:szCs w:val="22"/>
              </w:rPr>
              <w:t>achat précédent était le résultat d</w:t>
            </w:r>
            <w:r w:rsidR="004F7541">
              <w:rPr>
                <w:rFonts w:ascii="Calibri" w:hAnsi="Calibri"/>
                <w:sz w:val="22"/>
                <w:szCs w:val="22"/>
              </w:rPr>
              <w:t>’</w:t>
            </w:r>
            <w:r>
              <w:rPr>
                <w:rFonts w:ascii="Calibri" w:hAnsi="Calibri"/>
                <w:sz w:val="22"/>
                <w:szCs w:val="22"/>
              </w:rPr>
              <w:t>une procédure concurrentielle</w:t>
            </w:r>
            <w:r w:rsidR="0049528D">
              <w:rPr>
                <w:rFonts w:ascii="Calibri" w:hAnsi="Calibri"/>
                <w:sz w:val="22"/>
                <w:szCs w:val="22"/>
              </w:rPr>
              <w:t> ;</w:t>
            </w:r>
            <w:r>
              <w:rPr>
                <w:rFonts w:ascii="Calibri" w:hAnsi="Calibri"/>
                <w:sz w:val="22"/>
                <w:szCs w:val="22"/>
              </w:rPr>
              <w:t xml:space="preserve"> </w:t>
            </w:r>
          </w:p>
          <w:p w14:paraId="77649140" w14:textId="440EC1FE"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r>
            <w:r w:rsidR="00C76156">
              <w:rPr>
                <w:rFonts w:ascii="Calibri" w:hAnsi="Calibri"/>
                <w:sz w:val="22"/>
                <w:szCs w:val="22"/>
              </w:rPr>
              <w:t>L</w:t>
            </w:r>
            <w:r w:rsidR="004F7541">
              <w:rPr>
                <w:rFonts w:ascii="Calibri" w:hAnsi="Calibri"/>
                <w:sz w:val="22"/>
                <w:szCs w:val="22"/>
              </w:rPr>
              <w:t>’</w:t>
            </w:r>
            <w:r>
              <w:rPr>
                <w:rFonts w:ascii="Calibri" w:hAnsi="Calibri"/>
                <w:sz w:val="22"/>
                <w:szCs w:val="22"/>
              </w:rPr>
              <w:t>achat, et non la procédure de sélection,</w:t>
            </w:r>
            <w:r w:rsidR="0004103B">
              <w:rPr>
                <w:rFonts w:ascii="Calibri" w:hAnsi="Calibri"/>
                <w:sz w:val="22"/>
                <w:szCs w:val="22"/>
              </w:rPr>
              <w:t xml:space="preserve"> a été effectué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w:t>
            </w:r>
            <w:r w:rsidR="0049528D">
              <w:rPr>
                <w:rFonts w:ascii="Calibri" w:hAnsi="Calibri"/>
                <w:sz w:val="22"/>
                <w:szCs w:val="22"/>
              </w:rPr>
              <w:t> ;</w:t>
            </w:r>
            <w:r>
              <w:rPr>
                <w:rFonts w:ascii="Calibri" w:hAnsi="Calibri"/>
                <w:sz w:val="22"/>
                <w:szCs w:val="22"/>
              </w:rPr>
              <w:t xml:space="preserve"> et </w:t>
            </w:r>
          </w:p>
          <w:p w14:paraId="68252C06" w14:textId="05351594"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d)</w:t>
            </w:r>
            <w:r>
              <w:rPr>
                <w:rFonts w:ascii="Calibri" w:hAnsi="Calibri"/>
                <w:sz w:val="22"/>
                <w:szCs w:val="22"/>
              </w:rPr>
              <w:tab/>
            </w:r>
            <w:r w:rsidR="00C76156">
              <w:rPr>
                <w:rFonts w:ascii="Calibri" w:hAnsi="Calibri"/>
                <w:sz w:val="22"/>
                <w:szCs w:val="22"/>
              </w:rPr>
              <w:t>L</w:t>
            </w:r>
            <w:r>
              <w:rPr>
                <w:rFonts w:ascii="Calibri" w:hAnsi="Calibri"/>
                <w:sz w:val="22"/>
                <w:szCs w:val="22"/>
              </w:rPr>
              <w:t>es prix et les conditions sont r</w:t>
            </w:r>
            <w:r w:rsidR="0004103B">
              <w:rPr>
                <w:rFonts w:ascii="Calibri" w:hAnsi="Calibri"/>
                <w:sz w:val="22"/>
                <w:szCs w:val="22"/>
              </w:rPr>
              <w:t>estés les mêmes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w:t>
            </w:r>
          </w:p>
        </w:tc>
      </w:tr>
      <w:tr w:rsidR="00873F58" w:rsidRPr="00D742C2" w14:paraId="1DE189D6"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1CCC0D5D" w14:textId="77777777" w:rsidR="00873F58" w:rsidRPr="00D742C2" w:rsidRDefault="00873F58" w:rsidP="00873F58">
            <w:pPr>
              <w:spacing w:before="100" w:beforeAutospacing="1" w:after="100" w:afterAutospacing="1"/>
              <w:rPr>
                <w:rFonts w:ascii="Calibri" w:hAnsi="Calibri" w:cs="Arial"/>
                <w:sz w:val="22"/>
                <w:szCs w:val="22"/>
              </w:rPr>
            </w:pPr>
          </w:p>
          <w:p w14:paraId="179B4D9A" w14:textId="54278446"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14:paraId="3BFCD0C2" w14:textId="0764E2A4" w:rsidR="00873F58" w:rsidRDefault="00E60A5D" w:rsidP="00873F58">
            <w:pPr>
              <w:spacing w:before="100" w:beforeAutospacing="1" w:after="100" w:afterAutospacing="1"/>
              <w:rPr>
                <w:rFonts w:ascii="Calibri" w:hAnsi="Calibri"/>
                <w:sz w:val="22"/>
                <w:szCs w:val="22"/>
              </w:rPr>
            </w:pPr>
            <w:r>
              <w:rPr>
                <w:rFonts w:ascii="Calibri" w:hAnsi="Calibri"/>
                <w:sz w:val="22"/>
                <w:szCs w:val="22"/>
              </w:rPr>
              <w:t>La concurrence</w:t>
            </w:r>
            <w:r w:rsidR="00873F58" w:rsidRPr="00873F58">
              <w:rPr>
                <w:rFonts w:ascii="Calibri" w:hAnsi="Calibri"/>
                <w:sz w:val="22"/>
                <w:szCs w:val="22"/>
              </w:rPr>
              <w:t xml:space="preserve"> </w:t>
            </w:r>
            <w:r w:rsidR="00873F58">
              <w:rPr>
                <w:rFonts w:ascii="Calibri" w:hAnsi="Calibri"/>
                <w:sz w:val="22"/>
                <w:szCs w:val="22"/>
              </w:rPr>
              <w:t>officielle</w:t>
            </w:r>
            <w:r w:rsidR="00873F58" w:rsidRPr="00873F58">
              <w:rPr>
                <w:rFonts w:ascii="Calibri" w:hAnsi="Calibri"/>
                <w:sz w:val="22"/>
                <w:szCs w:val="22"/>
              </w:rPr>
              <w:t xml:space="preserve"> n'a pas donné de résultats satisfaisants au cours d'une période antérieure raisonnable.</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4CB338B6" w14:textId="349C743B"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a) La </w:t>
            </w:r>
            <w:r w:rsidR="00AA64F3">
              <w:rPr>
                <w:rFonts w:ascii="Calibri" w:hAnsi="Calibri"/>
                <w:sz w:val="22"/>
                <w:szCs w:val="22"/>
              </w:rPr>
              <w:t>‘</w:t>
            </w:r>
            <w:r w:rsidRPr="00A264BE">
              <w:rPr>
                <w:rFonts w:ascii="Calibri" w:hAnsi="Calibri"/>
                <w:sz w:val="22"/>
                <w:szCs w:val="22"/>
              </w:rPr>
              <w:t>période antérieure</w:t>
            </w:r>
            <w:r w:rsidR="00AA64F3">
              <w:rPr>
                <w:rFonts w:ascii="Calibri" w:hAnsi="Calibri"/>
                <w:sz w:val="22"/>
                <w:szCs w:val="22"/>
              </w:rPr>
              <w:t>’</w:t>
            </w:r>
            <w:r w:rsidRPr="00A264BE">
              <w:rPr>
                <w:rFonts w:ascii="Calibri" w:hAnsi="Calibri"/>
                <w:sz w:val="22"/>
                <w:szCs w:val="22"/>
              </w:rPr>
              <w:t xml:space="preserve"> fait référence au temps écoulé depuis la date de clôture des soumissions de la procédure concurrentielle qui a échoué ;</w:t>
            </w:r>
          </w:p>
          <w:p w14:paraId="12936E98" w14:textId="4475D34E"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b) La durée de la </w:t>
            </w:r>
            <w:r w:rsidR="00AA64F3">
              <w:rPr>
                <w:rFonts w:ascii="Calibri" w:hAnsi="Calibri"/>
                <w:sz w:val="22"/>
                <w:szCs w:val="22"/>
              </w:rPr>
              <w:t>‘p</w:t>
            </w:r>
            <w:r w:rsidRPr="00A264BE">
              <w:rPr>
                <w:rFonts w:ascii="Calibri" w:hAnsi="Calibri"/>
                <w:sz w:val="22"/>
                <w:szCs w:val="22"/>
              </w:rPr>
              <w:t>ériode antérieure raisonnable</w:t>
            </w:r>
            <w:r w:rsidR="00AA64F3">
              <w:rPr>
                <w:rFonts w:ascii="Calibri" w:hAnsi="Calibri"/>
                <w:sz w:val="22"/>
                <w:szCs w:val="22"/>
              </w:rPr>
              <w:t>’</w:t>
            </w:r>
            <w:r w:rsidRPr="00A264BE">
              <w:rPr>
                <w:rFonts w:ascii="Calibri" w:hAnsi="Calibri"/>
                <w:sz w:val="22"/>
                <w:szCs w:val="22"/>
              </w:rPr>
              <w:t xml:space="preserve"> pour l'application de cette exception variera en fonction de la nature et du type de biens, de services ou de travaux ; des conditions du marché ; de la probabilité d'attirer de nouveaux fournisseurs si un nouvel appel d'offres devait être lancé ; des conditions de sécurité et de travail dans la région à laquelle les biens/services/travaux doivent être fournis, et de tout autre facteur influençant la décision ;</w:t>
            </w:r>
          </w:p>
          <w:p w14:paraId="3D0673D8" w14:textId="77777777"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c) Pour appliquer cette justification, une étude de marché adéquate doit être réalisée et il doit être démontré qu'un nouvel appel d'offres ne donnera pas de résultats satisfaisants.</w:t>
            </w:r>
          </w:p>
          <w:p w14:paraId="3B96E8E8" w14:textId="77777777"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d) En aucun cas, la "période antérieure raisonnable" pour l'application de cette exception ne doit dépasser six mois </w:t>
            </w:r>
            <w:r w:rsidRPr="00A264BE">
              <w:rPr>
                <w:rFonts w:ascii="Calibri" w:hAnsi="Calibri"/>
                <w:sz w:val="22"/>
                <w:szCs w:val="22"/>
              </w:rPr>
              <w:lastRenderedPageBreak/>
              <w:t>à compter de la date de clôture des soumissions de la procédure concurrentielle qui a échoué.</w:t>
            </w:r>
          </w:p>
          <w:p w14:paraId="6CE164B6" w14:textId="533F6F93" w:rsidR="00873F58" w:rsidRDefault="00A264BE" w:rsidP="00A264BE">
            <w:pPr>
              <w:spacing w:before="100" w:beforeAutospacing="1" w:after="100" w:afterAutospacing="1"/>
              <w:rPr>
                <w:rFonts w:ascii="Calibri" w:hAnsi="Calibri"/>
                <w:sz w:val="22"/>
                <w:szCs w:val="22"/>
              </w:rPr>
            </w:pPr>
            <w:r w:rsidRPr="00A264BE">
              <w:rPr>
                <w:rFonts w:ascii="Calibri" w:hAnsi="Calibri"/>
                <w:sz w:val="22"/>
                <w:szCs w:val="22"/>
              </w:rPr>
              <w:t>Un résumé détaillé de la procédure de mise en concurrence et de son résultat, du caractère raisonnable du prix et des taux du marché prévalant dans la région doit être fourni dans la justification.</w:t>
            </w:r>
          </w:p>
        </w:tc>
      </w:tr>
      <w:tr w:rsidR="00873F58" w:rsidRPr="00D742C2" w14:paraId="2B528821"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784F778" w14:textId="77777777" w:rsidR="00873F58" w:rsidRPr="00D742C2" w:rsidRDefault="00873F58" w:rsidP="00873F58">
            <w:pPr>
              <w:spacing w:before="100" w:beforeAutospacing="1" w:after="100" w:afterAutospacing="1"/>
              <w:rPr>
                <w:rFonts w:ascii="Calibri" w:hAnsi="Calibri" w:cs="Arial"/>
                <w:sz w:val="22"/>
                <w:szCs w:val="22"/>
              </w:rPr>
            </w:pPr>
          </w:p>
          <w:p w14:paraId="131679A8" w14:textId="377BD019"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w:t>
            </w:r>
            <w:r w:rsidR="00977E04">
              <w:rPr>
                <w:rFonts w:ascii="Calibri" w:hAnsi="Calibri"/>
                <w:sz w:val="22"/>
                <w:szCs w:val="22"/>
              </w:rPr>
              <w:t>i</w:t>
            </w:r>
            <w:r>
              <w:rPr>
                <w:rFonts w:ascii="Calibri" w:hAnsi="Calibri"/>
                <w:sz w:val="22"/>
                <w:szCs w:val="22"/>
              </w:rPr>
              <w:t>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045EB4F"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marché proposé porte sur l’achat ou la location de biens immobiliers.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5612843"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Un processus comparatif documenté et une évaluation du meilleur rapport qualité-prix peuvent être annulés si les principaux critères de sélection du bien sont la sûreté et la sécurité du personnel et des biens.</w:t>
            </w:r>
          </w:p>
        </w:tc>
      </w:tr>
      <w:tr w:rsidR="00873F58" w:rsidRPr="00D742C2" w14:paraId="2D3883B3"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83D2226" w14:textId="77777777" w:rsidR="00873F58" w:rsidRPr="00D742C2" w:rsidRDefault="00873F58" w:rsidP="00873F58">
            <w:pPr>
              <w:spacing w:before="100" w:beforeAutospacing="1" w:after="100" w:afterAutospacing="1"/>
              <w:rPr>
                <w:rFonts w:ascii="Calibri" w:hAnsi="Calibri" w:cs="Arial"/>
                <w:sz w:val="22"/>
                <w:szCs w:val="22"/>
              </w:rPr>
            </w:pPr>
          </w:p>
          <w:p w14:paraId="7C53BC34" w14:textId="23EB2C5F"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vi</w:t>
            </w:r>
            <w:r w:rsidR="00977E04">
              <w:rPr>
                <w:rFonts w:ascii="Calibri" w:hAnsi="Calibri"/>
                <w:sz w:val="22"/>
                <w:szCs w:val="22"/>
              </w:rPr>
              <w:t>i</w:t>
            </w:r>
            <w:r>
              <w:rPr>
                <w:rFonts w:ascii="Calibri" w:hAnsi="Calibri"/>
                <w:sz w:val="22"/>
                <w:szCs w:val="22"/>
              </w:rPr>
              <w:t>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3682422"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Les biens ou services requis sont nécessaires d’urgence.</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D3EEEF7"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L’expression « nécessaires d’urgence » désigne les situations dans lesquelles des biens ou des services soutiennent des interventions d’urgence et ne peuvent donc pas être retardés, car cela pourrait entraîner la perte ou la mise en danger imminente de vies humaines, des dommages excessifs aux biens de valeur ou ralentir la satisfaction des besoins humains fondamentaux. Cela s’applique en cas de catastrophes naturelles, d’épidémies ou de crises imprévues.</w:t>
            </w:r>
          </w:p>
          <w:p w14:paraId="32623F91"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En aucun cas, l’« urgence » ne peut être invoquée pour justifier un besoin découlant d’une mauvaise planification, d’un mauvais contrôle ou d’un retard dans la réception du financement, entre autres circonstances que la gestion saine et proactive du projet aurait pu éviter.</w:t>
            </w:r>
          </w:p>
          <w:p w14:paraId="7E2D5C3D"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L’approvisionnement en biens ou en services qui ne répondent pas au critère « nécessaires d’urgence » ne sera pas considéré comme une exception au processus concurrentiel, même si le contexte est un programme ou un projet de récupération anticipée.</w:t>
            </w:r>
          </w:p>
        </w:tc>
      </w:tr>
      <w:tr w:rsidR="00873F58" w:rsidRPr="00D742C2" w14:paraId="1F403E96"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C214776" w14:textId="77777777" w:rsidR="00873F58" w:rsidRPr="00D742C2" w:rsidRDefault="00873F58" w:rsidP="00873F58">
            <w:pPr>
              <w:spacing w:before="100" w:beforeAutospacing="1" w:after="100" w:afterAutospacing="1"/>
              <w:rPr>
                <w:rFonts w:ascii="Calibri" w:hAnsi="Calibri" w:cs="Arial"/>
                <w:sz w:val="22"/>
                <w:szCs w:val="22"/>
              </w:rPr>
            </w:pPr>
          </w:p>
          <w:p w14:paraId="53BF671D" w14:textId="60897C3F" w:rsidR="00873F58" w:rsidRPr="00D742C2" w:rsidRDefault="00977E04" w:rsidP="00873F58">
            <w:pPr>
              <w:spacing w:before="100" w:beforeAutospacing="1" w:after="100" w:afterAutospacing="1"/>
              <w:rPr>
                <w:rFonts w:ascii="Calibri" w:hAnsi="Calibri" w:cs="Arial"/>
                <w:sz w:val="22"/>
                <w:szCs w:val="22"/>
              </w:rPr>
            </w:pPr>
            <w:r>
              <w:rPr>
                <w:rFonts w:ascii="Calibri" w:hAnsi="Calibri"/>
                <w:sz w:val="22"/>
                <w:szCs w:val="22"/>
              </w:rPr>
              <w:t>ix.</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0E39714"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contrat proposé concerne des services pertinents qui ne peuvent être évalués objectivement.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627C869"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Les biens ou services requis impliquent une technologie de pointe, ou des méthodologies nouvellement développées ou non encore commercialisées pour lesquelles il n’existe pas encore de possibilité de comparaison.</w:t>
            </w:r>
          </w:p>
        </w:tc>
      </w:tr>
      <w:tr w:rsidR="00873F58" w:rsidRPr="00D742C2" w14:paraId="481AE872"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EADBD2E" w14:textId="77777777" w:rsidR="00873F58" w:rsidRPr="00D742C2" w:rsidRDefault="00873F58" w:rsidP="00873F58">
            <w:pPr>
              <w:spacing w:before="100" w:beforeAutospacing="1" w:after="100" w:afterAutospacing="1"/>
              <w:rPr>
                <w:rFonts w:ascii="Calibri" w:hAnsi="Calibri" w:cs="Arial"/>
                <w:sz w:val="22"/>
                <w:szCs w:val="22"/>
              </w:rPr>
            </w:pPr>
          </w:p>
          <w:p w14:paraId="6A3F92DB" w14:textId="1570608B"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x.</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23F1D339"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chef de la section des achats a par ailleurs décidé qu’une procédure officielle d’appel à la concurrence ne donnera pas de résultats satisfaisants.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F40E842"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La documentation du chef de la section des achats à cet effet doit être consignée au dossier.</w:t>
            </w:r>
          </w:p>
        </w:tc>
      </w:tr>
    </w:tbl>
    <w:p w14:paraId="4B54274B" w14:textId="77777777" w:rsidR="008A4CDD" w:rsidRPr="003A403B" w:rsidRDefault="008A4CDD" w:rsidP="008A4CDD">
      <w:pPr>
        <w:shd w:val="clear" w:color="auto" w:fill="FFFFFF"/>
        <w:textAlignment w:val="top"/>
        <w:rPr>
          <w:rFonts w:ascii="Calibri" w:hAnsi="Calibri" w:cs="Arial"/>
          <w:color w:val="333333"/>
          <w:sz w:val="22"/>
          <w:szCs w:val="22"/>
        </w:rPr>
      </w:pPr>
    </w:p>
    <w:p w14:paraId="767445D4"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Bien que la modalité de passation de marché par entente directe déroge au processus concurrentiel, cette méthode ne minimise pas les responsabilités et les obligations du personnel chargé des achats.</w:t>
      </w:r>
      <w:r w:rsidR="00562CFA">
        <w:rPr>
          <w:rFonts w:ascii="Calibri" w:hAnsi="Calibri"/>
          <w:sz w:val="22"/>
          <w:szCs w:val="22"/>
        </w:rPr>
        <w:t xml:space="preserve"> </w:t>
      </w:r>
      <w:r>
        <w:rPr>
          <w:rFonts w:ascii="Calibri" w:hAnsi="Calibri"/>
          <w:sz w:val="22"/>
          <w:szCs w:val="22"/>
        </w:rPr>
        <w:t xml:space="preserve">Dans le </w:t>
      </w:r>
      <w:r>
        <w:rPr>
          <w:rFonts w:ascii="Calibri" w:hAnsi="Calibri"/>
          <w:sz w:val="22"/>
          <w:szCs w:val="22"/>
        </w:rPr>
        <w:lastRenderedPageBreak/>
        <w:t>cadre d</w:t>
      </w:r>
      <w:r w:rsidR="004F7541">
        <w:rPr>
          <w:rFonts w:ascii="Calibri" w:hAnsi="Calibri"/>
          <w:sz w:val="22"/>
          <w:szCs w:val="22"/>
        </w:rPr>
        <w:t>’</w:t>
      </w:r>
      <w:r>
        <w:rPr>
          <w:rFonts w:ascii="Calibri" w:hAnsi="Calibri"/>
          <w:sz w:val="22"/>
          <w:szCs w:val="22"/>
        </w:rPr>
        <w:t>une passation de marché par entente directe, un contrat doit tout de même être attribué à un fournisseur dont l</w:t>
      </w:r>
      <w:r w:rsidR="004F7541">
        <w:rPr>
          <w:rFonts w:ascii="Calibri" w:hAnsi="Calibri"/>
          <w:sz w:val="22"/>
          <w:szCs w:val="22"/>
        </w:rPr>
        <w:t>’</w:t>
      </w:r>
      <w:r>
        <w:rPr>
          <w:rFonts w:ascii="Calibri" w:hAnsi="Calibri"/>
          <w:sz w:val="22"/>
          <w:szCs w:val="22"/>
        </w:rPr>
        <w:t>offre satisfait en grande partie aux exigences à un prix acceptable, obtenu par voie d</w:t>
      </w:r>
      <w:r w:rsidR="004F7541">
        <w:rPr>
          <w:rFonts w:ascii="Calibri" w:hAnsi="Calibri"/>
          <w:sz w:val="22"/>
          <w:szCs w:val="22"/>
        </w:rPr>
        <w:t>’</w:t>
      </w:r>
      <w:r>
        <w:rPr>
          <w:rFonts w:ascii="Calibri" w:hAnsi="Calibri"/>
          <w:sz w:val="22"/>
          <w:szCs w:val="22"/>
        </w:rPr>
        <w:t>appel à la concurrence non officielle ou de négociation.</w:t>
      </w:r>
    </w:p>
    <w:p w14:paraId="65A7D132" w14:textId="77777777" w:rsidR="008A4CDD" w:rsidRPr="00D742C2" w:rsidRDefault="008A4CDD" w:rsidP="008A4CDD">
      <w:pPr>
        <w:shd w:val="clear" w:color="auto" w:fill="FFFFFF"/>
        <w:textAlignment w:val="top"/>
        <w:rPr>
          <w:rFonts w:ascii="Calibri" w:hAnsi="Calibri" w:cs="Arial"/>
          <w:sz w:val="22"/>
          <w:szCs w:val="22"/>
        </w:rPr>
      </w:pPr>
    </w:p>
    <w:p w14:paraId="72115CAD"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actions nécessaires et fondamentales suivantes en matière d</w:t>
      </w:r>
      <w:r w:rsidR="004F7541">
        <w:rPr>
          <w:rFonts w:ascii="Calibri" w:hAnsi="Calibri"/>
          <w:sz w:val="22"/>
          <w:szCs w:val="22"/>
        </w:rPr>
        <w:t>’</w:t>
      </w:r>
      <w:r>
        <w:rPr>
          <w:rFonts w:ascii="Calibri" w:hAnsi="Calibri"/>
          <w:sz w:val="22"/>
          <w:szCs w:val="22"/>
        </w:rPr>
        <w:t>approvisionnement restent donc obligatoires</w:t>
      </w:r>
      <w:r w:rsidR="0049528D">
        <w:rPr>
          <w:rFonts w:ascii="Calibri" w:hAnsi="Calibri"/>
          <w:sz w:val="22"/>
          <w:szCs w:val="22"/>
        </w:rPr>
        <w:t> :</w:t>
      </w:r>
    </w:p>
    <w:p w14:paraId="1F1D602C" w14:textId="77777777" w:rsidR="008A4CDD" w:rsidRPr="00D742C2" w:rsidRDefault="008A4CDD" w:rsidP="008A4CDD">
      <w:pPr>
        <w:shd w:val="clear" w:color="auto" w:fill="FFFFFF"/>
        <w:textAlignment w:val="top"/>
        <w:rPr>
          <w:rFonts w:ascii="Calibri" w:hAnsi="Calibri" w:cs="Arial"/>
          <w:sz w:val="22"/>
          <w:szCs w:val="22"/>
        </w:rPr>
      </w:pPr>
    </w:p>
    <w:p w14:paraId="44FF2D42" w14:textId="77777777" w:rsidR="008A4CDD" w:rsidRPr="00BD2B48" w:rsidRDefault="008A4CDD" w:rsidP="00BD2B48">
      <w:pPr>
        <w:pStyle w:val="ListParagraph"/>
        <w:numPr>
          <w:ilvl w:val="1"/>
          <w:numId w:val="16"/>
        </w:numPr>
        <w:shd w:val="clear" w:color="auto" w:fill="FFFFFF"/>
        <w:ind w:left="1800"/>
        <w:jc w:val="both"/>
        <w:textAlignment w:val="top"/>
        <w:rPr>
          <w:rFonts w:ascii="Calibri" w:hAnsi="Calibri" w:cs="Arial"/>
          <w:sz w:val="22"/>
          <w:szCs w:val="22"/>
        </w:rPr>
      </w:pPr>
      <w:r>
        <w:rPr>
          <w:rFonts w:ascii="Calibri" w:hAnsi="Calibri"/>
          <w:sz w:val="22"/>
          <w:szCs w:val="22"/>
        </w:rPr>
        <w:t>Fournir des spécifications, des termes de référence ou un cahier des charges</w:t>
      </w:r>
    </w:p>
    <w:p w14:paraId="0C781C70" w14:textId="77777777" w:rsidR="00BD2B48" w:rsidRPr="00D742C2" w:rsidRDefault="00BD2B48" w:rsidP="00BD2B48">
      <w:pPr>
        <w:pStyle w:val="ListParagraph"/>
        <w:shd w:val="clear" w:color="auto" w:fill="FFFFFF"/>
        <w:ind w:left="1800"/>
        <w:jc w:val="both"/>
        <w:textAlignment w:val="top"/>
        <w:rPr>
          <w:rFonts w:ascii="Calibri" w:hAnsi="Calibri" w:cs="Arial"/>
          <w:sz w:val="22"/>
          <w:szCs w:val="22"/>
        </w:rPr>
      </w:pPr>
    </w:p>
    <w:p w14:paraId="76E7B7E5" w14:textId="559EB28D" w:rsidR="00BD2B48" w:rsidRPr="00BD2B48" w:rsidRDefault="008A4CDD" w:rsidP="00BD2B48">
      <w:pPr>
        <w:pStyle w:val="ListParagraph"/>
        <w:numPr>
          <w:ilvl w:val="1"/>
          <w:numId w:val="16"/>
        </w:numPr>
        <w:shd w:val="clear" w:color="auto" w:fill="FFFFFF"/>
        <w:ind w:left="1800"/>
        <w:jc w:val="both"/>
        <w:textAlignment w:val="top"/>
        <w:rPr>
          <w:rFonts w:ascii="Calibri" w:hAnsi="Calibri" w:cs="Arial"/>
          <w:color w:val="333333"/>
          <w:sz w:val="22"/>
          <w:szCs w:val="22"/>
        </w:rPr>
      </w:pPr>
      <w:r>
        <w:rPr>
          <w:rFonts w:ascii="Calibri" w:hAnsi="Calibri"/>
          <w:sz w:val="22"/>
          <w:szCs w:val="22"/>
        </w:rPr>
        <w:t>Solliciter une proposition ou une offre par le biais d</w:t>
      </w:r>
      <w:r w:rsidR="004F7541">
        <w:rPr>
          <w:rFonts w:ascii="Calibri" w:hAnsi="Calibri"/>
          <w:sz w:val="22"/>
          <w:szCs w:val="22"/>
        </w:rPr>
        <w:t>’</w:t>
      </w:r>
      <w:hyperlink r:id="rId23" w:history="1">
        <w:r w:rsidR="00426B51" w:rsidRPr="00426B51">
          <w:rPr>
            <w:rStyle w:val="Hyperlink"/>
            <w:rFonts w:ascii="Calibri" w:hAnsi="Calibri"/>
            <w:sz w:val="22"/>
            <w:szCs w:val="22"/>
          </w:rPr>
          <w:t xml:space="preserve">une lettre du PNUD demandant directement au fournisseur sélectionné </w:t>
        </w:r>
      </w:hyperlink>
      <w:r>
        <w:rPr>
          <w:rFonts w:ascii="Calibri" w:hAnsi="Calibri"/>
          <w:sz w:val="22"/>
          <w:szCs w:val="22"/>
        </w:rPr>
        <w:t>de soumettre une offre basée sur les spécifications, les termes de référence ou le cahier des charges.</w:t>
      </w:r>
    </w:p>
    <w:p w14:paraId="3286C9C6" w14:textId="77777777" w:rsidR="00BD2B48" w:rsidRPr="003A403B" w:rsidRDefault="00BD2B48" w:rsidP="00BD2B48">
      <w:pPr>
        <w:pStyle w:val="ListParagraph"/>
        <w:shd w:val="clear" w:color="auto" w:fill="FFFFFF"/>
        <w:ind w:left="1800"/>
        <w:jc w:val="both"/>
        <w:textAlignment w:val="top"/>
        <w:rPr>
          <w:rFonts w:ascii="Calibri" w:hAnsi="Calibri" w:cs="Arial"/>
          <w:color w:val="333333"/>
          <w:sz w:val="22"/>
          <w:szCs w:val="22"/>
        </w:rPr>
      </w:pPr>
    </w:p>
    <w:p w14:paraId="77F774E3" w14:textId="77777777" w:rsidR="00BD2B48" w:rsidRPr="00BD2B48" w:rsidRDefault="008A4CDD" w:rsidP="00BD2B48">
      <w:pPr>
        <w:pStyle w:val="ListParagraph"/>
        <w:numPr>
          <w:ilvl w:val="1"/>
          <w:numId w:val="16"/>
        </w:numPr>
        <w:shd w:val="clear" w:color="auto" w:fill="FFFFFF"/>
        <w:ind w:left="1800"/>
        <w:jc w:val="both"/>
        <w:textAlignment w:val="top"/>
        <w:rPr>
          <w:rFonts w:ascii="Calibri" w:hAnsi="Calibri" w:cs="Arial"/>
          <w:sz w:val="22"/>
          <w:szCs w:val="22"/>
        </w:rPr>
      </w:pPr>
      <w:r>
        <w:rPr>
          <w:rFonts w:ascii="Calibri" w:hAnsi="Calibri"/>
          <w:sz w:val="22"/>
          <w:szCs w:val="22"/>
        </w:rPr>
        <w:t>Soumettre la proposition ou l</w:t>
      </w:r>
      <w:r w:rsidR="004F7541">
        <w:rPr>
          <w:rFonts w:ascii="Calibri" w:hAnsi="Calibri"/>
          <w:sz w:val="22"/>
          <w:szCs w:val="22"/>
        </w:rPr>
        <w:t>’</w:t>
      </w:r>
      <w:r>
        <w:rPr>
          <w:rFonts w:ascii="Calibri" w:hAnsi="Calibri"/>
          <w:sz w:val="22"/>
          <w:szCs w:val="22"/>
        </w:rPr>
        <w:t>offre à une évaluation et à un examen par une équipe d</w:t>
      </w:r>
      <w:r w:rsidR="004F7541">
        <w:rPr>
          <w:rFonts w:ascii="Calibri" w:hAnsi="Calibri"/>
          <w:sz w:val="22"/>
          <w:szCs w:val="22"/>
        </w:rPr>
        <w:t>’</w:t>
      </w:r>
      <w:r>
        <w:rPr>
          <w:rFonts w:ascii="Calibri" w:hAnsi="Calibri"/>
          <w:sz w:val="22"/>
          <w:szCs w:val="22"/>
        </w:rPr>
        <w:t>évaluation</w:t>
      </w:r>
    </w:p>
    <w:p w14:paraId="6B4C1F00" w14:textId="77777777" w:rsidR="00BD2B48" w:rsidRPr="00D742C2" w:rsidRDefault="00BD2B48" w:rsidP="00BD2B48">
      <w:pPr>
        <w:pStyle w:val="ListParagraph"/>
        <w:shd w:val="clear" w:color="auto" w:fill="FFFFFF"/>
        <w:ind w:left="1800"/>
        <w:jc w:val="both"/>
        <w:textAlignment w:val="top"/>
        <w:rPr>
          <w:rFonts w:ascii="Calibri" w:hAnsi="Calibri" w:cs="Arial"/>
          <w:sz w:val="22"/>
          <w:szCs w:val="22"/>
        </w:rPr>
      </w:pPr>
    </w:p>
    <w:p w14:paraId="624E2AA0" w14:textId="77777777" w:rsidR="008A4CDD" w:rsidRPr="00D742C2" w:rsidRDefault="008A4CDD" w:rsidP="00BD2B48">
      <w:pPr>
        <w:pStyle w:val="ListParagraph"/>
        <w:numPr>
          <w:ilvl w:val="1"/>
          <w:numId w:val="16"/>
        </w:numPr>
        <w:shd w:val="clear" w:color="auto" w:fill="FFFFFF"/>
        <w:ind w:left="1800"/>
        <w:jc w:val="both"/>
        <w:textAlignment w:val="top"/>
        <w:rPr>
          <w:rFonts w:ascii="Calibri" w:hAnsi="Calibri" w:cs="Arial"/>
          <w:sz w:val="22"/>
          <w:szCs w:val="22"/>
        </w:rPr>
      </w:pPr>
      <w:r>
        <w:rPr>
          <w:rFonts w:ascii="Calibri" w:hAnsi="Calibri"/>
          <w:sz w:val="22"/>
          <w:szCs w:val="22"/>
        </w:rPr>
        <w:t>Utiliser des formulaires contractuels types du PNUD et appliquer les Conditions générales du PNUD</w:t>
      </w:r>
    </w:p>
    <w:p w14:paraId="6BC61E0E" w14:textId="77777777" w:rsidR="008A4CDD" w:rsidRPr="00D742C2" w:rsidRDefault="008A4CDD" w:rsidP="008A4CDD">
      <w:pPr>
        <w:shd w:val="clear" w:color="auto" w:fill="FFFFFF"/>
        <w:textAlignment w:val="top"/>
        <w:rPr>
          <w:rFonts w:ascii="Calibri" w:hAnsi="Calibri" w:cs="Arial"/>
          <w:sz w:val="22"/>
          <w:szCs w:val="22"/>
        </w:rPr>
      </w:pPr>
    </w:p>
    <w:p w14:paraId="2A7BE870"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 pas d</w:t>
      </w:r>
      <w:r w:rsidR="004F7541">
        <w:rPr>
          <w:rFonts w:ascii="Calibri" w:hAnsi="Calibri"/>
          <w:sz w:val="22"/>
          <w:szCs w:val="22"/>
        </w:rPr>
        <w:t>’</w:t>
      </w:r>
      <w:r>
        <w:rPr>
          <w:rFonts w:ascii="Calibri" w:hAnsi="Calibri"/>
          <w:sz w:val="22"/>
          <w:szCs w:val="22"/>
        </w:rPr>
        <w:t>appel à la concurrence, les dossiers d</w:t>
      </w:r>
      <w:r w:rsidR="004F7541">
        <w:rPr>
          <w:rFonts w:ascii="Calibri" w:hAnsi="Calibri"/>
          <w:sz w:val="22"/>
          <w:szCs w:val="22"/>
        </w:rPr>
        <w:t>’</w:t>
      </w:r>
      <w:r>
        <w:rPr>
          <w:rFonts w:ascii="Calibri" w:hAnsi="Calibri"/>
          <w:sz w:val="22"/>
          <w:szCs w:val="22"/>
        </w:rPr>
        <w:t>invitation à soumissionner officiels, comme une invitation à soumissionner, un appel d</w:t>
      </w:r>
      <w:r w:rsidR="004F7541">
        <w:rPr>
          <w:rFonts w:ascii="Calibri" w:hAnsi="Calibri"/>
          <w:sz w:val="22"/>
          <w:szCs w:val="22"/>
        </w:rPr>
        <w:t>’</w:t>
      </w:r>
      <w:r>
        <w:rPr>
          <w:rFonts w:ascii="Calibri" w:hAnsi="Calibri"/>
          <w:sz w:val="22"/>
          <w:szCs w:val="22"/>
        </w:rPr>
        <w:t>offres, etc., ne sont pas nécessaires.</w:t>
      </w:r>
    </w:p>
    <w:p w14:paraId="6E90D325" w14:textId="77777777" w:rsidR="008A4CDD" w:rsidRPr="00D742C2" w:rsidRDefault="008A4CDD" w:rsidP="008A4CDD">
      <w:pPr>
        <w:shd w:val="clear" w:color="auto" w:fill="FFFFFF"/>
        <w:textAlignment w:val="top"/>
        <w:rPr>
          <w:rFonts w:ascii="Calibri" w:hAnsi="Calibri" w:cs="Arial"/>
          <w:sz w:val="22"/>
          <w:szCs w:val="22"/>
        </w:rPr>
      </w:pPr>
    </w:p>
    <w:p w14:paraId="45013711" w14:textId="0BF4477F"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Chaque fois que le montant du marché dépasse </w:t>
      </w:r>
      <w:r w:rsidR="00EF57CF">
        <w:rPr>
          <w:rFonts w:ascii="Calibri" w:hAnsi="Calibri"/>
          <w:sz w:val="22"/>
          <w:szCs w:val="22"/>
        </w:rPr>
        <w:t>$</w:t>
      </w:r>
      <w:r>
        <w:rPr>
          <w:rFonts w:ascii="Calibri" w:hAnsi="Calibri"/>
          <w:sz w:val="22"/>
          <w:szCs w:val="22"/>
        </w:rPr>
        <w:t>5</w:t>
      </w:r>
      <w:r w:rsidR="00562CFA">
        <w:rPr>
          <w:rFonts w:ascii="Calibri" w:hAnsi="Calibri"/>
          <w:sz w:val="22"/>
          <w:szCs w:val="22"/>
        </w:rPr>
        <w:t> </w:t>
      </w:r>
      <w:r>
        <w:rPr>
          <w:rFonts w:ascii="Calibri" w:hAnsi="Calibri"/>
          <w:sz w:val="22"/>
          <w:szCs w:val="22"/>
        </w:rPr>
        <w:t>000</w:t>
      </w:r>
      <w:r w:rsidR="00562CFA">
        <w:rPr>
          <w:rFonts w:ascii="Calibri" w:hAnsi="Calibri"/>
          <w:sz w:val="22"/>
          <w:szCs w:val="22"/>
        </w:rPr>
        <w:t> </w:t>
      </w:r>
      <w:r w:rsidR="0049528D">
        <w:rPr>
          <w:rFonts w:ascii="Calibri" w:hAnsi="Calibri"/>
          <w:sz w:val="22"/>
          <w:szCs w:val="22"/>
        </w:rPr>
        <w:t xml:space="preserve">dollars des </w:t>
      </w:r>
      <w:r w:rsidR="00EF57CF">
        <w:rPr>
          <w:rFonts w:ascii="Calibri" w:hAnsi="Calibri"/>
          <w:sz w:val="22"/>
          <w:szCs w:val="22"/>
        </w:rPr>
        <w:t xml:space="preserve">Etats-Unis </w:t>
      </w:r>
      <w:r w:rsidR="00EF57CF" w:rsidRPr="0097772A">
        <w:rPr>
          <w:rFonts w:ascii="Calibri" w:hAnsi="Calibri"/>
          <w:sz w:val="22"/>
          <w:szCs w:val="22"/>
        </w:rPr>
        <w:t>($10,000 si le bureau approuve)</w:t>
      </w:r>
      <w:r>
        <w:rPr>
          <w:rFonts w:ascii="Calibri" w:hAnsi="Calibri"/>
          <w:sz w:val="22"/>
          <w:szCs w:val="22"/>
        </w:rPr>
        <w:t>, au minimum les documents suivants doivent également être conservés dans le dossier pour appuyer la décision de passation de marché par entente directe</w:t>
      </w:r>
      <w:r w:rsidR="0049528D">
        <w:rPr>
          <w:rFonts w:ascii="Calibri" w:hAnsi="Calibri"/>
          <w:sz w:val="22"/>
          <w:szCs w:val="22"/>
        </w:rPr>
        <w:t> :</w:t>
      </w:r>
    </w:p>
    <w:p w14:paraId="5AAA4E22" w14:textId="77777777" w:rsidR="008A4CDD" w:rsidRPr="00D742C2" w:rsidRDefault="008A4CDD" w:rsidP="008A4CDD">
      <w:pPr>
        <w:shd w:val="clear" w:color="auto" w:fill="FFFFFF"/>
        <w:textAlignment w:val="top"/>
        <w:rPr>
          <w:rFonts w:ascii="Calibri" w:hAnsi="Calibri" w:cs="Arial"/>
          <w:sz w:val="22"/>
          <w:szCs w:val="22"/>
        </w:rPr>
      </w:pPr>
    </w:p>
    <w:p w14:paraId="528448B7" w14:textId="77777777" w:rsidR="00BD2B48" w:rsidRDefault="008A4CDD" w:rsidP="00BD2B48">
      <w:pPr>
        <w:pStyle w:val="ListParagraph"/>
        <w:numPr>
          <w:ilvl w:val="1"/>
          <w:numId w:val="17"/>
        </w:numPr>
        <w:shd w:val="clear" w:color="auto" w:fill="FFFFFF"/>
        <w:ind w:left="1800"/>
        <w:jc w:val="both"/>
        <w:textAlignment w:val="top"/>
        <w:rPr>
          <w:rFonts w:ascii="Calibri" w:hAnsi="Calibri" w:cs="Arial"/>
          <w:sz w:val="22"/>
          <w:szCs w:val="22"/>
        </w:rPr>
      </w:pPr>
      <w:r>
        <w:rPr>
          <w:rFonts w:ascii="Calibri" w:hAnsi="Calibri"/>
          <w:sz w:val="22"/>
          <w:szCs w:val="22"/>
        </w:rPr>
        <w:t>Une justification ou une explication appropriée de la raison pour laquelle la méthode de passation de marché par entente directe est appliquée, y compris la citation des conséquences défavorables d</w:t>
      </w:r>
      <w:r w:rsidR="004F7541">
        <w:rPr>
          <w:rFonts w:ascii="Calibri" w:hAnsi="Calibri"/>
          <w:sz w:val="22"/>
          <w:szCs w:val="22"/>
        </w:rPr>
        <w:t>’</w:t>
      </w:r>
      <w:r>
        <w:rPr>
          <w:rFonts w:ascii="Calibri" w:hAnsi="Calibri"/>
          <w:sz w:val="22"/>
          <w:szCs w:val="22"/>
        </w:rPr>
        <w:t>une méthode concurrentielle</w:t>
      </w:r>
    </w:p>
    <w:p w14:paraId="37E67091" w14:textId="77777777" w:rsidR="008A4CDD" w:rsidRPr="00D742C2" w:rsidRDefault="008A4CDD" w:rsidP="00BD2B48">
      <w:pPr>
        <w:pStyle w:val="ListParagraph"/>
        <w:shd w:val="clear" w:color="auto" w:fill="FFFFFF"/>
        <w:ind w:left="1800"/>
        <w:jc w:val="both"/>
        <w:textAlignment w:val="top"/>
        <w:rPr>
          <w:rFonts w:ascii="Calibri" w:hAnsi="Calibri" w:cs="Arial"/>
          <w:sz w:val="22"/>
          <w:szCs w:val="22"/>
        </w:rPr>
      </w:pPr>
      <w:r>
        <w:rPr>
          <w:rFonts w:ascii="Calibri" w:hAnsi="Calibri"/>
          <w:sz w:val="22"/>
          <w:szCs w:val="22"/>
        </w:rPr>
        <w:t xml:space="preserve"> </w:t>
      </w:r>
    </w:p>
    <w:p w14:paraId="1E794D95" w14:textId="77777777" w:rsidR="00BD2B48" w:rsidRPr="00BD2B48" w:rsidRDefault="008A4CDD" w:rsidP="00BD2B48">
      <w:pPr>
        <w:pStyle w:val="ListParagraph"/>
        <w:numPr>
          <w:ilvl w:val="1"/>
          <w:numId w:val="17"/>
        </w:numPr>
        <w:shd w:val="clear" w:color="auto" w:fill="FFFFFF"/>
        <w:ind w:left="1800"/>
        <w:jc w:val="both"/>
        <w:textAlignment w:val="top"/>
        <w:rPr>
          <w:rFonts w:ascii="Calibri" w:hAnsi="Calibri" w:cs="Arial"/>
          <w:sz w:val="22"/>
          <w:szCs w:val="22"/>
        </w:rPr>
      </w:pPr>
      <w:r>
        <w:rPr>
          <w:rFonts w:ascii="Calibri" w:hAnsi="Calibri"/>
          <w:sz w:val="22"/>
          <w:szCs w:val="22"/>
        </w:rPr>
        <w:t>Une analyse de tous les risques et de la façon dont la qualité des produits ou des résultats peut être assurée malgré la renonciation à la concurrence</w:t>
      </w:r>
    </w:p>
    <w:p w14:paraId="2EA21DFA" w14:textId="77777777" w:rsidR="00BD2B48" w:rsidRPr="00D742C2" w:rsidRDefault="00BD2B48" w:rsidP="00BD2B48">
      <w:pPr>
        <w:pStyle w:val="ListParagraph"/>
        <w:shd w:val="clear" w:color="auto" w:fill="FFFFFF"/>
        <w:ind w:left="1800"/>
        <w:jc w:val="both"/>
        <w:textAlignment w:val="top"/>
        <w:rPr>
          <w:rFonts w:ascii="Calibri" w:hAnsi="Calibri" w:cs="Arial"/>
          <w:sz w:val="22"/>
          <w:szCs w:val="22"/>
        </w:rPr>
      </w:pPr>
    </w:p>
    <w:p w14:paraId="1C64D94A" w14:textId="77777777" w:rsidR="008A4CDD" w:rsidRPr="00D742C2" w:rsidRDefault="008A4CDD" w:rsidP="00BD2B48">
      <w:pPr>
        <w:pStyle w:val="ListParagraph"/>
        <w:numPr>
          <w:ilvl w:val="1"/>
          <w:numId w:val="17"/>
        </w:numPr>
        <w:shd w:val="clear" w:color="auto" w:fill="FFFFFF"/>
        <w:ind w:left="1800"/>
        <w:jc w:val="both"/>
        <w:textAlignment w:val="top"/>
        <w:rPr>
          <w:rFonts w:ascii="Calibri" w:hAnsi="Calibri" w:cs="Arial"/>
          <w:sz w:val="22"/>
          <w:szCs w:val="22"/>
        </w:rPr>
      </w:pPr>
      <w:r>
        <w:rPr>
          <w:rFonts w:ascii="Calibri" w:hAnsi="Calibri"/>
          <w:sz w:val="22"/>
          <w:szCs w:val="22"/>
        </w:rPr>
        <w:t>Une évaluation de la manière dont le principe de meilleur rapport qualité-prix a été atteint et pourquoi</w:t>
      </w:r>
    </w:p>
    <w:p w14:paraId="63F09AB6" w14:textId="77777777" w:rsidR="008A4CDD" w:rsidRPr="003A403B" w:rsidRDefault="008A4CDD" w:rsidP="008A4CDD">
      <w:pPr>
        <w:shd w:val="clear" w:color="auto" w:fill="FFFFFF"/>
        <w:textAlignment w:val="top"/>
        <w:rPr>
          <w:rFonts w:ascii="Calibri" w:hAnsi="Calibri" w:cs="Arial"/>
          <w:color w:val="333333"/>
          <w:sz w:val="22"/>
          <w:szCs w:val="22"/>
        </w:rPr>
      </w:pPr>
    </w:p>
    <w:p w14:paraId="206C261D" w14:textId="77777777" w:rsidR="008A4CDD" w:rsidRPr="003A403B" w:rsidRDefault="00D166FA" w:rsidP="00D166FA">
      <w:pPr>
        <w:pStyle w:val="Head2"/>
      </w:pPr>
      <w:bookmarkStart w:id="19" w:name="_Toc177561765"/>
      <w:r>
        <w:t>Opérations d</w:t>
      </w:r>
      <w:r w:rsidR="004F7541">
        <w:t>’</w:t>
      </w:r>
      <w:r>
        <w:t>approvisionnement combinées ou complexes</w:t>
      </w:r>
      <w:bookmarkEnd w:id="19"/>
    </w:p>
    <w:p w14:paraId="6FFEF2E2" w14:textId="77777777" w:rsidR="008A4CDD" w:rsidRPr="003A403B" w:rsidRDefault="008A4CDD" w:rsidP="008A4CDD">
      <w:pPr>
        <w:shd w:val="clear" w:color="auto" w:fill="FFFFFF"/>
        <w:textAlignment w:val="top"/>
        <w:rPr>
          <w:rFonts w:ascii="Calibri" w:hAnsi="Calibri" w:cs="Arial"/>
          <w:color w:val="333333"/>
          <w:sz w:val="22"/>
          <w:szCs w:val="22"/>
        </w:rPr>
      </w:pPr>
    </w:p>
    <w:p w14:paraId="22B8CBD4"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Compte tenu de l</w:t>
      </w:r>
      <w:r w:rsidR="004F7541">
        <w:rPr>
          <w:rFonts w:ascii="Calibri" w:hAnsi="Calibri"/>
          <w:sz w:val="22"/>
          <w:szCs w:val="22"/>
        </w:rPr>
        <w:t>’</w:t>
      </w:r>
      <w:r>
        <w:rPr>
          <w:rFonts w:ascii="Calibri" w:hAnsi="Calibri"/>
          <w:sz w:val="22"/>
          <w:szCs w:val="22"/>
        </w:rPr>
        <w:t>étendue du mandat du PNUD et de l</w:t>
      </w:r>
      <w:r w:rsidR="004F7541">
        <w:rPr>
          <w:rFonts w:ascii="Calibri" w:hAnsi="Calibri"/>
          <w:sz w:val="22"/>
          <w:szCs w:val="22"/>
        </w:rPr>
        <w:t>’</w:t>
      </w:r>
      <w:r>
        <w:rPr>
          <w:rFonts w:ascii="Calibri" w:hAnsi="Calibri"/>
          <w:sz w:val="22"/>
          <w:szCs w:val="22"/>
        </w:rPr>
        <w:t>évolution constante des demandes des partenaires et des parties prenantes sur le terrain, il arrive qu</w:t>
      </w:r>
      <w:r w:rsidR="004F7541">
        <w:rPr>
          <w:rFonts w:ascii="Calibri" w:hAnsi="Calibri"/>
          <w:sz w:val="22"/>
          <w:szCs w:val="22"/>
        </w:rPr>
        <w:t>’</w:t>
      </w:r>
      <w:r>
        <w:rPr>
          <w:rFonts w:ascii="Calibri" w:hAnsi="Calibri"/>
          <w:sz w:val="22"/>
          <w:szCs w:val="22"/>
        </w:rPr>
        <w:t>une opération d</w:t>
      </w:r>
      <w:r w:rsidR="004F7541">
        <w:rPr>
          <w:rFonts w:ascii="Calibri" w:hAnsi="Calibri"/>
          <w:sz w:val="22"/>
          <w:szCs w:val="22"/>
        </w:rPr>
        <w:t>’</w:t>
      </w:r>
      <w:r>
        <w:rPr>
          <w:rFonts w:ascii="Calibri" w:hAnsi="Calibri"/>
          <w:sz w:val="22"/>
          <w:szCs w:val="22"/>
        </w:rPr>
        <w:t>approvisionnement ne puisse pas être facilement déterminée en tant que simple achat de biens, de services ou de travaux.</w:t>
      </w:r>
      <w:r w:rsidR="00562CFA">
        <w:rPr>
          <w:rFonts w:ascii="Calibri" w:hAnsi="Calibri"/>
          <w:sz w:val="22"/>
          <w:szCs w:val="22"/>
        </w:rPr>
        <w:t xml:space="preserve"> </w:t>
      </w:r>
      <w:r>
        <w:rPr>
          <w:rFonts w:ascii="Calibri" w:hAnsi="Calibri"/>
          <w:sz w:val="22"/>
          <w:szCs w:val="22"/>
        </w:rPr>
        <w:t>De nombreuses opérations d</w:t>
      </w:r>
      <w:r w:rsidR="004F7541">
        <w:rPr>
          <w:rFonts w:ascii="Calibri" w:hAnsi="Calibri"/>
          <w:sz w:val="22"/>
          <w:szCs w:val="22"/>
        </w:rPr>
        <w:t>’</w:t>
      </w:r>
      <w:r>
        <w:rPr>
          <w:rFonts w:ascii="Calibri" w:hAnsi="Calibri"/>
          <w:sz w:val="22"/>
          <w:szCs w:val="22"/>
        </w:rPr>
        <w:t>approvisionnement peuvent être une combinaison de deux ou de tous éléments. Ces opérations d</w:t>
      </w:r>
      <w:r w:rsidR="004F7541">
        <w:rPr>
          <w:rFonts w:ascii="Calibri" w:hAnsi="Calibri"/>
          <w:sz w:val="22"/>
          <w:szCs w:val="22"/>
        </w:rPr>
        <w:t>’</w:t>
      </w:r>
      <w:r>
        <w:rPr>
          <w:rFonts w:ascii="Calibri" w:hAnsi="Calibri"/>
          <w:sz w:val="22"/>
          <w:szCs w:val="22"/>
        </w:rPr>
        <w:t>approvisionnement peuvent être encore plus complexes lorsqu</w:t>
      </w:r>
      <w:r w:rsidR="004F7541">
        <w:rPr>
          <w:rFonts w:ascii="Calibri" w:hAnsi="Calibri"/>
          <w:sz w:val="22"/>
          <w:szCs w:val="22"/>
        </w:rPr>
        <w:t>’</w:t>
      </w:r>
      <w:r>
        <w:rPr>
          <w:rFonts w:ascii="Calibri" w:hAnsi="Calibri"/>
          <w:sz w:val="22"/>
          <w:szCs w:val="22"/>
        </w:rPr>
        <w:t>elles sont d</w:t>
      </w:r>
      <w:r w:rsidR="004F7541">
        <w:rPr>
          <w:rFonts w:ascii="Calibri" w:hAnsi="Calibri"/>
          <w:sz w:val="22"/>
          <w:szCs w:val="22"/>
        </w:rPr>
        <w:t>’</w:t>
      </w:r>
      <w:r>
        <w:rPr>
          <w:rFonts w:ascii="Calibri" w:hAnsi="Calibri"/>
          <w:sz w:val="22"/>
          <w:szCs w:val="22"/>
        </w:rPr>
        <w:t>un montant important, qu</w:t>
      </w:r>
      <w:r w:rsidR="004F7541">
        <w:rPr>
          <w:rFonts w:ascii="Calibri" w:hAnsi="Calibri"/>
          <w:sz w:val="22"/>
          <w:szCs w:val="22"/>
        </w:rPr>
        <w:t>’</w:t>
      </w:r>
      <w:r>
        <w:rPr>
          <w:rFonts w:ascii="Calibri" w:hAnsi="Calibri"/>
          <w:sz w:val="22"/>
          <w:szCs w:val="22"/>
        </w:rPr>
        <w:t>elles sont très techniques ou qu</w:t>
      </w:r>
      <w:r w:rsidR="004F7541">
        <w:rPr>
          <w:rFonts w:ascii="Calibri" w:hAnsi="Calibri"/>
          <w:sz w:val="22"/>
          <w:szCs w:val="22"/>
        </w:rPr>
        <w:t>’</w:t>
      </w:r>
      <w:r>
        <w:rPr>
          <w:rFonts w:ascii="Calibri" w:hAnsi="Calibri"/>
          <w:sz w:val="22"/>
          <w:szCs w:val="22"/>
        </w:rPr>
        <w:t>elles font appel à des compétences qui dépassent les capacités du PNUD.</w:t>
      </w:r>
    </w:p>
    <w:p w14:paraId="26704415" w14:textId="77777777" w:rsidR="008A4CDD" w:rsidRPr="00D742C2" w:rsidRDefault="008A4CDD" w:rsidP="008A4CDD">
      <w:pPr>
        <w:shd w:val="clear" w:color="auto" w:fill="FFFFFF"/>
        <w:textAlignment w:val="top"/>
        <w:rPr>
          <w:rFonts w:ascii="Calibri" w:hAnsi="Calibri" w:cs="Arial"/>
          <w:sz w:val="22"/>
          <w:szCs w:val="22"/>
        </w:rPr>
      </w:pPr>
    </w:p>
    <w:p w14:paraId="3BF098B8" w14:textId="77777777" w:rsidR="008A4CDD" w:rsidRPr="00675EB1" w:rsidRDefault="008A4CDD" w:rsidP="00D166FA">
      <w:pPr>
        <w:pStyle w:val="ListParagraph"/>
        <w:numPr>
          <w:ilvl w:val="0"/>
          <w:numId w:val="1"/>
        </w:numPr>
        <w:shd w:val="clear" w:color="auto" w:fill="FFFFFF"/>
        <w:jc w:val="both"/>
        <w:textAlignment w:val="top"/>
        <w:rPr>
          <w:rFonts w:asciiTheme="majorHAnsi" w:hAnsiTheme="majorHAnsi" w:cstheme="majorHAnsi"/>
          <w:sz w:val="22"/>
          <w:szCs w:val="22"/>
        </w:rPr>
      </w:pPr>
      <w:r w:rsidRPr="00675EB1">
        <w:rPr>
          <w:rFonts w:asciiTheme="majorHAnsi" w:hAnsiTheme="majorHAnsi" w:cstheme="majorHAnsi"/>
          <w:sz w:val="22"/>
          <w:szCs w:val="22"/>
        </w:rPr>
        <w:lastRenderedPageBreak/>
        <w:t>Les conseils suivants aident à définir le choix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une méthode de passation de marché dans ces cas</w:t>
      </w:r>
      <w:r w:rsidR="0049528D" w:rsidRPr="00675EB1">
        <w:rPr>
          <w:rFonts w:asciiTheme="majorHAnsi" w:hAnsiTheme="majorHAnsi" w:cstheme="majorHAnsi"/>
          <w:sz w:val="22"/>
          <w:szCs w:val="22"/>
        </w:rPr>
        <w:t> :</w:t>
      </w:r>
    </w:p>
    <w:p w14:paraId="181FA270" w14:textId="77777777" w:rsidR="008A4CDD" w:rsidRPr="00675EB1" w:rsidRDefault="008A4CDD" w:rsidP="008A4CDD">
      <w:pPr>
        <w:shd w:val="clear" w:color="auto" w:fill="FFFFFF"/>
        <w:textAlignment w:val="top"/>
        <w:rPr>
          <w:rFonts w:asciiTheme="majorHAnsi" w:hAnsiTheme="majorHAnsi" w:cstheme="majorHAnsi"/>
          <w:sz w:val="22"/>
          <w:szCs w:val="22"/>
        </w:rPr>
      </w:pPr>
    </w:p>
    <w:p w14:paraId="10A76321" w14:textId="77777777" w:rsidR="008A4CDD" w:rsidRPr="00675EB1"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le coût des services est plus élevé dans le contrat total que celui des biens ou des travaux, la méthode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invitation à soumissionner doit être utilisée.</w:t>
      </w:r>
    </w:p>
    <w:p w14:paraId="0092A48F" w14:textId="77777777" w:rsidR="00BD2B48" w:rsidRPr="00675EB1" w:rsidRDefault="00BD2B48" w:rsidP="00BD2B48">
      <w:pPr>
        <w:pStyle w:val="ListParagraph"/>
        <w:shd w:val="clear" w:color="auto" w:fill="FFFFFF"/>
        <w:ind w:left="1800"/>
        <w:jc w:val="both"/>
        <w:textAlignment w:val="top"/>
        <w:rPr>
          <w:rFonts w:asciiTheme="majorHAnsi" w:hAnsiTheme="majorHAnsi" w:cstheme="majorHAnsi"/>
          <w:sz w:val="22"/>
          <w:szCs w:val="22"/>
        </w:rPr>
      </w:pPr>
    </w:p>
    <w:p w14:paraId="14BFC4F0" w14:textId="77777777" w:rsidR="00BD2B48" w:rsidRPr="00675EB1"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le coût des biens ou des travaux est plus élevé dans le marché total que celui des services, la méthode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appel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offres doit être utilisée.</w:t>
      </w:r>
    </w:p>
    <w:p w14:paraId="1BF2ED81" w14:textId="77777777" w:rsidR="00BD2B48" w:rsidRPr="00675EB1" w:rsidRDefault="00BD2B48" w:rsidP="00BD2B48">
      <w:pPr>
        <w:pStyle w:val="ListParagraph"/>
        <w:shd w:val="clear" w:color="auto" w:fill="FFFFFF"/>
        <w:ind w:left="1800"/>
        <w:textAlignment w:val="top"/>
        <w:rPr>
          <w:rFonts w:asciiTheme="majorHAnsi" w:hAnsiTheme="majorHAnsi" w:cstheme="majorHAnsi"/>
          <w:sz w:val="22"/>
          <w:szCs w:val="22"/>
        </w:rPr>
      </w:pPr>
    </w:p>
    <w:p w14:paraId="518E2353" w14:textId="765FA448" w:rsidR="008A4CDD" w:rsidRPr="00675EB1"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des biens ou des travaux, ou encore des services sont essentiels, et qu</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 xml:space="preserve">un léger écart peut représenter un risque élevé pour le PNUD ou </w:t>
      </w:r>
      <w:proofErr w:type="gramStart"/>
      <w:r w:rsidRPr="00675EB1">
        <w:rPr>
          <w:rFonts w:asciiTheme="majorHAnsi" w:hAnsiTheme="majorHAnsi" w:cstheme="majorHAnsi"/>
          <w:sz w:val="22"/>
          <w:szCs w:val="22"/>
        </w:rPr>
        <w:t>avoir</w:t>
      </w:r>
      <w:proofErr w:type="gramEnd"/>
      <w:r w:rsidRPr="00675EB1">
        <w:rPr>
          <w:rFonts w:asciiTheme="majorHAnsi" w:hAnsiTheme="majorHAnsi" w:cstheme="majorHAnsi"/>
          <w:sz w:val="22"/>
          <w:szCs w:val="22"/>
        </w:rPr>
        <w:t xml:space="preserve"> des conséquences indésirables, il convient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utiliser respectivement, la méthode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appel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offres ou celle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invitation à soumissionner.</w:t>
      </w:r>
      <w:r w:rsidR="00562CFA" w:rsidRPr="00675EB1">
        <w:rPr>
          <w:rFonts w:asciiTheme="majorHAnsi" w:hAnsiTheme="majorHAnsi" w:cstheme="majorHAnsi"/>
          <w:sz w:val="22"/>
          <w:szCs w:val="22"/>
        </w:rPr>
        <w:t xml:space="preserve"> </w:t>
      </w:r>
      <w:r w:rsidRPr="00675EB1">
        <w:rPr>
          <w:rFonts w:asciiTheme="majorHAnsi" w:hAnsiTheme="majorHAnsi" w:cstheme="majorHAnsi"/>
          <w:sz w:val="22"/>
          <w:szCs w:val="22"/>
        </w:rPr>
        <w:t>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évaluation des risques varie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un marché et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un environnement économique à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autre, et les unités administratives doivent tenir compte de tous ces éléments dans leurs analyses.</w:t>
      </w:r>
    </w:p>
    <w:p w14:paraId="4E2E4854" w14:textId="77777777" w:rsidR="006147DF" w:rsidRPr="00675EB1" w:rsidRDefault="006147DF" w:rsidP="006147DF">
      <w:pPr>
        <w:shd w:val="clear" w:color="auto" w:fill="FFFFFF"/>
        <w:jc w:val="both"/>
        <w:textAlignment w:val="top"/>
        <w:rPr>
          <w:rFonts w:asciiTheme="majorHAnsi" w:hAnsiTheme="majorHAnsi" w:cstheme="majorHAnsi"/>
          <w:sz w:val="22"/>
          <w:szCs w:val="22"/>
        </w:rPr>
      </w:pPr>
    </w:p>
    <w:p w14:paraId="28B283A4" w14:textId="3BC71D3A" w:rsidR="006147DF" w:rsidRPr="00675EB1" w:rsidRDefault="008A4CDD" w:rsidP="006147DF">
      <w:pPr>
        <w:pStyle w:val="ListParagraph"/>
        <w:numPr>
          <w:ilvl w:val="1"/>
          <w:numId w:val="18"/>
        </w:numPr>
        <w:shd w:val="clear" w:color="auto" w:fill="FFFFFF"/>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les unités administratives ne sont pas sûres de la meilleure façon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appliquer au mieux les directives ci-dessus, elles doivent demander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 xml:space="preserve">avis de </w:t>
      </w:r>
      <w:r w:rsidR="00AC0FBF" w:rsidRPr="00675EB1">
        <w:rPr>
          <w:rFonts w:asciiTheme="majorHAnsi" w:hAnsiTheme="majorHAnsi" w:cstheme="majorHAnsi"/>
          <w:sz w:val="22"/>
          <w:szCs w:val="22"/>
        </w:rPr>
        <w:t>l’Unité</w:t>
      </w:r>
      <w:r w:rsidRPr="00675EB1">
        <w:rPr>
          <w:rFonts w:asciiTheme="majorHAnsi" w:hAnsiTheme="majorHAnsi" w:cstheme="majorHAnsi"/>
          <w:sz w:val="22"/>
          <w:szCs w:val="22"/>
        </w:rPr>
        <w:t xml:space="preserve"> des services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 xml:space="preserve">achat du </w:t>
      </w:r>
      <w:r w:rsidR="00AC0FBF" w:rsidRPr="00675EB1">
        <w:rPr>
          <w:rFonts w:asciiTheme="majorHAnsi" w:hAnsiTheme="majorHAnsi" w:cstheme="majorHAnsi"/>
          <w:sz w:val="22"/>
          <w:szCs w:val="22"/>
        </w:rPr>
        <w:t>Bureau</w:t>
      </w:r>
      <w:r w:rsidRPr="00675EB1">
        <w:rPr>
          <w:rFonts w:asciiTheme="majorHAnsi" w:hAnsiTheme="majorHAnsi" w:cstheme="majorHAnsi"/>
          <w:sz w:val="22"/>
          <w:szCs w:val="22"/>
        </w:rPr>
        <w:t xml:space="preserve"> de la gestion, notamment en présentant les détails complets des spécifications, des termes de référence ou du cahier des charges.</w:t>
      </w:r>
    </w:p>
    <w:p w14:paraId="5AF8F42E" w14:textId="77777777" w:rsidR="006147DF" w:rsidRPr="00675EB1" w:rsidRDefault="006147DF" w:rsidP="006147DF">
      <w:pPr>
        <w:pStyle w:val="ListParagraph"/>
        <w:shd w:val="clear" w:color="auto" w:fill="FFFFFF"/>
        <w:ind w:left="1800"/>
        <w:jc w:val="both"/>
        <w:textAlignment w:val="top"/>
        <w:rPr>
          <w:rFonts w:asciiTheme="majorHAnsi" w:hAnsiTheme="majorHAnsi" w:cstheme="majorHAnsi"/>
          <w:sz w:val="22"/>
          <w:szCs w:val="22"/>
        </w:rPr>
      </w:pPr>
    </w:p>
    <w:p w14:paraId="49F107F3" w14:textId="1A0E1635" w:rsidR="00BD2B48" w:rsidRPr="003073F8" w:rsidRDefault="00727126" w:rsidP="006147DF">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3073F8">
        <w:rPr>
          <w:rFonts w:asciiTheme="majorHAnsi" w:hAnsiTheme="majorHAnsi" w:cstheme="majorHAnsi"/>
          <w:sz w:val="22"/>
          <w:szCs w:val="22"/>
        </w:rPr>
        <w:t xml:space="preserve">Lorsque la valeur totale du marché est estimée supérieure à 1 million USD et que les besoins sont complexes, il est obligatoire de soumettre ex ante la stratégie d'approvisionnement prévue au </w:t>
      </w:r>
      <w:hyperlink r:id="rId24" w:history="1">
        <w:r w:rsidRPr="003073F8">
          <w:rPr>
            <w:rStyle w:val="Hyperlink"/>
            <w:rFonts w:asciiTheme="majorHAnsi" w:hAnsiTheme="majorHAnsi" w:cstheme="majorHAnsi"/>
            <w:sz w:val="22"/>
            <w:szCs w:val="22"/>
          </w:rPr>
          <w:t>Comité consultatif des achats,</w:t>
        </w:r>
      </w:hyperlink>
      <w:r w:rsidRPr="003073F8">
        <w:rPr>
          <w:rFonts w:asciiTheme="majorHAnsi" w:hAnsiTheme="majorHAnsi" w:cstheme="majorHAnsi"/>
          <w:sz w:val="22"/>
          <w:szCs w:val="22"/>
        </w:rPr>
        <w:t xml:space="preserve"> comme expliqué plus en détail dans le chapitre Contrôle de la passation des marchés et Examen de la passation des marchés. Les comités, prévoient également des dérogations à la nécessité de soumettre pour examen ex ante sur base d’expérience antérieure réussie et pour les accords à long terme répétitifs des bureaux pays.</w:t>
      </w:r>
    </w:p>
    <w:p w14:paraId="320A0234" w14:textId="77777777" w:rsidR="00473CD9" w:rsidRPr="003073F8" w:rsidRDefault="00473CD9" w:rsidP="00473CD9">
      <w:pPr>
        <w:pStyle w:val="ListParagraph"/>
        <w:shd w:val="clear" w:color="auto" w:fill="FFFFFF"/>
        <w:ind w:left="1800"/>
        <w:jc w:val="both"/>
        <w:textAlignment w:val="top"/>
        <w:rPr>
          <w:rFonts w:asciiTheme="majorHAnsi" w:hAnsiTheme="majorHAnsi" w:cstheme="majorHAnsi"/>
          <w:sz w:val="22"/>
          <w:szCs w:val="22"/>
        </w:rPr>
      </w:pPr>
    </w:p>
    <w:p w14:paraId="3ECACBAC" w14:textId="723BF5B3" w:rsidR="008A4CDD" w:rsidRPr="003073F8"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3073F8">
        <w:rPr>
          <w:rFonts w:asciiTheme="majorHAnsi" w:hAnsiTheme="majorHAnsi" w:cstheme="majorHAnsi"/>
          <w:sz w:val="22"/>
          <w:szCs w:val="22"/>
        </w:rPr>
        <w:t>Lorsque la valeur totale du contrat est inférieure à 1</w:t>
      </w:r>
      <w:r w:rsidR="00562CFA" w:rsidRPr="003073F8">
        <w:rPr>
          <w:rFonts w:asciiTheme="majorHAnsi" w:hAnsiTheme="majorHAnsi" w:cstheme="majorHAnsi"/>
          <w:sz w:val="22"/>
          <w:szCs w:val="22"/>
        </w:rPr>
        <w:t> </w:t>
      </w:r>
      <w:r w:rsidRPr="003073F8">
        <w:rPr>
          <w:rFonts w:asciiTheme="majorHAnsi" w:hAnsiTheme="majorHAnsi" w:cstheme="majorHAnsi"/>
          <w:sz w:val="22"/>
          <w:szCs w:val="22"/>
        </w:rPr>
        <w:t xml:space="preserve">million de </w:t>
      </w:r>
      <w:r w:rsidR="0049528D" w:rsidRPr="003073F8">
        <w:rPr>
          <w:rFonts w:asciiTheme="majorHAnsi" w:hAnsiTheme="majorHAnsi" w:cstheme="majorHAnsi"/>
          <w:sz w:val="22"/>
          <w:szCs w:val="22"/>
        </w:rPr>
        <w:t>dollars des États-Unis</w:t>
      </w:r>
      <w:r w:rsidRPr="003073F8">
        <w:rPr>
          <w:rFonts w:asciiTheme="majorHAnsi" w:hAnsiTheme="majorHAnsi" w:cstheme="majorHAnsi"/>
          <w:sz w:val="22"/>
          <w:szCs w:val="22"/>
        </w:rPr>
        <w:t xml:space="preserve">, mais que la demande est complexe - également pour les demandes que </w:t>
      </w:r>
      <w:r w:rsidR="00AC0FBF" w:rsidRPr="003073F8">
        <w:rPr>
          <w:rFonts w:asciiTheme="majorHAnsi" w:hAnsiTheme="majorHAnsi" w:cstheme="majorHAnsi"/>
          <w:sz w:val="22"/>
          <w:szCs w:val="22"/>
        </w:rPr>
        <w:t>l’Unité</w:t>
      </w:r>
      <w:r w:rsidRPr="003073F8">
        <w:rPr>
          <w:rFonts w:asciiTheme="majorHAnsi" w:hAnsiTheme="majorHAnsi" w:cstheme="majorHAnsi"/>
          <w:sz w:val="22"/>
          <w:szCs w:val="22"/>
        </w:rPr>
        <w:t xml:space="preserve"> administrative n</w:t>
      </w:r>
      <w:r w:rsidR="004F7541" w:rsidRPr="003073F8">
        <w:rPr>
          <w:rFonts w:asciiTheme="majorHAnsi" w:hAnsiTheme="majorHAnsi" w:cstheme="majorHAnsi"/>
          <w:sz w:val="22"/>
          <w:szCs w:val="22"/>
        </w:rPr>
        <w:t>’</w:t>
      </w:r>
      <w:r w:rsidRPr="003073F8">
        <w:rPr>
          <w:rFonts w:asciiTheme="majorHAnsi" w:hAnsiTheme="majorHAnsi" w:cstheme="majorHAnsi"/>
          <w:sz w:val="22"/>
          <w:szCs w:val="22"/>
        </w:rPr>
        <w:t xml:space="preserve">a jamais traitées auparavant et où elle cherche à minimiser les risques - </w:t>
      </w:r>
      <w:r w:rsidR="00AC0FBF" w:rsidRPr="003073F8">
        <w:rPr>
          <w:rFonts w:asciiTheme="majorHAnsi" w:hAnsiTheme="majorHAnsi" w:cstheme="majorHAnsi"/>
          <w:sz w:val="22"/>
          <w:szCs w:val="22"/>
        </w:rPr>
        <w:t>l’Unité</w:t>
      </w:r>
      <w:r w:rsidRPr="003073F8">
        <w:rPr>
          <w:rFonts w:asciiTheme="majorHAnsi" w:hAnsiTheme="majorHAnsi" w:cstheme="majorHAnsi"/>
          <w:sz w:val="22"/>
          <w:szCs w:val="22"/>
        </w:rPr>
        <w:t xml:space="preserve"> administrative peut soumettre le dossier au comité consultat</w:t>
      </w:r>
      <w:r w:rsidR="005C356C" w:rsidRPr="003073F8">
        <w:rPr>
          <w:rFonts w:asciiTheme="majorHAnsi" w:hAnsiTheme="majorHAnsi" w:cstheme="majorHAnsi"/>
          <w:sz w:val="22"/>
          <w:szCs w:val="22"/>
        </w:rPr>
        <w:t>if pour les achats pour examen.</w:t>
      </w:r>
    </w:p>
    <w:p w14:paraId="6AB78C5D" w14:textId="7641AF68" w:rsidR="006147DF" w:rsidRDefault="006147DF" w:rsidP="00A27F28">
      <w:pPr>
        <w:shd w:val="clear" w:color="auto" w:fill="FFFFFF"/>
        <w:jc w:val="both"/>
        <w:textAlignment w:val="top"/>
        <w:rPr>
          <w:rFonts w:ascii="Calibri" w:hAnsi="Calibri" w:cs="Arial"/>
          <w:sz w:val="22"/>
          <w:szCs w:val="22"/>
        </w:rPr>
      </w:pPr>
    </w:p>
    <w:p w14:paraId="6754829C" w14:textId="77777777" w:rsidR="009E6AC7" w:rsidRDefault="009E6AC7" w:rsidP="006147DF">
      <w:pPr>
        <w:pStyle w:val="NormalWeb"/>
        <w:ind w:left="720"/>
        <w:rPr>
          <w:rFonts w:asciiTheme="majorHAnsi" w:hAnsiTheme="majorHAnsi" w:cstheme="majorHAnsi"/>
          <w:color w:val="000000"/>
          <w:sz w:val="22"/>
          <w:szCs w:val="22"/>
          <w:lang w:val="fr-FR"/>
        </w:rPr>
      </w:pPr>
    </w:p>
    <w:p w14:paraId="5E951097" w14:textId="77777777" w:rsidR="009E6AC7" w:rsidRDefault="009E6AC7" w:rsidP="006147DF">
      <w:pPr>
        <w:pStyle w:val="NormalWeb"/>
        <w:ind w:left="720"/>
        <w:rPr>
          <w:rFonts w:asciiTheme="majorHAnsi" w:hAnsiTheme="majorHAnsi" w:cstheme="majorHAnsi"/>
          <w:color w:val="000000"/>
          <w:sz w:val="22"/>
          <w:szCs w:val="22"/>
          <w:lang w:val="fr-FR"/>
        </w:rPr>
      </w:pPr>
    </w:p>
    <w:p w14:paraId="4F199DA4" w14:textId="17AA6C0A" w:rsidR="006147DF" w:rsidRPr="009E6AC7" w:rsidRDefault="00DC24E1" w:rsidP="006147DF">
      <w:pPr>
        <w:pStyle w:val="NormalWeb"/>
        <w:ind w:left="720"/>
        <w:rPr>
          <w:rFonts w:asciiTheme="majorHAnsi" w:hAnsiTheme="majorHAnsi" w:cstheme="majorHAnsi"/>
          <w:i/>
          <w:iCs/>
          <w:color w:val="000000"/>
          <w:sz w:val="22"/>
          <w:szCs w:val="22"/>
          <w:lang w:val="fr-FR"/>
        </w:rPr>
      </w:pPr>
      <w:r w:rsidRPr="009E6AC7">
        <w:rPr>
          <w:rFonts w:asciiTheme="majorHAnsi" w:hAnsiTheme="majorHAnsi" w:cstheme="majorHAnsi"/>
          <w:i/>
          <w:iCs/>
          <w:color w:val="000000"/>
          <w:sz w:val="22"/>
          <w:szCs w:val="22"/>
          <w:lang w:val="fr-FR"/>
        </w:rPr>
        <w:t>Avertissement :</w:t>
      </w:r>
      <w:r w:rsidR="006147DF" w:rsidRPr="009E6AC7">
        <w:rPr>
          <w:rFonts w:asciiTheme="majorHAnsi" w:hAnsiTheme="majorHAnsi" w:cstheme="majorHAnsi"/>
          <w:i/>
          <w:iCs/>
          <w:color w:val="000000"/>
          <w:sz w:val="22"/>
          <w:szCs w:val="22"/>
          <w:lang w:val="fr-FR"/>
        </w:rPr>
        <w:t xml:space="preserve"> Ce document a été traduit de l'anglais vers le français. En cas de divergence entre cette traduction et le document anglais original, le document anglais original prévaudra.</w:t>
      </w:r>
    </w:p>
    <w:p w14:paraId="24C183C2" w14:textId="1AC02593" w:rsidR="006147DF" w:rsidRPr="009E6AC7" w:rsidRDefault="006147DF" w:rsidP="006147DF">
      <w:pPr>
        <w:pStyle w:val="NormalWeb"/>
        <w:ind w:left="720"/>
        <w:rPr>
          <w:rFonts w:asciiTheme="majorHAnsi" w:hAnsiTheme="majorHAnsi" w:cstheme="majorHAnsi"/>
          <w:i/>
          <w:iCs/>
          <w:color w:val="000000"/>
          <w:sz w:val="22"/>
          <w:szCs w:val="22"/>
        </w:rPr>
      </w:pPr>
      <w:r w:rsidRPr="009E6AC7">
        <w:rPr>
          <w:rFonts w:asciiTheme="majorHAnsi" w:hAnsiTheme="majorHAnsi" w:cstheme="majorHAnsi"/>
          <w:i/>
          <w:iCs/>
          <w:color w:val="000000"/>
          <w:sz w:val="22"/>
          <w:szCs w:val="22"/>
        </w:rPr>
        <w:t>Disclaimer: This document was translated from English into French. In the event of any discrepancy between this translation and the original English document, the original English document shall prevail.</w:t>
      </w:r>
    </w:p>
    <w:p w14:paraId="33EB9AB6" w14:textId="77777777" w:rsidR="006147DF" w:rsidRPr="00675EB1" w:rsidRDefault="006147DF" w:rsidP="00A27F28">
      <w:pPr>
        <w:shd w:val="clear" w:color="auto" w:fill="FFFFFF"/>
        <w:jc w:val="both"/>
        <w:textAlignment w:val="top"/>
        <w:rPr>
          <w:rFonts w:ascii="Calibri" w:hAnsi="Calibri" w:cs="Arial"/>
          <w:sz w:val="22"/>
          <w:szCs w:val="22"/>
          <w:lang w:val="en-GB"/>
        </w:rPr>
      </w:pPr>
    </w:p>
    <w:p w14:paraId="7C640A1F" w14:textId="77777777" w:rsidR="00A27F28" w:rsidRPr="00675EB1" w:rsidRDefault="00A27F28" w:rsidP="0047325C">
      <w:pPr>
        <w:shd w:val="clear" w:color="auto" w:fill="FFFFFF"/>
        <w:jc w:val="both"/>
        <w:textAlignment w:val="top"/>
        <w:rPr>
          <w:rFonts w:ascii="Calibri" w:hAnsi="Calibri" w:cs="Arial"/>
          <w:sz w:val="22"/>
          <w:szCs w:val="22"/>
          <w:lang w:val="en-GB"/>
        </w:rPr>
      </w:pPr>
    </w:p>
    <w:sectPr w:rsidR="00A27F28" w:rsidRPr="00675EB1" w:rsidSect="00911F26">
      <w:headerReference w:type="default" r:id="rId25"/>
      <w:footerReference w:type="default" r:id="rId26"/>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9378" w14:textId="77777777" w:rsidR="000D32DA" w:rsidRDefault="000D32DA" w:rsidP="006A295A">
      <w:r>
        <w:separator/>
      </w:r>
    </w:p>
  </w:endnote>
  <w:endnote w:type="continuationSeparator" w:id="0">
    <w:p w14:paraId="6330A2B7" w14:textId="77777777" w:rsidR="000D32DA" w:rsidRDefault="000D32DA" w:rsidP="006A295A">
      <w:r>
        <w:continuationSeparator/>
      </w:r>
    </w:p>
  </w:endnote>
  <w:endnote w:type="continuationNotice" w:id="1">
    <w:p w14:paraId="1BC7C5DE" w14:textId="77777777" w:rsidR="000D32DA" w:rsidRDefault="000D3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0B6C" w14:textId="1366F570" w:rsidR="0097772A" w:rsidRPr="0006142E" w:rsidRDefault="0097772A" w:rsidP="0006142E">
    <w:pPr>
      <w:rPr>
        <w:rFonts w:asciiTheme="majorHAnsi" w:hAnsiTheme="majorHAnsi" w:cstheme="majorHAnsi"/>
        <w:sz w:val="22"/>
        <w:szCs w:val="22"/>
      </w:rPr>
    </w:pPr>
    <w:r>
      <w:rPr>
        <w:rFonts w:asciiTheme="majorHAnsi" w:hAnsiTheme="majorHAnsi"/>
        <w:sz w:val="22"/>
        <w:szCs w:val="22"/>
      </w:rPr>
      <w:t xml:space="preserve">Page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sidR="00E64B9C">
      <w:rPr>
        <w:rFonts w:asciiTheme="majorHAnsi" w:hAnsiTheme="majorHAnsi" w:cstheme="majorHAnsi"/>
        <w:b/>
        <w:bCs/>
        <w:noProof/>
        <w:sz w:val="22"/>
        <w:szCs w:val="22"/>
      </w:rPr>
      <w:t>19</w:t>
    </w:r>
    <w:r w:rsidRPr="0006142E">
      <w:rPr>
        <w:rFonts w:asciiTheme="majorHAnsi" w:hAnsiTheme="majorHAnsi" w:cstheme="majorHAnsi"/>
        <w:b/>
        <w:bCs/>
        <w:sz w:val="22"/>
        <w:szCs w:val="22"/>
      </w:rPr>
      <w:fldChar w:fldCharType="end"/>
    </w:r>
    <w:r>
      <w:rPr>
        <w:rFonts w:asciiTheme="majorHAnsi" w:hAnsiTheme="majorHAnsi"/>
        <w:sz w:val="22"/>
        <w:szCs w:val="22"/>
      </w:rPr>
      <w:t xml:space="preserve"> de </w:t>
    </w:r>
    <w:r>
      <w:rPr>
        <w:rFonts w:asciiTheme="majorHAnsi" w:hAnsiTheme="majorHAnsi" w:cstheme="majorHAnsi"/>
        <w:b/>
        <w:bCs/>
        <w:noProof/>
        <w:sz w:val="22"/>
        <w:szCs w:val="22"/>
      </w:rPr>
      <w:fldChar w:fldCharType="begin"/>
    </w:r>
    <w:r>
      <w:rPr>
        <w:rFonts w:asciiTheme="majorHAnsi" w:hAnsiTheme="majorHAnsi" w:cstheme="majorHAnsi"/>
        <w:b/>
        <w:bCs/>
        <w:noProof/>
        <w:sz w:val="22"/>
        <w:szCs w:val="22"/>
      </w:rPr>
      <w:instrText>NUMPAGES  \* Arabic  \* MERGEFORMAT</w:instrText>
    </w:r>
    <w:r>
      <w:rPr>
        <w:rFonts w:asciiTheme="majorHAnsi" w:hAnsiTheme="majorHAnsi" w:cstheme="majorHAnsi"/>
        <w:b/>
        <w:bCs/>
        <w:noProof/>
        <w:sz w:val="22"/>
        <w:szCs w:val="22"/>
      </w:rPr>
      <w:fldChar w:fldCharType="separate"/>
    </w:r>
    <w:r w:rsidR="00E64B9C">
      <w:rPr>
        <w:rFonts w:asciiTheme="majorHAnsi" w:hAnsiTheme="majorHAnsi" w:cstheme="majorHAnsi"/>
        <w:b/>
        <w:bCs/>
        <w:noProof/>
        <w:sz w:val="22"/>
        <w:szCs w:val="22"/>
      </w:rPr>
      <w:t>19</w:t>
    </w:r>
    <w:r>
      <w:rPr>
        <w:rFonts w:asciiTheme="majorHAnsi" w:hAnsiTheme="majorHAnsi" w:cstheme="majorHAnsi"/>
        <w:b/>
        <w:bCs/>
        <w:noProof/>
        <w:sz w:val="22"/>
        <w:szCs w:val="22"/>
      </w:rPr>
      <w:fldChar w:fldCharType="end"/>
    </w:r>
    <w:r>
      <w:ptab w:relativeTo="margin" w:alignment="center" w:leader="none"/>
    </w:r>
    <w:r>
      <w:rPr>
        <w:rFonts w:asciiTheme="majorHAnsi" w:hAnsiTheme="majorHAnsi"/>
        <w:sz w:val="22"/>
        <w:szCs w:val="22"/>
      </w:rPr>
      <w:t xml:space="preserve"> Date d’entrée en vigueur:</w:t>
    </w:r>
    <w:r w:rsidR="00911F26">
      <w:rPr>
        <w:rFonts w:asciiTheme="majorHAnsi" w:hAnsiTheme="majorHAnsi"/>
        <w:sz w:val="22"/>
        <w:szCs w:val="22"/>
      </w:rPr>
      <w:t xml:space="preserve"> </w:t>
    </w:r>
    <w:r w:rsidR="00911F26" w:rsidRPr="00911F26">
      <w:rPr>
        <w:rFonts w:asciiTheme="majorHAnsi" w:hAnsiTheme="majorHAnsi"/>
        <w:sz w:val="22"/>
        <w:szCs w:val="22"/>
      </w:rPr>
      <w:t>2</w:t>
    </w:r>
    <w:r w:rsidR="00911F26">
      <w:rPr>
        <w:rFonts w:asciiTheme="majorHAnsi" w:hAnsiTheme="majorHAnsi"/>
        <w:sz w:val="22"/>
        <w:szCs w:val="22"/>
      </w:rPr>
      <w:t>4</w:t>
    </w:r>
    <w:r w:rsidR="00911F26" w:rsidRPr="00911F26">
      <w:rPr>
        <w:rFonts w:asciiTheme="majorHAnsi" w:hAnsiTheme="majorHAnsi"/>
        <w:sz w:val="22"/>
        <w:szCs w:val="22"/>
      </w:rPr>
      <w:t>/09/2018</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Version n : </w:t>
    </w:r>
    <w:sdt>
      <w:sdtPr>
        <w:rPr>
          <w:rFonts w:asciiTheme="majorHAnsi" w:hAnsiTheme="majorHAnsi" w:cstheme="majorHAnsi"/>
          <w:sz w:val="22"/>
          <w:szCs w:val="22"/>
        </w:rPr>
        <w:alias w:val="POPPRefItemVersion"/>
        <w:tag w:val="UNDP_POPP_REFITEM_VERSION"/>
        <w:id w:val="-9263242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DB16B1">
          <w:rPr>
            <w:rFonts w:asciiTheme="majorHAnsi" w:hAnsiTheme="majorHAnsi" w:cstheme="majorHAnsi"/>
            <w:sz w:val="22"/>
            <w:szCs w:val="22"/>
          </w:rPr>
          <w:t>18</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96D0" w14:textId="77777777" w:rsidR="000D32DA" w:rsidRDefault="000D32DA" w:rsidP="006A295A">
      <w:r>
        <w:separator/>
      </w:r>
    </w:p>
  </w:footnote>
  <w:footnote w:type="continuationSeparator" w:id="0">
    <w:p w14:paraId="43D660C6" w14:textId="77777777" w:rsidR="000D32DA" w:rsidRDefault="000D32DA" w:rsidP="006A295A">
      <w:r>
        <w:continuationSeparator/>
      </w:r>
    </w:p>
  </w:footnote>
  <w:footnote w:type="continuationNotice" w:id="1">
    <w:p w14:paraId="714F7CF2" w14:textId="77777777" w:rsidR="000D32DA" w:rsidRDefault="000D3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0A64" w14:textId="481F5B6D" w:rsidR="0097772A" w:rsidRDefault="0093262F" w:rsidP="0006142E">
    <w:pPr>
      <w:pStyle w:val="Header"/>
      <w:jc w:val="right"/>
    </w:pPr>
    <w:r>
      <w:rPr>
        <w:noProof/>
      </w:rPr>
      <w:drawing>
        <wp:inline distT="0" distB="0" distL="0" distR="0" wp14:anchorId="760334D8" wp14:editId="740F30E9">
          <wp:extent cx="294640" cy="593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6E5262F6" w14:textId="77777777" w:rsidR="0097772A" w:rsidRDefault="0097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EF31387"/>
    <w:multiLevelType w:val="hybridMultilevel"/>
    <w:tmpl w:val="317855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7B34139"/>
    <w:multiLevelType w:val="hybridMultilevel"/>
    <w:tmpl w:val="BD26EC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1D96F94"/>
    <w:multiLevelType w:val="hybridMultilevel"/>
    <w:tmpl w:val="B0C640E6"/>
    <w:lvl w:ilvl="0" w:tplc="2D30DA2A">
      <w:start w:val="1"/>
      <w:numFmt w:val="lowerLetter"/>
      <w:lvlText w:val="%1."/>
      <w:lvlJc w:val="left"/>
      <w:pPr>
        <w:ind w:left="810" w:hanging="360"/>
      </w:pPr>
      <w:rPr>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2"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843477916">
    <w:abstractNumId w:val="22"/>
  </w:num>
  <w:num w:numId="2" w16cid:durableId="898201515">
    <w:abstractNumId w:val="8"/>
  </w:num>
  <w:num w:numId="3" w16cid:durableId="426996956">
    <w:abstractNumId w:val="18"/>
  </w:num>
  <w:num w:numId="4" w16cid:durableId="548687698">
    <w:abstractNumId w:val="20"/>
  </w:num>
  <w:num w:numId="5" w16cid:durableId="302546877">
    <w:abstractNumId w:val="4"/>
  </w:num>
  <w:num w:numId="6" w16cid:durableId="1876649183">
    <w:abstractNumId w:val="7"/>
  </w:num>
  <w:num w:numId="7" w16cid:durableId="936325698">
    <w:abstractNumId w:val="14"/>
  </w:num>
  <w:num w:numId="8" w16cid:durableId="588586869">
    <w:abstractNumId w:val="5"/>
  </w:num>
  <w:num w:numId="9" w16cid:durableId="1833373695">
    <w:abstractNumId w:val="1"/>
  </w:num>
  <w:num w:numId="10" w16cid:durableId="1770151164">
    <w:abstractNumId w:val="15"/>
  </w:num>
  <w:num w:numId="11" w16cid:durableId="322004287">
    <w:abstractNumId w:val="2"/>
  </w:num>
  <w:num w:numId="12" w16cid:durableId="1958177164">
    <w:abstractNumId w:val="17"/>
  </w:num>
  <w:num w:numId="13" w16cid:durableId="220944171">
    <w:abstractNumId w:val="6"/>
  </w:num>
  <w:num w:numId="14" w16cid:durableId="1605185020">
    <w:abstractNumId w:val="0"/>
  </w:num>
  <w:num w:numId="15" w16cid:durableId="1243300362">
    <w:abstractNumId w:val="23"/>
  </w:num>
  <w:num w:numId="16" w16cid:durableId="1419596099">
    <w:abstractNumId w:val="12"/>
  </w:num>
  <w:num w:numId="17" w16cid:durableId="1803839013">
    <w:abstractNumId w:val="10"/>
  </w:num>
  <w:num w:numId="18" w16cid:durableId="1016692620">
    <w:abstractNumId w:val="9"/>
  </w:num>
  <w:num w:numId="19" w16cid:durableId="436413352">
    <w:abstractNumId w:val="21"/>
  </w:num>
  <w:num w:numId="20" w16cid:durableId="867136053">
    <w:abstractNumId w:val="16"/>
  </w:num>
  <w:num w:numId="21" w16cid:durableId="29038748">
    <w:abstractNumId w:val="3"/>
  </w:num>
  <w:num w:numId="22" w16cid:durableId="1560242899">
    <w:abstractNumId w:val="13"/>
  </w:num>
  <w:num w:numId="23" w16cid:durableId="1555046521">
    <w:abstractNumId w:val="11"/>
  </w:num>
  <w:num w:numId="24" w16cid:durableId="9211390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068D"/>
    <w:rsid w:val="00023C80"/>
    <w:rsid w:val="00027EF9"/>
    <w:rsid w:val="00030703"/>
    <w:rsid w:val="00032366"/>
    <w:rsid w:val="0003613C"/>
    <w:rsid w:val="000366E1"/>
    <w:rsid w:val="0004103B"/>
    <w:rsid w:val="0006142E"/>
    <w:rsid w:val="00066C36"/>
    <w:rsid w:val="00077DAE"/>
    <w:rsid w:val="00082407"/>
    <w:rsid w:val="000875EE"/>
    <w:rsid w:val="000A1BF3"/>
    <w:rsid w:val="000B2494"/>
    <w:rsid w:val="000B3492"/>
    <w:rsid w:val="000B49EB"/>
    <w:rsid w:val="000C15D2"/>
    <w:rsid w:val="000C16E5"/>
    <w:rsid w:val="000C7A25"/>
    <w:rsid w:val="000D2A4B"/>
    <w:rsid w:val="000D32DA"/>
    <w:rsid w:val="000F2B20"/>
    <w:rsid w:val="0010477D"/>
    <w:rsid w:val="00106A89"/>
    <w:rsid w:val="00111A05"/>
    <w:rsid w:val="00117B0A"/>
    <w:rsid w:val="001257A3"/>
    <w:rsid w:val="00146438"/>
    <w:rsid w:val="00152720"/>
    <w:rsid w:val="00155FCB"/>
    <w:rsid w:val="0015678C"/>
    <w:rsid w:val="00160BC9"/>
    <w:rsid w:val="001721EA"/>
    <w:rsid w:val="001769F5"/>
    <w:rsid w:val="00177584"/>
    <w:rsid w:val="0018408F"/>
    <w:rsid w:val="00192536"/>
    <w:rsid w:val="00195D25"/>
    <w:rsid w:val="00196406"/>
    <w:rsid w:val="00197F55"/>
    <w:rsid w:val="001A073A"/>
    <w:rsid w:val="001A49DC"/>
    <w:rsid w:val="001A5C0A"/>
    <w:rsid w:val="001B4628"/>
    <w:rsid w:val="001B487E"/>
    <w:rsid w:val="001B54CC"/>
    <w:rsid w:val="001D2498"/>
    <w:rsid w:val="001E0180"/>
    <w:rsid w:val="001E3378"/>
    <w:rsid w:val="001E677A"/>
    <w:rsid w:val="001F295B"/>
    <w:rsid w:val="001F348C"/>
    <w:rsid w:val="00204DEA"/>
    <w:rsid w:val="002135DD"/>
    <w:rsid w:val="0021379E"/>
    <w:rsid w:val="00223C4C"/>
    <w:rsid w:val="002355CF"/>
    <w:rsid w:val="00250560"/>
    <w:rsid w:val="0025269D"/>
    <w:rsid w:val="00253EA7"/>
    <w:rsid w:val="002543E6"/>
    <w:rsid w:val="00262C6D"/>
    <w:rsid w:val="002631D8"/>
    <w:rsid w:val="00274531"/>
    <w:rsid w:val="00274F92"/>
    <w:rsid w:val="00283A6A"/>
    <w:rsid w:val="00293EF5"/>
    <w:rsid w:val="002A603F"/>
    <w:rsid w:val="002B45D4"/>
    <w:rsid w:val="002B5C83"/>
    <w:rsid w:val="002B7DEA"/>
    <w:rsid w:val="002C2423"/>
    <w:rsid w:val="002C2A2C"/>
    <w:rsid w:val="002C5742"/>
    <w:rsid w:val="002D2F87"/>
    <w:rsid w:val="00306E97"/>
    <w:rsid w:val="003073F8"/>
    <w:rsid w:val="0030742D"/>
    <w:rsid w:val="00317BCE"/>
    <w:rsid w:val="003317F3"/>
    <w:rsid w:val="00332CE9"/>
    <w:rsid w:val="003330B7"/>
    <w:rsid w:val="00336CF4"/>
    <w:rsid w:val="00341282"/>
    <w:rsid w:val="003514A8"/>
    <w:rsid w:val="00362D43"/>
    <w:rsid w:val="00384E0E"/>
    <w:rsid w:val="0038572B"/>
    <w:rsid w:val="00386124"/>
    <w:rsid w:val="00392388"/>
    <w:rsid w:val="003A2B69"/>
    <w:rsid w:val="003A403B"/>
    <w:rsid w:val="003A6BFB"/>
    <w:rsid w:val="003B51F3"/>
    <w:rsid w:val="003B624A"/>
    <w:rsid w:val="003C5F88"/>
    <w:rsid w:val="003C7318"/>
    <w:rsid w:val="003E64D1"/>
    <w:rsid w:val="003F1B8A"/>
    <w:rsid w:val="00415C74"/>
    <w:rsid w:val="00421FF6"/>
    <w:rsid w:val="004269EF"/>
    <w:rsid w:val="00426B51"/>
    <w:rsid w:val="0047325C"/>
    <w:rsid w:val="00473CD9"/>
    <w:rsid w:val="00490660"/>
    <w:rsid w:val="00490BB9"/>
    <w:rsid w:val="0049528D"/>
    <w:rsid w:val="004B0987"/>
    <w:rsid w:val="004B51E2"/>
    <w:rsid w:val="004B7DEB"/>
    <w:rsid w:val="004C71BE"/>
    <w:rsid w:val="004E2F8B"/>
    <w:rsid w:val="004F7541"/>
    <w:rsid w:val="005323AB"/>
    <w:rsid w:val="0053476E"/>
    <w:rsid w:val="00536E8A"/>
    <w:rsid w:val="00547A62"/>
    <w:rsid w:val="005508F0"/>
    <w:rsid w:val="00550A2C"/>
    <w:rsid w:val="00554D54"/>
    <w:rsid w:val="00557BC9"/>
    <w:rsid w:val="00562CFA"/>
    <w:rsid w:val="00563B1F"/>
    <w:rsid w:val="00572421"/>
    <w:rsid w:val="00581E4B"/>
    <w:rsid w:val="00585EC8"/>
    <w:rsid w:val="00591318"/>
    <w:rsid w:val="00591C26"/>
    <w:rsid w:val="005970E2"/>
    <w:rsid w:val="005A061A"/>
    <w:rsid w:val="005B487F"/>
    <w:rsid w:val="005B48A2"/>
    <w:rsid w:val="005C356C"/>
    <w:rsid w:val="005F15A4"/>
    <w:rsid w:val="005F3CA5"/>
    <w:rsid w:val="005F5F45"/>
    <w:rsid w:val="00613891"/>
    <w:rsid w:val="006147DF"/>
    <w:rsid w:val="006411DD"/>
    <w:rsid w:val="0064756A"/>
    <w:rsid w:val="0067415B"/>
    <w:rsid w:val="00675EB1"/>
    <w:rsid w:val="0069444F"/>
    <w:rsid w:val="006A295A"/>
    <w:rsid w:val="006A3F08"/>
    <w:rsid w:val="006A7479"/>
    <w:rsid w:val="006A7FEF"/>
    <w:rsid w:val="006C31C8"/>
    <w:rsid w:val="006C5A0E"/>
    <w:rsid w:val="006C6CB9"/>
    <w:rsid w:val="006E07CC"/>
    <w:rsid w:val="006E0EB5"/>
    <w:rsid w:val="00702673"/>
    <w:rsid w:val="0070538D"/>
    <w:rsid w:val="00726F88"/>
    <w:rsid w:val="00727126"/>
    <w:rsid w:val="00736709"/>
    <w:rsid w:val="0076131C"/>
    <w:rsid w:val="00773777"/>
    <w:rsid w:val="00782588"/>
    <w:rsid w:val="0078327E"/>
    <w:rsid w:val="00792446"/>
    <w:rsid w:val="007932A3"/>
    <w:rsid w:val="007A203A"/>
    <w:rsid w:val="007A6825"/>
    <w:rsid w:val="007B00D4"/>
    <w:rsid w:val="007D6BFD"/>
    <w:rsid w:val="007E3624"/>
    <w:rsid w:val="007E7AA4"/>
    <w:rsid w:val="007F043F"/>
    <w:rsid w:val="007F06AC"/>
    <w:rsid w:val="007F32EE"/>
    <w:rsid w:val="007F6968"/>
    <w:rsid w:val="0081272E"/>
    <w:rsid w:val="00831DA2"/>
    <w:rsid w:val="0083651B"/>
    <w:rsid w:val="00844E08"/>
    <w:rsid w:val="008644F5"/>
    <w:rsid w:val="00873F58"/>
    <w:rsid w:val="008A3297"/>
    <w:rsid w:val="008A4B86"/>
    <w:rsid w:val="008A4CDD"/>
    <w:rsid w:val="008A7BDD"/>
    <w:rsid w:val="008B2005"/>
    <w:rsid w:val="008C41A2"/>
    <w:rsid w:val="008D41D9"/>
    <w:rsid w:val="008D7F02"/>
    <w:rsid w:val="00911F26"/>
    <w:rsid w:val="00912CBB"/>
    <w:rsid w:val="00913139"/>
    <w:rsid w:val="00922FF4"/>
    <w:rsid w:val="00930B05"/>
    <w:rsid w:val="0093262F"/>
    <w:rsid w:val="00934E5E"/>
    <w:rsid w:val="0094596F"/>
    <w:rsid w:val="0095172A"/>
    <w:rsid w:val="00956154"/>
    <w:rsid w:val="0097772A"/>
    <w:rsid w:val="00977E04"/>
    <w:rsid w:val="009A75F3"/>
    <w:rsid w:val="009C05F9"/>
    <w:rsid w:val="009C3D3B"/>
    <w:rsid w:val="009C53F6"/>
    <w:rsid w:val="009C6401"/>
    <w:rsid w:val="009E1508"/>
    <w:rsid w:val="009E5A21"/>
    <w:rsid w:val="009E6AC7"/>
    <w:rsid w:val="00A0205B"/>
    <w:rsid w:val="00A2272B"/>
    <w:rsid w:val="00A22AF6"/>
    <w:rsid w:val="00A24C77"/>
    <w:rsid w:val="00A2521B"/>
    <w:rsid w:val="00A264BE"/>
    <w:rsid w:val="00A27F28"/>
    <w:rsid w:val="00A3247B"/>
    <w:rsid w:val="00A36738"/>
    <w:rsid w:val="00A53238"/>
    <w:rsid w:val="00A62245"/>
    <w:rsid w:val="00A628C2"/>
    <w:rsid w:val="00A63634"/>
    <w:rsid w:val="00A70B14"/>
    <w:rsid w:val="00A91FCA"/>
    <w:rsid w:val="00A95B96"/>
    <w:rsid w:val="00AA1E5C"/>
    <w:rsid w:val="00AA64F3"/>
    <w:rsid w:val="00AC0FBF"/>
    <w:rsid w:val="00AC5962"/>
    <w:rsid w:val="00AC790F"/>
    <w:rsid w:val="00AD34B0"/>
    <w:rsid w:val="00AD7397"/>
    <w:rsid w:val="00AF50B4"/>
    <w:rsid w:val="00B04E4D"/>
    <w:rsid w:val="00B15374"/>
    <w:rsid w:val="00B303C7"/>
    <w:rsid w:val="00B312CB"/>
    <w:rsid w:val="00B3623B"/>
    <w:rsid w:val="00B375F9"/>
    <w:rsid w:val="00B42C88"/>
    <w:rsid w:val="00B55FB4"/>
    <w:rsid w:val="00B62144"/>
    <w:rsid w:val="00B627BD"/>
    <w:rsid w:val="00B65166"/>
    <w:rsid w:val="00B67AD7"/>
    <w:rsid w:val="00B834B6"/>
    <w:rsid w:val="00B969A3"/>
    <w:rsid w:val="00BA7AF8"/>
    <w:rsid w:val="00BC7750"/>
    <w:rsid w:val="00BD2B48"/>
    <w:rsid w:val="00BF1BBF"/>
    <w:rsid w:val="00BF22C4"/>
    <w:rsid w:val="00BF26EB"/>
    <w:rsid w:val="00C00969"/>
    <w:rsid w:val="00C11DFA"/>
    <w:rsid w:val="00C20F49"/>
    <w:rsid w:val="00C2526E"/>
    <w:rsid w:val="00C26A7F"/>
    <w:rsid w:val="00C306E5"/>
    <w:rsid w:val="00C35753"/>
    <w:rsid w:val="00C46ABB"/>
    <w:rsid w:val="00C51D84"/>
    <w:rsid w:val="00C76156"/>
    <w:rsid w:val="00C834D2"/>
    <w:rsid w:val="00C84046"/>
    <w:rsid w:val="00C849A7"/>
    <w:rsid w:val="00C9160C"/>
    <w:rsid w:val="00C9252D"/>
    <w:rsid w:val="00C94FA9"/>
    <w:rsid w:val="00CA4932"/>
    <w:rsid w:val="00CA4B06"/>
    <w:rsid w:val="00CB24C7"/>
    <w:rsid w:val="00CC6194"/>
    <w:rsid w:val="00CD446D"/>
    <w:rsid w:val="00CD6566"/>
    <w:rsid w:val="00CE22C3"/>
    <w:rsid w:val="00CE32D0"/>
    <w:rsid w:val="00CE5CB5"/>
    <w:rsid w:val="00D0078B"/>
    <w:rsid w:val="00D01896"/>
    <w:rsid w:val="00D07B86"/>
    <w:rsid w:val="00D166FA"/>
    <w:rsid w:val="00D27ACC"/>
    <w:rsid w:val="00D333A3"/>
    <w:rsid w:val="00D415C1"/>
    <w:rsid w:val="00D42053"/>
    <w:rsid w:val="00D451D8"/>
    <w:rsid w:val="00D56D1F"/>
    <w:rsid w:val="00D66B48"/>
    <w:rsid w:val="00D742C2"/>
    <w:rsid w:val="00D75FAA"/>
    <w:rsid w:val="00D90BE2"/>
    <w:rsid w:val="00DA7236"/>
    <w:rsid w:val="00DA7306"/>
    <w:rsid w:val="00DB16B1"/>
    <w:rsid w:val="00DC24E1"/>
    <w:rsid w:val="00DC3D71"/>
    <w:rsid w:val="00DD16A9"/>
    <w:rsid w:val="00DE2061"/>
    <w:rsid w:val="00DE237C"/>
    <w:rsid w:val="00DE3FD3"/>
    <w:rsid w:val="00DF0566"/>
    <w:rsid w:val="00DF06B3"/>
    <w:rsid w:val="00DF163A"/>
    <w:rsid w:val="00DF2234"/>
    <w:rsid w:val="00E01887"/>
    <w:rsid w:val="00E03ABE"/>
    <w:rsid w:val="00E103EB"/>
    <w:rsid w:val="00E10AD8"/>
    <w:rsid w:val="00E11DD0"/>
    <w:rsid w:val="00E1290B"/>
    <w:rsid w:val="00E154A5"/>
    <w:rsid w:val="00E229F9"/>
    <w:rsid w:val="00E27123"/>
    <w:rsid w:val="00E46963"/>
    <w:rsid w:val="00E549B7"/>
    <w:rsid w:val="00E55627"/>
    <w:rsid w:val="00E60A5D"/>
    <w:rsid w:val="00E64B9C"/>
    <w:rsid w:val="00E6584C"/>
    <w:rsid w:val="00E866CA"/>
    <w:rsid w:val="00E8694D"/>
    <w:rsid w:val="00E90DF1"/>
    <w:rsid w:val="00EA29E4"/>
    <w:rsid w:val="00EB7F4E"/>
    <w:rsid w:val="00EF57CF"/>
    <w:rsid w:val="00EF61A2"/>
    <w:rsid w:val="00EF78C5"/>
    <w:rsid w:val="00F04C82"/>
    <w:rsid w:val="00F06BBC"/>
    <w:rsid w:val="00F40BE2"/>
    <w:rsid w:val="00F43513"/>
    <w:rsid w:val="00F51CCC"/>
    <w:rsid w:val="00F574C3"/>
    <w:rsid w:val="00F705E3"/>
    <w:rsid w:val="00F72976"/>
    <w:rsid w:val="00F820D3"/>
    <w:rsid w:val="00F84D7F"/>
    <w:rsid w:val="00F8774B"/>
    <w:rsid w:val="00F87D21"/>
    <w:rsid w:val="00FA1360"/>
    <w:rsid w:val="00FC20B7"/>
    <w:rsid w:val="00FC5CBA"/>
    <w:rsid w:val="00FC6BE1"/>
    <w:rsid w:val="00FD6234"/>
    <w:rsid w:val="00FD78BF"/>
    <w:rsid w:val="00FD7D0B"/>
    <w:rsid w:val="00FE01AF"/>
    <w:rsid w:val="00FE499D"/>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AE0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4CDD"/>
    <w:rPr>
      <w:rFonts w:eastAsiaTheme="minorHAnsi"/>
      <w:sz w:val="20"/>
      <w:szCs w:val="20"/>
      <w:lang w:val="fr-FR"/>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fr-FR"/>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paragraph" w:styleId="HTMLPreformatted">
    <w:name w:val="HTML Preformatted"/>
    <w:basedOn w:val="Normal"/>
    <w:link w:val="HTMLPreformattedChar"/>
    <w:uiPriority w:val="99"/>
    <w:semiHidden/>
    <w:unhideWhenUsed/>
    <w:rsid w:val="0021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135DD"/>
    <w:rPr>
      <w:rFonts w:ascii="Courier New" w:hAnsi="Courier New" w:cs="Courier New"/>
      <w:sz w:val="20"/>
      <w:szCs w:val="20"/>
      <w:lang w:val="en-US"/>
    </w:rPr>
  </w:style>
  <w:style w:type="paragraph" w:styleId="NormalWeb">
    <w:name w:val="Normal (Web)"/>
    <w:basedOn w:val="Normal"/>
    <w:uiPriority w:val="99"/>
    <w:semiHidden/>
    <w:unhideWhenUsed/>
    <w:rsid w:val="006147DF"/>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0B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4906">
      <w:bodyDiv w:val="1"/>
      <w:marLeft w:val="0"/>
      <w:marRight w:val="0"/>
      <w:marTop w:val="0"/>
      <w:marBottom w:val="0"/>
      <w:divBdr>
        <w:top w:val="none" w:sz="0" w:space="0" w:color="auto"/>
        <w:left w:val="none" w:sz="0" w:space="0" w:color="auto"/>
        <w:bottom w:val="none" w:sz="0" w:space="0" w:color="auto"/>
        <w:right w:val="none" w:sz="0" w:space="0" w:color="auto"/>
      </w:divBdr>
    </w:div>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554008059">
      <w:bodyDiv w:val="1"/>
      <w:marLeft w:val="0"/>
      <w:marRight w:val="0"/>
      <w:marTop w:val="0"/>
      <w:marBottom w:val="0"/>
      <w:divBdr>
        <w:top w:val="none" w:sz="0" w:space="0" w:color="auto"/>
        <w:left w:val="none" w:sz="0" w:space="0" w:color="auto"/>
        <w:bottom w:val="none" w:sz="0" w:space="0" w:color="auto"/>
        <w:right w:val="none" w:sz="0" w:space="0" w:color="auto"/>
      </w:divBdr>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228633">
      <w:bodyDiv w:val="1"/>
      <w:marLeft w:val="0"/>
      <w:marRight w:val="0"/>
      <w:marTop w:val="0"/>
      <w:marBottom w:val="0"/>
      <w:divBdr>
        <w:top w:val="none" w:sz="0" w:space="0" w:color="auto"/>
        <w:left w:val="none" w:sz="0" w:space="0" w:color="auto"/>
        <w:bottom w:val="none" w:sz="0" w:space="0" w:color="auto"/>
        <w:right w:val="none" w:sz="0" w:space="0" w:color="auto"/>
      </w:divBdr>
    </w:div>
    <w:div w:id="1615793682">
      <w:bodyDiv w:val="1"/>
      <w:marLeft w:val="0"/>
      <w:marRight w:val="0"/>
      <w:marTop w:val="0"/>
      <w:marBottom w:val="0"/>
      <w:divBdr>
        <w:top w:val="none" w:sz="0" w:space="0" w:color="auto"/>
        <w:left w:val="none" w:sz="0" w:space="0" w:color="auto"/>
        <w:bottom w:val="none" w:sz="0" w:space="0" w:color="auto"/>
        <w:right w:val="none" w:sz="0" w:space="0" w:color="auto"/>
      </w:divBdr>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24139068">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gm.org/" TargetMode="External"/><Relationship Id="rId18" Type="http://schemas.openxmlformats.org/officeDocument/2006/relationships/hyperlink" Target="%20https://view.officeapps.live.com/op/embed.aspx?src=https://popp.undp.org/sites/g/files/zskgke421/files/PSU_Invitation%20to%20Bid%20%28ITB%29-1%20increase%20to%20%24200%2C000_French.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ngm.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dp.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dp.org" TargetMode="External"/><Relationship Id="rId20"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1336" TargetMode="External"/><Relationship Id="rId5" Type="http://schemas.openxmlformats.org/officeDocument/2006/relationships/customXml" Target="../customXml/item5.xml"/><Relationship Id="rId15" Type="http://schemas.openxmlformats.org/officeDocument/2006/relationships/hyperlink" Target="https://popp.undp.org/fr/node/2111/" TargetMode="External"/><Relationship Id="rId23" Type="http://schemas.openxmlformats.org/officeDocument/2006/relationships/hyperlink" Target="https://popp.undp.org/fr/node/22791"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20https://view.officeapps.live.com/op/embed.aspx?src=https://popp.undp.org/sites/g/files/zskgke421/files/PSU_Solicitation%20Process_Solicitation%20Documents_Request%20for%20Proposal%20%28RFP%29%20-%20Under%20200k_FR.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teams/procurement/Quantum%20Procurement%20Resources/Forms/AllItems.aspx?csf=1&amp;web=1&amp;e=mRLXeg&amp;cid=6f7d97bf%2D705f%2D4210%2D8fa6%2D093987c38451&amp;FolderCTID=0x012000FEEF8AC0D6BE674D823F5FA8A1096538&amp;id=%2Fteams%2Fprocurement%2FQuantum%20Procurement%20Resources%2FTemplates%2FRFP%2FFrench&amp;viewid=8b1809f0%2De887%2D4ca9%2D9c00%2D7498abbf7a43" TargetMode="External"/><Relationship Id="rId22" Type="http://schemas.openxmlformats.org/officeDocument/2006/relationships/hyperlink" Target="%20https://view.officeapps.live.com/op/embed.aspx?src=https://popp.undp.org/sites/g/files/zskgke421/files/PSU_Solicitation%20Process_Solicitation%20Documents_Request%20for%20Quotation%20%28RFQ%29_French.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UNITBMS-1904581467-78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2018-09-22T22:00:00+00:00</UNDP_POPP_EFFECTIVEDATE>
    <UNDP_POPP_FILEVERSION xmlns="8264c5cc-ec60-4b56-8111-ce635d3d139a">15872</UNDP_POPP_FILEVERSION>
    <UNDP_POPP_REFITEM_VERSION xmlns="8264c5cc-ec60-4b56-8111-ce635d3d139a">18</UNDP_POPP_REFITEM_VERSION>
    <UNDP_POPP_ISACTIVE xmlns="8264c5cc-ec60-4b56-8111-ce635d3d139a">true</UNDP_POPP_ISACTIVE>
    <UNDP_POPP_TITLE_EN xmlns="8264c5cc-ec60-4b56-8111-ce635d3d139a">Méthodes d’approvisionnement</UNDP_POPP_TITLE_EN>
    <_dlc_DocIdUrl xmlns="8264c5cc-ec60-4b56-8111-ce635d3d139a">
      <Url>https://intranet.undp.org/unit/bms/dir/internal/init_popp/_layouts/15/DocIdRedir.aspx?ID=UNITBMS-1904581467-78</Url>
      <Description>UNITBMS-1904581467-78</Description>
    </_dlc_DocIdUrl>
    <DLCPolicyLabelLock xmlns="e560140e-7b2f-4392-90df-e7567e3021a3" xsi:nil="true"/>
    <DLCPolicyLabelClientValue xmlns="e560140e-7b2f-4392-90df-e7567e3021a3">Effective Date: 9/22/2018                                                Version #: 18.0</DLCPolicyLabelClientValue>
    <UNDP_POPP_BUSINESSUNITID_HIDDEN xmlns="8264c5cc-ec60-4b56-8111-ce635d3d139a" xsi:nil="true"/>
    <DLCPolicyLabelValue xmlns="e560140e-7b2f-4392-90df-e7567e3021a3">Effective Date: 9/22/2018                                                Version #: 18.0</DLCPolicyLabelValue>
  </documentManagement>
</p:properties>
</file>

<file path=customXml/itemProps1.xml><?xml version="1.0" encoding="utf-8"?>
<ds:datastoreItem xmlns:ds="http://schemas.openxmlformats.org/officeDocument/2006/customXml" ds:itemID="{25AC27F7-F6BB-4415-AE66-7FAA2AE5B146}">
  <ds:schemaRefs>
    <ds:schemaRef ds:uri="http://schemas.openxmlformats.org/officeDocument/2006/bibliography"/>
  </ds:schemaRefs>
</ds:datastoreItem>
</file>

<file path=customXml/itemProps2.xml><?xml version="1.0" encoding="utf-8"?>
<ds:datastoreItem xmlns:ds="http://schemas.openxmlformats.org/officeDocument/2006/customXml" ds:itemID="{389C5FB5-2A22-4BB7-876E-B2D60D961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0194F-F0ED-45F1-B6C2-C7FBA4478357}">
  <ds:schemaRefs>
    <ds:schemaRef ds:uri="office.server.policy"/>
  </ds:schemaRefs>
</ds:datastoreItem>
</file>

<file path=customXml/itemProps4.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5.xml><?xml version="1.0" encoding="utf-8"?>
<ds:datastoreItem xmlns:ds="http://schemas.openxmlformats.org/officeDocument/2006/customXml" ds:itemID="{816CFC35-8E56-4C50-B319-3DEA457AFB39}">
  <ds:schemaRefs>
    <ds:schemaRef ds:uri="http://schemas.microsoft.com/sharepoint/events"/>
  </ds:schemaRefs>
</ds:datastoreItem>
</file>

<file path=customXml/itemProps6.xml><?xml version="1.0" encoding="utf-8"?>
<ds:datastoreItem xmlns:ds="http://schemas.openxmlformats.org/officeDocument/2006/customXml" ds:itemID="{15B243C3-A726-4697-A075-A6D3D6EC7181}">
  <ds:schemaRefs>
    <ds:schemaRef ds:uri="http://purl.org/dc/elements/1.1/"/>
    <ds:schemaRef ds:uri="http://schemas.openxmlformats.org/package/2006/metadata/core-properties"/>
    <ds:schemaRef ds:uri="http://purl.org/dc/dcmitype/"/>
    <ds:schemaRef ds:uri="http://schemas.microsoft.com/sharepoint/v3"/>
    <ds:schemaRef ds:uri="8264c5cc-ec60-4b56-8111-ce635d3d139a"/>
    <ds:schemaRef ds:uri="http://schemas.microsoft.com/office/2006/documentManagement/types"/>
    <ds:schemaRef ds:uri="http://purl.org/dc/terms/"/>
    <ds:schemaRef ds:uri="http://schemas.microsoft.com/office/infopath/2007/PartnerControls"/>
    <ds:schemaRef ds:uri="e560140e-7b2f-4392-90df-e7567e3021a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7524</Words>
  <Characters>42889</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50313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8</cp:revision>
  <cp:lastPrinted>2013-10-25T21:11:00Z</cp:lastPrinted>
  <dcterms:created xsi:type="dcterms:W3CDTF">2024-09-18T17:48:00Z</dcterms:created>
  <dcterms:modified xsi:type="dcterms:W3CDTF">2024-09-18T18:22:00Z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c78b1d42-7865-4ea2-812d-a1e4472f9bce</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6144</vt:r8>
  </property>
  <property fmtid="{D5CDD505-2E9C-101B-9397-08002B2CF9AE}" pid="22" name="UNDP_POPP_REFITEM_VERSION">
    <vt:r8>6</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