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17E4" w14:textId="77777777" w:rsidR="00C54F7B" w:rsidRPr="009C7B2E" w:rsidRDefault="00F4444C">
      <w:pPr>
        <w:spacing w:after="0" w:line="259" w:lineRule="auto"/>
        <w:ind w:left="0" w:firstLine="0"/>
        <w:jc w:val="left"/>
        <w:rPr>
          <w:lang w:val="fr-CH"/>
        </w:rPr>
      </w:pPr>
      <w:r w:rsidRPr="009C7B2E">
        <w:rPr>
          <w:b/>
          <w:sz w:val="28"/>
          <w:lang w:val="fr-CH"/>
        </w:rPr>
        <w:t xml:space="preserve">Avance de traitement </w:t>
      </w:r>
      <w:r w:rsidRPr="009C7B2E">
        <w:rPr>
          <w:lang w:val="fr-CH"/>
        </w:rPr>
        <w:t xml:space="preserve"> </w:t>
      </w:r>
    </w:p>
    <w:p w14:paraId="485D17E5" w14:textId="77777777" w:rsidR="00C54F7B" w:rsidRPr="009C7B2E" w:rsidRDefault="00F4444C">
      <w:pPr>
        <w:spacing w:after="14" w:line="259" w:lineRule="auto"/>
        <w:ind w:left="0" w:firstLine="0"/>
        <w:jc w:val="left"/>
        <w:rPr>
          <w:lang w:val="fr-CH"/>
        </w:rPr>
      </w:pPr>
      <w:r w:rsidRPr="009C7B2E">
        <w:rPr>
          <w:b/>
          <w:lang w:val="fr-CH"/>
        </w:rPr>
        <w:t xml:space="preserve"> </w:t>
      </w:r>
      <w:r w:rsidRPr="009C7B2E">
        <w:rPr>
          <w:lang w:val="fr-CH"/>
        </w:rPr>
        <w:t xml:space="preserve"> </w:t>
      </w:r>
    </w:p>
    <w:p w14:paraId="29072329" w14:textId="11DC9CDC" w:rsidR="0020719C" w:rsidRPr="009C7B2E" w:rsidRDefault="0020719C" w:rsidP="0020719C">
      <w:pPr>
        <w:pStyle w:val="ListParagraph"/>
        <w:numPr>
          <w:ilvl w:val="0"/>
          <w:numId w:val="10"/>
        </w:numPr>
        <w:rPr>
          <w:lang w:val="fr-CH"/>
        </w:rPr>
      </w:pPr>
      <w:r w:rsidRPr="009C7B2E">
        <w:rPr>
          <w:lang w:val="fr-CH"/>
        </w:rPr>
        <w:t>La rémunération du personnel, y compris le salaire, les avantages et les allocations, est conçue pour répondre aux besoins de vie normaux des membres du personnel et de leurs personnes à charge. Lorsque des situations exceptionnelles et inattendues se produisent et que des fonds supplémentaires sont nécessaires, le PNUD peut accorder une avance dans des circonstances et conditions spécifiques définies dans la présente politique.</w:t>
      </w:r>
    </w:p>
    <w:p w14:paraId="485D17E6" w14:textId="2639A636" w:rsidR="00C54F7B" w:rsidRPr="009C7B2E" w:rsidRDefault="00F4444C" w:rsidP="0020719C">
      <w:pPr>
        <w:pStyle w:val="ListParagraph"/>
        <w:numPr>
          <w:ilvl w:val="0"/>
          <w:numId w:val="10"/>
        </w:numPr>
        <w:rPr>
          <w:lang w:val="fr-CH"/>
        </w:rPr>
      </w:pPr>
      <w:r w:rsidRPr="009C7B2E">
        <w:rPr>
          <w:lang w:val="fr-CH"/>
        </w:rPr>
        <w:t xml:space="preserve">  </w:t>
      </w:r>
      <w:r w:rsidR="0020719C" w:rsidRPr="009C7B2E">
        <w:rPr>
          <w:lang w:val="fr-CH"/>
        </w:rPr>
        <w:t>Le PNUD n'étant pas une institution financière (de prêt), il est conseillé aux membres du personnel de s'adresser aux institutions de prêt disponibles telles que les banques ou la United Nations Federal Credit Union (UNFCU) pour tous leurs besoins financiers personnels.</w:t>
      </w:r>
    </w:p>
    <w:p w14:paraId="0CAA2E9A" w14:textId="59AFA147" w:rsidR="0020719C" w:rsidRPr="009C7B2E" w:rsidRDefault="0020719C" w:rsidP="0020719C">
      <w:pPr>
        <w:pStyle w:val="ListParagraph"/>
        <w:numPr>
          <w:ilvl w:val="0"/>
          <w:numId w:val="10"/>
        </w:numPr>
        <w:rPr>
          <w:lang w:val="fr-CH"/>
        </w:rPr>
      </w:pPr>
      <w:r w:rsidRPr="009C7B2E">
        <w:rPr>
          <w:lang w:val="fr-CH"/>
        </w:rPr>
        <w:t xml:space="preserve">Cette politique met en </w:t>
      </w:r>
      <w:r w:rsidR="003D5CFF" w:rsidRPr="009C7B2E">
        <w:rPr>
          <w:lang w:val="fr-CH"/>
        </w:rPr>
        <w:t>ouvre</w:t>
      </w:r>
      <w:r w:rsidRPr="009C7B2E">
        <w:rPr>
          <w:lang w:val="fr-CH"/>
        </w:rPr>
        <w:t xml:space="preserve"> la règle du personnel 3.16.</w:t>
      </w:r>
    </w:p>
    <w:p w14:paraId="485D17E7" w14:textId="77777777" w:rsidR="00C54F7B" w:rsidRPr="009C7B2E" w:rsidRDefault="00F4444C" w:rsidP="000A41DC">
      <w:pPr>
        <w:spacing w:after="0" w:line="259" w:lineRule="auto"/>
        <w:ind w:left="720" w:hanging="360"/>
        <w:jc w:val="left"/>
        <w:rPr>
          <w:lang w:val="fr-CH"/>
        </w:rPr>
      </w:pPr>
      <w:r w:rsidRPr="009C7B2E">
        <w:rPr>
          <w:b/>
          <w:lang w:val="fr-CH"/>
        </w:rPr>
        <w:t xml:space="preserve"> </w:t>
      </w:r>
      <w:r w:rsidRPr="009C7B2E">
        <w:rPr>
          <w:lang w:val="fr-CH"/>
        </w:rPr>
        <w:t xml:space="preserve"> </w:t>
      </w:r>
    </w:p>
    <w:p w14:paraId="485D17E8" w14:textId="77777777" w:rsidR="00C54F7B" w:rsidRPr="009C7B2E" w:rsidRDefault="00F4444C" w:rsidP="000A41DC">
      <w:pPr>
        <w:pStyle w:val="Heading1"/>
        <w:ind w:left="0" w:firstLine="0"/>
        <w:rPr>
          <w:lang w:val="fr-CH"/>
        </w:rPr>
      </w:pPr>
      <w:r w:rsidRPr="009C7B2E">
        <w:rPr>
          <w:lang w:val="fr-CH"/>
        </w:rPr>
        <w:t xml:space="preserve">Applicabilité  </w:t>
      </w:r>
    </w:p>
    <w:p w14:paraId="485D17E9" w14:textId="77777777" w:rsidR="00C54F7B" w:rsidRPr="009C7B2E" w:rsidRDefault="00F4444C" w:rsidP="000A41DC">
      <w:pPr>
        <w:spacing w:after="11" w:line="259" w:lineRule="auto"/>
        <w:ind w:left="720" w:hanging="360"/>
        <w:jc w:val="left"/>
        <w:rPr>
          <w:lang w:val="fr-CH"/>
        </w:rPr>
      </w:pPr>
      <w:r w:rsidRPr="009C7B2E">
        <w:rPr>
          <w:b/>
          <w:lang w:val="fr-CH"/>
        </w:rPr>
        <w:t xml:space="preserve"> </w:t>
      </w:r>
      <w:r w:rsidRPr="009C7B2E">
        <w:rPr>
          <w:lang w:val="fr-CH"/>
        </w:rPr>
        <w:t xml:space="preserve"> </w:t>
      </w:r>
    </w:p>
    <w:p w14:paraId="485D17EA" w14:textId="71A4F4E1" w:rsidR="00C54F7B" w:rsidRPr="009C7B2E" w:rsidRDefault="0020719C" w:rsidP="000A41DC">
      <w:pPr>
        <w:ind w:left="720" w:hanging="360"/>
        <w:rPr>
          <w:lang w:val="fr-CH"/>
        </w:rPr>
      </w:pPr>
      <w:r w:rsidRPr="009C7B2E">
        <w:rPr>
          <w:lang w:val="fr-CH"/>
        </w:rPr>
        <w:t>4</w:t>
      </w:r>
      <w:r w:rsidR="00F4444C" w:rsidRPr="009C7B2E">
        <w:rPr>
          <w:lang w:val="fr-CH"/>
        </w:rPr>
        <w:t>.</w:t>
      </w:r>
      <w:r w:rsidR="00F4444C" w:rsidRPr="009C7B2E">
        <w:rPr>
          <w:rFonts w:ascii="Arial" w:hAnsi="Arial"/>
          <w:lang w:val="fr-CH"/>
        </w:rPr>
        <w:tab/>
      </w:r>
      <w:r w:rsidRPr="009C7B2E">
        <w:rPr>
          <w:lang w:val="fr-CH"/>
        </w:rPr>
        <w:t>Les membres du personnel titulaires d'un engagement permanent, d'un engagement à durée déterminée et d'un engagement temporaire, ainsi que les titulaires d'accords internationaux et nationaux de services de personnel (IPSA et NPSA) peuvent demander, et le PNUD peut accorder, une avance sur traitement conformément aux conditions décrites ci-dessous. Sauf indication contraire, les termes et conditions relatifs aux avances sur salaire s'appliquent à tous les types de personnel énumérés ci-dessus</w:t>
      </w:r>
      <w:r w:rsidR="00F4444C" w:rsidRPr="009C7B2E">
        <w:rPr>
          <w:lang w:val="fr-CH"/>
        </w:rPr>
        <w:t xml:space="preserve">.  </w:t>
      </w:r>
    </w:p>
    <w:p w14:paraId="485D17EB" w14:textId="77777777" w:rsidR="00C54F7B" w:rsidRPr="009C7B2E" w:rsidRDefault="00F4444C" w:rsidP="000A41DC">
      <w:pPr>
        <w:spacing w:after="0" w:line="259" w:lineRule="auto"/>
        <w:ind w:left="720" w:hanging="360"/>
        <w:jc w:val="left"/>
        <w:rPr>
          <w:lang w:val="fr-CH"/>
        </w:rPr>
      </w:pPr>
      <w:r w:rsidRPr="009C7B2E">
        <w:rPr>
          <w:b/>
          <w:lang w:val="fr-CH"/>
        </w:rPr>
        <w:t xml:space="preserve"> </w:t>
      </w:r>
      <w:r w:rsidRPr="009C7B2E">
        <w:rPr>
          <w:lang w:val="fr-CH"/>
        </w:rPr>
        <w:t xml:space="preserve"> </w:t>
      </w:r>
    </w:p>
    <w:p w14:paraId="485D17EC" w14:textId="43ABDBF3" w:rsidR="00C54F7B" w:rsidRPr="009C7B2E" w:rsidRDefault="00F4444C" w:rsidP="000A41DC">
      <w:pPr>
        <w:pStyle w:val="Heading1"/>
        <w:ind w:left="0" w:firstLine="0"/>
        <w:rPr>
          <w:lang w:val="fr-CH"/>
        </w:rPr>
      </w:pPr>
      <w:r w:rsidRPr="009C7B2E">
        <w:rPr>
          <w:lang w:val="fr-CH"/>
        </w:rPr>
        <w:t>Conditions</w:t>
      </w:r>
      <w:r w:rsidR="0020719C" w:rsidRPr="009C7B2E">
        <w:rPr>
          <w:lang w:val="fr-CH"/>
        </w:rPr>
        <w:t xml:space="preserve"> générales</w:t>
      </w:r>
    </w:p>
    <w:p w14:paraId="485D17ED" w14:textId="77777777" w:rsidR="00C54F7B" w:rsidRPr="009C7B2E" w:rsidRDefault="00F4444C" w:rsidP="000A41DC">
      <w:pPr>
        <w:spacing w:after="14" w:line="259" w:lineRule="auto"/>
        <w:ind w:left="720" w:hanging="360"/>
        <w:jc w:val="left"/>
        <w:rPr>
          <w:lang w:val="fr-CH"/>
        </w:rPr>
      </w:pPr>
      <w:r w:rsidRPr="009C7B2E">
        <w:rPr>
          <w:b/>
          <w:lang w:val="fr-CH"/>
        </w:rPr>
        <w:t xml:space="preserve"> </w:t>
      </w:r>
      <w:r w:rsidRPr="009C7B2E">
        <w:rPr>
          <w:lang w:val="fr-CH"/>
        </w:rPr>
        <w:t xml:space="preserve"> </w:t>
      </w:r>
    </w:p>
    <w:p w14:paraId="485D17EE" w14:textId="44E8D299" w:rsidR="00C54F7B" w:rsidRPr="009C7B2E" w:rsidRDefault="009D78DF" w:rsidP="000A41DC">
      <w:pPr>
        <w:ind w:left="720" w:hanging="360"/>
        <w:rPr>
          <w:lang w:val="fr-CH"/>
        </w:rPr>
      </w:pPr>
      <w:r w:rsidRPr="009C7B2E">
        <w:rPr>
          <w:lang w:val="fr-CH"/>
        </w:rPr>
        <w:t>5</w:t>
      </w:r>
      <w:r w:rsidR="00F4444C" w:rsidRPr="009C7B2E">
        <w:rPr>
          <w:lang w:val="fr-CH"/>
        </w:rPr>
        <w:t>.</w:t>
      </w:r>
      <w:r w:rsidR="00F4444C" w:rsidRPr="009C7B2E">
        <w:rPr>
          <w:rFonts w:ascii="Arial" w:hAnsi="Arial"/>
          <w:lang w:val="fr-CH"/>
        </w:rPr>
        <w:t xml:space="preserve"> </w:t>
      </w:r>
      <w:r w:rsidR="00F4444C" w:rsidRPr="009C7B2E">
        <w:rPr>
          <w:lang w:val="fr-CH"/>
        </w:rPr>
        <w:t xml:space="preserve">Les conditions suivantes s’appliquent à toutes les avances sur traitement :  </w:t>
      </w:r>
    </w:p>
    <w:p w14:paraId="2A4214E5" w14:textId="77777777" w:rsidR="00B83B4C" w:rsidRPr="009C7B2E" w:rsidRDefault="00B83B4C">
      <w:pPr>
        <w:ind w:left="142" w:firstLine="0"/>
        <w:rPr>
          <w:lang w:val="fr-CH"/>
        </w:rPr>
      </w:pPr>
    </w:p>
    <w:p w14:paraId="768C1FF4" w14:textId="15A22C84" w:rsidR="0020719C" w:rsidRPr="009C7B2E" w:rsidRDefault="0020719C" w:rsidP="0020719C">
      <w:pPr>
        <w:numPr>
          <w:ilvl w:val="0"/>
          <w:numId w:val="1"/>
        </w:numPr>
        <w:rPr>
          <w:lang w:val="fr-CH"/>
        </w:rPr>
      </w:pPr>
      <w:r w:rsidRPr="009C7B2E">
        <w:rPr>
          <w:lang w:val="fr-CH"/>
        </w:rPr>
        <w:t xml:space="preserve"> ils sont récupérés en totalité par des retenues salariales régulières ;</w:t>
      </w:r>
    </w:p>
    <w:p w14:paraId="78B2D8C9" w14:textId="60285D23" w:rsidR="0020719C" w:rsidRPr="009C7B2E" w:rsidRDefault="0020719C" w:rsidP="0020719C">
      <w:pPr>
        <w:numPr>
          <w:ilvl w:val="0"/>
          <w:numId w:val="1"/>
        </w:numPr>
        <w:rPr>
          <w:lang w:val="fr-CH"/>
        </w:rPr>
      </w:pPr>
      <w:r w:rsidRPr="009C7B2E">
        <w:rPr>
          <w:lang w:val="fr-CH"/>
        </w:rPr>
        <w:t xml:space="preserve"> Les avances pour les membres du personnel recrutés au niveau international et les IPSA sont toujours recouvrées en USD. Ces avances peuvent être déboursées dans la monnaie locale du lieu d'affectation. Lorsqu'une avance est versée dans une devise autre que le dollar américain, le montant de cette avance sera converti en dollars américains au taux de change officiel des Nations Unies en vigueur au moment de l'émission de l'avance, et c'est ce montant en dollars américains qui sera recouvré ;</w:t>
      </w:r>
    </w:p>
    <w:p w14:paraId="485D17F1" w14:textId="7985BEC8" w:rsidR="00C54F7B" w:rsidRPr="009C7B2E" w:rsidRDefault="0020719C" w:rsidP="0020719C">
      <w:pPr>
        <w:numPr>
          <w:ilvl w:val="0"/>
          <w:numId w:val="1"/>
        </w:numPr>
        <w:ind w:hanging="427"/>
        <w:rPr>
          <w:lang w:val="fr-CH"/>
        </w:rPr>
      </w:pPr>
      <w:r w:rsidRPr="009C7B2E">
        <w:rPr>
          <w:lang w:val="fr-CH"/>
        </w:rPr>
        <w:t xml:space="preserve"> Les agents recrutés localement et les ANPE ne peuvent recevoir des avances que dans la monnaie dans laquelle leur salaire est versé et l'avance doit être remboursée dans la même monnaie ;</w:t>
      </w:r>
      <w:r w:rsidR="00F4444C" w:rsidRPr="009C7B2E">
        <w:rPr>
          <w:lang w:val="fr-CH"/>
        </w:rPr>
        <w:t xml:space="preserve"> </w:t>
      </w:r>
    </w:p>
    <w:p w14:paraId="64B1DAAF" w14:textId="77777777" w:rsidR="00B83B4C" w:rsidRPr="009C7B2E" w:rsidRDefault="00B83B4C" w:rsidP="00B83B4C">
      <w:pPr>
        <w:pStyle w:val="ListParagraph"/>
        <w:rPr>
          <w:lang w:val="fr-CH"/>
        </w:rPr>
      </w:pPr>
    </w:p>
    <w:p w14:paraId="25110FBD" w14:textId="296E35C6" w:rsidR="00B83B4C" w:rsidRPr="009C7B2E" w:rsidRDefault="005C36BF" w:rsidP="0020719C">
      <w:pPr>
        <w:numPr>
          <w:ilvl w:val="0"/>
          <w:numId w:val="1"/>
        </w:numPr>
        <w:ind w:left="993" w:hanging="426"/>
        <w:rPr>
          <w:lang w:val="fr-CH"/>
        </w:rPr>
      </w:pPr>
      <w:r w:rsidRPr="009C7B2E">
        <w:rPr>
          <w:lang w:val="fr-CH"/>
        </w:rPr>
        <w:t>L</w:t>
      </w:r>
      <w:r w:rsidR="00F4444C" w:rsidRPr="009C7B2E">
        <w:rPr>
          <w:lang w:val="fr-CH"/>
        </w:rPr>
        <w:t xml:space="preserve">e recouvrement </w:t>
      </w:r>
      <w:r w:rsidR="001406DC" w:rsidRPr="009C7B2E">
        <w:rPr>
          <w:lang w:val="fr-CH"/>
        </w:rPr>
        <w:t xml:space="preserve">est effectué </w:t>
      </w:r>
      <w:r w:rsidR="00F4444C" w:rsidRPr="009C7B2E">
        <w:rPr>
          <w:lang w:val="fr-CH"/>
        </w:rPr>
        <w:t xml:space="preserve">le premier jour de paie de fin de mois suivant l’octroi de l’avance, à moins qu’il n’en soit stipulé autrement au moment de l’approbation ; </w:t>
      </w:r>
    </w:p>
    <w:p w14:paraId="76F85B7B" w14:textId="77777777" w:rsidR="00B83B4C" w:rsidRPr="009C7B2E" w:rsidRDefault="00B83B4C" w:rsidP="00B83B4C">
      <w:pPr>
        <w:pStyle w:val="ListParagraph"/>
        <w:rPr>
          <w:lang w:val="fr-CH"/>
        </w:rPr>
      </w:pPr>
    </w:p>
    <w:p w14:paraId="343630DB" w14:textId="6758B5EF" w:rsidR="00B83B4C" w:rsidRPr="009C7B2E" w:rsidRDefault="009D6D1D" w:rsidP="0020719C">
      <w:pPr>
        <w:numPr>
          <w:ilvl w:val="0"/>
          <w:numId w:val="1"/>
        </w:numPr>
        <w:ind w:left="993" w:hanging="426"/>
        <w:rPr>
          <w:lang w:val="fr-CH"/>
        </w:rPr>
      </w:pPr>
      <w:r w:rsidRPr="009C7B2E">
        <w:rPr>
          <w:lang w:val="fr-CH"/>
        </w:rPr>
        <w:t>Sauf indication contraire, ils sont liquidés à un taux constant jusqu'à un maximum de douze (12) périodes de paie consécutives ne dépassant pas la date d'expiration de la nomination / accord</w:t>
      </w:r>
      <w:r w:rsidR="00F4444C" w:rsidRPr="009C7B2E">
        <w:rPr>
          <w:lang w:val="fr-CH"/>
        </w:rPr>
        <w:t xml:space="preserve">; </w:t>
      </w:r>
    </w:p>
    <w:p w14:paraId="0FE062F3" w14:textId="77777777" w:rsidR="00B83B4C" w:rsidRPr="009C7B2E" w:rsidRDefault="00B83B4C" w:rsidP="00B83B4C">
      <w:pPr>
        <w:pStyle w:val="ListParagraph"/>
        <w:rPr>
          <w:lang w:val="fr-CH"/>
        </w:rPr>
      </w:pPr>
    </w:p>
    <w:p w14:paraId="485D17F4" w14:textId="27F66170" w:rsidR="00C54F7B" w:rsidRPr="009C7B2E" w:rsidRDefault="005C36BF" w:rsidP="00C6185D">
      <w:pPr>
        <w:numPr>
          <w:ilvl w:val="0"/>
          <w:numId w:val="1"/>
        </w:numPr>
        <w:ind w:left="1440" w:hanging="427"/>
        <w:rPr>
          <w:lang w:val="fr-CH"/>
        </w:rPr>
      </w:pPr>
      <w:r w:rsidRPr="009C7B2E">
        <w:rPr>
          <w:lang w:val="fr-CH"/>
        </w:rPr>
        <w:t>A</w:t>
      </w:r>
      <w:r w:rsidR="00F4444C" w:rsidRPr="009C7B2E">
        <w:rPr>
          <w:lang w:val="fr-CH"/>
        </w:rPr>
        <w:t xml:space="preserve">ucune nouvelle avance ne peut être accordée tant qu’une avance précédente ou une partie de celle-ci n’a pas été versée, sauf :  </w:t>
      </w:r>
    </w:p>
    <w:p w14:paraId="613907A5" w14:textId="77777777" w:rsidR="00B83B4C" w:rsidRPr="009C7B2E" w:rsidRDefault="00B83B4C" w:rsidP="00B83B4C">
      <w:pPr>
        <w:pStyle w:val="ListParagraph"/>
        <w:rPr>
          <w:lang w:val="fr-CH"/>
        </w:rPr>
      </w:pPr>
    </w:p>
    <w:p w14:paraId="3A3A14B4" w14:textId="77777777" w:rsidR="00B83B4C" w:rsidRPr="009C7B2E" w:rsidRDefault="00B83B4C" w:rsidP="00B83B4C">
      <w:pPr>
        <w:ind w:left="993" w:firstLine="0"/>
        <w:rPr>
          <w:lang w:val="fr-CH"/>
        </w:rPr>
      </w:pPr>
    </w:p>
    <w:p w14:paraId="485D17F5" w14:textId="2C9A7710" w:rsidR="00C54F7B" w:rsidRPr="009C7B2E" w:rsidRDefault="005C36BF" w:rsidP="0006289B">
      <w:pPr>
        <w:numPr>
          <w:ilvl w:val="1"/>
          <w:numId w:val="1"/>
        </w:numPr>
        <w:ind w:left="2340" w:hanging="360"/>
        <w:rPr>
          <w:lang w:val="fr-CH"/>
        </w:rPr>
      </w:pPr>
      <w:r w:rsidRPr="009C7B2E">
        <w:rPr>
          <w:lang w:val="fr-CH"/>
        </w:rPr>
        <w:t>P</w:t>
      </w:r>
      <w:r w:rsidR="00F4444C" w:rsidRPr="009C7B2E">
        <w:rPr>
          <w:lang w:val="fr-CH"/>
        </w:rPr>
        <w:t xml:space="preserve">our les avances pour frais médicaux majeurs en attendant le remboursement par un régime d’assurance maladie des Nations Unies ; ou  </w:t>
      </w:r>
    </w:p>
    <w:p w14:paraId="7124DF08" w14:textId="77777777" w:rsidR="00487824" w:rsidRPr="009C7B2E" w:rsidRDefault="00487824" w:rsidP="0006289B">
      <w:pPr>
        <w:ind w:left="2520" w:hanging="540"/>
        <w:rPr>
          <w:lang w:val="fr-CH"/>
        </w:rPr>
      </w:pPr>
    </w:p>
    <w:p w14:paraId="485D17F6" w14:textId="6CAF4006" w:rsidR="00C54F7B" w:rsidRPr="009C7B2E" w:rsidRDefault="005C36BF" w:rsidP="0006289B">
      <w:pPr>
        <w:numPr>
          <w:ilvl w:val="1"/>
          <w:numId w:val="1"/>
        </w:numPr>
        <w:ind w:left="2340" w:hanging="360"/>
        <w:rPr>
          <w:lang w:val="fr-CH"/>
        </w:rPr>
      </w:pPr>
      <w:r w:rsidRPr="009C7B2E">
        <w:rPr>
          <w:lang w:val="fr-CH"/>
        </w:rPr>
        <w:t>S</w:t>
      </w:r>
      <w:r w:rsidR="00F4444C" w:rsidRPr="009C7B2E">
        <w:rPr>
          <w:lang w:val="fr-CH"/>
        </w:rPr>
        <w:t>i, sur la base des décisions en matière de sécurité et selon l’approbation à l’échelle du lieu d’affectation, conformément au Manuel de sécurité de l’UNDSS ; ou</w:t>
      </w:r>
      <w:r w:rsidR="00F4444C" w:rsidRPr="009C7B2E">
        <w:rPr>
          <w:i/>
          <w:lang w:val="fr-CH"/>
        </w:rPr>
        <w:t xml:space="preserve"> </w:t>
      </w:r>
      <w:r w:rsidR="00F4444C" w:rsidRPr="009C7B2E">
        <w:rPr>
          <w:lang w:val="fr-CH"/>
        </w:rPr>
        <w:t xml:space="preserve"> </w:t>
      </w:r>
    </w:p>
    <w:p w14:paraId="369D772F" w14:textId="77777777" w:rsidR="00487824" w:rsidRPr="009C7B2E" w:rsidRDefault="00487824" w:rsidP="0006289B">
      <w:pPr>
        <w:pStyle w:val="ListParagraph"/>
        <w:ind w:left="2520" w:hanging="540"/>
        <w:rPr>
          <w:lang w:val="fr-CH"/>
        </w:rPr>
      </w:pPr>
    </w:p>
    <w:p w14:paraId="485D17F7" w14:textId="656CC309" w:rsidR="00C54F7B" w:rsidRPr="009C7B2E" w:rsidRDefault="005C36BF" w:rsidP="0006289B">
      <w:pPr>
        <w:numPr>
          <w:ilvl w:val="1"/>
          <w:numId w:val="1"/>
        </w:numPr>
        <w:spacing w:after="26"/>
        <w:ind w:left="2340" w:hanging="360"/>
        <w:rPr>
          <w:lang w:val="fr-CH"/>
        </w:rPr>
      </w:pPr>
      <w:r w:rsidRPr="009C7B2E">
        <w:rPr>
          <w:lang w:val="fr-CH"/>
        </w:rPr>
        <w:t>P</w:t>
      </w:r>
      <w:r w:rsidR="00F4444C" w:rsidRPr="009C7B2E">
        <w:rPr>
          <w:lang w:val="fr-CH"/>
        </w:rPr>
        <w:t>our les avances exceptionnellement approuvées dans des situations d’urgence particulières par l’Administrateur assistant et le Directeur du BMS</w:t>
      </w:r>
      <w:r w:rsidR="00F4444C" w:rsidRPr="009C7B2E">
        <w:rPr>
          <w:i/>
          <w:lang w:val="fr-CH"/>
        </w:rPr>
        <w:t xml:space="preserve"> </w:t>
      </w:r>
      <w:r w:rsidR="00F4444C" w:rsidRPr="009C7B2E">
        <w:rPr>
          <w:lang w:val="fr-CH"/>
        </w:rPr>
        <w:t xml:space="preserve"> </w:t>
      </w:r>
    </w:p>
    <w:p w14:paraId="3C997D6C" w14:textId="77777777" w:rsidR="00487824" w:rsidRPr="009C7B2E" w:rsidRDefault="00487824" w:rsidP="00487824">
      <w:pPr>
        <w:spacing w:after="26"/>
        <w:ind w:left="2160" w:firstLine="0"/>
        <w:rPr>
          <w:lang w:val="fr-CH"/>
        </w:rPr>
      </w:pPr>
    </w:p>
    <w:p w14:paraId="485D17F8" w14:textId="0C2EAC13" w:rsidR="00C54F7B" w:rsidRPr="009C7B2E" w:rsidRDefault="009D6D1D" w:rsidP="00C6185D">
      <w:pPr>
        <w:numPr>
          <w:ilvl w:val="0"/>
          <w:numId w:val="1"/>
        </w:numPr>
        <w:ind w:left="1440" w:hanging="427"/>
        <w:rPr>
          <w:lang w:val="fr-CH"/>
        </w:rPr>
      </w:pPr>
      <w:r w:rsidRPr="009C7B2E">
        <w:rPr>
          <w:lang w:val="fr-CH"/>
        </w:rPr>
        <w:t>La demande d'avance doit expliquer, en détail, la situation exceptionnelle et inattendue pour laquelle les fonds sont nécessaires et joindre les pièces justificatives. Elle doit également inclure un engagement écrit selon lequel, si le membre du personnel/le titulaire de l'APS cesse ses fonctions, tout solde restant d'une avance sera récupéré en totalité sur les derniers émoluments. Tout solde dépassant les émoluments finaux dus doit être payé immédiatement et en totalité avant la séparation.</w:t>
      </w:r>
    </w:p>
    <w:p w14:paraId="485D17F9" w14:textId="77777777" w:rsidR="00C54F7B" w:rsidRPr="009C7B2E" w:rsidRDefault="00F4444C">
      <w:pPr>
        <w:spacing w:after="0" w:line="259" w:lineRule="auto"/>
        <w:ind w:left="0" w:firstLine="0"/>
        <w:jc w:val="left"/>
        <w:rPr>
          <w:lang w:val="fr-CH"/>
        </w:rPr>
      </w:pPr>
      <w:r w:rsidRPr="009C7B2E">
        <w:rPr>
          <w:b/>
          <w:lang w:val="fr-CH"/>
        </w:rPr>
        <w:t xml:space="preserve"> </w:t>
      </w:r>
      <w:r w:rsidRPr="009C7B2E">
        <w:rPr>
          <w:lang w:val="fr-CH"/>
        </w:rPr>
        <w:t xml:space="preserve"> </w:t>
      </w:r>
    </w:p>
    <w:p w14:paraId="485D17FA" w14:textId="77777777" w:rsidR="00C54F7B" w:rsidRPr="009C7B2E" w:rsidRDefault="00F4444C">
      <w:pPr>
        <w:pStyle w:val="Heading1"/>
        <w:rPr>
          <w:lang w:val="fr-CH"/>
        </w:rPr>
      </w:pPr>
      <w:r w:rsidRPr="009C7B2E">
        <w:rPr>
          <w:lang w:val="fr-CH"/>
        </w:rPr>
        <w:t xml:space="preserve">Autorisation des avances sur traitement et responsabilité du recouvrement  </w:t>
      </w:r>
    </w:p>
    <w:p w14:paraId="485D17FB" w14:textId="08B3A1C3" w:rsidR="00C54F7B" w:rsidRPr="009C7B2E" w:rsidRDefault="00F4444C">
      <w:pPr>
        <w:spacing w:after="0" w:line="259" w:lineRule="auto"/>
        <w:ind w:left="0" w:firstLine="0"/>
        <w:jc w:val="left"/>
        <w:rPr>
          <w:b/>
          <w:bCs/>
          <w:lang w:val="fr-CH"/>
        </w:rPr>
      </w:pPr>
      <w:r w:rsidRPr="009C7B2E">
        <w:rPr>
          <w:b/>
          <w:lang w:val="fr-CH"/>
        </w:rPr>
        <w:t xml:space="preserve"> </w:t>
      </w:r>
      <w:r w:rsidRPr="009C7B2E">
        <w:rPr>
          <w:lang w:val="fr-CH"/>
        </w:rPr>
        <w:t xml:space="preserve"> </w:t>
      </w:r>
      <w:r w:rsidR="009D78DF" w:rsidRPr="009C7B2E">
        <w:rPr>
          <w:b/>
          <w:bCs/>
          <w:lang w:val="fr-CH"/>
        </w:rPr>
        <w:t>Demande</w:t>
      </w:r>
    </w:p>
    <w:p w14:paraId="485D17FC" w14:textId="777DFDAC" w:rsidR="00C54F7B" w:rsidRPr="009C7B2E" w:rsidRDefault="009D78DF" w:rsidP="009D78DF">
      <w:pPr>
        <w:numPr>
          <w:ilvl w:val="0"/>
          <w:numId w:val="11"/>
        </w:numPr>
        <w:ind w:left="426" w:hanging="142"/>
        <w:rPr>
          <w:lang w:val="fr-CH"/>
        </w:rPr>
      </w:pPr>
      <w:r w:rsidRPr="009C7B2E">
        <w:rPr>
          <w:lang w:val="fr-CH"/>
        </w:rPr>
        <w:t>Les demandes d'avances sur salaire par les membres du personnel recrutés localement et les ANPE hors du siège (HQ) doivent être soumises en utilisant , la plateforme libre-service des employés du PNUD, , ainsi que les documents nécessaires, conformément à la présente politique. La demande est examinée et approuvée par le personnel désigné avec ces rôles dans le Bureau. Généralement, le rôle d'approbateur est auprès du chef de bureau (représentant résident) qui peut le déléguer au représentant résident adjoint (opérations) ou à une fonction similaire.</w:t>
      </w:r>
      <w:r w:rsidR="00F4444C" w:rsidRPr="009C7B2E">
        <w:rPr>
          <w:lang w:val="fr-CH"/>
        </w:rPr>
        <w:t xml:space="preserve">  </w:t>
      </w:r>
    </w:p>
    <w:p w14:paraId="485D17FD" w14:textId="77777777" w:rsidR="00C54F7B" w:rsidRPr="009C7B2E" w:rsidRDefault="00F4444C">
      <w:pPr>
        <w:spacing w:after="9" w:line="259" w:lineRule="auto"/>
        <w:ind w:left="142" w:firstLine="0"/>
        <w:jc w:val="left"/>
        <w:rPr>
          <w:lang w:val="fr-CH"/>
        </w:rPr>
      </w:pPr>
      <w:r w:rsidRPr="009C7B2E">
        <w:rPr>
          <w:lang w:val="fr-CH"/>
        </w:rPr>
        <w:t xml:space="preserve">  </w:t>
      </w:r>
    </w:p>
    <w:p w14:paraId="485D17FE" w14:textId="059D8954" w:rsidR="00C54F7B" w:rsidRPr="009C7B2E" w:rsidRDefault="00F4444C" w:rsidP="009D78DF">
      <w:pPr>
        <w:numPr>
          <w:ilvl w:val="0"/>
          <w:numId w:val="11"/>
        </w:numPr>
        <w:ind w:left="428"/>
        <w:rPr>
          <w:lang w:val="fr-CH"/>
        </w:rPr>
      </w:pPr>
      <w:r w:rsidRPr="009C7B2E">
        <w:rPr>
          <w:lang w:val="fr-CH"/>
        </w:rPr>
        <w:t xml:space="preserve">Pour les membres du personnel recrutés sur le plan international, les avances sur traitement doivent être approuvées par le </w:t>
      </w:r>
      <w:r w:rsidR="00E47E95" w:rsidRPr="009C7B2E">
        <w:rPr>
          <w:lang w:val="fr-CH"/>
        </w:rPr>
        <w:t xml:space="preserve">Gestionnaire du service de la paie </w:t>
      </w:r>
      <w:r w:rsidRPr="009C7B2E">
        <w:rPr>
          <w:lang w:val="fr-CH"/>
        </w:rPr>
        <w:t xml:space="preserve"> et des services à la clientèle</w:t>
      </w:r>
      <w:r w:rsidR="00E47E95" w:rsidRPr="009C7B2E">
        <w:rPr>
          <w:lang w:val="fr-CH"/>
        </w:rPr>
        <w:t xml:space="preserve"> (P</w:t>
      </w:r>
      <w:r w:rsidR="009C7B2E" w:rsidRPr="009C7B2E">
        <w:rPr>
          <w:lang w:val="fr-CH"/>
        </w:rPr>
        <w:t>aie/</w:t>
      </w:r>
      <w:r w:rsidR="00E47E95" w:rsidRPr="009C7B2E">
        <w:rPr>
          <w:lang w:val="fr-CH"/>
        </w:rPr>
        <w:t>GSSU)</w:t>
      </w:r>
      <w:r w:rsidRPr="009C7B2E">
        <w:rPr>
          <w:lang w:val="fr-CH"/>
        </w:rPr>
        <w:t xml:space="preserve">. Le </w:t>
      </w:r>
      <w:r w:rsidR="00E47E95" w:rsidRPr="009C7B2E">
        <w:rPr>
          <w:lang w:val="fr-CH"/>
        </w:rPr>
        <w:t>gestionnaire du service de la paie</w:t>
      </w:r>
      <w:r w:rsidRPr="009C7B2E">
        <w:rPr>
          <w:lang w:val="fr-CH"/>
        </w:rPr>
        <w:t xml:space="preserve"> et des services à la clientèle est responsable de s’assurer que toutes les avances sur traitement approuvées sont recouvrées dans les délais prescrits par la présente politique.   </w:t>
      </w:r>
    </w:p>
    <w:p w14:paraId="49E2AB1B" w14:textId="77777777" w:rsidR="009D78DF" w:rsidRPr="009C7B2E" w:rsidRDefault="009D78DF" w:rsidP="009D78DF">
      <w:pPr>
        <w:pStyle w:val="ListParagraph"/>
        <w:rPr>
          <w:lang w:val="fr-CH"/>
        </w:rPr>
      </w:pPr>
    </w:p>
    <w:p w14:paraId="4E8470A8" w14:textId="6D80E945" w:rsidR="009D78DF" w:rsidRPr="009C7B2E" w:rsidRDefault="009D78DF" w:rsidP="009D78DF">
      <w:pPr>
        <w:numPr>
          <w:ilvl w:val="0"/>
          <w:numId w:val="11"/>
        </w:numPr>
        <w:ind w:left="428"/>
        <w:rPr>
          <w:lang w:val="fr-CH"/>
        </w:rPr>
      </w:pPr>
      <w:r w:rsidRPr="009C7B2E">
        <w:rPr>
          <w:lang w:val="fr-CH"/>
        </w:rPr>
        <w:t xml:space="preserve">Le bureau qui approuve l'avance est chargé de s'assurer que le paiement est effectué et recouvré conformément à la présente politique. L'administrateur adjoint et directeur de BMS peut révoquer la délégation de pouvoir du chef de bureau, ou du directeur du bureau du </w:t>
      </w:r>
      <w:r w:rsidRPr="009C7B2E">
        <w:rPr>
          <w:lang w:val="fr-CH"/>
        </w:rPr>
        <w:lastRenderedPageBreak/>
        <w:t>membre du personnel, pour approuver les avances sur salaire si les avances sont approuvées en violation de cette politique.</w:t>
      </w:r>
    </w:p>
    <w:p w14:paraId="64A10CDE" w14:textId="77777777" w:rsidR="009D78DF" w:rsidRPr="009C7B2E" w:rsidRDefault="009D78DF" w:rsidP="009D78DF">
      <w:pPr>
        <w:pStyle w:val="ListParagraph"/>
        <w:rPr>
          <w:lang w:val="fr-CH"/>
        </w:rPr>
      </w:pPr>
    </w:p>
    <w:p w14:paraId="0581EE56" w14:textId="705D7B54" w:rsidR="009D78DF" w:rsidRPr="009C7B2E" w:rsidRDefault="008E00E2" w:rsidP="009D78DF">
      <w:pPr>
        <w:numPr>
          <w:ilvl w:val="0"/>
          <w:numId w:val="11"/>
        </w:numPr>
        <w:ind w:left="428"/>
        <w:rPr>
          <w:lang w:val="fr-CH"/>
        </w:rPr>
      </w:pPr>
      <w:r w:rsidRPr="009C7B2E">
        <w:rPr>
          <w:lang w:val="fr-CH"/>
        </w:rPr>
        <w:t>À l'exception des avances d'urgence personnelles, les avances de salaire des membres du personnel recrutés à l'international et des IPSA doivent être approuvées par le responsable des services de paie globale (GPS) et le responsable des services de prestations et d'allocations (BES). Les responsables GPS et BES sont chargés de veiller à ce que toutes les avances sur salaire soient approuvées et recouvrées dans le cadre de cette politique. Dans le cas d'avances personnelles d'urgence, l'administrateur adjoint et le directeur de BMS doivent approuver l'avance de salaire.</w:t>
      </w:r>
    </w:p>
    <w:p w14:paraId="485D17FF" w14:textId="13CBC220" w:rsidR="005C36BF" w:rsidRPr="009C7B2E" w:rsidRDefault="005C36BF">
      <w:pPr>
        <w:spacing w:after="0" w:line="259" w:lineRule="auto"/>
        <w:ind w:left="720" w:firstLine="0"/>
        <w:jc w:val="left"/>
        <w:rPr>
          <w:lang w:val="fr-CH"/>
        </w:rPr>
      </w:pPr>
    </w:p>
    <w:p w14:paraId="485D1800" w14:textId="77777777" w:rsidR="00C54F7B" w:rsidRPr="009C7B2E" w:rsidRDefault="00F4444C">
      <w:pPr>
        <w:spacing w:after="3" w:line="259" w:lineRule="auto"/>
        <w:ind w:left="10" w:hanging="10"/>
        <w:jc w:val="left"/>
        <w:rPr>
          <w:lang w:val="fr-CH"/>
        </w:rPr>
      </w:pPr>
      <w:r w:rsidRPr="009C7B2E">
        <w:rPr>
          <w:b/>
          <w:lang w:val="fr-CH"/>
        </w:rPr>
        <w:t xml:space="preserve">Types d’avances sur traitement </w:t>
      </w:r>
      <w:r w:rsidRPr="009C7B2E">
        <w:rPr>
          <w:lang w:val="fr-CH"/>
        </w:rPr>
        <w:t xml:space="preserve"> </w:t>
      </w:r>
    </w:p>
    <w:p w14:paraId="485D1801" w14:textId="77777777" w:rsidR="00C54F7B" w:rsidRPr="009C7B2E" w:rsidRDefault="00F4444C">
      <w:pPr>
        <w:spacing w:after="2" w:line="259" w:lineRule="auto"/>
        <w:ind w:left="0" w:firstLine="0"/>
        <w:jc w:val="left"/>
        <w:rPr>
          <w:lang w:val="fr-CH"/>
        </w:rPr>
      </w:pPr>
      <w:r w:rsidRPr="009C7B2E">
        <w:rPr>
          <w:b/>
          <w:sz w:val="20"/>
          <w:lang w:val="fr-CH"/>
        </w:rPr>
        <w:t xml:space="preserve"> </w:t>
      </w:r>
      <w:r w:rsidRPr="009C7B2E">
        <w:rPr>
          <w:lang w:val="fr-CH"/>
        </w:rPr>
        <w:t xml:space="preserve"> </w:t>
      </w:r>
    </w:p>
    <w:p w14:paraId="485D1802" w14:textId="77777777" w:rsidR="00C54F7B" w:rsidRPr="009C7B2E" w:rsidRDefault="00F4444C">
      <w:pPr>
        <w:pStyle w:val="Heading1"/>
        <w:ind w:left="408"/>
        <w:rPr>
          <w:lang w:val="fr-CH"/>
        </w:rPr>
      </w:pPr>
      <w:r w:rsidRPr="009C7B2E">
        <w:rPr>
          <w:lang w:val="fr-CH"/>
        </w:rPr>
        <w:t xml:space="preserve">Avances pour nomination initiale  </w:t>
      </w:r>
    </w:p>
    <w:p w14:paraId="485D1803" w14:textId="77777777" w:rsidR="00C54F7B" w:rsidRPr="009C7B2E" w:rsidRDefault="00F4444C">
      <w:pPr>
        <w:spacing w:line="259" w:lineRule="auto"/>
        <w:ind w:left="0" w:firstLine="0"/>
        <w:jc w:val="left"/>
        <w:rPr>
          <w:lang w:val="fr-CH"/>
        </w:rPr>
      </w:pPr>
      <w:r w:rsidRPr="009C7B2E">
        <w:rPr>
          <w:b/>
          <w:sz w:val="20"/>
          <w:lang w:val="fr-CH"/>
        </w:rPr>
        <w:t xml:space="preserve"> </w:t>
      </w:r>
      <w:r w:rsidRPr="009C7B2E">
        <w:rPr>
          <w:lang w:val="fr-CH"/>
        </w:rPr>
        <w:t xml:space="preserve"> </w:t>
      </w:r>
    </w:p>
    <w:p w14:paraId="5007EBEA" w14:textId="288AFBE0" w:rsidR="008E00E2" w:rsidRPr="009C7B2E" w:rsidRDefault="008E00E2" w:rsidP="00661807">
      <w:pPr>
        <w:pStyle w:val="ListParagraph"/>
        <w:numPr>
          <w:ilvl w:val="0"/>
          <w:numId w:val="11"/>
        </w:numPr>
        <w:ind w:left="426"/>
        <w:rPr>
          <w:lang w:val="fr-CH"/>
        </w:rPr>
      </w:pPr>
      <w:r w:rsidRPr="009C7B2E">
        <w:rPr>
          <w:lang w:val="fr-CH"/>
        </w:rPr>
        <w:t xml:space="preserve">Lorsqu'un membre du personnel/titulaire de l'APS ne reçoit pas un salaire régulier en raison d'un problème bancaire ou d'un autre problème technique, ou un salaire partiel pour le premier mois en raison de la date de traitement de la paie, une avance est accordée pour le montant dû. Si un salaire en double est versé, un recouvrement </w:t>
      </w:r>
      <w:r w:rsidR="009C7B2E" w:rsidRPr="009C7B2E">
        <w:rPr>
          <w:lang w:val="fr-CH"/>
        </w:rPr>
        <w:t>intégral sera</w:t>
      </w:r>
      <w:r w:rsidRPr="009C7B2E">
        <w:rPr>
          <w:lang w:val="fr-CH"/>
        </w:rPr>
        <w:t xml:space="preserve"> effectué lors de la prochaine paie </w:t>
      </w:r>
    </w:p>
    <w:p w14:paraId="485D1804" w14:textId="3F0454A2" w:rsidR="00C54F7B" w:rsidRPr="009C7B2E" w:rsidRDefault="00F4444C">
      <w:pPr>
        <w:ind w:left="422" w:firstLine="0"/>
        <w:rPr>
          <w:lang w:val="fr-CH"/>
        </w:rPr>
      </w:pPr>
      <w:r w:rsidRPr="009C7B2E">
        <w:rPr>
          <w:lang w:val="fr-CH"/>
        </w:rPr>
        <w:t xml:space="preserve">   </w:t>
      </w:r>
    </w:p>
    <w:p w14:paraId="485D1805" w14:textId="77777777" w:rsidR="00C54F7B" w:rsidRPr="009C7B2E" w:rsidRDefault="00F4444C">
      <w:pPr>
        <w:spacing w:after="2" w:line="259" w:lineRule="auto"/>
        <w:ind w:left="0" w:firstLine="0"/>
        <w:jc w:val="left"/>
        <w:rPr>
          <w:lang w:val="fr-CH"/>
        </w:rPr>
      </w:pPr>
      <w:r w:rsidRPr="009C7B2E">
        <w:rPr>
          <w:b/>
          <w:sz w:val="20"/>
          <w:lang w:val="fr-CH"/>
        </w:rPr>
        <w:t xml:space="preserve"> </w:t>
      </w:r>
      <w:r w:rsidRPr="009C7B2E">
        <w:rPr>
          <w:lang w:val="fr-CH"/>
        </w:rPr>
        <w:t xml:space="preserve"> </w:t>
      </w:r>
    </w:p>
    <w:p w14:paraId="485D1806" w14:textId="77777777" w:rsidR="00C54F7B" w:rsidRPr="009C7B2E" w:rsidRDefault="00F4444C">
      <w:pPr>
        <w:pStyle w:val="Heading1"/>
        <w:ind w:left="408"/>
        <w:rPr>
          <w:lang w:val="fr-CH"/>
        </w:rPr>
      </w:pPr>
      <w:r w:rsidRPr="009C7B2E">
        <w:rPr>
          <w:lang w:val="fr-CH"/>
        </w:rPr>
        <w:t xml:space="preserve">Avances dues pour non-paiement du traitement  </w:t>
      </w:r>
    </w:p>
    <w:p w14:paraId="485D1807" w14:textId="77777777" w:rsidR="00C54F7B" w:rsidRPr="009C7B2E" w:rsidRDefault="00F4444C">
      <w:pPr>
        <w:spacing w:line="259" w:lineRule="auto"/>
        <w:ind w:left="0" w:firstLine="0"/>
        <w:jc w:val="left"/>
        <w:rPr>
          <w:lang w:val="fr-CH"/>
        </w:rPr>
      </w:pPr>
      <w:r w:rsidRPr="009C7B2E">
        <w:rPr>
          <w:b/>
          <w:sz w:val="20"/>
          <w:lang w:val="fr-CH"/>
        </w:rPr>
        <w:t xml:space="preserve"> </w:t>
      </w:r>
      <w:r w:rsidRPr="009C7B2E">
        <w:rPr>
          <w:lang w:val="fr-CH"/>
        </w:rPr>
        <w:t xml:space="preserve"> </w:t>
      </w:r>
    </w:p>
    <w:p w14:paraId="485D1808" w14:textId="1459009F" w:rsidR="00C54F7B" w:rsidRPr="009C7B2E" w:rsidRDefault="00F4444C" w:rsidP="00661807">
      <w:pPr>
        <w:pStyle w:val="ListParagraph"/>
        <w:numPr>
          <w:ilvl w:val="0"/>
          <w:numId w:val="11"/>
        </w:numPr>
        <w:ind w:left="426"/>
        <w:rPr>
          <w:lang w:val="fr-CH"/>
        </w:rPr>
      </w:pPr>
      <w:r w:rsidRPr="009C7B2E">
        <w:rPr>
          <w:lang w:val="fr-CH"/>
        </w:rPr>
        <w:t>Lorsqu’un membre du personnel</w:t>
      </w:r>
      <w:r w:rsidR="008E00E2" w:rsidRPr="009C7B2E">
        <w:rPr>
          <w:lang w:val="fr-CH"/>
        </w:rPr>
        <w:t xml:space="preserve"> / titulaire de l'APS</w:t>
      </w:r>
      <w:r w:rsidRPr="009C7B2E">
        <w:rPr>
          <w:lang w:val="fr-CH"/>
        </w:rPr>
        <w:t xml:space="preserve"> ne perçoit pas son traitement normal sans que cela soit </w:t>
      </w:r>
      <w:r w:rsidR="009C7B2E" w:rsidRPr="009C7B2E">
        <w:rPr>
          <w:lang w:val="fr-CH"/>
        </w:rPr>
        <w:t>sa</w:t>
      </w:r>
      <w:r w:rsidRPr="009C7B2E">
        <w:rPr>
          <w:lang w:val="fr-CH"/>
        </w:rPr>
        <w:t xml:space="preserve"> faute, une avance est accordée à concurrence du montant dû. Si un double salaire est versé, un recouvrement intégral sera effectué dans la prochaine paie.   </w:t>
      </w:r>
    </w:p>
    <w:p w14:paraId="485D1809" w14:textId="77777777" w:rsidR="00C54F7B" w:rsidRPr="009C7B2E" w:rsidRDefault="00F4444C">
      <w:pPr>
        <w:spacing w:after="0" w:line="259" w:lineRule="auto"/>
        <w:ind w:left="0" w:firstLine="0"/>
        <w:jc w:val="left"/>
        <w:rPr>
          <w:lang w:val="fr-CH"/>
        </w:rPr>
      </w:pPr>
      <w:r w:rsidRPr="009C7B2E">
        <w:rPr>
          <w:b/>
          <w:sz w:val="20"/>
          <w:lang w:val="fr-CH"/>
        </w:rPr>
        <w:t xml:space="preserve"> </w:t>
      </w:r>
      <w:r w:rsidRPr="009C7B2E">
        <w:rPr>
          <w:lang w:val="fr-CH"/>
        </w:rPr>
        <w:t xml:space="preserve"> </w:t>
      </w:r>
    </w:p>
    <w:p w14:paraId="485D180A" w14:textId="77777777" w:rsidR="00C54F7B" w:rsidRPr="009C7B2E" w:rsidRDefault="00F4444C">
      <w:pPr>
        <w:pStyle w:val="Heading1"/>
        <w:ind w:left="408"/>
        <w:rPr>
          <w:lang w:val="fr-CH"/>
        </w:rPr>
      </w:pPr>
      <w:r w:rsidRPr="009C7B2E">
        <w:rPr>
          <w:lang w:val="fr-CH"/>
        </w:rPr>
        <w:t xml:space="preserve">Avances à la cessation de service  </w:t>
      </w:r>
    </w:p>
    <w:p w14:paraId="485D180B" w14:textId="77777777" w:rsidR="00C54F7B" w:rsidRPr="009C7B2E" w:rsidRDefault="00F4444C">
      <w:pPr>
        <w:spacing w:line="259" w:lineRule="auto"/>
        <w:ind w:left="0" w:firstLine="0"/>
        <w:jc w:val="left"/>
        <w:rPr>
          <w:lang w:val="fr-CH"/>
        </w:rPr>
      </w:pPr>
      <w:r w:rsidRPr="009C7B2E">
        <w:rPr>
          <w:b/>
          <w:sz w:val="20"/>
          <w:lang w:val="fr-CH"/>
        </w:rPr>
        <w:t xml:space="preserve"> </w:t>
      </w:r>
      <w:r w:rsidRPr="009C7B2E">
        <w:rPr>
          <w:lang w:val="fr-CH"/>
        </w:rPr>
        <w:t xml:space="preserve"> </w:t>
      </w:r>
    </w:p>
    <w:p w14:paraId="485D180C" w14:textId="6D4EE555" w:rsidR="00C54F7B" w:rsidRPr="009C7B2E" w:rsidRDefault="00F4444C" w:rsidP="00661807">
      <w:pPr>
        <w:pStyle w:val="ListParagraph"/>
        <w:numPr>
          <w:ilvl w:val="0"/>
          <w:numId w:val="11"/>
        </w:numPr>
        <w:ind w:left="426"/>
        <w:rPr>
          <w:lang w:val="fr-CH"/>
        </w:rPr>
      </w:pPr>
      <w:r w:rsidRPr="009C7B2E">
        <w:rPr>
          <w:lang w:val="fr-CH"/>
        </w:rPr>
        <w:t xml:space="preserve">Lorsqu’un membre du personnel quitte le service et que les comptes de paie ne peuvent être définitivement réglés au moment de son départ, une avance ne dépassant pas 80 % du montant estimatif net des sommes dues </w:t>
      </w:r>
      <w:r w:rsidR="009C7B2E" w:rsidRPr="009C7B2E">
        <w:rPr>
          <w:lang w:val="fr-CH"/>
        </w:rPr>
        <w:t>peut-être</w:t>
      </w:r>
      <w:r w:rsidRPr="009C7B2E">
        <w:rPr>
          <w:lang w:val="fr-CH"/>
        </w:rPr>
        <w:t xml:space="preserve"> accordée.  </w:t>
      </w:r>
    </w:p>
    <w:p w14:paraId="485D180D" w14:textId="77777777" w:rsidR="00C54F7B" w:rsidRPr="009C7B2E" w:rsidRDefault="00F4444C">
      <w:pPr>
        <w:spacing w:after="2" w:line="259" w:lineRule="auto"/>
        <w:ind w:left="0" w:firstLine="0"/>
        <w:jc w:val="left"/>
        <w:rPr>
          <w:lang w:val="fr-CH"/>
        </w:rPr>
      </w:pPr>
      <w:r w:rsidRPr="009C7B2E">
        <w:rPr>
          <w:b/>
          <w:sz w:val="20"/>
          <w:lang w:val="fr-CH"/>
        </w:rPr>
        <w:t xml:space="preserve"> </w:t>
      </w:r>
      <w:r w:rsidRPr="009C7B2E">
        <w:rPr>
          <w:lang w:val="fr-CH"/>
        </w:rPr>
        <w:t xml:space="preserve"> </w:t>
      </w:r>
    </w:p>
    <w:p w14:paraId="485D180E" w14:textId="77777777" w:rsidR="00C54F7B" w:rsidRPr="009C7B2E" w:rsidRDefault="00F4444C">
      <w:pPr>
        <w:pStyle w:val="Heading1"/>
        <w:ind w:left="408"/>
        <w:rPr>
          <w:lang w:val="fr-CH"/>
        </w:rPr>
      </w:pPr>
      <w:r w:rsidRPr="009C7B2E">
        <w:rPr>
          <w:lang w:val="fr-CH"/>
        </w:rPr>
        <w:t xml:space="preserve">Avances pour frais médicaux  </w:t>
      </w:r>
    </w:p>
    <w:p w14:paraId="485D180F" w14:textId="77777777" w:rsidR="00C54F7B" w:rsidRPr="009C7B2E" w:rsidRDefault="00F4444C">
      <w:pPr>
        <w:spacing w:after="33" w:line="259" w:lineRule="auto"/>
        <w:ind w:left="0" w:firstLine="0"/>
        <w:jc w:val="left"/>
        <w:rPr>
          <w:lang w:val="fr-CH"/>
        </w:rPr>
      </w:pPr>
      <w:r w:rsidRPr="009C7B2E">
        <w:rPr>
          <w:b/>
          <w:sz w:val="20"/>
          <w:lang w:val="fr-CH"/>
        </w:rPr>
        <w:t xml:space="preserve"> </w:t>
      </w:r>
      <w:r w:rsidRPr="009C7B2E">
        <w:rPr>
          <w:lang w:val="fr-CH"/>
        </w:rPr>
        <w:t xml:space="preserve"> </w:t>
      </w:r>
    </w:p>
    <w:p w14:paraId="485D1810" w14:textId="4C5F90B6" w:rsidR="00C54F7B" w:rsidRDefault="00A36ECE" w:rsidP="005F0570">
      <w:pPr>
        <w:numPr>
          <w:ilvl w:val="0"/>
          <w:numId w:val="11"/>
        </w:numPr>
        <w:ind w:left="426"/>
        <w:rPr>
          <w:lang w:val="fr-CH"/>
        </w:rPr>
      </w:pPr>
      <w:r w:rsidRPr="009C7B2E">
        <w:rPr>
          <w:lang w:val="fr-CH"/>
        </w:rPr>
        <w:t xml:space="preserve">Un membre du personnel / titulaire d'une APS peut, à titre exceptionnel, demander une </w:t>
      </w:r>
      <w:r w:rsidR="004030C0" w:rsidRPr="009C7B2E">
        <w:rPr>
          <w:lang w:val="fr-CH"/>
        </w:rPr>
        <w:t xml:space="preserve">avance de traitement  </w:t>
      </w:r>
      <w:r w:rsidRPr="009C7B2E">
        <w:rPr>
          <w:lang w:val="fr-CH"/>
        </w:rPr>
        <w:t xml:space="preserve"> pour des frais médicaux importants et imprévus encourus par lui-même ou une personne à charge reconnue par le PNUD. Ces demandes d'avances ne seront prises en compte que si (i) le membre du personnel/le titulaire de la délégation de pouvoirs, ainsi que la personne à charge désignée, sont inscrits à un régime médical officiel des Nations Unies, (ii) il n'existe pas de possibilité de facturation/paiement direct entre le prestataire de </w:t>
      </w:r>
      <w:r w:rsidRPr="009C7B2E">
        <w:rPr>
          <w:lang w:val="fr-CH"/>
        </w:rPr>
        <w:lastRenderedPageBreak/>
        <w:t xml:space="preserve">soins et la compagnie d'assurance et (iii) les factures doivent être payées avant la réception du paiement de </w:t>
      </w:r>
      <w:r w:rsidR="009C7B2E" w:rsidRPr="009C7B2E">
        <w:rPr>
          <w:lang w:val="fr-CH"/>
        </w:rPr>
        <w:t>l’assurance.</w:t>
      </w:r>
    </w:p>
    <w:p w14:paraId="485D1811" w14:textId="77777777" w:rsidR="00C54F7B" w:rsidRPr="009C7B2E" w:rsidRDefault="00F4444C">
      <w:pPr>
        <w:spacing w:after="50" w:line="259" w:lineRule="auto"/>
        <w:ind w:left="0" w:firstLine="0"/>
        <w:jc w:val="left"/>
        <w:rPr>
          <w:lang w:val="fr-CH"/>
        </w:rPr>
      </w:pPr>
      <w:r w:rsidRPr="009C7B2E">
        <w:rPr>
          <w:b/>
          <w:sz w:val="20"/>
          <w:lang w:val="fr-CH"/>
        </w:rPr>
        <w:t xml:space="preserve"> </w:t>
      </w:r>
      <w:r w:rsidRPr="009C7B2E">
        <w:rPr>
          <w:lang w:val="fr-CH"/>
        </w:rPr>
        <w:t xml:space="preserve"> </w:t>
      </w:r>
    </w:p>
    <w:p w14:paraId="485D1812" w14:textId="114E072F" w:rsidR="00C54F7B" w:rsidRPr="009C7B2E" w:rsidRDefault="00A36ECE" w:rsidP="005F0570">
      <w:pPr>
        <w:numPr>
          <w:ilvl w:val="0"/>
          <w:numId w:val="11"/>
        </w:numPr>
        <w:ind w:left="426"/>
        <w:rPr>
          <w:lang w:val="fr-CH"/>
        </w:rPr>
      </w:pPr>
      <w:r w:rsidRPr="009C7B2E">
        <w:rPr>
          <w:lang w:val="fr-CH"/>
        </w:rPr>
        <w:t xml:space="preserve">Il est prévu que la plupart des frais médicaux soient couverts par un régime d'assurance médicale des Nations Unies. Toutefois, si un membre du personnel / titulaire d'une autorisation de service public ou une personne à charge reconnue par le PNUD doit faire face à des frais médicaux importants qui dépassent les limites du régime d'assurance médicale et à des difficultés financières excessives, une </w:t>
      </w:r>
      <w:r w:rsidR="004030C0" w:rsidRPr="009C7B2E">
        <w:rPr>
          <w:lang w:val="fr-CH"/>
        </w:rPr>
        <w:t xml:space="preserve">avance de traitement  </w:t>
      </w:r>
      <w:r w:rsidRPr="009C7B2E">
        <w:rPr>
          <w:lang w:val="fr-CH"/>
        </w:rPr>
        <w:t xml:space="preserve"> peut être envisagée dans le cadre des dispositions relatives aux avances sur salaire pour urgence </w:t>
      </w:r>
      <w:r w:rsidR="009C7B2E" w:rsidRPr="009C7B2E">
        <w:rPr>
          <w:lang w:val="fr-CH"/>
        </w:rPr>
        <w:t>personnelle.</w:t>
      </w:r>
      <w:r w:rsidR="00F4444C" w:rsidRPr="009C7B2E">
        <w:rPr>
          <w:lang w:val="fr-CH"/>
        </w:rPr>
        <w:t xml:space="preserve">  </w:t>
      </w:r>
    </w:p>
    <w:p w14:paraId="485D1813" w14:textId="77777777" w:rsidR="00C54F7B" w:rsidRPr="009C7B2E" w:rsidRDefault="00F4444C">
      <w:pPr>
        <w:spacing w:after="38" w:line="259" w:lineRule="auto"/>
        <w:ind w:left="0" w:firstLine="0"/>
        <w:jc w:val="left"/>
        <w:rPr>
          <w:lang w:val="fr-CH"/>
        </w:rPr>
      </w:pPr>
      <w:r w:rsidRPr="009C7B2E">
        <w:rPr>
          <w:b/>
          <w:sz w:val="20"/>
          <w:lang w:val="fr-CH"/>
        </w:rPr>
        <w:t xml:space="preserve"> </w:t>
      </w:r>
      <w:r w:rsidRPr="009C7B2E">
        <w:rPr>
          <w:lang w:val="fr-CH"/>
        </w:rPr>
        <w:t xml:space="preserve"> </w:t>
      </w:r>
    </w:p>
    <w:p w14:paraId="485D1814" w14:textId="72486271" w:rsidR="00C54F7B" w:rsidRPr="009C7B2E" w:rsidRDefault="00A36ECE" w:rsidP="005F0570">
      <w:pPr>
        <w:numPr>
          <w:ilvl w:val="0"/>
          <w:numId w:val="11"/>
        </w:numPr>
        <w:ind w:left="426"/>
        <w:rPr>
          <w:lang w:val="fr-CH"/>
        </w:rPr>
      </w:pPr>
      <w:r w:rsidRPr="009C7B2E">
        <w:rPr>
          <w:lang w:val="fr-CH"/>
        </w:rPr>
        <w:t xml:space="preserve">L'avance ne peut pas dépasser le montant le plus bas entre (i) deux mois de salaire net, (ii) le montant maximum remboursable par le régime d'assurance médicale applicable ou (iii) le montant de la facture de l'hôpital. Les avances pour frais médicaux peuvent être accordées en même temps qu'une </w:t>
      </w:r>
      <w:r w:rsidR="004030C0" w:rsidRPr="009C7B2E">
        <w:rPr>
          <w:lang w:val="fr-CH"/>
        </w:rPr>
        <w:t xml:space="preserve">avance de traitement  </w:t>
      </w:r>
      <w:r w:rsidRPr="009C7B2E">
        <w:rPr>
          <w:lang w:val="fr-CH"/>
        </w:rPr>
        <w:t xml:space="preserve"> existante.</w:t>
      </w:r>
      <w:r w:rsidR="00F4444C" w:rsidRPr="009C7B2E">
        <w:rPr>
          <w:lang w:val="fr-CH"/>
        </w:rPr>
        <w:t xml:space="preserve">  </w:t>
      </w:r>
    </w:p>
    <w:p w14:paraId="485D1815" w14:textId="77777777" w:rsidR="00C54F7B" w:rsidRPr="009C7B2E" w:rsidRDefault="00F4444C" w:rsidP="003D4BE7">
      <w:pPr>
        <w:spacing w:after="36" w:line="259" w:lineRule="auto"/>
        <w:ind w:left="1440" w:firstLine="0"/>
        <w:jc w:val="left"/>
        <w:rPr>
          <w:lang w:val="fr-CH"/>
        </w:rPr>
      </w:pPr>
      <w:r w:rsidRPr="009C7B2E">
        <w:rPr>
          <w:b/>
          <w:sz w:val="20"/>
          <w:lang w:val="fr-CH"/>
        </w:rPr>
        <w:t xml:space="preserve"> </w:t>
      </w:r>
      <w:r w:rsidRPr="009C7B2E">
        <w:rPr>
          <w:lang w:val="fr-CH"/>
        </w:rPr>
        <w:t xml:space="preserve"> </w:t>
      </w:r>
    </w:p>
    <w:p w14:paraId="137923EE" w14:textId="689AE72C" w:rsidR="00A83BAA" w:rsidRPr="009C7B2E" w:rsidRDefault="00A36ECE" w:rsidP="005F0570">
      <w:pPr>
        <w:numPr>
          <w:ilvl w:val="0"/>
          <w:numId w:val="11"/>
        </w:numPr>
        <w:ind w:left="426"/>
        <w:rPr>
          <w:lang w:val="fr-CH"/>
        </w:rPr>
      </w:pPr>
      <w:r w:rsidRPr="009C7B2E">
        <w:rPr>
          <w:lang w:val="fr-CH"/>
        </w:rPr>
        <w:t>L'avance pour frais médicaux doit être réglée par le biais du régime d'assurance applicable ou par le membre du personnel / titulaire de l'APS dans les quatre mois suivant l'octroi de l'avance</w:t>
      </w:r>
      <w:r w:rsidR="00F4444C" w:rsidRPr="009C7B2E">
        <w:rPr>
          <w:lang w:val="fr-CH"/>
        </w:rPr>
        <w:t xml:space="preserve">.  </w:t>
      </w:r>
    </w:p>
    <w:p w14:paraId="7DE61F7B" w14:textId="77777777" w:rsidR="00A83BAA" w:rsidRPr="009C7B2E" w:rsidRDefault="00A83BAA" w:rsidP="00A83BAA">
      <w:pPr>
        <w:pStyle w:val="ListParagraph"/>
        <w:rPr>
          <w:b/>
          <w:lang w:val="fr-CH"/>
        </w:rPr>
      </w:pPr>
    </w:p>
    <w:p w14:paraId="485D181A" w14:textId="77777777" w:rsidR="00C54F7B" w:rsidRPr="009C7B2E" w:rsidRDefault="00F4444C">
      <w:pPr>
        <w:pStyle w:val="Heading1"/>
        <w:ind w:left="408"/>
        <w:rPr>
          <w:lang w:val="fr-CH"/>
        </w:rPr>
      </w:pPr>
      <w:r w:rsidRPr="009C7B2E">
        <w:rPr>
          <w:lang w:val="fr-CH"/>
        </w:rPr>
        <w:t xml:space="preserve">Avances pour paiement anticipé du loyer  </w:t>
      </w:r>
    </w:p>
    <w:p w14:paraId="485D181B" w14:textId="77777777" w:rsidR="00C54F7B" w:rsidRPr="009C7B2E" w:rsidRDefault="00F4444C">
      <w:pPr>
        <w:spacing w:after="14" w:line="259" w:lineRule="auto"/>
        <w:ind w:left="427" w:firstLine="0"/>
        <w:jc w:val="left"/>
        <w:rPr>
          <w:lang w:val="fr-CH"/>
        </w:rPr>
      </w:pPr>
      <w:r w:rsidRPr="009C7B2E">
        <w:rPr>
          <w:b/>
          <w:lang w:val="fr-CH"/>
        </w:rPr>
        <w:t xml:space="preserve"> </w:t>
      </w:r>
      <w:r w:rsidRPr="009C7B2E">
        <w:rPr>
          <w:lang w:val="fr-CH"/>
        </w:rPr>
        <w:t xml:space="preserve"> </w:t>
      </w:r>
    </w:p>
    <w:p w14:paraId="485D181C" w14:textId="1ED3C874" w:rsidR="00C54F7B" w:rsidRPr="009C7B2E" w:rsidRDefault="007E22BE" w:rsidP="005F0570">
      <w:pPr>
        <w:pStyle w:val="ListParagraph"/>
        <w:numPr>
          <w:ilvl w:val="0"/>
          <w:numId w:val="11"/>
        </w:numPr>
        <w:spacing w:after="2" w:line="248" w:lineRule="auto"/>
        <w:ind w:left="426"/>
        <w:rPr>
          <w:lang w:val="fr-CH"/>
        </w:rPr>
      </w:pPr>
      <w:r w:rsidRPr="009C7B2E">
        <w:rPr>
          <w:lang w:val="fr-CH"/>
        </w:rPr>
        <w:t>Les membres du personnel recrutés au niveau international peuvent bénéficier d'une avance de loyer lorsque trois mois de loyer ou plus doivent normalement être payés à l'avance pour obtenir un logement tel que stipulé dans le contrat de location. La demande d'avance doit préciser le montant du loyer, le nombre de mois pour lesquels le contrat de bail indique qu'il doit être payé à l'avance, le montant et la devise de l'avance demandée.</w:t>
      </w:r>
      <w:r w:rsidR="00F4444C" w:rsidRPr="009C7B2E">
        <w:rPr>
          <w:lang w:val="fr-CH"/>
        </w:rPr>
        <w:t xml:space="preserve">  </w:t>
      </w:r>
    </w:p>
    <w:p w14:paraId="3DBDD332" w14:textId="77777777" w:rsidR="00CF23AB" w:rsidRPr="009C7B2E" w:rsidRDefault="00CF23AB" w:rsidP="005F0570">
      <w:pPr>
        <w:spacing w:after="2" w:line="248" w:lineRule="auto"/>
        <w:ind w:left="567" w:firstLine="0"/>
        <w:rPr>
          <w:lang w:val="fr-CH"/>
        </w:rPr>
      </w:pPr>
    </w:p>
    <w:p w14:paraId="4E7D9E44" w14:textId="2C85A9E7" w:rsidR="00CF23AB" w:rsidRPr="009C7B2E" w:rsidRDefault="00CF23AB" w:rsidP="005F0570">
      <w:pPr>
        <w:pStyle w:val="ListParagraph"/>
        <w:numPr>
          <w:ilvl w:val="0"/>
          <w:numId w:val="11"/>
        </w:numPr>
        <w:spacing w:after="2" w:line="248" w:lineRule="auto"/>
        <w:ind w:left="426"/>
        <w:rPr>
          <w:lang w:val="fr-CH"/>
        </w:rPr>
      </w:pPr>
      <w:r w:rsidRPr="009C7B2E">
        <w:rPr>
          <w:lang w:val="fr-CH"/>
        </w:rPr>
        <w:t>Le nombre de mois d'avance doit correspondre à la pratique normale pour les biens locatifs dans le lieu d'affectation, confirmée par le chef de bureau</w:t>
      </w:r>
    </w:p>
    <w:p w14:paraId="485D181D" w14:textId="77777777" w:rsidR="00C54F7B" w:rsidRPr="009C7B2E" w:rsidRDefault="00F4444C" w:rsidP="005F0570">
      <w:pPr>
        <w:spacing w:after="11" w:line="259" w:lineRule="auto"/>
        <w:ind w:left="567" w:firstLine="0"/>
        <w:jc w:val="left"/>
        <w:rPr>
          <w:lang w:val="fr-CH"/>
        </w:rPr>
      </w:pPr>
      <w:r w:rsidRPr="009C7B2E">
        <w:rPr>
          <w:lang w:val="fr-CH"/>
        </w:rPr>
        <w:t xml:space="preserve">  </w:t>
      </w:r>
    </w:p>
    <w:p w14:paraId="485D181E" w14:textId="24299489" w:rsidR="00C54F7B" w:rsidRPr="009C7B2E" w:rsidRDefault="00F4444C" w:rsidP="005F0570">
      <w:pPr>
        <w:numPr>
          <w:ilvl w:val="0"/>
          <w:numId w:val="11"/>
        </w:numPr>
        <w:spacing w:after="2" w:line="248" w:lineRule="auto"/>
        <w:ind w:left="426"/>
        <w:rPr>
          <w:lang w:val="fr-CH"/>
        </w:rPr>
      </w:pPr>
      <w:r w:rsidRPr="009C7B2E">
        <w:rPr>
          <w:lang w:val="fr-CH"/>
        </w:rPr>
        <w:t xml:space="preserve">Le montant de l’avance couvre uniquement le loyer ; il ne couvre pas les dépôts de garantie, les honoraires des agents </w:t>
      </w:r>
      <w:r w:rsidR="00320465" w:rsidRPr="009C7B2E">
        <w:rPr>
          <w:lang w:val="fr-CH"/>
        </w:rPr>
        <w:t xml:space="preserve">immobiliers </w:t>
      </w:r>
      <w:r w:rsidRPr="009C7B2E">
        <w:rPr>
          <w:lang w:val="fr-CH"/>
        </w:rPr>
        <w:t xml:space="preserve">ou les frais récurrents tels que l’électricité lorsque ceux-ci sont payés séparément du loyer.  </w:t>
      </w:r>
    </w:p>
    <w:p w14:paraId="485D181F" w14:textId="77777777" w:rsidR="00C54F7B" w:rsidRPr="009C7B2E" w:rsidRDefault="00F4444C" w:rsidP="005F0570">
      <w:pPr>
        <w:spacing w:after="14" w:line="259" w:lineRule="auto"/>
        <w:ind w:left="426" w:firstLine="0"/>
        <w:jc w:val="left"/>
        <w:rPr>
          <w:lang w:val="fr-CH"/>
        </w:rPr>
      </w:pPr>
      <w:r w:rsidRPr="009C7B2E">
        <w:rPr>
          <w:lang w:val="fr-CH"/>
        </w:rPr>
        <w:t xml:space="preserve">  </w:t>
      </w:r>
    </w:p>
    <w:p w14:paraId="485D1820" w14:textId="77777777" w:rsidR="00C54F7B" w:rsidRPr="009C7B2E" w:rsidRDefault="00F4444C" w:rsidP="005F0570">
      <w:pPr>
        <w:numPr>
          <w:ilvl w:val="0"/>
          <w:numId w:val="11"/>
        </w:numPr>
        <w:ind w:left="426"/>
        <w:rPr>
          <w:lang w:val="fr-CH"/>
        </w:rPr>
      </w:pPr>
      <w:r w:rsidRPr="009C7B2E">
        <w:rPr>
          <w:lang w:val="fr-CH"/>
        </w:rPr>
        <w:t xml:space="preserve">Le montant de l’avance sera recouvré au cours de la période pour laquelle l’avance a été demandée ou au cours de la période contractuelle en cours, selon la première éventualité.  </w:t>
      </w:r>
    </w:p>
    <w:p w14:paraId="485D1821" w14:textId="77777777" w:rsidR="00C54F7B" w:rsidRPr="009C7B2E" w:rsidRDefault="00F4444C" w:rsidP="005F0570">
      <w:pPr>
        <w:spacing w:after="14" w:line="259" w:lineRule="auto"/>
        <w:ind w:left="426" w:firstLine="0"/>
        <w:jc w:val="left"/>
        <w:rPr>
          <w:lang w:val="fr-CH"/>
        </w:rPr>
      </w:pPr>
      <w:r w:rsidRPr="009C7B2E">
        <w:rPr>
          <w:lang w:val="fr-CH"/>
        </w:rPr>
        <w:t xml:space="preserve">  </w:t>
      </w:r>
    </w:p>
    <w:p w14:paraId="485D1822" w14:textId="41CAE53D" w:rsidR="00C54F7B" w:rsidRPr="009C7B2E" w:rsidRDefault="00F4444C" w:rsidP="005F0570">
      <w:pPr>
        <w:numPr>
          <w:ilvl w:val="0"/>
          <w:numId w:val="11"/>
        </w:numPr>
        <w:ind w:left="426"/>
        <w:rPr>
          <w:lang w:val="fr-CH"/>
        </w:rPr>
      </w:pPr>
      <w:r w:rsidRPr="009C7B2E">
        <w:rPr>
          <w:lang w:val="fr-CH"/>
        </w:rPr>
        <w:t xml:space="preserve">Les avances pour paiement anticipé du loyer ne sont pas autorisées pour les membres du personnel affectés à des lieux d’affectation du groupe 1 dans le cadre du </w:t>
      </w:r>
      <w:hyperlink r:id="rId13">
        <w:r w:rsidRPr="009C7B2E">
          <w:rPr>
            <w:color w:val="954F72"/>
            <w:u w:val="single" w:color="954F72"/>
            <w:lang w:val="fr-CH"/>
          </w:rPr>
          <w:t xml:space="preserve">système des </w:t>
        </w:r>
        <w:r w:rsidR="009347A4" w:rsidRPr="009C7B2E">
          <w:rPr>
            <w:color w:val="954F72"/>
            <w:u w:val="single" w:color="954F72"/>
            <w:lang w:val="fr-CH"/>
          </w:rPr>
          <w:t>indemnités de poste</w:t>
        </w:r>
      </w:hyperlink>
      <w:r w:rsidRPr="009C7B2E">
        <w:rPr>
          <w:lang w:val="fr-CH"/>
        </w:rPr>
        <w:t xml:space="preserve"> </w:t>
      </w:r>
      <w:r w:rsidR="00C02C33">
        <w:rPr>
          <w:lang w:val="fr-CH"/>
        </w:rPr>
        <w:t>(en anglais).</w:t>
      </w:r>
    </w:p>
    <w:p w14:paraId="485D1823" w14:textId="77777777" w:rsidR="00C54F7B" w:rsidRDefault="00F4444C">
      <w:pPr>
        <w:spacing w:after="0" w:line="259" w:lineRule="auto"/>
        <w:ind w:left="0" w:firstLine="0"/>
        <w:jc w:val="left"/>
        <w:rPr>
          <w:lang w:val="fr-CH"/>
        </w:rPr>
      </w:pPr>
      <w:r w:rsidRPr="009C7B2E">
        <w:rPr>
          <w:lang w:val="fr-CH"/>
        </w:rPr>
        <w:t xml:space="preserve">  </w:t>
      </w:r>
    </w:p>
    <w:p w14:paraId="3C07A7A8" w14:textId="77777777" w:rsidR="00FA1D5C" w:rsidRPr="009C7B2E" w:rsidRDefault="00FA1D5C">
      <w:pPr>
        <w:spacing w:after="0" w:line="259" w:lineRule="auto"/>
        <w:ind w:left="0" w:firstLine="0"/>
        <w:jc w:val="left"/>
        <w:rPr>
          <w:lang w:val="fr-CH"/>
        </w:rPr>
      </w:pPr>
    </w:p>
    <w:p w14:paraId="485D1824" w14:textId="77777777" w:rsidR="00C54F7B" w:rsidRPr="009C7B2E" w:rsidRDefault="00F4444C">
      <w:pPr>
        <w:pStyle w:val="Heading1"/>
        <w:ind w:left="408"/>
        <w:rPr>
          <w:lang w:val="fr-CH"/>
        </w:rPr>
      </w:pPr>
      <w:r w:rsidRPr="009C7B2E">
        <w:rPr>
          <w:lang w:val="fr-CH"/>
        </w:rPr>
        <w:lastRenderedPageBreak/>
        <w:t xml:space="preserve">Avances pour l’achat d’un véhicule privé  </w:t>
      </w:r>
    </w:p>
    <w:p w14:paraId="485D1825" w14:textId="77777777" w:rsidR="00C54F7B" w:rsidRPr="009C7B2E" w:rsidRDefault="00F4444C">
      <w:pPr>
        <w:spacing w:after="14" w:line="259" w:lineRule="auto"/>
        <w:ind w:left="427" w:firstLine="0"/>
        <w:jc w:val="left"/>
        <w:rPr>
          <w:lang w:val="fr-CH"/>
        </w:rPr>
      </w:pPr>
      <w:r w:rsidRPr="009C7B2E">
        <w:rPr>
          <w:b/>
          <w:lang w:val="fr-CH"/>
        </w:rPr>
        <w:t xml:space="preserve"> </w:t>
      </w:r>
      <w:r w:rsidRPr="009C7B2E">
        <w:rPr>
          <w:lang w:val="fr-CH"/>
        </w:rPr>
        <w:t xml:space="preserve"> </w:t>
      </w:r>
    </w:p>
    <w:p w14:paraId="485D1826" w14:textId="1E32BF46" w:rsidR="00C54F7B" w:rsidRPr="009C7B2E" w:rsidRDefault="00CF23AB" w:rsidP="00CF23AB">
      <w:pPr>
        <w:numPr>
          <w:ilvl w:val="0"/>
          <w:numId w:val="11"/>
        </w:numPr>
        <w:rPr>
          <w:lang w:val="fr-CH"/>
        </w:rPr>
      </w:pPr>
      <w:r w:rsidRPr="009C7B2E">
        <w:rPr>
          <w:lang w:val="fr-CH"/>
        </w:rPr>
        <w:t xml:space="preserve">Les fonctionnaires recrutés sur le plan international des grades P-1 à P-4 peuvent bénéficier d'une </w:t>
      </w:r>
      <w:r w:rsidR="004030C0" w:rsidRPr="009C7B2E">
        <w:rPr>
          <w:lang w:val="fr-CH"/>
        </w:rPr>
        <w:t xml:space="preserve">avance de traitement  </w:t>
      </w:r>
      <w:r w:rsidRPr="009C7B2E">
        <w:rPr>
          <w:lang w:val="fr-CH"/>
        </w:rPr>
        <w:t xml:space="preserve"> pour l'achat d'une voiture privée d'un montant maximum de 7 500 dollars américains ou l'équivalent en monnaie locale au taux de change opérationnel des Nations Unies (UNORE</w:t>
      </w:r>
      <w:r w:rsidR="00FA1D5C" w:rsidRPr="00FA1D5C">
        <w:t xml:space="preserve"> </w:t>
      </w:r>
      <w:r w:rsidR="00FA1D5C" w:rsidRPr="002637FC">
        <w:rPr>
          <w:i/>
        </w:rPr>
        <w:t xml:space="preserve">United Nations Operational Rate of </w:t>
      </w:r>
      <w:hyperlink r:id="rId14" w:history="1">
        <w:r w:rsidR="00C02C33" w:rsidRPr="00ED67CF">
          <w:rPr>
            <w:rStyle w:val="Hyperlink"/>
            <w:i/>
          </w:rPr>
          <w:t>Exchang</w:t>
        </w:r>
      </w:hyperlink>
      <w:hyperlink r:id="rId15">
        <w:r w:rsidR="00FA1D5C" w:rsidRPr="002637FC">
          <w:rPr>
            <w:i/>
          </w:rPr>
          <w:t>e</w:t>
        </w:r>
        <w:r w:rsidR="00FA1D5C" w:rsidRPr="002637FC">
          <w:t>,</w:t>
        </w:r>
      </w:hyperlink>
      <w:hyperlink r:id="rId16">
        <w:r w:rsidR="00FA1D5C" w:rsidRPr="002637FC">
          <w:t xml:space="preserve"> </w:t>
        </w:r>
      </w:hyperlink>
      <w:r w:rsidR="00FA1D5C" w:rsidRPr="00717EDB">
        <w:t xml:space="preserve"> </w:t>
      </w:r>
      <w:hyperlink r:id="rId17" w:history="1">
        <w:r w:rsidR="00FA1D5C" w:rsidRPr="00E63FD8">
          <w:rPr>
            <w:rStyle w:val="Hyperlink"/>
          </w:rPr>
          <w:t>https://treasury.un.org/operationalrates/OperationalRates.php</w:t>
        </w:r>
      </w:hyperlink>
      <w:r w:rsidR="00FA1D5C">
        <w:t xml:space="preserve"> </w:t>
      </w:r>
      <w:r w:rsidR="00FA1D5C">
        <w:rPr>
          <w:lang w:val="fr-CH"/>
        </w:rPr>
        <w:t>p</w:t>
      </w:r>
      <w:r w:rsidR="00FA1D5C" w:rsidRPr="00FA1D5C">
        <w:rPr>
          <w:lang w:val="fr-CH"/>
        </w:rPr>
        <w:t>our son acronyme en anglais</w:t>
      </w:r>
      <w:r w:rsidR="00FA1D5C">
        <w:rPr>
          <w:lang w:val="fr-CH"/>
        </w:rPr>
        <w:t xml:space="preserve"> </w:t>
      </w:r>
      <w:r w:rsidRPr="009C7B2E">
        <w:rPr>
          <w:lang w:val="fr-CH"/>
        </w:rPr>
        <w:t>) en vigueur.</w:t>
      </w:r>
      <w:r w:rsidR="00F4444C" w:rsidRPr="009C7B2E">
        <w:rPr>
          <w:lang w:val="fr-CH"/>
        </w:rPr>
        <w:t xml:space="preserve">  </w:t>
      </w:r>
    </w:p>
    <w:p w14:paraId="485D1827" w14:textId="77777777" w:rsidR="00C54F7B" w:rsidRPr="009C7B2E" w:rsidRDefault="00F4444C">
      <w:pPr>
        <w:spacing w:after="14" w:line="259" w:lineRule="auto"/>
        <w:ind w:left="142" w:firstLine="0"/>
        <w:jc w:val="left"/>
        <w:rPr>
          <w:lang w:val="fr-CH"/>
        </w:rPr>
      </w:pPr>
      <w:r w:rsidRPr="009C7B2E">
        <w:rPr>
          <w:lang w:val="fr-CH"/>
        </w:rPr>
        <w:t xml:space="preserve">  </w:t>
      </w:r>
    </w:p>
    <w:p w14:paraId="485D1828" w14:textId="77777777" w:rsidR="00C54F7B" w:rsidRPr="009C7B2E" w:rsidRDefault="00F4444C" w:rsidP="00CF23AB">
      <w:pPr>
        <w:numPr>
          <w:ilvl w:val="0"/>
          <w:numId w:val="11"/>
        </w:numPr>
        <w:rPr>
          <w:lang w:val="fr-CH"/>
        </w:rPr>
      </w:pPr>
      <w:r w:rsidRPr="009C7B2E">
        <w:rPr>
          <w:lang w:val="fr-CH"/>
        </w:rPr>
        <w:t xml:space="preserve">Les demandes d’avance à cette fin seront examinées, une seule fois, dans les six mois suivant la nomination initiale ou la réaffectation. Le Chef du Bureau doit certifier que le véhicule est nécessaire dans le cadre de la nomination du membre du personnel.  </w:t>
      </w:r>
    </w:p>
    <w:p w14:paraId="485D1829" w14:textId="77777777" w:rsidR="00C54F7B" w:rsidRPr="009C7B2E" w:rsidRDefault="00F4444C">
      <w:pPr>
        <w:spacing w:after="28" w:line="259" w:lineRule="auto"/>
        <w:ind w:left="142" w:firstLine="0"/>
        <w:jc w:val="left"/>
        <w:rPr>
          <w:lang w:val="fr-CH"/>
        </w:rPr>
      </w:pPr>
      <w:r w:rsidRPr="009C7B2E">
        <w:rPr>
          <w:lang w:val="fr-CH"/>
        </w:rPr>
        <w:t xml:space="preserve">  </w:t>
      </w:r>
    </w:p>
    <w:p w14:paraId="485D182A" w14:textId="64CF1473" w:rsidR="00C54F7B" w:rsidRPr="009C7B2E" w:rsidRDefault="00F4444C" w:rsidP="00CF23AB">
      <w:pPr>
        <w:numPr>
          <w:ilvl w:val="0"/>
          <w:numId w:val="11"/>
        </w:numPr>
        <w:rPr>
          <w:lang w:val="fr-CH"/>
        </w:rPr>
      </w:pPr>
      <w:r w:rsidRPr="009C7B2E">
        <w:rPr>
          <w:lang w:val="fr-CH"/>
        </w:rPr>
        <w:t>La demande d’avance doit préciser le montant, la devise et le lieu où l’avance doit être versée. Les avances pour l’achat d’un véhicule privé sont accordées sous réserve que le membre du personnel ait l’intention de conserver le véhicule pendant au moins deux</w:t>
      </w:r>
      <w:r w:rsidR="00CF23AB" w:rsidRPr="009C7B2E">
        <w:rPr>
          <w:lang w:val="fr-CH"/>
        </w:rPr>
        <w:t xml:space="preserve"> </w:t>
      </w:r>
      <w:r w:rsidRPr="009C7B2E">
        <w:rPr>
          <w:lang w:val="fr-CH"/>
        </w:rPr>
        <w:t xml:space="preserve">ans ou pendant la durée de sa nomination, la plus courte de ces deux périodes étant retenue.  </w:t>
      </w:r>
    </w:p>
    <w:p w14:paraId="485D182B" w14:textId="77777777" w:rsidR="00C54F7B" w:rsidRPr="009C7B2E" w:rsidRDefault="00F4444C">
      <w:pPr>
        <w:spacing w:after="0" w:line="259" w:lineRule="auto"/>
        <w:ind w:left="142" w:firstLine="0"/>
        <w:jc w:val="left"/>
        <w:rPr>
          <w:lang w:val="fr-CH"/>
        </w:rPr>
      </w:pPr>
      <w:r w:rsidRPr="009C7B2E">
        <w:rPr>
          <w:lang w:val="fr-CH"/>
        </w:rPr>
        <w:t xml:space="preserve">  </w:t>
      </w:r>
    </w:p>
    <w:p w14:paraId="485D182C" w14:textId="235969CE" w:rsidR="00C54F7B" w:rsidRPr="00DF3B14" w:rsidRDefault="00F4444C" w:rsidP="00075505">
      <w:pPr>
        <w:pStyle w:val="ListParagraph"/>
        <w:numPr>
          <w:ilvl w:val="0"/>
          <w:numId w:val="11"/>
        </w:numPr>
        <w:rPr>
          <w:lang w:val="fr-CH"/>
        </w:rPr>
      </w:pPr>
      <w:r w:rsidRPr="00DF3B14">
        <w:rPr>
          <w:lang w:val="fr-CH"/>
        </w:rPr>
        <w:t xml:space="preserve">Les avances pour l’achat d’un véhicule privé ne sont pas autorisées pour les membres du personnel affectés à des lieux d’affectation du groupe 1 dans le cadre du </w:t>
      </w:r>
      <w:hyperlink r:id="rId18">
        <w:r w:rsidRPr="00DF3B14">
          <w:rPr>
            <w:color w:val="954F72"/>
            <w:u w:val="single" w:color="954F72"/>
            <w:lang w:val="fr-CH"/>
          </w:rPr>
          <w:t xml:space="preserve">système des </w:t>
        </w:r>
        <w:r w:rsidR="009347A4" w:rsidRPr="00DF3B14">
          <w:rPr>
            <w:color w:val="954F72"/>
            <w:u w:val="single" w:color="954F72"/>
            <w:lang w:val="fr-CH"/>
          </w:rPr>
          <w:t>indemnités de poste</w:t>
        </w:r>
      </w:hyperlink>
      <w:r w:rsidR="00DF3B14" w:rsidRPr="00DF3B14">
        <w:rPr>
          <w:lang w:val="fr-CH"/>
        </w:rPr>
        <w:t>(en anglais).</w:t>
      </w:r>
      <w:r w:rsidR="00DF3B14" w:rsidRPr="00DF3B14">
        <w:rPr>
          <w:lang w:val="fr-CH"/>
        </w:rPr>
        <w:t xml:space="preserve"> </w:t>
      </w:r>
    </w:p>
    <w:p w14:paraId="485D182D" w14:textId="77777777" w:rsidR="00C54F7B" w:rsidRPr="009C7B2E" w:rsidRDefault="00F4444C">
      <w:pPr>
        <w:spacing w:after="14" w:line="259" w:lineRule="auto"/>
        <w:ind w:left="142" w:firstLine="0"/>
        <w:jc w:val="left"/>
        <w:rPr>
          <w:lang w:val="fr-CH"/>
        </w:rPr>
      </w:pPr>
      <w:r w:rsidRPr="009C7B2E">
        <w:rPr>
          <w:lang w:val="fr-CH"/>
        </w:rPr>
        <w:t xml:space="preserve">  </w:t>
      </w:r>
    </w:p>
    <w:p w14:paraId="485D182E" w14:textId="77777777" w:rsidR="00C54F7B" w:rsidRPr="009C7B2E" w:rsidRDefault="00F4444C" w:rsidP="00CF23AB">
      <w:pPr>
        <w:numPr>
          <w:ilvl w:val="0"/>
          <w:numId w:val="11"/>
        </w:numPr>
        <w:rPr>
          <w:lang w:val="fr-CH"/>
        </w:rPr>
      </w:pPr>
      <w:r w:rsidRPr="009C7B2E">
        <w:rPr>
          <w:lang w:val="fr-CH"/>
        </w:rPr>
        <w:t>Les membres du personnel titulaires d’un contrat d’engagement temporaire n’ont pas droit à ce type d’avance.</w:t>
      </w:r>
      <w:r w:rsidRPr="009C7B2E">
        <w:rPr>
          <w:b/>
          <w:lang w:val="fr-CH"/>
        </w:rPr>
        <w:t xml:space="preserve"> </w:t>
      </w:r>
      <w:r w:rsidRPr="009C7B2E">
        <w:rPr>
          <w:lang w:val="fr-CH"/>
        </w:rPr>
        <w:t xml:space="preserve"> </w:t>
      </w:r>
    </w:p>
    <w:p w14:paraId="485D182F" w14:textId="77777777" w:rsidR="00C54F7B" w:rsidRPr="009C7B2E" w:rsidRDefault="00F4444C">
      <w:pPr>
        <w:spacing w:after="0" w:line="259" w:lineRule="auto"/>
        <w:ind w:left="0" w:firstLine="0"/>
        <w:jc w:val="left"/>
        <w:rPr>
          <w:lang w:val="fr-CH"/>
        </w:rPr>
      </w:pPr>
      <w:r w:rsidRPr="009C7B2E">
        <w:rPr>
          <w:lang w:val="fr-CH"/>
        </w:rPr>
        <w:t xml:space="preserve">  </w:t>
      </w:r>
    </w:p>
    <w:p w14:paraId="485D1830" w14:textId="3A5A2849" w:rsidR="00C54F7B" w:rsidRPr="009C7B2E" w:rsidRDefault="00F4444C">
      <w:pPr>
        <w:pStyle w:val="Heading1"/>
        <w:ind w:left="408"/>
        <w:rPr>
          <w:lang w:val="fr-CH"/>
        </w:rPr>
      </w:pPr>
      <w:r w:rsidRPr="009C7B2E">
        <w:rPr>
          <w:lang w:val="fr-CH"/>
        </w:rPr>
        <w:t xml:space="preserve">Avances </w:t>
      </w:r>
      <w:r w:rsidR="00CF23AB" w:rsidRPr="009C7B2E">
        <w:rPr>
          <w:lang w:val="fr-CH"/>
        </w:rPr>
        <w:t>d’urgence</w:t>
      </w:r>
      <w:r w:rsidRPr="009C7B2E">
        <w:rPr>
          <w:lang w:val="fr-CH"/>
        </w:rPr>
        <w:t xml:space="preserve">  </w:t>
      </w:r>
    </w:p>
    <w:p w14:paraId="485D1831" w14:textId="6CA0280E" w:rsidR="00C54F7B" w:rsidRPr="009C7B2E" w:rsidRDefault="00F4444C">
      <w:pPr>
        <w:spacing w:after="14" w:line="259" w:lineRule="auto"/>
        <w:ind w:left="427" w:firstLine="0"/>
        <w:jc w:val="left"/>
        <w:rPr>
          <w:i/>
          <w:iCs/>
          <w:lang w:val="fr-CH"/>
        </w:rPr>
      </w:pPr>
      <w:r w:rsidRPr="009C7B2E">
        <w:rPr>
          <w:b/>
          <w:lang w:val="fr-CH"/>
        </w:rPr>
        <w:t xml:space="preserve"> </w:t>
      </w:r>
      <w:r w:rsidRPr="009C7B2E">
        <w:rPr>
          <w:lang w:val="fr-CH"/>
        </w:rPr>
        <w:t xml:space="preserve"> </w:t>
      </w:r>
      <w:r w:rsidR="005E5528" w:rsidRPr="009C7B2E">
        <w:rPr>
          <w:i/>
          <w:iCs/>
          <w:lang w:val="fr-CH"/>
        </w:rPr>
        <w:t>Avances d'urgence en masse à des groupes de membres du personnel</w:t>
      </w:r>
    </w:p>
    <w:p w14:paraId="572D9E4A" w14:textId="77777777" w:rsidR="005E5528" w:rsidRPr="009C7B2E" w:rsidRDefault="005E5528">
      <w:pPr>
        <w:spacing w:after="14" w:line="259" w:lineRule="auto"/>
        <w:ind w:left="427" w:firstLine="0"/>
        <w:jc w:val="left"/>
        <w:rPr>
          <w:lang w:val="fr-CH"/>
        </w:rPr>
      </w:pPr>
    </w:p>
    <w:p w14:paraId="485D1832" w14:textId="4B82E5CA" w:rsidR="00C54F7B" w:rsidRPr="009C7B2E" w:rsidRDefault="00CF23AB" w:rsidP="00CF23AB">
      <w:pPr>
        <w:numPr>
          <w:ilvl w:val="0"/>
          <w:numId w:val="11"/>
        </w:numPr>
        <w:rPr>
          <w:lang w:val="fr-CH"/>
        </w:rPr>
      </w:pPr>
      <w:r w:rsidRPr="009C7B2E">
        <w:rPr>
          <w:lang w:val="fr-CH"/>
        </w:rPr>
        <w:t xml:space="preserve">Des avances de salaire peuvent être exceptionnellement approuvées pour des groupes de membres du personnel / titulaires d'une APS, dans des situations d'urgence spécifiques, par l'administrateur adjoint et directeur de BMS, conformément aux conditions et procédures spécifiées au moment de </w:t>
      </w:r>
      <w:r w:rsidR="009C7B2E" w:rsidRPr="009C7B2E">
        <w:rPr>
          <w:lang w:val="fr-CH"/>
        </w:rPr>
        <w:t>l’approbation.</w:t>
      </w:r>
      <w:r w:rsidR="00F4444C" w:rsidRPr="009C7B2E">
        <w:rPr>
          <w:lang w:val="fr-CH"/>
        </w:rPr>
        <w:t xml:space="preserve">  </w:t>
      </w:r>
    </w:p>
    <w:p w14:paraId="485D1833" w14:textId="77777777" w:rsidR="00C54F7B" w:rsidRPr="009C7B2E" w:rsidRDefault="00F4444C">
      <w:pPr>
        <w:spacing w:after="12" w:line="259" w:lineRule="auto"/>
        <w:ind w:left="142" w:firstLine="0"/>
        <w:jc w:val="left"/>
        <w:rPr>
          <w:lang w:val="fr-CH"/>
        </w:rPr>
      </w:pPr>
      <w:r w:rsidRPr="009C7B2E">
        <w:rPr>
          <w:lang w:val="fr-CH"/>
        </w:rPr>
        <w:t xml:space="preserve">  </w:t>
      </w:r>
    </w:p>
    <w:p w14:paraId="6E45BD21" w14:textId="26F7047F" w:rsidR="005E5528" w:rsidRPr="009C7B2E" w:rsidRDefault="005E5528" w:rsidP="005E5528">
      <w:pPr>
        <w:numPr>
          <w:ilvl w:val="0"/>
          <w:numId w:val="11"/>
        </w:numPr>
        <w:rPr>
          <w:lang w:val="fr-CH"/>
        </w:rPr>
      </w:pPr>
      <w:r w:rsidRPr="005E5528">
        <w:rPr>
          <w:lang w:val="fr-CH"/>
        </w:rPr>
        <w:t xml:space="preserve">Les avances de salaire groupées qui peuvent être proposées par le chef de bureau ou l'équipe de pays des Nations Unies (UNCT) pour répondre à une situation d'urgence dans </w:t>
      </w:r>
      <w:r w:rsidRPr="009C7B2E">
        <w:rPr>
          <w:lang w:val="fr-CH"/>
        </w:rPr>
        <w:t>un lieu d'affectation, doivent être approuvées par l'administrateur adjoint et le directeur de BMS.</w:t>
      </w:r>
    </w:p>
    <w:p w14:paraId="22C86CDB" w14:textId="77777777" w:rsidR="005E5528" w:rsidRDefault="005E5528" w:rsidP="005E5528">
      <w:pPr>
        <w:pStyle w:val="ListParagraph"/>
        <w:rPr>
          <w:lang w:val="fr-CH"/>
        </w:rPr>
      </w:pPr>
    </w:p>
    <w:p w14:paraId="6F9B5E8D" w14:textId="77777777" w:rsidR="008F4254" w:rsidRDefault="008F4254" w:rsidP="005E5528">
      <w:pPr>
        <w:pStyle w:val="ListParagraph"/>
        <w:rPr>
          <w:lang w:val="fr-CH"/>
        </w:rPr>
      </w:pPr>
    </w:p>
    <w:p w14:paraId="7C424F92" w14:textId="77777777" w:rsidR="008F4254" w:rsidRPr="009C7B2E" w:rsidRDefault="008F4254" w:rsidP="005E5528">
      <w:pPr>
        <w:pStyle w:val="ListParagraph"/>
        <w:rPr>
          <w:lang w:val="fr-CH"/>
        </w:rPr>
      </w:pPr>
    </w:p>
    <w:p w14:paraId="6D745406" w14:textId="77777777" w:rsidR="005E5528" w:rsidRPr="009C7B2E" w:rsidRDefault="005E5528" w:rsidP="005E5528">
      <w:pPr>
        <w:ind w:left="994" w:firstLine="0"/>
        <w:rPr>
          <w:lang w:val="fr-CH"/>
        </w:rPr>
      </w:pPr>
    </w:p>
    <w:p w14:paraId="4BBC427C" w14:textId="104F5A21" w:rsidR="005E5528" w:rsidRPr="009C7B2E" w:rsidRDefault="005E5528" w:rsidP="005E5528">
      <w:pPr>
        <w:pStyle w:val="ListParagraph"/>
        <w:rPr>
          <w:lang w:val="fr-CH"/>
        </w:rPr>
      </w:pPr>
      <w:r w:rsidRPr="009C7B2E">
        <w:rPr>
          <w:i/>
          <w:iCs/>
          <w:lang w:val="fr-CH"/>
        </w:rPr>
        <w:lastRenderedPageBreak/>
        <w:t>Avance d'urgence personnelle</w:t>
      </w:r>
    </w:p>
    <w:p w14:paraId="66CFC4C2" w14:textId="3D3681E4" w:rsidR="005E5528" w:rsidRPr="009C7B2E" w:rsidRDefault="005E5528" w:rsidP="005E5528">
      <w:pPr>
        <w:numPr>
          <w:ilvl w:val="0"/>
          <w:numId w:val="11"/>
        </w:numPr>
        <w:rPr>
          <w:lang w:val="fr-CH"/>
        </w:rPr>
      </w:pPr>
      <w:r w:rsidRPr="009C7B2E">
        <w:rPr>
          <w:lang w:val="fr-CH"/>
        </w:rPr>
        <w:t>Les membres du personnel/les titulaires d'une APS peuvent se voir accorder une avance pour des urgences personnelles pouvant aller jusqu'à deux mois de salaire net pour répondre à des besoins réellement urgents et non récurrents. Ces demandes seront examinées sur la base du mérite de chaque cas individuel, y compris les preuves fournies, et accordées sur la base du meilleur jugement du chef ou du directeur du bureau, dans le cas du personnel recruté localement et des NPSA, ou de l'administrateur adjoint et directeur du BMS, dans le cas du personnel recruté internationalement et des IPSA.</w:t>
      </w:r>
    </w:p>
    <w:p w14:paraId="6F21E0C4" w14:textId="77777777" w:rsidR="00226649" w:rsidRPr="005E5528" w:rsidRDefault="00226649" w:rsidP="00226649">
      <w:pPr>
        <w:ind w:left="994" w:firstLine="0"/>
        <w:rPr>
          <w:lang w:val="fr-CH"/>
        </w:rPr>
      </w:pPr>
    </w:p>
    <w:p w14:paraId="6B5D6B49" w14:textId="2F2176CF" w:rsidR="00DC5B52" w:rsidRDefault="00DC5B52" w:rsidP="00DC5B52">
      <w:pPr>
        <w:numPr>
          <w:ilvl w:val="0"/>
          <w:numId w:val="11"/>
        </w:numPr>
        <w:rPr>
          <w:lang w:val="fr-CH"/>
        </w:rPr>
      </w:pPr>
      <w:r w:rsidRPr="00DC5B52">
        <w:rPr>
          <w:lang w:val="fr-CH"/>
        </w:rPr>
        <w:t xml:space="preserve">Les situations qui peuvent faire l'objet d'avances pour urgences personnelles sont les suivantes : </w:t>
      </w:r>
    </w:p>
    <w:p w14:paraId="17F0A880" w14:textId="77777777" w:rsidR="008F4254" w:rsidRDefault="008F4254" w:rsidP="008F4254">
      <w:pPr>
        <w:pStyle w:val="ListParagraph"/>
        <w:rPr>
          <w:lang w:val="fr-CH"/>
        </w:rPr>
      </w:pPr>
    </w:p>
    <w:p w14:paraId="75FC46B1" w14:textId="111AD4E0" w:rsidR="00D157D9" w:rsidRDefault="004D3451" w:rsidP="00814952">
      <w:pPr>
        <w:pStyle w:val="ListParagraph"/>
        <w:numPr>
          <w:ilvl w:val="0"/>
          <w:numId w:val="15"/>
        </w:numPr>
        <w:rPr>
          <w:lang w:val="fr-CH"/>
        </w:rPr>
      </w:pPr>
      <w:r>
        <w:rPr>
          <w:lang w:val="fr-CH"/>
        </w:rPr>
        <w:t>l</w:t>
      </w:r>
      <w:r w:rsidR="00D157D9" w:rsidRPr="00814952">
        <w:rPr>
          <w:lang w:val="fr-CH"/>
        </w:rPr>
        <w:t>es dépenses importantes de réparation d'une résidence privée endommagée par une catastrophe naturelle ou d'origine humaine (par exemple, incendie, inondation, etc.). Les avances de ce type peuvent souvent être approuvées à l'échelle du lieu d'affectation dans le cadre d'une avance d'urgence globale;</w:t>
      </w:r>
    </w:p>
    <w:p w14:paraId="45B0E111" w14:textId="77777777" w:rsidR="007C5480" w:rsidRPr="00814952" w:rsidRDefault="007C5480" w:rsidP="007C5480">
      <w:pPr>
        <w:pStyle w:val="ListParagraph"/>
        <w:ind w:left="1354" w:firstLine="0"/>
        <w:rPr>
          <w:lang w:val="fr-CH"/>
        </w:rPr>
      </w:pPr>
    </w:p>
    <w:p w14:paraId="6D9E6AA3" w14:textId="077F9CB8" w:rsidR="00814952" w:rsidRDefault="004D3451" w:rsidP="00814952">
      <w:pPr>
        <w:pStyle w:val="ListParagraph"/>
        <w:numPr>
          <w:ilvl w:val="0"/>
          <w:numId w:val="15"/>
        </w:numPr>
        <w:rPr>
          <w:lang w:val="fr-CH"/>
        </w:rPr>
      </w:pPr>
      <w:r>
        <w:rPr>
          <w:lang w:val="fr-CH"/>
        </w:rPr>
        <w:t>l</w:t>
      </w:r>
      <w:r w:rsidR="00472BBD" w:rsidRPr="00814952">
        <w:rPr>
          <w:lang w:val="fr-CH"/>
        </w:rPr>
        <w:t>es</w:t>
      </w:r>
      <w:r w:rsidR="00814952" w:rsidRPr="00814952">
        <w:rPr>
          <w:lang w:val="fr-CH"/>
        </w:rPr>
        <w:t xml:space="preserve"> dépenses importantes liées à la mise en œuvre de mesures liées à la sécurité (clôtures, système d'alarme, etc.) sur la résidence principale d'un membre du personnel / titulaire </w:t>
      </w:r>
      <w:r w:rsidRPr="00814952">
        <w:rPr>
          <w:lang w:val="fr-CH"/>
        </w:rPr>
        <w:t>d’une APS</w:t>
      </w:r>
      <w:r w:rsidR="00814952" w:rsidRPr="00814952">
        <w:rPr>
          <w:lang w:val="fr-CH"/>
        </w:rPr>
        <w:t xml:space="preserve"> sur la base d'une recommandation écrite de l'agent de sécurité du PNUD ou de l'UNDSS et de la présentation d'une facture ou d'un devis du fournisseur;</w:t>
      </w:r>
    </w:p>
    <w:p w14:paraId="1E299672" w14:textId="77777777" w:rsidR="002D3AC0" w:rsidRPr="002D3AC0" w:rsidRDefault="002D3AC0" w:rsidP="002D3AC0">
      <w:pPr>
        <w:pStyle w:val="ListParagraph"/>
        <w:rPr>
          <w:lang w:val="fr-CH"/>
        </w:rPr>
      </w:pPr>
    </w:p>
    <w:p w14:paraId="10FEE87C" w14:textId="6F3FD3AF" w:rsidR="002D3AC0" w:rsidRDefault="004D3451" w:rsidP="00814952">
      <w:pPr>
        <w:pStyle w:val="ListParagraph"/>
        <w:numPr>
          <w:ilvl w:val="0"/>
          <w:numId w:val="15"/>
        </w:numPr>
        <w:rPr>
          <w:lang w:val="fr-CH"/>
        </w:rPr>
      </w:pPr>
      <w:r>
        <w:rPr>
          <w:lang w:val="fr-CH"/>
        </w:rPr>
        <w:t>l</w:t>
      </w:r>
      <w:r w:rsidR="00472BBD" w:rsidRPr="002D3AC0">
        <w:rPr>
          <w:lang w:val="fr-CH"/>
        </w:rPr>
        <w:t>es</w:t>
      </w:r>
      <w:r w:rsidR="002D3AC0" w:rsidRPr="002D3AC0">
        <w:rPr>
          <w:lang w:val="fr-CH"/>
        </w:rPr>
        <w:t xml:space="preserve"> délits entraînant de graves pertes financières, attestées par un rapport de police officiel ou une réclamation d'assurance, pour le membre du personnel et/ou les personnes à sa charge, telles que reconnues par le PNUD;</w:t>
      </w:r>
    </w:p>
    <w:p w14:paraId="50A84A2B" w14:textId="77777777" w:rsidR="008B358F" w:rsidRPr="008B358F" w:rsidRDefault="008B358F" w:rsidP="008B358F">
      <w:pPr>
        <w:pStyle w:val="ListParagraph"/>
        <w:rPr>
          <w:lang w:val="fr-CH"/>
        </w:rPr>
      </w:pPr>
    </w:p>
    <w:p w14:paraId="3841D57F" w14:textId="2EA490F9" w:rsidR="008B358F" w:rsidRDefault="004D3451" w:rsidP="008B358F">
      <w:pPr>
        <w:pStyle w:val="ListParagraph"/>
        <w:numPr>
          <w:ilvl w:val="0"/>
          <w:numId w:val="15"/>
        </w:numPr>
        <w:rPr>
          <w:lang w:val="fr-CH"/>
        </w:rPr>
      </w:pPr>
      <w:r>
        <w:rPr>
          <w:lang w:val="fr-CH"/>
        </w:rPr>
        <w:t>l</w:t>
      </w:r>
      <w:r w:rsidR="00472BBD" w:rsidRPr="008B358F">
        <w:rPr>
          <w:lang w:val="fr-CH"/>
        </w:rPr>
        <w:t>es</w:t>
      </w:r>
      <w:r w:rsidR="008B358F" w:rsidRPr="008B358F">
        <w:rPr>
          <w:lang w:val="fr-CH"/>
        </w:rPr>
        <w:t xml:space="preserve"> frais funéraires en cas de décès d'un membre de la famille immédiate;</w:t>
      </w:r>
    </w:p>
    <w:p w14:paraId="2A9E079B" w14:textId="77777777" w:rsidR="008B358F" w:rsidRPr="008B358F" w:rsidRDefault="008B358F" w:rsidP="008B358F">
      <w:pPr>
        <w:pStyle w:val="ListParagraph"/>
        <w:rPr>
          <w:lang w:val="fr-CH"/>
        </w:rPr>
      </w:pPr>
    </w:p>
    <w:p w14:paraId="2A055BC3" w14:textId="1CA739E6" w:rsidR="008B358F" w:rsidRPr="00814952" w:rsidRDefault="003F0F9C" w:rsidP="003F0F9C">
      <w:pPr>
        <w:pStyle w:val="ListParagraph"/>
        <w:numPr>
          <w:ilvl w:val="0"/>
          <w:numId w:val="15"/>
        </w:numPr>
        <w:rPr>
          <w:lang w:val="fr-CH"/>
        </w:rPr>
      </w:pPr>
      <w:r w:rsidRPr="003F0F9C">
        <w:rPr>
          <w:lang w:val="fr-CH"/>
        </w:rPr>
        <w:t xml:space="preserve">les dépenses liées aux procédures et traitements médicaux ou dentaires essentiels pour les membres du personnel / </w:t>
      </w:r>
      <w:r w:rsidR="00DA67D0" w:rsidRPr="00DA67D0">
        <w:rPr>
          <w:lang w:val="fr-CH"/>
        </w:rPr>
        <w:t xml:space="preserve">titulaires d'une APS </w:t>
      </w:r>
      <w:r w:rsidRPr="003F0F9C">
        <w:rPr>
          <w:lang w:val="fr-CH"/>
        </w:rPr>
        <w:t>et/ou leurs personnes à charge reconnues par le PNUD qui ne sont pas couvertes par leur régime d'assurance et sur présentation d'une facture ou d'un devis d'un prestataire.</w:t>
      </w:r>
    </w:p>
    <w:p w14:paraId="640D0FED" w14:textId="77777777" w:rsidR="00226649" w:rsidRPr="009C7B2E" w:rsidRDefault="00226649" w:rsidP="00226649">
      <w:pPr>
        <w:pStyle w:val="Default"/>
        <w:ind w:left="994"/>
        <w:rPr>
          <w:lang w:val="fr-CH"/>
        </w:rPr>
      </w:pPr>
    </w:p>
    <w:p w14:paraId="6428E41E" w14:textId="77777777" w:rsidR="00226649" w:rsidRPr="009C7B2E" w:rsidRDefault="00226649" w:rsidP="00865F6D">
      <w:pPr>
        <w:pStyle w:val="Default"/>
        <w:numPr>
          <w:ilvl w:val="0"/>
          <w:numId w:val="11"/>
        </w:numPr>
        <w:jc w:val="both"/>
        <w:rPr>
          <w:sz w:val="22"/>
          <w:szCs w:val="22"/>
          <w:lang w:val="fr-CH"/>
        </w:rPr>
      </w:pPr>
      <w:r w:rsidRPr="009C7B2E">
        <w:rPr>
          <w:sz w:val="22"/>
          <w:szCs w:val="22"/>
          <w:lang w:val="fr-CH"/>
        </w:rPr>
        <w:t xml:space="preserve">Il ne peut être accordé qu'une seule avance de salaire personnelle pour les urgences par période de douze mois. </w:t>
      </w:r>
    </w:p>
    <w:p w14:paraId="485D1834" w14:textId="79E9C993" w:rsidR="00C54F7B" w:rsidRPr="009C7B2E" w:rsidRDefault="00C54F7B" w:rsidP="00226649">
      <w:pPr>
        <w:ind w:left="994" w:firstLine="0"/>
        <w:rPr>
          <w:lang w:val="fr-CH"/>
        </w:rPr>
      </w:pPr>
    </w:p>
    <w:p w14:paraId="485D1835" w14:textId="77777777" w:rsidR="00C54F7B" w:rsidRDefault="00F4444C">
      <w:pPr>
        <w:spacing w:after="0" w:line="259" w:lineRule="auto"/>
        <w:ind w:left="0" w:firstLine="0"/>
        <w:jc w:val="left"/>
        <w:rPr>
          <w:lang w:val="fr-CH"/>
        </w:rPr>
      </w:pPr>
      <w:r w:rsidRPr="009C7B2E">
        <w:rPr>
          <w:lang w:val="fr-CH"/>
        </w:rPr>
        <w:t xml:space="preserve">  </w:t>
      </w:r>
    </w:p>
    <w:p w14:paraId="79B3A4E4" w14:textId="77777777" w:rsidR="00DA67D0" w:rsidRDefault="00DA67D0">
      <w:pPr>
        <w:spacing w:after="0" w:line="259" w:lineRule="auto"/>
        <w:ind w:left="0" w:firstLine="0"/>
        <w:jc w:val="left"/>
        <w:rPr>
          <w:lang w:val="fr-CH"/>
        </w:rPr>
      </w:pPr>
    </w:p>
    <w:p w14:paraId="03CC9D97" w14:textId="77777777" w:rsidR="00DA67D0" w:rsidRDefault="00DA67D0">
      <w:pPr>
        <w:spacing w:after="0" w:line="259" w:lineRule="auto"/>
        <w:ind w:left="0" w:firstLine="0"/>
        <w:jc w:val="left"/>
        <w:rPr>
          <w:lang w:val="fr-CH"/>
        </w:rPr>
      </w:pPr>
    </w:p>
    <w:p w14:paraId="6122F824" w14:textId="77777777" w:rsidR="00DA67D0" w:rsidRDefault="00DA67D0">
      <w:pPr>
        <w:spacing w:after="0" w:line="259" w:lineRule="auto"/>
        <w:ind w:left="0" w:firstLine="0"/>
        <w:jc w:val="left"/>
        <w:rPr>
          <w:lang w:val="fr-CH"/>
        </w:rPr>
      </w:pPr>
    </w:p>
    <w:p w14:paraId="43E7832A" w14:textId="77777777" w:rsidR="00DA67D0" w:rsidRPr="009C7B2E" w:rsidRDefault="00DA67D0">
      <w:pPr>
        <w:spacing w:after="0" w:line="259" w:lineRule="auto"/>
        <w:ind w:left="0" w:firstLine="0"/>
        <w:jc w:val="left"/>
        <w:rPr>
          <w:lang w:val="fr-CH"/>
        </w:rPr>
      </w:pPr>
    </w:p>
    <w:p w14:paraId="485D1837" w14:textId="493083F0" w:rsidR="00C54F7B" w:rsidRPr="009C7B2E" w:rsidRDefault="00226649" w:rsidP="00226649">
      <w:pPr>
        <w:pStyle w:val="Heading1"/>
        <w:ind w:left="408"/>
        <w:rPr>
          <w:u w:val="single"/>
          <w:lang w:val="fr-CH"/>
        </w:rPr>
      </w:pPr>
      <w:r w:rsidRPr="009C7B2E">
        <w:rPr>
          <w:u w:val="single"/>
          <w:lang w:val="fr-CH"/>
        </w:rPr>
        <w:lastRenderedPageBreak/>
        <w:t>Demandes non autorisées</w:t>
      </w:r>
      <w:r w:rsidR="00F4444C" w:rsidRPr="009C7B2E">
        <w:rPr>
          <w:u w:val="single"/>
          <w:lang w:val="fr-CH"/>
        </w:rPr>
        <w:t xml:space="preserve"> </w:t>
      </w:r>
    </w:p>
    <w:p w14:paraId="56873940" w14:textId="7FB734CA" w:rsidR="00226649" w:rsidRPr="009C7B2E" w:rsidRDefault="00226649" w:rsidP="00226649">
      <w:pPr>
        <w:pStyle w:val="Default"/>
        <w:numPr>
          <w:ilvl w:val="0"/>
          <w:numId w:val="11"/>
        </w:numPr>
        <w:rPr>
          <w:sz w:val="22"/>
          <w:szCs w:val="22"/>
          <w:lang w:val="fr-CH"/>
        </w:rPr>
      </w:pPr>
      <w:r w:rsidRPr="009C7B2E">
        <w:rPr>
          <w:sz w:val="22"/>
          <w:szCs w:val="22"/>
          <w:lang w:val="fr-CH"/>
        </w:rPr>
        <w:t>Les avances de traitement ne sont pas autorisées à des fins autres que celles couvertes par la présente politique. Il s'agit notamment des cas suivants, mais sans s'y limiter :</w:t>
      </w:r>
    </w:p>
    <w:p w14:paraId="5A756BB5" w14:textId="77777777" w:rsidR="00226649" w:rsidRPr="009C7B2E" w:rsidRDefault="00226649" w:rsidP="00226649">
      <w:pPr>
        <w:pStyle w:val="Default"/>
        <w:ind w:left="994"/>
        <w:rPr>
          <w:lang w:val="fr-CH"/>
        </w:rPr>
      </w:pPr>
    </w:p>
    <w:p w14:paraId="65B1F2AA" w14:textId="77777777" w:rsidR="00226649" w:rsidRPr="009C7B2E" w:rsidRDefault="00226649" w:rsidP="00226649">
      <w:pPr>
        <w:pStyle w:val="Default"/>
        <w:ind w:left="994"/>
        <w:rPr>
          <w:sz w:val="22"/>
          <w:szCs w:val="22"/>
          <w:lang w:val="fr-CH"/>
        </w:rPr>
      </w:pPr>
      <w:r w:rsidRPr="009C7B2E">
        <w:rPr>
          <w:sz w:val="22"/>
          <w:szCs w:val="22"/>
          <w:lang w:val="fr-CH"/>
        </w:rPr>
        <w:t xml:space="preserve">(a) les mariages, les fêtes ou autres rassemblements de ce type ; </w:t>
      </w:r>
    </w:p>
    <w:p w14:paraId="76B763E2" w14:textId="77777777" w:rsidR="00226649" w:rsidRPr="009C7B2E" w:rsidRDefault="00226649" w:rsidP="00226649">
      <w:pPr>
        <w:pStyle w:val="Default"/>
        <w:ind w:left="994"/>
        <w:rPr>
          <w:sz w:val="22"/>
          <w:szCs w:val="22"/>
          <w:lang w:val="fr-CH"/>
        </w:rPr>
      </w:pPr>
    </w:p>
    <w:p w14:paraId="747FC62A" w14:textId="77777777" w:rsidR="00226649" w:rsidRPr="009C7B2E" w:rsidRDefault="00226649" w:rsidP="00226649">
      <w:pPr>
        <w:pStyle w:val="Default"/>
        <w:ind w:left="994"/>
        <w:rPr>
          <w:sz w:val="22"/>
          <w:szCs w:val="22"/>
          <w:lang w:val="fr-CH"/>
        </w:rPr>
      </w:pPr>
      <w:r w:rsidRPr="009C7B2E">
        <w:rPr>
          <w:sz w:val="22"/>
          <w:szCs w:val="22"/>
          <w:lang w:val="fr-CH"/>
        </w:rPr>
        <w:t xml:space="preserve">(b) les frais d'école ou d'université ; </w:t>
      </w:r>
    </w:p>
    <w:p w14:paraId="64E23D34" w14:textId="77777777" w:rsidR="00226649" w:rsidRPr="009C7B2E" w:rsidRDefault="00226649" w:rsidP="00226649">
      <w:pPr>
        <w:pStyle w:val="Default"/>
        <w:ind w:left="994"/>
        <w:rPr>
          <w:sz w:val="22"/>
          <w:szCs w:val="22"/>
          <w:lang w:val="fr-CH"/>
        </w:rPr>
      </w:pPr>
    </w:p>
    <w:p w14:paraId="5652EF26" w14:textId="77777777" w:rsidR="00226649" w:rsidRPr="009C7B2E" w:rsidRDefault="00226649" w:rsidP="00226649">
      <w:pPr>
        <w:pStyle w:val="Default"/>
        <w:ind w:left="994"/>
        <w:rPr>
          <w:sz w:val="22"/>
          <w:szCs w:val="22"/>
          <w:lang w:val="fr-CH"/>
        </w:rPr>
      </w:pPr>
      <w:r w:rsidRPr="009C7B2E">
        <w:rPr>
          <w:sz w:val="22"/>
          <w:szCs w:val="22"/>
          <w:lang w:val="fr-CH"/>
        </w:rPr>
        <w:t xml:space="preserve">(c) vacances ou autres déplacements personnels ; </w:t>
      </w:r>
    </w:p>
    <w:p w14:paraId="46AD56ED" w14:textId="77777777" w:rsidR="00226649" w:rsidRPr="009C7B2E" w:rsidRDefault="00226649" w:rsidP="00226649">
      <w:pPr>
        <w:pStyle w:val="Default"/>
        <w:ind w:left="994"/>
        <w:rPr>
          <w:sz w:val="22"/>
          <w:szCs w:val="22"/>
          <w:lang w:val="fr-CH"/>
        </w:rPr>
      </w:pPr>
    </w:p>
    <w:p w14:paraId="02EC9EF0" w14:textId="77777777" w:rsidR="00226649" w:rsidRPr="009C7B2E" w:rsidRDefault="00226649" w:rsidP="00226649">
      <w:pPr>
        <w:pStyle w:val="Default"/>
        <w:ind w:left="994"/>
        <w:rPr>
          <w:sz w:val="22"/>
          <w:szCs w:val="22"/>
          <w:lang w:val="fr-CH"/>
        </w:rPr>
      </w:pPr>
      <w:r w:rsidRPr="009C7B2E">
        <w:rPr>
          <w:sz w:val="22"/>
          <w:szCs w:val="22"/>
          <w:lang w:val="fr-CH"/>
        </w:rPr>
        <w:t xml:space="preserve">(d) l'achat d'une maison ou d'un terrain ; </w:t>
      </w:r>
    </w:p>
    <w:p w14:paraId="4A9A12B0" w14:textId="77777777" w:rsidR="00226649" w:rsidRPr="009C7B2E" w:rsidRDefault="00226649" w:rsidP="00226649">
      <w:pPr>
        <w:pStyle w:val="Default"/>
        <w:ind w:left="994"/>
        <w:rPr>
          <w:sz w:val="22"/>
          <w:szCs w:val="22"/>
          <w:lang w:val="fr-CH"/>
        </w:rPr>
      </w:pPr>
    </w:p>
    <w:p w14:paraId="13CBB7F1" w14:textId="77777777" w:rsidR="00226649" w:rsidRPr="009C7B2E" w:rsidRDefault="00226649" w:rsidP="00226649">
      <w:pPr>
        <w:pStyle w:val="Default"/>
        <w:ind w:left="994"/>
        <w:rPr>
          <w:sz w:val="22"/>
          <w:szCs w:val="22"/>
          <w:lang w:val="fr-CH"/>
        </w:rPr>
      </w:pPr>
      <w:r w:rsidRPr="009C7B2E">
        <w:rPr>
          <w:sz w:val="22"/>
          <w:szCs w:val="22"/>
          <w:lang w:val="fr-CH"/>
        </w:rPr>
        <w:t xml:space="preserve">(e) la construction de maisons, de bâtiments ou l'extension de locaux existants ; </w:t>
      </w:r>
    </w:p>
    <w:p w14:paraId="095C6668" w14:textId="77777777" w:rsidR="00226649" w:rsidRPr="009C7B2E" w:rsidRDefault="00226649" w:rsidP="00226649">
      <w:pPr>
        <w:pStyle w:val="Default"/>
        <w:ind w:left="994"/>
        <w:rPr>
          <w:sz w:val="22"/>
          <w:szCs w:val="22"/>
          <w:lang w:val="fr-CH"/>
        </w:rPr>
      </w:pPr>
    </w:p>
    <w:p w14:paraId="38D14CB1" w14:textId="77777777" w:rsidR="00226649" w:rsidRPr="009C7B2E" w:rsidRDefault="00226649" w:rsidP="00226649">
      <w:pPr>
        <w:pStyle w:val="Default"/>
        <w:ind w:left="994"/>
        <w:rPr>
          <w:sz w:val="22"/>
          <w:szCs w:val="22"/>
          <w:lang w:val="fr-CH"/>
        </w:rPr>
      </w:pPr>
      <w:r w:rsidRPr="009C7B2E">
        <w:rPr>
          <w:sz w:val="22"/>
          <w:szCs w:val="22"/>
          <w:lang w:val="fr-CH"/>
        </w:rPr>
        <w:t xml:space="preserve">(f) la rénovation ou la réparation de maisons ou de bâtiments par l'usure normale ; </w:t>
      </w:r>
    </w:p>
    <w:p w14:paraId="507802E2" w14:textId="77777777" w:rsidR="00226649" w:rsidRPr="009C7B2E" w:rsidRDefault="00226649" w:rsidP="00226649">
      <w:pPr>
        <w:pStyle w:val="Default"/>
        <w:ind w:left="994"/>
        <w:rPr>
          <w:sz w:val="22"/>
          <w:szCs w:val="22"/>
          <w:lang w:val="fr-CH"/>
        </w:rPr>
      </w:pPr>
    </w:p>
    <w:p w14:paraId="2713771D" w14:textId="77777777" w:rsidR="00226649" w:rsidRPr="009C7B2E" w:rsidRDefault="00226649" w:rsidP="00226649">
      <w:pPr>
        <w:pStyle w:val="Default"/>
        <w:ind w:left="994"/>
        <w:rPr>
          <w:sz w:val="22"/>
          <w:szCs w:val="22"/>
          <w:lang w:val="fr-CH"/>
        </w:rPr>
      </w:pPr>
      <w:r w:rsidRPr="009C7B2E">
        <w:rPr>
          <w:sz w:val="22"/>
          <w:szCs w:val="22"/>
          <w:lang w:val="fr-CH"/>
        </w:rPr>
        <w:t xml:space="preserve">(g) l'achat de mobilier domestique et d'effets personnels ; </w:t>
      </w:r>
    </w:p>
    <w:p w14:paraId="30CD534D" w14:textId="77777777" w:rsidR="00226649" w:rsidRPr="009C7B2E" w:rsidRDefault="00226649" w:rsidP="00226649">
      <w:pPr>
        <w:pStyle w:val="Default"/>
        <w:ind w:left="994"/>
        <w:rPr>
          <w:sz w:val="22"/>
          <w:szCs w:val="22"/>
          <w:lang w:val="fr-CH"/>
        </w:rPr>
      </w:pPr>
    </w:p>
    <w:p w14:paraId="50017A8D" w14:textId="77777777" w:rsidR="00226649" w:rsidRPr="009C7B2E" w:rsidRDefault="00226649" w:rsidP="00226649">
      <w:pPr>
        <w:pStyle w:val="Default"/>
        <w:ind w:left="994"/>
        <w:rPr>
          <w:sz w:val="22"/>
          <w:szCs w:val="22"/>
          <w:lang w:val="fr-CH"/>
        </w:rPr>
      </w:pPr>
      <w:r w:rsidRPr="009C7B2E">
        <w:rPr>
          <w:sz w:val="22"/>
          <w:szCs w:val="22"/>
          <w:lang w:val="fr-CH"/>
        </w:rPr>
        <w:t xml:space="preserve">(h) le paiement de dettes personnelles, de prêts bancaires ou de prêts hypothécaires. </w:t>
      </w:r>
    </w:p>
    <w:p w14:paraId="32712C35" w14:textId="77777777" w:rsidR="00226649" w:rsidRPr="009C7B2E" w:rsidRDefault="00226649" w:rsidP="00226649">
      <w:pPr>
        <w:pStyle w:val="Default"/>
        <w:ind w:left="994"/>
        <w:rPr>
          <w:sz w:val="22"/>
          <w:szCs w:val="22"/>
          <w:lang w:val="fr-CH"/>
        </w:rPr>
      </w:pPr>
    </w:p>
    <w:p w14:paraId="1CAC2AAA" w14:textId="77777777" w:rsidR="00226649" w:rsidRPr="009C7B2E" w:rsidRDefault="00226649" w:rsidP="00226649">
      <w:pPr>
        <w:ind w:left="994" w:firstLine="0"/>
        <w:rPr>
          <w:lang w:val="fr-CH"/>
        </w:rPr>
      </w:pPr>
    </w:p>
    <w:p w14:paraId="654257FD" w14:textId="4DEEA601" w:rsidR="00226649" w:rsidRPr="009C7B2E" w:rsidRDefault="00226649">
      <w:pPr>
        <w:spacing w:after="160" w:line="259" w:lineRule="auto"/>
        <w:ind w:left="0" w:firstLine="0"/>
        <w:jc w:val="left"/>
        <w:rPr>
          <w:lang w:val="fr-CH"/>
        </w:rPr>
      </w:pPr>
      <w:r w:rsidRPr="009C7B2E">
        <w:rPr>
          <w:lang w:val="fr-CH"/>
        </w:rPr>
        <w:br w:type="page"/>
      </w:r>
    </w:p>
    <w:p w14:paraId="4E1F3FE8" w14:textId="50435C3C" w:rsidR="00FA7FEC" w:rsidRPr="002A7C9C" w:rsidRDefault="00FA7FEC" w:rsidP="00FA7FEC">
      <w:pPr>
        <w:spacing w:after="0" w:line="240" w:lineRule="auto"/>
        <w:ind w:left="0" w:firstLine="0"/>
        <w:rPr>
          <w:rFonts w:asciiTheme="minorHAnsi" w:hAnsiTheme="minorHAnsi" w:cstheme="minorHAnsi"/>
          <w:b/>
          <w:bCs/>
          <w:lang w:val="fr-CH"/>
        </w:rPr>
      </w:pPr>
      <w:r w:rsidRPr="002A7C9C">
        <w:rPr>
          <w:rFonts w:asciiTheme="minorHAnsi" w:hAnsiTheme="minorHAnsi" w:cstheme="minorHAnsi"/>
          <w:b/>
          <w:bCs/>
          <w:lang w:val="fr-CH"/>
        </w:rPr>
        <w:lastRenderedPageBreak/>
        <w:t xml:space="preserve">Annex: </w:t>
      </w:r>
      <w:r w:rsidR="001043B1" w:rsidRPr="002A7C9C">
        <w:rPr>
          <w:rFonts w:asciiTheme="minorHAnsi" w:hAnsiTheme="minorHAnsi" w:cstheme="minorHAnsi"/>
          <w:b/>
          <w:bCs/>
          <w:lang w:val="fr-CH"/>
        </w:rPr>
        <w:t>Résumé des conditions de paiement, de recouvrement et autres conditions</w:t>
      </w:r>
    </w:p>
    <w:p w14:paraId="1FE38B50" w14:textId="77777777" w:rsidR="00FA7FEC" w:rsidRPr="00865F6D" w:rsidRDefault="00FA7FEC" w:rsidP="00FA7FEC">
      <w:pPr>
        <w:spacing w:after="0" w:line="240" w:lineRule="auto"/>
        <w:ind w:left="0" w:firstLine="0"/>
        <w:rPr>
          <w:rFonts w:asciiTheme="minorHAnsi" w:hAnsiTheme="minorHAnsi" w:cstheme="minorHAnsi"/>
          <w:sz w:val="20"/>
          <w:lang w:val="fr-CH"/>
        </w:rPr>
      </w:pPr>
    </w:p>
    <w:tbl>
      <w:tblPr>
        <w:tblW w:w="10817" w:type="dxa"/>
        <w:tblInd w:w="-934" w:type="dxa"/>
        <w:tblLook w:val="04A0" w:firstRow="1" w:lastRow="0" w:firstColumn="1" w:lastColumn="0" w:noHBand="0" w:noVBand="1"/>
      </w:tblPr>
      <w:tblGrid>
        <w:gridCol w:w="1310"/>
        <w:gridCol w:w="1443"/>
        <w:gridCol w:w="1200"/>
        <w:gridCol w:w="1524"/>
        <w:gridCol w:w="1924"/>
        <w:gridCol w:w="1763"/>
        <w:gridCol w:w="53"/>
        <w:gridCol w:w="1600"/>
      </w:tblGrid>
      <w:tr w:rsidR="00FA7FEC" w:rsidRPr="00865F6D" w14:paraId="4F9E3812" w14:textId="77777777" w:rsidTr="00865F6D">
        <w:trPr>
          <w:trHeight w:val="312"/>
        </w:trPr>
        <w:tc>
          <w:tcPr>
            <w:tcW w:w="1310" w:type="dxa"/>
            <w:tcBorders>
              <w:top w:val="single" w:sz="8" w:space="0" w:color="auto"/>
              <w:left w:val="single" w:sz="8" w:space="0" w:color="auto"/>
              <w:bottom w:val="single" w:sz="8" w:space="0" w:color="auto"/>
              <w:right w:val="single" w:sz="8" w:space="0" w:color="auto"/>
            </w:tcBorders>
            <w:shd w:val="clear" w:color="auto" w:fill="F4B083" w:themeFill="accent2" w:themeFillTint="99"/>
            <w:noWrap/>
            <w:vAlign w:val="center"/>
            <w:hideMark/>
          </w:tcPr>
          <w:p w14:paraId="77644258" w14:textId="43839895" w:rsidR="00FA7FEC" w:rsidRPr="00865F6D" w:rsidRDefault="009C7B2E" w:rsidP="00332B2B">
            <w:pPr>
              <w:spacing w:after="0" w:line="240" w:lineRule="auto"/>
              <w:ind w:left="0" w:firstLine="0"/>
              <w:jc w:val="left"/>
              <w:rPr>
                <w:rFonts w:asciiTheme="minorHAnsi" w:eastAsia="Times New Roman" w:hAnsiTheme="minorHAnsi" w:cstheme="minorHAnsi"/>
                <w:b/>
                <w:bCs/>
                <w:sz w:val="16"/>
                <w:szCs w:val="16"/>
                <w:lang w:val="fr-CH" w:eastAsia="en-MY"/>
              </w:rPr>
            </w:pPr>
            <w:bookmarkStart w:id="0" w:name="_Hlk125035494"/>
            <w:r w:rsidRPr="00865F6D">
              <w:rPr>
                <w:rFonts w:asciiTheme="minorHAnsi" w:eastAsia="Times New Roman" w:hAnsiTheme="minorHAnsi" w:cstheme="minorHAnsi"/>
                <w:b/>
                <w:bCs/>
                <w:sz w:val="16"/>
                <w:szCs w:val="16"/>
                <w:lang w:val="fr-CH" w:eastAsia="en-MY"/>
              </w:rPr>
              <w:t>Type d'avance</w:t>
            </w:r>
          </w:p>
        </w:tc>
        <w:tc>
          <w:tcPr>
            <w:tcW w:w="1443"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14:paraId="5C521258" w14:textId="3F7F24F7" w:rsidR="00FA7FEC" w:rsidRPr="00865F6D" w:rsidRDefault="009C7B2E" w:rsidP="00332B2B">
            <w:pPr>
              <w:spacing w:after="0" w:line="240" w:lineRule="auto"/>
              <w:ind w:left="0" w:firstLine="0"/>
              <w:jc w:val="left"/>
              <w:rPr>
                <w:rFonts w:asciiTheme="minorHAnsi" w:eastAsia="Times New Roman" w:hAnsiTheme="minorHAnsi" w:cstheme="minorHAnsi"/>
                <w:b/>
                <w:bCs/>
                <w:sz w:val="16"/>
                <w:szCs w:val="16"/>
                <w:lang w:val="fr-CH" w:eastAsia="en-MY"/>
              </w:rPr>
            </w:pPr>
            <w:r w:rsidRPr="00865F6D">
              <w:rPr>
                <w:rFonts w:asciiTheme="minorHAnsi" w:eastAsia="Times New Roman" w:hAnsiTheme="minorHAnsi" w:cstheme="minorHAnsi"/>
                <w:b/>
                <w:bCs/>
                <w:sz w:val="16"/>
                <w:szCs w:val="16"/>
                <w:lang w:val="fr-CH" w:eastAsia="en-MY"/>
              </w:rPr>
              <w:t>Demande initiée par</w:t>
            </w:r>
          </w:p>
        </w:tc>
        <w:tc>
          <w:tcPr>
            <w:tcW w:w="1200"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14:paraId="539694DB" w14:textId="61385FD4" w:rsidR="00FA7FEC" w:rsidRPr="00865F6D" w:rsidRDefault="009C7B2E" w:rsidP="009C7B2E">
            <w:pPr>
              <w:pStyle w:val="Default"/>
              <w:rPr>
                <w:rFonts w:asciiTheme="minorHAnsi" w:hAnsiTheme="minorHAnsi" w:cstheme="minorHAnsi"/>
                <w:sz w:val="16"/>
                <w:szCs w:val="16"/>
              </w:rPr>
            </w:pPr>
            <w:r w:rsidRPr="00865F6D">
              <w:rPr>
                <w:rFonts w:asciiTheme="minorHAnsi" w:hAnsiTheme="minorHAnsi" w:cstheme="minorHAnsi"/>
                <w:b/>
                <w:bCs/>
                <w:sz w:val="16"/>
                <w:szCs w:val="16"/>
              </w:rPr>
              <w:t xml:space="preserve">Avancé Approuvé par </w:t>
            </w:r>
          </w:p>
        </w:tc>
        <w:tc>
          <w:tcPr>
            <w:tcW w:w="1524" w:type="dxa"/>
            <w:tcBorders>
              <w:top w:val="single" w:sz="8" w:space="0" w:color="auto"/>
              <w:left w:val="nil"/>
              <w:bottom w:val="single" w:sz="8" w:space="0" w:color="auto"/>
              <w:right w:val="single" w:sz="8" w:space="0" w:color="auto"/>
            </w:tcBorders>
            <w:shd w:val="clear" w:color="auto" w:fill="F4B083" w:themeFill="accent2" w:themeFillTint="99"/>
            <w:noWrap/>
            <w:vAlign w:val="center"/>
            <w:hideMark/>
          </w:tcPr>
          <w:p w14:paraId="52D97C0F" w14:textId="168CAA5A" w:rsidR="00FA7FEC" w:rsidRPr="00865F6D" w:rsidRDefault="009C7B2E" w:rsidP="00332B2B">
            <w:pPr>
              <w:spacing w:after="0" w:line="240" w:lineRule="auto"/>
              <w:ind w:left="0" w:firstLine="0"/>
              <w:jc w:val="left"/>
              <w:rPr>
                <w:rFonts w:asciiTheme="minorHAnsi" w:eastAsia="Times New Roman" w:hAnsiTheme="minorHAnsi" w:cstheme="minorHAnsi"/>
                <w:b/>
                <w:bCs/>
                <w:sz w:val="16"/>
                <w:szCs w:val="16"/>
                <w:lang w:val="fr-CH" w:eastAsia="en-MY"/>
              </w:rPr>
            </w:pPr>
            <w:r w:rsidRPr="00865F6D">
              <w:rPr>
                <w:rFonts w:asciiTheme="minorHAnsi" w:eastAsia="Times New Roman" w:hAnsiTheme="minorHAnsi" w:cstheme="minorHAnsi"/>
                <w:b/>
                <w:bCs/>
                <w:sz w:val="16"/>
                <w:szCs w:val="16"/>
                <w:lang w:val="fr-CH" w:eastAsia="en-MY"/>
              </w:rPr>
              <w:t>Eligibilité</w:t>
            </w:r>
          </w:p>
        </w:tc>
        <w:tc>
          <w:tcPr>
            <w:tcW w:w="1924" w:type="dxa"/>
            <w:tcBorders>
              <w:top w:val="single" w:sz="8" w:space="0" w:color="auto"/>
              <w:left w:val="nil"/>
              <w:bottom w:val="single" w:sz="8" w:space="0" w:color="auto"/>
              <w:right w:val="single" w:sz="8" w:space="0" w:color="auto"/>
            </w:tcBorders>
            <w:shd w:val="clear" w:color="auto" w:fill="F4B083" w:themeFill="accent2" w:themeFillTint="99"/>
            <w:noWrap/>
            <w:vAlign w:val="center"/>
            <w:hideMark/>
          </w:tcPr>
          <w:p w14:paraId="7C7937DE" w14:textId="2C94ADD0" w:rsidR="00FA7FEC" w:rsidRPr="00865F6D" w:rsidRDefault="009C7B2E" w:rsidP="009C7B2E">
            <w:pPr>
              <w:pStyle w:val="Default"/>
              <w:rPr>
                <w:rFonts w:asciiTheme="minorHAnsi" w:hAnsiTheme="minorHAnsi" w:cstheme="minorHAnsi"/>
                <w:sz w:val="16"/>
                <w:szCs w:val="16"/>
              </w:rPr>
            </w:pPr>
            <w:r w:rsidRPr="00865F6D">
              <w:rPr>
                <w:rFonts w:asciiTheme="minorHAnsi" w:hAnsiTheme="minorHAnsi" w:cstheme="minorHAnsi"/>
                <w:b/>
                <w:bCs/>
                <w:sz w:val="16"/>
                <w:szCs w:val="16"/>
              </w:rPr>
              <w:t xml:space="preserve">Montant maximal </w:t>
            </w:r>
          </w:p>
        </w:tc>
        <w:tc>
          <w:tcPr>
            <w:tcW w:w="1763"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14:paraId="5161397B" w14:textId="47F02EF2" w:rsidR="00FA7FEC" w:rsidRPr="00865F6D" w:rsidRDefault="009C7B2E" w:rsidP="009C7B2E">
            <w:pPr>
              <w:pStyle w:val="Default"/>
              <w:rPr>
                <w:rFonts w:asciiTheme="minorHAnsi" w:hAnsiTheme="minorHAnsi" w:cstheme="minorHAnsi"/>
                <w:sz w:val="16"/>
                <w:szCs w:val="16"/>
              </w:rPr>
            </w:pPr>
            <w:r w:rsidRPr="00865F6D">
              <w:rPr>
                <w:rFonts w:asciiTheme="minorHAnsi" w:hAnsiTheme="minorHAnsi" w:cstheme="minorHAnsi"/>
                <w:b/>
                <w:bCs/>
                <w:sz w:val="16"/>
                <w:szCs w:val="16"/>
              </w:rPr>
              <w:t xml:space="preserve">Durée maximale de récupération </w:t>
            </w:r>
          </w:p>
        </w:tc>
        <w:tc>
          <w:tcPr>
            <w:tcW w:w="1653" w:type="dxa"/>
            <w:gridSpan w:val="2"/>
            <w:tcBorders>
              <w:top w:val="single" w:sz="8" w:space="0" w:color="auto"/>
              <w:left w:val="nil"/>
              <w:bottom w:val="single" w:sz="8" w:space="0" w:color="auto"/>
              <w:right w:val="single" w:sz="8" w:space="0" w:color="auto"/>
            </w:tcBorders>
            <w:shd w:val="clear" w:color="auto" w:fill="F4B083" w:themeFill="accent2" w:themeFillTint="99"/>
            <w:vAlign w:val="center"/>
            <w:hideMark/>
          </w:tcPr>
          <w:p w14:paraId="19E70B03" w14:textId="131B55CA" w:rsidR="00FA7FEC" w:rsidRPr="00865F6D" w:rsidRDefault="009C7B2E" w:rsidP="009C7B2E">
            <w:pPr>
              <w:pStyle w:val="Default"/>
              <w:rPr>
                <w:rFonts w:asciiTheme="minorHAnsi" w:hAnsiTheme="minorHAnsi" w:cstheme="minorHAnsi"/>
                <w:sz w:val="16"/>
                <w:szCs w:val="16"/>
              </w:rPr>
            </w:pPr>
            <w:r w:rsidRPr="00865F6D">
              <w:rPr>
                <w:rFonts w:asciiTheme="minorHAnsi" w:hAnsiTheme="minorHAnsi" w:cstheme="minorHAnsi"/>
                <w:b/>
                <w:bCs/>
                <w:sz w:val="16"/>
                <w:szCs w:val="16"/>
              </w:rPr>
              <w:t xml:space="preserve">Autres termes et conditions </w:t>
            </w:r>
          </w:p>
        </w:tc>
      </w:tr>
      <w:tr w:rsidR="00FA7FEC" w:rsidRPr="00865F6D" w14:paraId="69CC36D3" w14:textId="77777777" w:rsidTr="00865F6D">
        <w:trPr>
          <w:trHeight w:val="312"/>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14:paraId="12463DD8" w14:textId="77777777" w:rsidR="00FA7FEC" w:rsidRPr="00865F6D" w:rsidRDefault="00FA7FEC" w:rsidP="00FA7FEC">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Lors du premier rendez-vous </w:t>
            </w:r>
          </w:p>
          <w:p w14:paraId="03D9FD68" w14:textId="2CB0853F"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443" w:type="dxa"/>
            <w:vMerge w:val="restart"/>
            <w:tcBorders>
              <w:top w:val="nil"/>
              <w:left w:val="nil"/>
              <w:right w:val="single" w:sz="8" w:space="0" w:color="auto"/>
            </w:tcBorders>
            <w:shd w:val="clear" w:color="auto" w:fill="auto"/>
            <w:noWrap/>
            <w:vAlign w:val="center"/>
            <w:hideMark/>
          </w:tcPr>
          <w:p w14:paraId="5CDB43B7" w14:textId="1B028E76" w:rsidR="00FA7FEC" w:rsidRPr="00865F6D" w:rsidRDefault="001043B1" w:rsidP="00332B2B">
            <w:pPr>
              <w:spacing w:after="0" w:line="240" w:lineRule="auto"/>
              <w:ind w:left="0" w:firstLine="0"/>
              <w:jc w:val="left"/>
              <w:rPr>
                <w:rFonts w:asciiTheme="minorHAnsi" w:eastAsia="Times New Roman" w:hAnsiTheme="minorHAnsi" w:cstheme="minorHAnsi"/>
                <w:sz w:val="16"/>
                <w:szCs w:val="16"/>
                <w:lang w:val="fr-CH" w:eastAsia="en-MY"/>
              </w:rPr>
            </w:pPr>
            <w:r w:rsidRPr="00865F6D">
              <w:rPr>
                <w:rFonts w:asciiTheme="minorHAnsi" w:eastAsia="Times New Roman" w:hAnsiTheme="minorHAnsi" w:cstheme="minorHAnsi"/>
                <w:sz w:val="16"/>
                <w:szCs w:val="16"/>
                <w:lang w:val="fr-CH" w:eastAsia="en-MY"/>
              </w:rPr>
              <w:t>Point focal HR</w:t>
            </w:r>
          </w:p>
          <w:p w14:paraId="62C1A184" w14:textId="77777777" w:rsidR="00FA7FEC" w:rsidRPr="00865F6D" w:rsidRDefault="00FA7FEC" w:rsidP="00332B2B">
            <w:pPr>
              <w:spacing w:after="0" w:line="240" w:lineRule="auto"/>
              <w:ind w:left="0"/>
              <w:jc w:val="left"/>
              <w:rPr>
                <w:rFonts w:asciiTheme="minorHAnsi" w:eastAsia="Times New Roman" w:hAnsiTheme="minorHAnsi" w:cstheme="minorHAnsi"/>
                <w:sz w:val="16"/>
                <w:szCs w:val="16"/>
                <w:lang w:val="fr-CH" w:eastAsia="en-MY"/>
              </w:rPr>
            </w:pPr>
          </w:p>
        </w:tc>
        <w:tc>
          <w:tcPr>
            <w:tcW w:w="1200" w:type="dxa"/>
            <w:vMerge w:val="restart"/>
            <w:tcBorders>
              <w:top w:val="nil"/>
              <w:left w:val="nil"/>
              <w:right w:val="single" w:sz="8" w:space="0" w:color="auto"/>
            </w:tcBorders>
            <w:shd w:val="clear" w:color="auto" w:fill="auto"/>
            <w:noWrap/>
            <w:vAlign w:val="center"/>
          </w:tcPr>
          <w:p w14:paraId="395E1D38" w14:textId="11F58C65" w:rsidR="00FA7FEC" w:rsidRPr="00865F6D" w:rsidRDefault="00FA7FEC" w:rsidP="00332B2B">
            <w:pPr>
              <w:spacing w:after="0" w:line="240" w:lineRule="auto"/>
              <w:ind w:left="0"/>
              <w:jc w:val="left"/>
              <w:rPr>
                <w:rFonts w:asciiTheme="minorHAnsi" w:eastAsia="Times New Roman" w:hAnsiTheme="minorHAnsi" w:cstheme="minorHAnsi"/>
                <w:sz w:val="16"/>
                <w:szCs w:val="16"/>
                <w:lang w:val="fr-CH" w:eastAsia="en-MY"/>
              </w:rPr>
            </w:pPr>
            <w:r w:rsidRPr="00865F6D">
              <w:rPr>
                <w:rFonts w:asciiTheme="minorHAnsi" w:eastAsia="Times New Roman" w:hAnsiTheme="minorHAnsi" w:cstheme="minorHAnsi"/>
                <w:sz w:val="16"/>
                <w:szCs w:val="16"/>
                <w:lang w:val="fr-CH" w:eastAsia="en-MY"/>
              </w:rPr>
              <w:t xml:space="preserve">Ma    Manager, </w:t>
            </w:r>
            <w:r w:rsidR="009C7B2E" w:rsidRPr="00865F6D">
              <w:rPr>
                <w:rFonts w:asciiTheme="minorHAnsi" w:eastAsia="Times New Roman" w:hAnsiTheme="minorHAnsi" w:cstheme="minorHAnsi"/>
                <w:sz w:val="16"/>
                <w:szCs w:val="16"/>
                <w:lang w:val="fr-CH" w:eastAsia="en-MY"/>
              </w:rPr>
              <w:t>Services de paie globale (GPS) et</w:t>
            </w:r>
            <w:r w:rsidRPr="00865F6D">
              <w:rPr>
                <w:rFonts w:asciiTheme="minorHAnsi" w:eastAsia="Times New Roman" w:hAnsiTheme="minorHAnsi" w:cstheme="minorHAnsi"/>
                <w:sz w:val="16"/>
                <w:szCs w:val="16"/>
                <w:lang w:val="fr-CH" w:eastAsia="en-MY"/>
              </w:rPr>
              <w:t xml:space="preserve"> Manager, </w:t>
            </w:r>
            <w:r w:rsidR="009C7B2E" w:rsidRPr="00865F6D">
              <w:rPr>
                <w:rFonts w:asciiTheme="minorHAnsi" w:eastAsia="Times New Roman" w:hAnsiTheme="minorHAnsi" w:cstheme="minorHAnsi"/>
                <w:sz w:val="16"/>
                <w:szCs w:val="16"/>
                <w:lang w:val="fr-CH" w:eastAsia="en-MY"/>
              </w:rPr>
              <w:t>Services de prestations et d'allocations (BES)</w:t>
            </w:r>
          </w:p>
        </w:tc>
        <w:tc>
          <w:tcPr>
            <w:tcW w:w="1524" w:type="dxa"/>
            <w:vMerge w:val="restart"/>
            <w:tcBorders>
              <w:top w:val="nil"/>
              <w:left w:val="nil"/>
              <w:right w:val="single" w:sz="8" w:space="0" w:color="auto"/>
            </w:tcBorders>
            <w:shd w:val="clear" w:color="auto" w:fill="auto"/>
            <w:noWrap/>
            <w:vAlign w:val="center"/>
            <w:hideMark/>
          </w:tcPr>
          <w:p w14:paraId="513F4C31" w14:textId="77777777" w:rsidR="001043B1" w:rsidRPr="00865F6D" w:rsidRDefault="001043B1" w:rsidP="001043B1">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Tout le personnel </w:t>
            </w:r>
          </w:p>
          <w:p w14:paraId="4224E98F" w14:textId="77777777" w:rsidR="00FA7FEC" w:rsidRPr="00865F6D" w:rsidRDefault="00FA7FEC" w:rsidP="00332B2B">
            <w:pPr>
              <w:spacing w:after="0" w:line="240" w:lineRule="auto"/>
              <w:ind w:left="0"/>
              <w:jc w:val="left"/>
              <w:rPr>
                <w:rFonts w:asciiTheme="minorHAnsi" w:eastAsia="Times New Roman" w:hAnsiTheme="minorHAnsi" w:cstheme="minorHAnsi"/>
                <w:sz w:val="16"/>
                <w:szCs w:val="16"/>
                <w:lang w:val="fr-CH" w:eastAsia="en-MY"/>
              </w:rPr>
            </w:pPr>
          </w:p>
        </w:tc>
        <w:tc>
          <w:tcPr>
            <w:tcW w:w="1924" w:type="dxa"/>
            <w:vMerge w:val="restart"/>
            <w:tcBorders>
              <w:top w:val="nil"/>
              <w:left w:val="nil"/>
              <w:right w:val="single" w:sz="8" w:space="0" w:color="auto"/>
            </w:tcBorders>
            <w:shd w:val="clear" w:color="auto" w:fill="auto"/>
            <w:noWrap/>
            <w:vAlign w:val="center"/>
            <w:hideMark/>
          </w:tcPr>
          <w:p w14:paraId="3A0EFFDB" w14:textId="77777777" w:rsidR="001043B1" w:rsidRPr="00865F6D" w:rsidRDefault="001043B1" w:rsidP="001043B1">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Rémunération mensuelle nette </w:t>
            </w:r>
          </w:p>
          <w:p w14:paraId="1D20D94F" w14:textId="4EE33CDD"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763" w:type="dxa"/>
            <w:vMerge w:val="restart"/>
            <w:tcBorders>
              <w:top w:val="nil"/>
              <w:left w:val="nil"/>
              <w:right w:val="single" w:sz="8" w:space="0" w:color="auto"/>
            </w:tcBorders>
            <w:shd w:val="clear" w:color="auto" w:fill="auto"/>
            <w:noWrap/>
            <w:vAlign w:val="center"/>
            <w:hideMark/>
          </w:tcPr>
          <w:p w14:paraId="1F0607E2" w14:textId="77777777" w:rsidR="001043B1" w:rsidRPr="00865F6D" w:rsidRDefault="001043B1" w:rsidP="001043B1">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Rétablissement complet lors de la prochaine paie régulière </w:t>
            </w:r>
          </w:p>
          <w:p w14:paraId="103D74AF" w14:textId="146E1C19"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653" w:type="dxa"/>
            <w:gridSpan w:val="2"/>
            <w:tcBorders>
              <w:top w:val="nil"/>
              <w:left w:val="nil"/>
              <w:bottom w:val="single" w:sz="8" w:space="0" w:color="auto"/>
              <w:right w:val="single" w:sz="8" w:space="0" w:color="auto"/>
            </w:tcBorders>
            <w:shd w:val="clear" w:color="auto" w:fill="auto"/>
            <w:noWrap/>
            <w:vAlign w:val="center"/>
            <w:hideMark/>
          </w:tcPr>
          <w:p w14:paraId="20B20DE8" w14:textId="77777777"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r w:rsidRPr="00865F6D">
              <w:rPr>
                <w:rFonts w:asciiTheme="minorHAnsi" w:eastAsia="Times New Roman" w:hAnsiTheme="minorHAnsi" w:cstheme="minorHAnsi"/>
                <w:sz w:val="16"/>
                <w:szCs w:val="16"/>
                <w:lang w:val="fr-CH" w:eastAsia="en-MY"/>
              </w:rPr>
              <w:t> </w:t>
            </w:r>
          </w:p>
        </w:tc>
      </w:tr>
      <w:tr w:rsidR="00FA7FEC" w:rsidRPr="00865F6D" w14:paraId="676FD40E" w14:textId="77777777" w:rsidTr="00865F6D">
        <w:trPr>
          <w:trHeight w:val="507"/>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14:paraId="7AF6BBB6" w14:textId="77777777" w:rsidR="00FA7FEC" w:rsidRPr="00865F6D" w:rsidRDefault="00FA7FEC" w:rsidP="00FA7FEC">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Non-réception du salaire </w:t>
            </w:r>
          </w:p>
          <w:p w14:paraId="5A6029AC" w14:textId="65B3AAE7"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443" w:type="dxa"/>
            <w:vMerge/>
            <w:tcBorders>
              <w:left w:val="nil"/>
              <w:right w:val="single" w:sz="8" w:space="0" w:color="auto"/>
            </w:tcBorders>
            <w:shd w:val="clear" w:color="auto" w:fill="auto"/>
            <w:noWrap/>
            <w:vAlign w:val="center"/>
            <w:hideMark/>
          </w:tcPr>
          <w:p w14:paraId="362B9057" w14:textId="77777777" w:rsidR="00FA7FEC" w:rsidRPr="00865F6D" w:rsidRDefault="00FA7FEC" w:rsidP="00332B2B">
            <w:pPr>
              <w:spacing w:after="0" w:line="240" w:lineRule="auto"/>
              <w:ind w:left="0"/>
              <w:jc w:val="left"/>
              <w:rPr>
                <w:rFonts w:asciiTheme="minorHAnsi" w:eastAsia="Times New Roman" w:hAnsiTheme="minorHAnsi" w:cstheme="minorHAnsi"/>
                <w:sz w:val="16"/>
                <w:szCs w:val="16"/>
                <w:lang w:val="fr-CH" w:eastAsia="en-MY"/>
              </w:rPr>
            </w:pPr>
          </w:p>
        </w:tc>
        <w:tc>
          <w:tcPr>
            <w:tcW w:w="1200" w:type="dxa"/>
            <w:vMerge/>
            <w:tcBorders>
              <w:left w:val="nil"/>
              <w:right w:val="single" w:sz="8" w:space="0" w:color="auto"/>
            </w:tcBorders>
            <w:shd w:val="clear" w:color="auto" w:fill="auto"/>
            <w:noWrap/>
            <w:vAlign w:val="center"/>
            <w:hideMark/>
          </w:tcPr>
          <w:p w14:paraId="404D1FD0" w14:textId="77777777" w:rsidR="00FA7FEC" w:rsidRPr="00865F6D" w:rsidRDefault="00FA7FEC" w:rsidP="00332B2B">
            <w:pPr>
              <w:spacing w:after="0" w:line="240" w:lineRule="auto"/>
              <w:ind w:left="0"/>
              <w:jc w:val="left"/>
              <w:rPr>
                <w:rFonts w:asciiTheme="minorHAnsi" w:eastAsia="Times New Roman" w:hAnsiTheme="minorHAnsi" w:cstheme="minorHAnsi"/>
                <w:sz w:val="16"/>
                <w:szCs w:val="16"/>
                <w:lang w:val="fr-CH" w:eastAsia="en-MY"/>
              </w:rPr>
            </w:pPr>
          </w:p>
        </w:tc>
        <w:tc>
          <w:tcPr>
            <w:tcW w:w="1524" w:type="dxa"/>
            <w:vMerge/>
            <w:tcBorders>
              <w:left w:val="nil"/>
              <w:right w:val="single" w:sz="8" w:space="0" w:color="auto"/>
            </w:tcBorders>
            <w:shd w:val="clear" w:color="auto" w:fill="auto"/>
            <w:noWrap/>
            <w:vAlign w:val="center"/>
            <w:hideMark/>
          </w:tcPr>
          <w:p w14:paraId="69CA4FF8" w14:textId="77777777" w:rsidR="00FA7FEC" w:rsidRPr="00865F6D" w:rsidRDefault="00FA7FEC" w:rsidP="00332B2B">
            <w:pPr>
              <w:spacing w:after="0" w:line="240" w:lineRule="auto"/>
              <w:ind w:left="0"/>
              <w:jc w:val="left"/>
              <w:rPr>
                <w:rFonts w:asciiTheme="minorHAnsi" w:eastAsia="Times New Roman" w:hAnsiTheme="minorHAnsi" w:cstheme="minorHAnsi"/>
                <w:sz w:val="16"/>
                <w:szCs w:val="16"/>
                <w:lang w:val="fr-CH" w:eastAsia="en-MY"/>
              </w:rPr>
            </w:pPr>
          </w:p>
        </w:tc>
        <w:tc>
          <w:tcPr>
            <w:tcW w:w="1924" w:type="dxa"/>
            <w:vMerge/>
            <w:tcBorders>
              <w:left w:val="nil"/>
              <w:bottom w:val="single" w:sz="8" w:space="0" w:color="auto"/>
              <w:right w:val="single" w:sz="8" w:space="0" w:color="auto"/>
            </w:tcBorders>
            <w:shd w:val="clear" w:color="auto" w:fill="auto"/>
            <w:noWrap/>
            <w:vAlign w:val="center"/>
            <w:hideMark/>
          </w:tcPr>
          <w:p w14:paraId="116ABC08" w14:textId="77777777"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763" w:type="dxa"/>
            <w:vMerge/>
            <w:tcBorders>
              <w:left w:val="nil"/>
              <w:bottom w:val="single" w:sz="8" w:space="0" w:color="auto"/>
              <w:right w:val="single" w:sz="8" w:space="0" w:color="auto"/>
            </w:tcBorders>
            <w:shd w:val="clear" w:color="auto" w:fill="auto"/>
            <w:noWrap/>
            <w:vAlign w:val="center"/>
            <w:hideMark/>
          </w:tcPr>
          <w:p w14:paraId="46BC37B4" w14:textId="77777777"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653" w:type="dxa"/>
            <w:gridSpan w:val="2"/>
            <w:tcBorders>
              <w:top w:val="nil"/>
              <w:left w:val="nil"/>
              <w:bottom w:val="single" w:sz="8" w:space="0" w:color="auto"/>
              <w:right w:val="single" w:sz="8" w:space="0" w:color="auto"/>
            </w:tcBorders>
            <w:shd w:val="clear" w:color="auto" w:fill="auto"/>
            <w:noWrap/>
            <w:vAlign w:val="center"/>
            <w:hideMark/>
          </w:tcPr>
          <w:p w14:paraId="3DB1C217" w14:textId="77777777"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r w:rsidRPr="00865F6D">
              <w:rPr>
                <w:rFonts w:asciiTheme="minorHAnsi" w:eastAsia="Times New Roman" w:hAnsiTheme="minorHAnsi" w:cstheme="minorHAnsi"/>
                <w:sz w:val="16"/>
                <w:szCs w:val="16"/>
                <w:lang w:val="fr-CH" w:eastAsia="en-MY"/>
              </w:rPr>
              <w:t> </w:t>
            </w:r>
          </w:p>
        </w:tc>
      </w:tr>
      <w:tr w:rsidR="00FA7FEC" w:rsidRPr="00865F6D" w14:paraId="5B1A6A35" w14:textId="77777777" w:rsidTr="00865F6D">
        <w:trPr>
          <w:trHeight w:val="810"/>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14:paraId="73B1B623" w14:textId="77777777" w:rsidR="00FA7FEC" w:rsidRPr="00865F6D" w:rsidRDefault="00FA7FEC" w:rsidP="00FA7FEC">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Cessation de service </w:t>
            </w:r>
          </w:p>
          <w:p w14:paraId="482705E9" w14:textId="0275E9F3"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443" w:type="dxa"/>
            <w:vMerge/>
            <w:tcBorders>
              <w:left w:val="nil"/>
              <w:bottom w:val="single" w:sz="8" w:space="0" w:color="auto"/>
              <w:right w:val="single" w:sz="8" w:space="0" w:color="auto"/>
            </w:tcBorders>
            <w:shd w:val="clear" w:color="auto" w:fill="auto"/>
            <w:noWrap/>
            <w:vAlign w:val="center"/>
            <w:hideMark/>
          </w:tcPr>
          <w:p w14:paraId="1C1A99E8" w14:textId="77777777"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200" w:type="dxa"/>
            <w:vMerge/>
            <w:tcBorders>
              <w:left w:val="nil"/>
              <w:bottom w:val="single" w:sz="8" w:space="0" w:color="auto"/>
              <w:right w:val="single" w:sz="8" w:space="0" w:color="auto"/>
            </w:tcBorders>
            <w:shd w:val="clear" w:color="auto" w:fill="auto"/>
            <w:noWrap/>
            <w:vAlign w:val="center"/>
            <w:hideMark/>
          </w:tcPr>
          <w:p w14:paraId="438F2017" w14:textId="77777777"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524" w:type="dxa"/>
            <w:vMerge/>
            <w:tcBorders>
              <w:left w:val="nil"/>
              <w:right w:val="single" w:sz="8" w:space="0" w:color="auto"/>
            </w:tcBorders>
            <w:shd w:val="clear" w:color="auto" w:fill="auto"/>
            <w:noWrap/>
            <w:vAlign w:val="center"/>
            <w:hideMark/>
          </w:tcPr>
          <w:p w14:paraId="64CEDEC8" w14:textId="77777777" w:rsidR="00FA7FEC" w:rsidRPr="00865F6D" w:rsidRDefault="00FA7FEC" w:rsidP="00332B2B">
            <w:pPr>
              <w:spacing w:after="0" w:line="240" w:lineRule="auto"/>
              <w:ind w:left="0"/>
              <w:jc w:val="left"/>
              <w:rPr>
                <w:rFonts w:asciiTheme="minorHAnsi" w:eastAsia="Times New Roman" w:hAnsiTheme="minorHAnsi" w:cstheme="minorHAnsi"/>
                <w:sz w:val="16"/>
                <w:szCs w:val="16"/>
                <w:lang w:val="fr-CH" w:eastAsia="en-MY"/>
              </w:rPr>
            </w:pPr>
          </w:p>
        </w:tc>
        <w:tc>
          <w:tcPr>
            <w:tcW w:w="1924" w:type="dxa"/>
            <w:tcBorders>
              <w:top w:val="nil"/>
              <w:left w:val="nil"/>
              <w:bottom w:val="single" w:sz="8" w:space="0" w:color="auto"/>
              <w:right w:val="single" w:sz="8" w:space="0" w:color="auto"/>
            </w:tcBorders>
            <w:shd w:val="clear" w:color="auto" w:fill="auto"/>
            <w:noWrap/>
            <w:vAlign w:val="center"/>
            <w:hideMark/>
          </w:tcPr>
          <w:p w14:paraId="5C3C89BE" w14:textId="77777777" w:rsidR="001043B1" w:rsidRPr="00865F6D" w:rsidRDefault="001043B1" w:rsidP="001043B1">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80 % de la rémunération finale </w:t>
            </w:r>
          </w:p>
          <w:p w14:paraId="6F4582FC" w14:textId="3A34C7AB"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763" w:type="dxa"/>
            <w:tcBorders>
              <w:top w:val="nil"/>
              <w:left w:val="nil"/>
              <w:bottom w:val="single" w:sz="8" w:space="0" w:color="auto"/>
              <w:right w:val="single" w:sz="8" w:space="0" w:color="auto"/>
            </w:tcBorders>
            <w:shd w:val="clear" w:color="auto" w:fill="auto"/>
            <w:vAlign w:val="center"/>
            <w:hideMark/>
          </w:tcPr>
          <w:p w14:paraId="1857B6D3" w14:textId="77777777" w:rsidR="001043B1" w:rsidRPr="00865F6D" w:rsidRDefault="001043B1" w:rsidP="001043B1">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Récupération complète de la rémunération finale </w:t>
            </w:r>
          </w:p>
          <w:p w14:paraId="58BEDFB4" w14:textId="225363F9"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653" w:type="dxa"/>
            <w:gridSpan w:val="2"/>
            <w:tcBorders>
              <w:top w:val="nil"/>
              <w:left w:val="nil"/>
              <w:bottom w:val="single" w:sz="8" w:space="0" w:color="auto"/>
              <w:right w:val="single" w:sz="8" w:space="0" w:color="auto"/>
            </w:tcBorders>
            <w:shd w:val="clear" w:color="auto" w:fill="auto"/>
            <w:noWrap/>
            <w:vAlign w:val="center"/>
            <w:hideMark/>
          </w:tcPr>
          <w:p w14:paraId="2D98D46F" w14:textId="77777777"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r w:rsidRPr="00865F6D">
              <w:rPr>
                <w:rFonts w:asciiTheme="minorHAnsi" w:eastAsia="Times New Roman" w:hAnsiTheme="minorHAnsi" w:cstheme="minorHAnsi"/>
                <w:sz w:val="16"/>
                <w:szCs w:val="16"/>
                <w:lang w:val="fr-CH" w:eastAsia="en-MY"/>
              </w:rPr>
              <w:t> </w:t>
            </w:r>
          </w:p>
        </w:tc>
      </w:tr>
      <w:tr w:rsidR="00FA7FEC" w:rsidRPr="00865F6D" w14:paraId="56E4D1E3" w14:textId="77777777" w:rsidTr="00865F6D">
        <w:trPr>
          <w:trHeight w:val="437"/>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14:paraId="693762C4" w14:textId="77777777" w:rsidR="00FA7FEC" w:rsidRPr="00865F6D" w:rsidRDefault="00FA7FEC" w:rsidP="00FA7FEC">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Frais médicaux </w:t>
            </w:r>
          </w:p>
          <w:p w14:paraId="1F6962D3" w14:textId="247E4C92"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443" w:type="dxa"/>
            <w:vMerge w:val="restart"/>
            <w:tcBorders>
              <w:top w:val="nil"/>
              <w:left w:val="nil"/>
              <w:right w:val="single" w:sz="8" w:space="0" w:color="auto"/>
            </w:tcBorders>
            <w:shd w:val="clear" w:color="auto" w:fill="auto"/>
            <w:noWrap/>
            <w:vAlign w:val="center"/>
            <w:hideMark/>
          </w:tcPr>
          <w:p w14:paraId="2900FDE3" w14:textId="275DDC9C"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r w:rsidRPr="00865F6D">
              <w:rPr>
                <w:rFonts w:asciiTheme="minorHAnsi" w:eastAsia="Times New Roman" w:hAnsiTheme="minorHAnsi" w:cstheme="minorHAnsi"/>
                <w:sz w:val="16"/>
                <w:szCs w:val="16"/>
                <w:lang w:val="fr-CH" w:eastAsia="en-MY"/>
              </w:rPr>
              <w:t>Membr</w:t>
            </w:r>
            <w:r w:rsidR="001043B1" w:rsidRPr="00865F6D">
              <w:rPr>
                <w:rFonts w:asciiTheme="minorHAnsi" w:eastAsia="Times New Roman" w:hAnsiTheme="minorHAnsi" w:cstheme="minorHAnsi"/>
                <w:sz w:val="16"/>
                <w:szCs w:val="16"/>
                <w:lang w:val="fr-CH" w:eastAsia="en-MY"/>
              </w:rPr>
              <w:t>e du personnel</w:t>
            </w:r>
          </w:p>
          <w:p w14:paraId="2618C103" w14:textId="77777777" w:rsidR="00FA7FEC" w:rsidRPr="00865F6D" w:rsidRDefault="00FA7FEC" w:rsidP="00332B2B">
            <w:pPr>
              <w:spacing w:after="0" w:line="240" w:lineRule="auto"/>
              <w:ind w:left="0"/>
              <w:jc w:val="left"/>
              <w:rPr>
                <w:rFonts w:asciiTheme="minorHAnsi" w:eastAsia="Times New Roman" w:hAnsiTheme="minorHAnsi" w:cstheme="minorHAnsi"/>
                <w:sz w:val="16"/>
                <w:szCs w:val="16"/>
                <w:lang w:val="fr-CH" w:eastAsia="en-MY"/>
              </w:rPr>
            </w:pPr>
          </w:p>
        </w:tc>
        <w:tc>
          <w:tcPr>
            <w:tcW w:w="1200" w:type="dxa"/>
            <w:tcBorders>
              <w:top w:val="nil"/>
              <w:left w:val="nil"/>
              <w:bottom w:val="single" w:sz="8" w:space="0" w:color="auto"/>
              <w:right w:val="single" w:sz="8" w:space="0" w:color="auto"/>
            </w:tcBorders>
            <w:shd w:val="clear" w:color="auto" w:fill="auto"/>
            <w:vAlign w:val="center"/>
            <w:hideMark/>
          </w:tcPr>
          <w:p w14:paraId="26CAAD7F" w14:textId="77777777" w:rsidR="001043B1" w:rsidRPr="00865F6D" w:rsidRDefault="001043B1" w:rsidP="001043B1">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Chef de bureau ou personne désignée </w:t>
            </w:r>
          </w:p>
          <w:p w14:paraId="1EB157E0" w14:textId="74A0B4C8"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524" w:type="dxa"/>
            <w:vMerge/>
            <w:tcBorders>
              <w:left w:val="nil"/>
              <w:bottom w:val="single" w:sz="8" w:space="0" w:color="auto"/>
              <w:right w:val="single" w:sz="8" w:space="0" w:color="auto"/>
            </w:tcBorders>
            <w:shd w:val="clear" w:color="auto" w:fill="auto"/>
            <w:noWrap/>
            <w:vAlign w:val="center"/>
            <w:hideMark/>
          </w:tcPr>
          <w:p w14:paraId="1484E04E" w14:textId="77777777"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924" w:type="dxa"/>
            <w:tcBorders>
              <w:top w:val="nil"/>
              <w:left w:val="nil"/>
              <w:bottom w:val="single" w:sz="8" w:space="0" w:color="auto"/>
              <w:right w:val="single" w:sz="8" w:space="0" w:color="auto"/>
            </w:tcBorders>
            <w:shd w:val="clear" w:color="auto" w:fill="auto"/>
            <w:vAlign w:val="center"/>
            <w:hideMark/>
          </w:tcPr>
          <w:p w14:paraId="4CDDE0B5" w14:textId="77777777" w:rsidR="001043B1" w:rsidRPr="00865F6D" w:rsidRDefault="001043B1" w:rsidP="001043B1">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Le plus bas de : (i) 2 mois de salaire net (ii) assurance remboursable (iii) facture d'hôpital </w:t>
            </w:r>
          </w:p>
          <w:p w14:paraId="489DBF17" w14:textId="52DC859B"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763" w:type="dxa"/>
            <w:tcBorders>
              <w:top w:val="nil"/>
              <w:left w:val="nil"/>
              <w:bottom w:val="single" w:sz="8" w:space="0" w:color="auto"/>
              <w:right w:val="single" w:sz="8" w:space="0" w:color="auto"/>
            </w:tcBorders>
            <w:shd w:val="clear" w:color="auto" w:fill="auto"/>
            <w:vAlign w:val="center"/>
            <w:hideMark/>
          </w:tcPr>
          <w:p w14:paraId="4505E134" w14:textId="77777777" w:rsidR="001043B1" w:rsidRPr="00865F6D" w:rsidRDefault="001043B1" w:rsidP="001043B1">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Plus de 4 mois ou à la fin du contrat, selon la première éventualité. </w:t>
            </w:r>
          </w:p>
          <w:p w14:paraId="66B8BC61" w14:textId="0932D0E2"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653" w:type="dxa"/>
            <w:gridSpan w:val="2"/>
            <w:tcBorders>
              <w:top w:val="nil"/>
              <w:left w:val="nil"/>
              <w:bottom w:val="single" w:sz="8" w:space="0" w:color="auto"/>
              <w:right w:val="single" w:sz="8" w:space="0" w:color="auto"/>
            </w:tcBorders>
            <w:shd w:val="clear" w:color="auto" w:fill="auto"/>
            <w:noWrap/>
            <w:vAlign w:val="center"/>
            <w:hideMark/>
          </w:tcPr>
          <w:p w14:paraId="6C4E7B2D" w14:textId="77777777" w:rsidR="009C7B2E"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r w:rsidRPr="00865F6D">
              <w:rPr>
                <w:rFonts w:asciiTheme="minorHAnsi" w:eastAsia="Times New Roman" w:hAnsiTheme="minorHAnsi" w:cstheme="minorHAnsi"/>
                <w:sz w:val="16"/>
                <w:szCs w:val="16"/>
                <w:lang w:val="fr-CH" w:eastAsia="en-MY"/>
              </w:rPr>
              <w:t> </w:t>
            </w:r>
          </w:p>
          <w:p w14:paraId="6FC91BE0" w14:textId="77777777" w:rsidR="009C7B2E" w:rsidRPr="00865F6D" w:rsidRDefault="009C7B2E" w:rsidP="009C7B2E">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Doit être couvert par un plan d'assurance médicale de l'ONU ou du PNUD. </w:t>
            </w:r>
          </w:p>
          <w:p w14:paraId="581FCC13" w14:textId="19D86F93"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r>
      <w:tr w:rsidR="00FA7FEC" w:rsidRPr="00865F6D" w14:paraId="03AFAD4D" w14:textId="77777777" w:rsidTr="00865F6D">
        <w:trPr>
          <w:trHeight w:val="1175"/>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14:paraId="49520A96" w14:textId="77777777" w:rsidR="00FA7FEC" w:rsidRPr="00865F6D" w:rsidRDefault="00FA7FEC" w:rsidP="00FA7FEC">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Location </w:t>
            </w:r>
          </w:p>
          <w:p w14:paraId="2354DB44" w14:textId="68DAA79B"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443" w:type="dxa"/>
            <w:vMerge/>
            <w:tcBorders>
              <w:left w:val="nil"/>
              <w:right w:val="single" w:sz="8" w:space="0" w:color="auto"/>
            </w:tcBorders>
            <w:shd w:val="clear" w:color="auto" w:fill="auto"/>
            <w:noWrap/>
            <w:vAlign w:val="center"/>
            <w:hideMark/>
          </w:tcPr>
          <w:p w14:paraId="096C8577" w14:textId="77777777" w:rsidR="00FA7FEC" w:rsidRPr="00865F6D" w:rsidRDefault="00FA7FEC" w:rsidP="00332B2B">
            <w:pPr>
              <w:spacing w:after="0" w:line="240" w:lineRule="auto"/>
              <w:ind w:left="0"/>
              <w:jc w:val="left"/>
              <w:rPr>
                <w:rFonts w:asciiTheme="minorHAnsi" w:eastAsia="Times New Roman" w:hAnsiTheme="minorHAnsi" w:cstheme="minorHAnsi"/>
                <w:sz w:val="16"/>
                <w:szCs w:val="16"/>
                <w:lang w:val="fr-CH" w:eastAsia="en-MY"/>
              </w:rPr>
            </w:pP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2348DDD4" w14:textId="7EEEFCF0" w:rsidR="00FA7FEC" w:rsidRPr="00865F6D" w:rsidRDefault="001043B1" w:rsidP="00332B2B">
            <w:pPr>
              <w:spacing w:after="0" w:line="240" w:lineRule="auto"/>
              <w:ind w:left="0" w:firstLine="0"/>
              <w:jc w:val="left"/>
              <w:rPr>
                <w:rFonts w:asciiTheme="minorHAnsi" w:eastAsia="Times New Roman" w:hAnsiTheme="minorHAnsi" w:cstheme="minorHAnsi"/>
                <w:sz w:val="16"/>
                <w:szCs w:val="16"/>
                <w:lang w:val="fr-CH" w:eastAsia="en-MY"/>
              </w:rPr>
            </w:pPr>
            <w:r w:rsidRPr="00865F6D">
              <w:rPr>
                <w:rFonts w:asciiTheme="minorHAnsi" w:eastAsia="Times New Roman" w:hAnsiTheme="minorHAnsi" w:cstheme="minorHAnsi"/>
                <w:sz w:val="16"/>
                <w:szCs w:val="16"/>
                <w:lang w:val="fr-CH" w:eastAsia="en-MY"/>
              </w:rPr>
              <w:t>Gestionnaire, Services de paie globale (GPS) et Gestionnaire, Services des avantages sociaux et des droits (BES)</w:t>
            </w:r>
            <w:r w:rsidR="00FA7FEC" w:rsidRPr="00865F6D">
              <w:rPr>
                <w:rFonts w:asciiTheme="minorHAnsi" w:eastAsia="Times New Roman" w:hAnsiTheme="minorHAnsi" w:cstheme="minorHAnsi"/>
                <w:sz w:val="16"/>
                <w:szCs w:val="16"/>
                <w:lang w:val="fr-CH" w:eastAsia="en-MY"/>
              </w:rPr>
              <w:t xml:space="preserve">) </w:t>
            </w:r>
          </w:p>
        </w:tc>
        <w:tc>
          <w:tcPr>
            <w:tcW w:w="1524" w:type="dxa"/>
            <w:tcBorders>
              <w:top w:val="nil"/>
              <w:left w:val="nil"/>
              <w:bottom w:val="single" w:sz="8" w:space="0" w:color="auto"/>
              <w:right w:val="single" w:sz="8" w:space="0" w:color="auto"/>
            </w:tcBorders>
            <w:shd w:val="clear" w:color="auto" w:fill="auto"/>
            <w:vAlign w:val="center"/>
            <w:hideMark/>
          </w:tcPr>
          <w:p w14:paraId="502F0FF8" w14:textId="77777777" w:rsidR="001043B1" w:rsidRPr="00865F6D" w:rsidRDefault="001043B1" w:rsidP="001043B1">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Personnel IP en dehors des lieux de travail du groupe 1 </w:t>
            </w:r>
          </w:p>
          <w:p w14:paraId="3D72DF50" w14:textId="712FAEE2"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924" w:type="dxa"/>
            <w:tcBorders>
              <w:top w:val="nil"/>
              <w:left w:val="nil"/>
              <w:bottom w:val="single" w:sz="8" w:space="0" w:color="auto"/>
              <w:right w:val="single" w:sz="8" w:space="0" w:color="auto"/>
            </w:tcBorders>
            <w:shd w:val="clear" w:color="auto" w:fill="auto"/>
            <w:vAlign w:val="center"/>
            <w:hideMark/>
          </w:tcPr>
          <w:p w14:paraId="19533DF8" w14:textId="77777777" w:rsidR="001043B1" w:rsidRPr="00865F6D" w:rsidRDefault="001043B1" w:rsidP="001043B1">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Par bail signé </w:t>
            </w:r>
          </w:p>
          <w:p w14:paraId="7AEDDCF8" w14:textId="4DB71674"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763" w:type="dxa"/>
            <w:tcBorders>
              <w:top w:val="nil"/>
              <w:left w:val="nil"/>
              <w:bottom w:val="single" w:sz="8" w:space="0" w:color="auto"/>
              <w:right w:val="single" w:sz="8" w:space="0" w:color="auto"/>
            </w:tcBorders>
            <w:shd w:val="clear" w:color="auto" w:fill="auto"/>
            <w:vAlign w:val="center"/>
            <w:hideMark/>
          </w:tcPr>
          <w:p w14:paraId="0D7413A0" w14:textId="77777777" w:rsidR="001043B1" w:rsidRPr="00865F6D" w:rsidRDefault="001043B1" w:rsidP="001043B1">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Durée du bail ou fin du contrat, selon la première éventualité </w:t>
            </w:r>
          </w:p>
          <w:p w14:paraId="12431F4A" w14:textId="2C7C9DF9"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653" w:type="dxa"/>
            <w:gridSpan w:val="2"/>
            <w:tcBorders>
              <w:top w:val="nil"/>
              <w:left w:val="nil"/>
              <w:bottom w:val="single" w:sz="8" w:space="0" w:color="auto"/>
              <w:right w:val="single" w:sz="8" w:space="0" w:color="auto"/>
            </w:tcBorders>
            <w:shd w:val="clear" w:color="auto" w:fill="auto"/>
            <w:vAlign w:val="center"/>
            <w:hideMark/>
          </w:tcPr>
          <w:p w14:paraId="45525751" w14:textId="77777777" w:rsidR="009C7B2E" w:rsidRPr="00865F6D" w:rsidRDefault="009C7B2E" w:rsidP="009C7B2E">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Conformément à la pratique du marché locatif local </w:t>
            </w:r>
          </w:p>
          <w:p w14:paraId="341423D7" w14:textId="00ADBC1E"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r>
      <w:tr w:rsidR="00FA7FEC" w:rsidRPr="00865F6D" w14:paraId="23F7B9A1" w14:textId="77777777" w:rsidTr="00865F6D">
        <w:trPr>
          <w:trHeight w:val="750"/>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14:paraId="0E224E95" w14:textId="77777777" w:rsidR="00FA7FEC" w:rsidRPr="00865F6D" w:rsidRDefault="00FA7FEC" w:rsidP="00FA7FEC">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Véhicule </w:t>
            </w:r>
          </w:p>
          <w:p w14:paraId="05980D50" w14:textId="13CEDECC"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443" w:type="dxa"/>
            <w:vMerge/>
            <w:tcBorders>
              <w:left w:val="nil"/>
              <w:bottom w:val="single" w:sz="4" w:space="0" w:color="auto"/>
              <w:right w:val="single" w:sz="8" w:space="0" w:color="auto"/>
            </w:tcBorders>
            <w:shd w:val="clear" w:color="auto" w:fill="auto"/>
            <w:noWrap/>
            <w:vAlign w:val="center"/>
            <w:hideMark/>
          </w:tcPr>
          <w:p w14:paraId="35435B3A" w14:textId="77777777" w:rsidR="00FA7FEC" w:rsidRPr="00865F6D" w:rsidRDefault="00FA7FEC" w:rsidP="00332B2B">
            <w:pPr>
              <w:spacing w:after="0" w:line="240" w:lineRule="auto"/>
              <w:ind w:left="0"/>
              <w:jc w:val="left"/>
              <w:rPr>
                <w:rFonts w:asciiTheme="minorHAnsi" w:eastAsia="Times New Roman" w:hAnsiTheme="minorHAnsi" w:cstheme="minorHAnsi"/>
                <w:sz w:val="16"/>
                <w:szCs w:val="16"/>
                <w:lang w:val="fr-CH" w:eastAsia="en-MY"/>
              </w:rPr>
            </w:pPr>
          </w:p>
        </w:tc>
        <w:tc>
          <w:tcPr>
            <w:tcW w:w="1200" w:type="dxa"/>
            <w:vMerge/>
            <w:tcBorders>
              <w:top w:val="nil"/>
              <w:left w:val="single" w:sz="8" w:space="0" w:color="auto"/>
              <w:bottom w:val="single" w:sz="8" w:space="0" w:color="000000"/>
              <w:right w:val="single" w:sz="8" w:space="0" w:color="auto"/>
            </w:tcBorders>
            <w:vAlign w:val="center"/>
            <w:hideMark/>
          </w:tcPr>
          <w:p w14:paraId="740F9D81" w14:textId="77777777"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524" w:type="dxa"/>
            <w:tcBorders>
              <w:top w:val="nil"/>
              <w:left w:val="nil"/>
              <w:bottom w:val="single" w:sz="8" w:space="0" w:color="auto"/>
              <w:right w:val="single" w:sz="8" w:space="0" w:color="auto"/>
            </w:tcBorders>
            <w:shd w:val="clear" w:color="auto" w:fill="auto"/>
            <w:vAlign w:val="center"/>
            <w:hideMark/>
          </w:tcPr>
          <w:p w14:paraId="01617FCD" w14:textId="77777777" w:rsidR="001043B1" w:rsidRPr="00865F6D" w:rsidRDefault="001043B1" w:rsidP="001043B1">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Personnel IP (P1-P4), à l'exception des AT, en dehors des lieux de travail du groupe 1 </w:t>
            </w:r>
          </w:p>
          <w:p w14:paraId="161A4B1D" w14:textId="2F9EF745"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924" w:type="dxa"/>
            <w:tcBorders>
              <w:top w:val="nil"/>
              <w:left w:val="nil"/>
              <w:bottom w:val="single" w:sz="8" w:space="0" w:color="auto"/>
              <w:right w:val="single" w:sz="8" w:space="0" w:color="auto"/>
            </w:tcBorders>
            <w:shd w:val="clear" w:color="auto" w:fill="auto"/>
            <w:noWrap/>
            <w:vAlign w:val="center"/>
            <w:hideMark/>
          </w:tcPr>
          <w:p w14:paraId="09C044B8" w14:textId="77777777"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r w:rsidRPr="00865F6D">
              <w:rPr>
                <w:rFonts w:asciiTheme="minorHAnsi" w:eastAsia="Times New Roman" w:hAnsiTheme="minorHAnsi" w:cstheme="minorHAnsi"/>
                <w:sz w:val="16"/>
                <w:szCs w:val="16"/>
                <w:lang w:val="fr-CH" w:eastAsia="en-MY"/>
              </w:rPr>
              <w:t>$7,500</w:t>
            </w:r>
          </w:p>
        </w:tc>
        <w:tc>
          <w:tcPr>
            <w:tcW w:w="1763" w:type="dxa"/>
            <w:tcBorders>
              <w:top w:val="nil"/>
              <w:left w:val="nil"/>
              <w:bottom w:val="single" w:sz="8" w:space="0" w:color="auto"/>
              <w:right w:val="single" w:sz="8" w:space="0" w:color="auto"/>
            </w:tcBorders>
            <w:shd w:val="clear" w:color="auto" w:fill="auto"/>
            <w:vAlign w:val="center"/>
            <w:hideMark/>
          </w:tcPr>
          <w:p w14:paraId="0DE8423E" w14:textId="77777777" w:rsidR="001043B1" w:rsidRPr="00865F6D" w:rsidRDefault="001043B1" w:rsidP="001043B1">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12 mois ou fin du contrat, selon la première éventualité </w:t>
            </w:r>
          </w:p>
          <w:p w14:paraId="30190EA0" w14:textId="31E010DB"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r w:rsidRPr="00865F6D">
              <w:rPr>
                <w:rFonts w:asciiTheme="minorHAnsi" w:eastAsia="Times New Roman" w:hAnsiTheme="minorHAnsi" w:cstheme="minorHAnsi"/>
                <w:sz w:val="16"/>
                <w:szCs w:val="16"/>
                <w:lang w:val="fr-CH" w:eastAsia="en-MY"/>
              </w:rPr>
              <w:t xml:space="preserve"> </w:t>
            </w:r>
          </w:p>
        </w:tc>
        <w:tc>
          <w:tcPr>
            <w:tcW w:w="1653" w:type="dxa"/>
            <w:gridSpan w:val="2"/>
            <w:tcBorders>
              <w:top w:val="nil"/>
              <w:left w:val="nil"/>
              <w:bottom w:val="single" w:sz="8" w:space="0" w:color="auto"/>
              <w:right w:val="single" w:sz="8" w:space="0" w:color="auto"/>
            </w:tcBorders>
            <w:shd w:val="clear" w:color="auto" w:fill="auto"/>
            <w:vAlign w:val="center"/>
            <w:hideMark/>
          </w:tcPr>
          <w:p w14:paraId="166242E7" w14:textId="77777777" w:rsidR="009C7B2E" w:rsidRPr="00865F6D" w:rsidRDefault="009C7B2E" w:rsidP="009C7B2E">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Une fois seulement dans les 6 mois suivant la nomination initiale ou la réaffectation </w:t>
            </w:r>
          </w:p>
          <w:p w14:paraId="4C52EA6A" w14:textId="276CC58D"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r>
      <w:tr w:rsidR="00FA7FEC" w:rsidRPr="00865F6D" w14:paraId="0667459E" w14:textId="77777777" w:rsidTr="00865F6D">
        <w:trPr>
          <w:trHeight w:val="662"/>
        </w:trPr>
        <w:tc>
          <w:tcPr>
            <w:tcW w:w="1310" w:type="dxa"/>
            <w:tcBorders>
              <w:top w:val="nil"/>
              <w:left w:val="single" w:sz="8" w:space="0" w:color="auto"/>
              <w:bottom w:val="single" w:sz="8" w:space="0" w:color="auto"/>
              <w:right w:val="single" w:sz="8" w:space="0" w:color="auto"/>
            </w:tcBorders>
            <w:shd w:val="clear" w:color="auto" w:fill="auto"/>
            <w:noWrap/>
            <w:vAlign w:val="center"/>
          </w:tcPr>
          <w:p w14:paraId="71991626" w14:textId="2CDFBC96" w:rsidR="00FA7FEC" w:rsidRPr="00865F6D" w:rsidRDefault="001043B1" w:rsidP="00332B2B">
            <w:pPr>
              <w:spacing w:after="0" w:line="240" w:lineRule="auto"/>
              <w:ind w:left="0" w:firstLine="0"/>
              <w:jc w:val="left"/>
              <w:rPr>
                <w:rFonts w:asciiTheme="minorHAnsi" w:eastAsia="Times New Roman" w:hAnsiTheme="minorHAnsi" w:cstheme="minorHAnsi"/>
                <w:sz w:val="16"/>
                <w:szCs w:val="16"/>
                <w:lang w:val="fr-CH" w:eastAsia="en-MY"/>
              </w:rPr>
            </w:pPr>
            <w:r w:rsidRPr="00865F6D">
              <w:rPr>
                <w:rFonts w:asciiTheme="minorHAnsi" w:eastAsia="Times New Roman" w:hAnsiTheme="minorHAnsi" w:cstheme="minorHAnsi"/>
                <w:sz w:val="16"/>
                <w:szCs w:val="16"/>
                <w:lang w:val="fr-CH" w:eastAsia="en-MY"/>
              </w:rPr>
              <w:t>Urgence – Urgences de masse</w:t>
            </w:r>
          </w:p>
        </w:tc>
        <w:tc>
          <w:tcPr>
            <w:tcW w:w="1443" w:type="dxa"/>
            <w:tcBorders>
              <w:top w:val="single" w:sz="4" w:space="0" w:color="auto"/>
              <w:left w:val="nil"/>
              <w:bottom w:val="single" w:sz="8" w:space="0" w:color="auto"/>
              <w:right w:val="single" w:sz="8" w:space="0" w:color="auto"/>
            </w:tcBorders>
            <w:shd w:val="clear" w:color="auto" w:fill="auto"/>
            <w:noWrap/>
            <w:vAlign w:val="center"/>
          </w:tcPr>
          <w:p w14:paraId="18F3A6A5" w14:textId="7B66B556" w:rsidR="00FA7FEC" w:rsidRPr="00865F6D" w:rsidRDefault="001043B1" w:rsidP="00332B2B">
            <w:pPr>
              <w:spacing w:after="0" w:line="240" w:lineRule="auto"/>
              <w:ind w:left="0" w:firstLine="0"/>
              <w:jc w:val="left"/>
              <w:rPr>
                <w:rFonts w:asciiTheme="minorHAnsi" w:eastAsia="Times New Roman" w:hAnsiTheme="minorHAnsi" w:cstheme="minorHAnsi"/>
                <w:sz w:val="16"/>
                <w:szCs w:val="16"/>
                <w:lang w:val="fr-CH" w:eastAsia="en-MY"/>
              </w:rPr>
            </w:pPr>
            <w:r w:rsidRPr="00865F6D">
              <w:rPr>
                <w:rFonts w:asciiTheme="minorHAnsi" w:eastAsia="Times New Roman" w:hAnsiTheme="minorHAnsi" w:cstheme="minorHAnsi"/>
                <w:sz w:val="16"/>
                <w:szCs w:val="16"/>
                <w:lang w:val="fr-CH" w:eastAsia="en-MY"/>
              </w:rPr>
              <w:t>Point focal HR</w:t>
            </w:r>
          </w:p>
        </w:tc>
        <w:tc>
          <w:tcPr>
            <w:tcW w:w="1200" w:type="dxa"/>
            <w:tcBorders>
              <w:top w:val="nil"/>
              <w:left w:val="single" w:sz="8" w:space="0" w:color="auto"/>
              <w:bottom w:val="single" w:sz="8" w:space="0" w:color="000000"/>
              <w:right w:val="single" w:sz="8" w:space="0" w:color="auto"/>
            </w:tcBorders>
            <w:shd w:val="clear" w:color="auto" w:fill="auto"/>
            <w:vAlign w:val="center"/>
          </w:tcPr>
          <w:p w14:paraId="564CBEB7" w14:textId="1D93043D" w:rsidR="00FA7FEC" w:rsidRPr="00865F6D" w:rsidRDefault="001043B1" w:rsidP="00332B2B">
            <w:pPr>
              <w:spacing w:after="0" w:line="240" w:lineRule="auto"/>
              <w:ind w:left="0" w:firstLine="0"/>
              <w:jc w:val="left"/>
              <w:rPr>
                <w:rFonts w:asciiTheme="minorHAnsi" w:eastAsia="Times New Roman" w:hAnsiTheme="minorHAnsi" w:cstheme="minorHAnsi"/>
                <w:sz w:val="16"/>
                <w:szCs w:val="16"/>
                <w:lang w:val="fr-CH" w:eastAsia="en-MY"/>
              </w:rPr>
            </w:pPr>
            <w:r w:rsidRPr="00865F6D">
              <w:rPr>
                <w:rFonts w:asciiTheme="minorHAnsi" w:eastAsia="Times New Roman" w:hAnsiTheme="minorHAnsi" w:cstheme="minorHAnsi"/>
                <w:sz w:val="16"/>
                <w:szCs w:val="16"/>
                <w:lang w:val="fr-CH" w:eastAsia="en-MY"/>
              </w:rPr>
              <w:t>Administrateur adjoint et directeur, BMS</w:t>
            </w:r>
          </w:p>
        </w:tc>
        <w:tc>
          <w:tcPr>
            <w:tcW w:w="1524" w:type="dxa"/>
            <w:tcBorders>
              <w:top w:val="nil"/>
              <w:left w:val="nil"/>
              <w:bottom w:val="single" w:sz="8" w:space="0" w:color="auto"/>
              <w:right w:val="single" w:sz="8" w:space="0" w:color="auto"/>
            </w:tcBorders>
            <w:shd w:val="clear" w:color="auto" w:fill="auto"/>
            <w:vAlign w:val="center"/>
          </w:tcPr>
          <w:p w14:paraId="70A7B052" w14:textId="77777777" w:rsidR="001043B1" w:rsidRPr="00865F6D" w:rsidRDefault="001043B1" w:rsidP="001043B1">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Tout le personnel du lieu d'affectation spécifique </w:t>
            </w:r>
          </w:p>
          <w:p w14:paraId="593D43DA" w14:textId="4153AC2B"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5340" w:type="dxa"/>
            <w:gridSpan w:val="4"/>
            <w:tcBorders>
              <w:top w:val="single" w:sz="8" w:space="0" w:color="auto"/>
              <w:left w:val="single" w:sz="8" w:space="0" w:color="auto"/>
              <w:bottom w:val="single" w:sz="8" w:space="0" w:color="000000"/>
              <w:right w:val="single" w:sz="8" w:space="0" w:color="000000"/>
            </w:tcBorders>
            <w:shd w:val="clear" w:color="auto" w:fill="auto"/>
            <w:vAlign w:val="center"/>
          </w:tcPr>
          <w:p w14:paraId="70DA8CC6" w14:textId="77777777" w:rsidR="001043B1" w:rsidRPr="00865F6D" w:rsidRDefault="001043B1" w:rsidP="001043B1">
            <w:pPr>
              <w:pStyle w:val="Default"/>
              <w:jc w:val="center"/>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Tel que déterminé au moment de l'approbation </w:t>
            </w:r>
          </w:p>
          <w:p w14:paraId="1E60E614" w14:textId="6E7915A8" w:rsidR="00FA7FEC" w:rsidRPr="00865F6D" w:rsidRDefault="00FA7FEC" w:rsidP="00332B2B">
            <w:pPr>
              <w:spacing w:after="0" w:line="240" w:lineRule="auto"/>
              <w:ind w:left="0" w:firstLine="0"/>
              <w:jc w:val="center"/>
              <w:rPr>
                <w:rFonts w:asciiTheme="minorHAnsi" w:eastAsia="Times New Roman" w:hAnsiTheme="minorHAnsi" w:cstheme="minorHAnsi"/>
                <w:sz w:val="16"/>
                <w:szCs w:val="16"/>
                <w:lang w:val="fr-CH" w:eastAsia="en-MY"/>
              </w:rPr>
            </w:pPr>
          </w:p>
        </w:tc>
      </w:tr>
      <w:tr w:rsidR="00FA7FEC" w:rsidRPr="00865F6D" w14:paraId="2491360F" w14:textId="77777777" w:rsidTr="00865F6D">
        <w:trPr>
          <w:trHeight w:val="662"/>
        </w:trPr>
        <w:tc>
          <w:tcPr>
            <w:tcW w:w="1310" w:type="dxa"/>
            <w:tcBorders>
              <w:top w:val="nil"/>
              <w:left w:val="single" w:sz="8" w:space="0" w:color="auto"/>
              <w:bottom w:val="single" w:sz="8" w:space="0" w:color="auto"/>
              <w:right w:val="single" w:sz="8" w:space="0" w:color="auto"/>
            </w:tcBorders>
            <w:shd w:val="clear" w:color="auto" w:fill="auto"/>
            <w:noWrap/>
            <w:vAlign w:val="center"/>
          </w:tcPr>
          <w:p w14:paraId="42E6624A" w14:textId="3A8E07AE" w:rsidR="00FA7FEC" w:rsidRPr="00865F6D" w:rsidRDefault="001043B1" w:rsidP="00332B2B">
            <w:pPr>
              <w:spacing w:after="0" w:line="240" w:lineRule="auto"/>
              <w:ind w:left="0" w:firstLine="0"/>
              <w:jc w:val="left"/>
              <w:rPr>
                <w:rFonts w:asciiTheme="minorHAnsi" w:eastAsia="Times New Roman" w:hAnsiTheme="minorHAnsi" w:cstheme="minorHAnsi"/>
                <w:sz w:val="16"/>
                <w:szCs w:val="16"/>
                <w:lang w:val="fr-CH" w:eastAsia="en-MY"/>
              </w:rPr>
            </w:pPr>
            <w:r w:rsidRPr="00865F6D">
              <w:rPr>
                <w:rFonts w:asciiTheme="minorHAnsi" w:eastAsia="Times New Roman" w:hAnsiTheme="minorHAnsi" w:cstheme="minorHAnsi"/>
                <w:sz w:val="16"/>
                <w:szCs w:val="16"/>
                <w:lang w:val="fr-CH" w:eastAsia="en-MY"/>
              </w:rPr>
              <w:t>Urgence - Personnel</w:t>
            </w:r>
          </w:p>
        </w:tc>
        <w:tc>
          <w:tcPr>
            <w:tcW w:w="1443" w:type="dxa"/>
            <w:tcBorders>
              <w:top w:val="single" w:sz="4" w:space="0" w:color="auto"/>
              <w:left w:val="nil"/>
              <w:bottom w:val="single" w:sz="8" w:space="0" w:color="auto"/>
              <w:right w:val="single" w:sz="8" w:space="0" w:color="auto"/>
            </w:tcBorders>
            <w:shd w:val="clear" w:color="auto" w:fill="auto"/>
            <w:noWrap/>
            <w:vAlign w:val="center"/>
          </w:tcPr>
          <w:p w14:paraId="1B558AF3" w14:textId="301366DE" w:rsidR="00FA7FEC" w:rsidRPr="00865F6D" w:rsidRDefault="001043B1" w:rsidP="00332B2B">
            <w:pPr>
              <w:spacing w:after="0" w:line="240" w:lineRule="auto"/>
              <w:ind w:left="0" w:firstLine="0"/>
              <w:jc w:val="left"/>
              <w:rPr>
                <w:rFonts w:asciiTheme="minorHAnsi" w:eastAsia="Times New Roman" w:hAnsiTheme="minorHAnsi" w:cstheme="minorHAnsi"/>
                <w:sz w:val="16"/>
                <w:szCs w:val="16"/>
                <w:lang w:val="fr-CH" w:eastAsia="en-MY"/>
              </w:rPr>
            </w:pPr>
            <w:r w:rsidRPr="00865F6D">
              <w:rPr>
                <w:rFonts w:asciiTheme="minorHAnsi" w:eastAsia="Times New Roman" w:hAnsiTheme="minorHAnsi" w:cstheme="minorHAnsi"/>
                <w:sz w:val="16"/>
                <w:szCs w:val="16"/>
                <w:lang w:val="fr-CH" w:eastAsia="en-MY"/>
              </w:rPr>
              <w:t>Membre du personnel/titulaire de l'APS</w:t>
            </w:r>
          </w:p>
        </w:tc>
        <w:tc>
          <w:tcPr>
            <w:tcW w:w="1200" w:type="dxa"/>
            <w:tcBorders>
              <w:top w:val="nil"/>
              <w:left w:val="single" w:sz="8" w:space="0" w:color="auto"/>
              <w:bottom w:val="single" w:sz="8" w:space="0" w:color="000000"/>
              <w:right w:val="single" w:sz="8" w:space="0" w:color="auto"/>
            </w:tcBorders>
            <w:shd w:val="clear" w:color="auto" w:fill="auto"/>
            <w:vAlign w:val="center"/>
          </w:tcPr>
          <w:p w14:paraId="3BC04C7E" w14:textId="7BFC20CA" w:rsidR="00FA7FEC" w:rsidRPr="00865F6D" w:rsidRDefault="001043B1" w:rsidP="00332B2B">
            <w:pPr>
              <w:spacing w:after="0" w:line="240" w:lineRule="auto"/>
              <w:ind w:left="0" w:firstLine="0"/>
              <w:jc w:val="left"/>
              <w:rPr>
                <w:rFonts w:asciiTheme="minorHAnsi" w:eastAsia="Times New Roman" w:hAnsiTheme="minorHAnsi" w:cstheme="minorHAnsi"/>
                <w:sz w:val="16"/>
                <w:szCs w:val="16"/>
                <w:lang w:val="fr-CH" w:eastAsia="en-MY"/>
              </w:rPr>
            </w:pPr>
            <w:r w:rsidRPr="00865F6D">
              <w:rPr>
                <w:rFonts w:asciiTheme="minorHAnsi" w:eastAsia="Times New Roman" w:hAnsiTheme="minorHAnsi" w:cstheme="minorHAnsi"/>
                <w:sz w:val="16"/>
                <w:szCs w:val="16"/>
                <w:lang w:val="fr-CH" w:eastAsia="en-MY"/>
              </w:rPr>
              <w:t>Chef ou Directeur de l'Office ou Administrateur adjoint et Directeur, BMS</w:t>
            </w:r>
          </w:p>
        </w:tc>
        <w:tc>
          <w:tcPr>
            <w:tcW w:w="1524" w:type="dxa"/>
            <w:tcBorders>
              <w:top w:val="nil"/>
              <w:left w:val="nil"/>
              <w:bottom w:val="single" w:sz="8" w:space="0" w:color="auto"/>
              <w:right w:val="single" w:sz="8" w:space="0" w:color="auto"/>
            </w:tcBorders>
            <w:shd w:val="clear" w:color="auto" w:fill="auto"/>
            <w:vAlign w:val="center"/>
          </w:tcPr>
          <w:p w14:paraId="568DB5AD" w14:textId="77777777" w:rsidR="001043B1" w:rsidRPr="00865F6D" w:rsidRDefault="001043B1" w:rsidP="001043B1">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Tout le personnel </w:t>
            </w:r>
          </w:p>
          <w:p w14:paraId="5B434ACC" w14:textId="2F9E1523"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924" w:type="dxa"/>
            <w:tcBorders>
              <w:top w:val="single" w:sz="8" w:space="0" w:color="auto"/>
              <w:left w:val="single" w:sz="8" w:space="0" w:color="auto"/>
              <w:bottom w:val="single" w:sz="8" w:space="0" w:color="000000"/>
              <w:right w:val="single" w:sz="8" w:space="0" w:color="000000"/>
            </w:tcBorders>
            <w:shd w:val="clear" w:color="auto" w:fill="auto"/>
            <w:vAlign w:val="center"/>
          </w:tcPr>
          <w:p w14:paraId="3618C7A3" w14:textId="77777777" w:rsidR="001043B1" w:rsidRPr="00865F6D" w:rsidRDefault="001043B1" w:rsidP="001043B1">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Deux (2) mois de salaire net </w:t>
            </w:r>
          </w:p>
          <w:p w14:paraId="3F9969D2" w14:textId="4CFE78A0"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816"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14:paraId="63292497" w14:textId="77777777" w:rsidR="001043B1" w:rsidRPr="00865F6D" w:rsidRDefault="001043B1" w:rsidP="001043B1">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12 mois ou fin du contrat, selon la première éventualité. </w:t>
            </w:r>
          </w:p>
          <w:p w14:paraId="7B7D84D6" w14:textId="46CF78F9" w:rsidR="00FA7FEC" w:rsidRPr="00865F6D" w:rsidRDefault="00FA7FEC" w:rsidP="00332B2B">
            <w:pPr>
              <w:spacing w:after="0" w:line="240" w:lineRule="auto"/>
              <w:ind w:left="0" w:firstLine="0"/>
              <w:jc w:val="left"/>
              <w:rPr>
                <w:rFonts w:asciiTheme="minorHAnsi" w:eastAsia="Times New Roman" w:hAnsiTheme="minorHAnsi" w:cstheme="minorHAnsi"/>
                <w:sz w:val="16"/>
                <w:szCs w:val="16"/>
                <w:lang w:val="fr-CH" w:eastAsia="en-MY"/>
              </w:rPr>
            </w:pPr>
          </w:p>
        </w:tc>
        <w:tc>
          <w:tcPr>
            <w:tcW w:w="1600" w:type="dxa"/>
            <w:tcBorders>
              <w:top w:val="single" w:sz="8" w:space="0" w:color="auto"/>
              <w:left w:val="single" w:sz="8" w:space="0" w:color="auto"/>
              <w:bottom w:val="single" w:sz="8" w:space="0" w:color="000000"/>
              <w:right w:val="single" w:sz="8" w:space="0" w:color="000000"/>
            </w:tcBorders>
            <w:shd w:val="clear" w:color="auto" w:fill="auto"/>
            <w:vAlign w:val="center"/>
          </w:tcPr>
          <w:p w14:paraId="477C55A6" w14:textId="08A8438E" w:rsidR="001043B1" w:rsidRPr="00865F6D" w:rsidRDefault="00FA7FEC" w:rsidP="001043B1">
            <w:pPr>
              <w:spacing w:after="0" w:line="240" w:lineRule="auto"/>
              <w:ind w:left="0" w:firstLine="0"/>
              <w:jc w:val="left"/>
              <w:rPr>
                <w:rFonts w:asciiTheme="minorHAnsi" w:hAnsiTheme="minorHAnsi" w:cstheme="minorHAnsi"/>
                <w:sz w:val="16"/>
                <w:szCs w:val="16"/>
                <w:lang w:val="fr-CH"/>
              </w:rPr>
            </w:pPr>
            <w:r w:rsidRPr="00865F6D">
              <w:rPr>
                <w:rFonts w:asciiTheme="minorHAnsi" w:eastAsia="Times New Roman" w:hAnsiTheme="minorHAnsi" w:cstheme="minorHAnsi"/>
                <w:sz w:val="16"/>
                <w:szCs w:val="16"/>
                <w:lang w:val="fr-CH" w:eastAsia="en-MY"/>
              </w:rPr>
              <w:t>(</w:t>
            </w:r>
            <w:r w:rsidR="001043B1" w:rsidRPr="00865F6D">
              <w:rPr>
                <w:rFonts w:asciiTheme="minorHAnsi" w:hAnsiTheme="minorHAnsi" w:cstheme="minorHAnsi"/>
                <w:sz w:val="16"/>
                <w:szCs w:val="16"/>
                <w:lang w:val="fr-CH"/>
              </w:rPr>
              <w:t xml:space="preserve">1) Pour des conditions spécifiques définies liées au personnel/titulaire de l'APS ou aux personnes à charge, telles que reconnues par le PNUD. </w:t>
            </w:r>
          </w:p>
          <w:p w14:paraId="07EEA2F1" w14:textId="77777777" w:rsidR="001043B1" w:rsidRPr="00865F6D" w:rsidRDefault="001043B1" w:rsidP="001043B1">
            <w:pPr>
              <w:pStyle w:val="Default"/>
              <w:rPr>
                <w:rFonts w:asciiTheme="minorHAnsi" w:hAnsiTheme="minorHAnsi" w:cstheme="minorHAnsi"/>
                <w:sz w:val="16"/>
                <w:szCs w:val="16"/>
                <w:lang w:val="fr-CH"/>
              </w:rPr>
            </w:pPr>
            <w:r w:rsidRPr="00865F6D">
              <w:rPr>
                <w:rFonts w:asciiTheme="minorHAnsi" w:hAnsiTheme="minorHAnsi" w:cstheme="minorHAnsi"/>
                <w:sz w:val="16"/>
                <w:szCs w:val="16"/>
                <w:lang w:val="fr-CH"/>
              </w:rPr>
              <w:t xml:space="preserve">(2) Une preuve officielle de l'urgence est requise </w:t>
            </w:r>
          </w:p>
          <w:p w14:paraId="5C758C38" w14:textId="7EECB28D" w:rsidR="00FA7FEC" w:rsidRPr="00865F6D" w:rsidRDefault="001043B1" w:rsidP="001043B1">
            <w:pPr>
              <w:spacing w:after="0" w:line="240" w:lineRule="auto"/>
              <w:ind w:left="0" w:firstLine="0"/>
              <w:jc w:val="left"/>
              <w:rPr>
                <w:rFonts w:asciiTheme="minorHAnsi" w:eastAsia="Times New Roman" w:hAnsiTheme="minorHAnsi" w:cstheme="minorHAnsi"/>
                <w:sz w:val="16"/>
                <w:szCs w:val="16"/>
                <w:lang w:val="fr-CH" w:eastAsia="en-MY"/>
              </w:rPr>
            </w:pPr>
            <w:r w:rsidRPr="00865F6D">
              <w:rPr>
                <w:rFonts w:asciiTheme="minorHAnsi" w:hAnsiTheme="minorHAnsi" w:cstheme="minorHAnsi"/>
                <w:sz w:val="16"/>
                <w:szCs w:val="16"/>
                <w:lang w:val="fr-CH"/>
              </w:rPr>
              <w:t xml:space="preserve">(3) Une seule avance sur une période de 12 mois </w:t>
            </w:r>
          </w:p>
        </w:tc>
      </w:tr>
      <w:bookmarkEnd w:id="0"/>
    </w:tbl>
    <w:p w14:paraId="7C727041" w14:textId="77777777" w:rsidR="00865F6D" w:rsidRPr="00865F6D" w:rsidRDefault="00865F6D" w:rsidP="00865F6D">
      <w:pPr>
        <w:shd w:val="clear" w:color="auto" w:fill="FFFFFF"/>
        <w:autoSpaceDN w:val="0"/>
        <w:spacing w:after="0" w:line="270" w:lineRule="atLeast"/>
        <w:ind w:left="0" w:firstLine="0"/>
        <w:jc w:val="left"/>
        <w:rPr>
          <w:rFonts w:asciiTheme="minorHAnsi" w:eastAsia="Times New Roman" w:hAnsiTheme="minorHAnsi" w:cstheme="minorHAnsi"/>
          <w:b/>
          <w:bCs/>
          <w:i/>
          <w:iCs/>
          <w:sz w:val="24"/>
          <w:szCs w:val="24"/>
          <w:lang w:val="en-GB" w:eastAsia="ko-KR"/>
        </w:rPr>
      </w:pPr>
    </w:p>
    <w:p w14:paraId="5B871D1C" w14:textId="3612707E" w:rsidR="00865F6D" w:rsidRPr="00865F6D" w:rsidRDefault="00865F6D" w:rsidP="00865F6D">
      <w:pPr>
        <w:shd w:val="clear" w:color="auto" w:fill="FFFFFF"/>
        <w:autoSpaceDN w:val="0"/>
        <w:spacing w:after="0" w:line="270" w:lineRule="atLeast"/>
        <w:ind w:left="0" w:firstLine="0"/>
        <w:rPr>
          <w:rFonts w:asciiTheme="minorHAnsi" w:eastAsia="Times New Roman" w:hAnsiTheme="minorHAnsi" w:cstheme="minorHAnsi"/>
          <w:i/>
          <w:iCs/>
          <w:sz w:val="24"/>
          <w:szCs w:val="24"/>
          <w:lang w:val="en-GB" w:eastAsia="ko-KR"/>
        </w:rPr>
      </w:pPr>
      <w:r w:rsidRPr="00865F6D">
        <w:rPr>
          <w:rFonts w:asciiTheme="minorHAnsi" w:eastAsia="Times New Roman" w:hAnsiTheme="minorHAnsi" w:cstheme="minorHAnsi"/>
          <w:b/>
          <w:bCs/>
          <w:i/>
          <w:iCs/>
          <w:sz w:val="24"/>
          <w:szCs w:val="24"/>
          <w:lang w:val="en-GB" w:eastAsia="ko-KR"/>
        </w:rPr>
        <w:t>Disclaimer: </w:t>
      </w:r>
      <w:r w:rsidRPr="00865F6D">
        <w:rPr>
          <w:rFonts w:asciiTheme="minorHAnsi" w:eastAsia="Times New Roman" w:hAnsiTheme="minorHAnsi" w:cstheme="minorHAnsi"/>
          <w:i/>
          <w:iCs/>
          <w:sz w:val="24"/>
          <w:szCs w:val="24"/>
          <w:lang w:val="en-GB" w:eastAsia="ko-KR"/>
        </w:rPr>
        <w:t>This document was translated from English into French. In the event of any discrepancy between this translation and the original English document, the original English document shall prevail.</w:t>
      </w:r>
    </w:p>
    <w:p w14:paraId="69749768" w14:textId="77777777" w:rsidR="00865F6D" w:rsidRPr="00865F6D" w:rsidRDefault="00865F6D" w:rsidP="00865F6D">
      <w:pPr>
        <w:shd w:val="clear" w:color="auto" w:fill="FFFFFF"/>
        <w:autoSpaceDN w:val="0"/>
        <w:spacing w:after="0" w:line="240" w:lineRule="auto"/>
        <w:ind w:left="0" w:firstLine="0"/>
        <w:jc w:val="left"/>
        <w:rPr>
          <w:rFonts w:asciiTheme="minorHAnsi" w:eastAsia="Times New Roman" w:hAnsiTheme="minorHAnsi" w:cstheme="minorHAnsi"/>
          <w:b/>
          <w:bCs/>
          <w:i/>
          <w:iCs/>
          <w:sz w:val="24"/>
          <w:szCs w:val="24"/>
          <w:lang w:eastAsia="ko-KR"/>
        </w:rPr>
      </w:pPr>
    </w:p>
    <w:p w14:paraId="396AFFBB" w14:textId="4D496FB0" w:rsidR="00865F6D" w:rsidRPr="00865F6D" w:rsidRDefault="00865F6D" w:rsidP="00865F6D">
      <w:pPr>
        <w:shd w:val="clear" w:color="auto" w:fill="FFFFFF"/>
        <w:autoSpaceDN w:val="0"/>
        <w:spacing w:after="0" w:line="240" w:lineRule="auto"/>
        <w:ind w:left="0" w:firstLine="0"/>
        <w:rPr>
          <w:rFonts w:asciiTheme="minorHAnsi" w:hAnsiTheme="minorHAnsi" w:cstheme="minorHAnsi"/>
          <w:b/>
          <w:i/>
          <w:color w:val="auto"/>
          <w:sz w:val="12"/>
          <w:lang w:eastAsia="en-US"/>
        </w:rPr>
      </w:pPr>
      <w:r w:rsidRPr="00865F6D">
        <w:rPr>
          <w:rFonts w:asciiTheme="minorHAnsi" w:eastAsia="Times New Roman" w:hAnsiTheme="minorHAnsi" w:cstheme="minorHAnsi"/>
          <w:b/>
          <w:bCs/>
          <w:i/>
          <w:iCs/>
          <w:sz w:val="24"/>
          <w:szCs w:val="24"/>
          <w:lang w:eastAsia="ko-KR"/>
        </w:rPr>
        <w:t>Attention: </w:t>
      </w:r>
      <w:r w:rsidRPr="00865F6D">
        <w:rPr>
          <w:rFonts w:asciiTheme="minorHAnsi" w:eastAsia="Times New Roman" w:hAnsiTheme="minorHAnsi" w:cstheme="minorHAnsi"/>
          <w:i/>
          <w:iCs/>
          <w:sz w:val="24"/>
          <w:szCs w:val="24"/>
          <w:lang w:eastAsia="ko-KR"/>
        </w:rPr>
        <w:t>En cas de divergence entre les textes français et anglais de cette politique, le texte anglais fait foi, sauf disposition expresse écrite contraire.</w:t>
      </w:r>
    </w:p>
    <w:p w14:paraId="2E82E402" w14:textId="77777777" w:rsidR="00FA7FEC" w:rsidRPr="00865F6D" w:rsidRDefault="00FA7FEC" w:rsidP="00FA7FEC">
      <w:pPr>
        <w:spacing w:after="0" w:line="259" w:lineRule="auto"/>
        <w:ind w:left="0" w:firstLine="0"/>
        <w:jc w:val="left"/>
        <w:rPr>
          <w:rFonts w:asciiTheme="minorHAnsi" w:hAnsiTheme="minorHAnsi" w:cstheme="minorHAnsi"/>
          <w:lang w:val="fr-CH"/>
        </w:rPr>
      </w:pPr>
    </w:p>
    <w:sectPr w:rsidR="00FA7FEC" w:rsidRPr="00865F6D" w:rsidSect="00FA7FEC">
      <w:headerReference w:type="default" r:id="rId19"/>
      <w:footerReference w:type="even" r:id="rId20"/>
      <w:footerReference w:type="default" r:id="rId21"/>
      <w:headerReference w:type="first" r:id="rId22"/>
      <w:footerReference w:type="first" r:id="rId23"/>
      <w:pgSz w:w="12240" w:h="15840"/>
      <w:pgMar w:top="1164" w:right="1790" w:bottom="1350" w:left="1800" w:header="720" w:footer="7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F2DB" w14:textId="77777777" w:rsidR="007042D4" w:rsidRDefault="007042D4">
      <w:pPr>
        <w:spacing w:after="0" w:line="240" w:lineRule="auto"/>
      </w:pPr>
      <w:r>
        <w:separator/>
      </w:r>
    </w:p>
  </w:endnote>
  <w:endnote w:type="continuationSeparator" w:id="0">
    <w:p w14:paraId="319294EE" w14:textId="77777777" w:rsidR="007042D4" w:rsidRDefault="00704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184B" w14:textId="77777777" w:rsidR="00C54F7B" w:rsidRDefault="00F4444C">
    <w:pPr>
      <w:spacing w:after="1432" w:line="259" w:lineRule="auto"/>
      <w:ind w:left="619" w:firstLine="0"/>
      <w:jc w:val="left"/>
    </w:pPr>
    <w:r>
      <w:rPr>
        <w:rFonts w:ascii="Arial" w:hAnsi="Arial"/>
      </w:rPr>
      <w:t xml:space="preserve"> </w:t>
    </w:r>
  </w:p>
  <w:p w14:paraId="485D184C" w14:textId="77777777" w:rsidR="00C54F7B" w:rsidRDefault="00F4444C">
    <w:pPr>
      <w:spacing w:after="0" w:line="259" w:lineRule="auto"/>
      <w:ind w:left="0" w:right="7" w:firstLine="0"/>
      <w:jc w:val="center"/>
    </w:pPr>
    <w:r>
      <w:fldChar w:fldCharType="begin"/>
    </w:r>
    <w:r>
      <w:instrText xml:space="preserve"> PAGE   \* MERGEFORMAT </w:instrText>
    </w:r>
    <w:r>
      <w:fldChar w:fldCharType="separate"/>
    </w:r>
    <w:r>
      <w:rPr>
        <w:noProof/>
      </w:rPr>
      <w:t>2</w:t>
    </w:r>
    <w:r>
      <w:fldChar w:fldCharType="end"/>
    </w:r>
    <w:r>
      <w:t xml:space="preserve">  </w:t>
    </w:r>
  </w:p>
  <w:p w14:paraId="485D184D" w14:textId="77777777" w:rsidR="00C54F7B" w:rsidRDefault="00F4444C">
    <w:pPr>
      <w:spacing w:after="0" w:line="259" w:lineRule="auto"/>
      <w:ind w:left="0" w:firstLine="0"/>
      <w:jc w:val="left"/>
    </w:pPr>
    <w:r>
      <w:rPr>
        <w:rFonts w:ascii="Times New Roman" w:hAnsi="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1850" w14:textId="297AE2A2" w:rsidR="00C54F7B" w:rsidRDefault="00EC281D">
    <w:pPr>
      <w:spacing w:after="0" w:line="259" w:lineRule="auto"/>
      <w:ind w:left="0" w:firstLine="0"/>
      <w:jc w:val="left"/>
    </w:pPr>
    <w:r>
      <w:t xml:space="preserve">Page </w:t>
    </w:r>
    <w:r>
      <w:rPr>
        <w:b/>
        <w:bCs/>
      </w:rPr>
      <w:fldChar w:fldCharType="begin"/>
    </w:r>
    <w:r>
      <w:rPr>
        <w:b/>
        <w:bCs/>
      </w:rPr>
      <w:instrText xml:space="preserve"> PAGE  \* Arabic  \* MERGEFORMAT </w:instrText>
    </w:r>
    <w:r>
      <w:rPr>
        <w:b/>
        <w:bCs/>
      </w:rPr>
      <w:fldChar w:fldCharType="separate"/>
    </w:r>
    <w:r w:rsidR="005C36BF">
      <w:rPr>
        <w:b/>
        <w:bCs/>
        <w:noProof/>
      </w:rPr>
      <w:t>6</w:t>
    </w:r>
    <w:r>
      <w:rPr>
        <w:b/>
        <w:bCs/>
      </w:rPr>
      <w:fldChar w:fldCharType="end"/>
    </w:r>
    <w:r>
      <w:t xml:space="preserve"> sur </w:t>
    </w:r>
    <w:r>
      <w:rPr>
        <w:b/>
        <w:bCs/>
      </w:rPr>
      <w:fldChar w:fldCharType="begin"/>
    </w:r>
    <w:r>
      <w:rPr>
        <w:b/>
        <w:bCs/>
      </w:rPr>
      <w:instrText xml:space="preserve"> NUMPAGES  \* Arabic  \* MERGEFORMAT </w:instrText>
    </w:r>
    <w:r>
      <w:rPr>
        <w:b/>
        <w:bCs/>
      </w:rPr>
      <w:fldChar w:fldCharType="separate"/>
    </w:r>
    <w:r w:rsidR="005C36BF">
      <w:rPr>
        <w:b/>
        <w:bCs/>
        <w:noProof/>
      </w:rPr>
      <w:t>6</w:t>
    </w:r>
    <w:r>
      <w:rPr>
        <w:b/>
        <w:bCs/>
      </w:rPr>
      <w:fldChar w:fldCharType="end"/>
    </w:r>
    <w:r>
      <w:ptab w:relativeTo="margin" w:alignment="center" w:leader="none"/>
    </w:r>
    <w:r>
      <w:t xml:space="preserve">Date d’entrée en vigueur: </w:t>
    </w:r>
    <w:r w:rsidR="00FA1D5C" w:rsidRPr="00FA1D5C">
      <w:t>1</w:t>
    </w:r>
    <w:r w:rsidR="00FA1D5C">
      <w:t>5</w:t>
    </w:r>
    <w:r w:rsidR="00FA1D5C" w:rsidRPr="00FA1D5C">
      <w:t xml:space="preserve">/01/2023 </w:t>
    </w:r>
    <w:r>
      <w:ptab w:relativeTo="margin" w:alignment="right" w:leader="none"/>
    </w:r>
    <w:r>
      <w:t xml:space="preserve">Numéro de version: </w:t>
    </w:r>
    <w:sdt>
      <w:sdtPr>
        <w:alias w:val="POPPRefItemVersion"/>
        <w:tag w:val="UNDP_POPP_REFITEM_VERSION"/>
        <w:id w:val="-2089911440"/>
        <w:placeholder>
          <w:docPart w:val="B273BA9D01DC4A0F813156CCC0BF1E0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2E82C9A4-DDF6-43DA-8299-C46570CDD47C}"/>
        <w:text/>
      </w:sdtPr>
      <w:sdtEndPr/>
      <w:sdtContent>
        <w:r w:rsidR="00F61894">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1851" w14:textId="030763FD" w:rsidR="00C54F7B" w:rsidRDefault="00C54F7B">
    <w:pPr>
      <w:spacing w:after="0" w:line="259" w:lineRule="auto"/>
      <w:ind w:left="0" w:right="7" w:firstLine="0"/>
      <w:jc w:val="center"/>
    </w:pPr>
  </w:p>
  <w:p w14:paraId="485D1852" w14:textId="77777777" w:rsidR="00C54F7B" w:rsidRDefault="00F4444C">
    <w:pPr>
      <w:spacing w:after="0" w:line="259" w:lineRule="auto"/>
      <w:ind w:left="0" w:firstLine="0"/>
      <w:jc w:val="left"/>
    </w:pPr>
    <w:r>
      <w:rPr>
        <w:rFonts w:ascii="Times New Roman" w:hAnsi="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E4578" w14:textId="77777777" w:rsidR="007042D4" w:rsidRDefault="007042D4">
      <w:pPr>
        <w:spacing w:after="0" w:line="240" w:lineRule="auto"/>
      </w:pPr>
      <w:r>
        <w:separator/>
      </w:r>
    </w:p>
  </w:footnote>
  <w:footnote w:type="continuationSeparator" w:id="0">
    <w:p w14:paraId="2A117753" w14:textId="77777777" w:rsidR="007042D4" w:rsidRDefault="00704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B32F" w14:textId="6708DA9C" w:rsidR="00BC515D" w:rsidRDefault="00BC515D" w:rsidP="00BC515D">
    <w:pPr>
      <w:pStyle w:val="Header"/>
      <w:ind w:left="9010"/>
    </w:pPr>
    <w:r>
      <w:rPr>
        <w:noProof/>
        <w:lang w:val="en-US" w:eastAsia="en-US"/>
      </w:rPr>
      <w:drawing>
        <wp:inline distT="0" distB="0" distL="0" distR="0" wp14:anchorId="6A97C0D6" wp14:editId="4DC865E8">
          <wp:extent cx="304800" cy="579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7615"/>
                  <a:stretch/>
                </pic:blipFill>
                <pic:spPr bwMode="auto">
                  <a:xfrm>
                    <a:off x="0" y="0"/>
                    <a:ext cx="308590" cy="586320"/>
                  </a:xfrm>
                  <a:prstGeom prst="rect">
                    <a:avLst/>
                  </a:prstGeom>
                  <a:ln>
                    <a:noFill/>
                  </a:ln>
                  <a:extLst>
                    <a:ext uri="{53640926-AAD7-44D8-BBD7-CCE9431645EC}">
                      <a14:shadowObscured xmlns:a14="http://schemas.microsoft.com/office/drawing/2010/main"/>
                    </a:ext>
                  </a:extLst>
                </pic:spPr>
              </pic:pic>
            </a:graphicData>
          </a:graphic>
        </wp:inline>
      </w:drawing>
    </w:r>
  </w:p>
  <w:p w14:paraId="0571E3C0" w14:textId="77777777" w:rsidR="00EC281D" w:rsidRDefault="00EC2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0A81" w14:textId="46FA982F" w:rsidR="00EC281D" w:rsidRDefault="00EC281D" w:rsidP="00EC281D">
    <w:pPr>
      <w:pStyle w:val="Header"/>
      <w:ind w:left="9010"/>
    </w:pPr>
    <w:r>
      <w:rPr>
        <w:noProof/>
        <w:lang w:val="en-US" w:eastAsia="en-US"/>
      </w:rPr>
      <w:drawing>
        <wp:inline distT="0" distB="0" distL="0" distR="0" wp14:anchorId="06C5318E" wp14:editId="560ABBEC">
          <wp:extent cx="304800" cy="703072"/>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8534" cy="711685"/>
                  </a:xfrm>
                  <a:prstGeom prst="rect">
                    <a:avLst/>
                  </a:prstGeom>
                </pic:spPr>
              </pic:pic>
            </a:graphicData>
          </a:graphic>
        </wp:inline>
      </w:drawing>
    </w:r>
  </w:p>
  <w:p w14:paraId="5A2726D8" w14:textId="77777777" w:rsidR="00EC281D" w:rsidRDefault="00EC2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37F"/>
    <w:multiLevelType w:val="hybridMultilevel"/>
    <w:tmpl w:val="E27EB666"/>
    <w:lvl w:ilvl="0" w:tplc="FB127B46">
      <w:start w:val="6"/>
      <w:numFmt w:val="decimal"/>
      <w:lvlText w:val="%1."/>
      <w:lvlJc w:val="left"/>
      <w:pPr>
        <w:ind w:left="2074"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 w15:restartNumberingAfterBreak="0">
    <w:nsid w:val="051F2276"/>
    <w:multiLevelType w:val="hybridMultilevel"/>
    <w:tmpl w:val="058C217C"/>
    <w:lvl w:ilvl="0" w:tplc="5EC87856">
      <w:start w:val="1"/>
      <w:numFmt w:val="lowerLetter"/>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 w15:restartNumberingAfterBreak="0">
    <w:nsid w:val="11260513"/>
    <w:multiLevelType w:val="hybridMultilevel"/>
    <w:tmpl w:val="C896A6C8"/>
    <w:lvl w:ilvl="0" w:tplc="D85017E0">
      <w:start w:val="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84E984">
      <w:start w:val="1"/>
      <w:numFmt w:val="lowerLetter"/>
      <w:lvlText w:val="%2"/>
      <w:lvlJc w:val="left"/>
      <w:pPr>
        <w:ind w:left="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5A00F8">
      <w:start w:val="1"/>
      <w:numFmt w:val="lowerRoman"/>
      <w:lvlText w:val="%3"/>
      <w:lvlJc w:val="left"/>
      <w:pPr>
        <w:ind w:left="1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F80802">
      <w:start w:val="1"/>
      <w:numFmt w:val="decimal"/>
      <w:lvlText w:val="%4"/>
      <w:lvlJc w:val="left"/>
      <w:pPr>
        <w:ind w:left="2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4242C4">
      <w:start w:val="1"/>
      <w:numFmt w:val="lowerLetter"/>
      <w:lvlText w:val="%5"/>
      <w:lvlJc w:val="left"/>
      <w:pPr>
        <w:ind w:left="2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365C88">
      <w:start w:val="1"/>
      <w:numFmt w:val="lowerRoman"/>
      <w:lvlText w:val="%6"/>
      <w:lvlJc w:val="left"/>
      <w:pPr>
        <w:ind w:left="3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A8DBE6">
      <w:start w:val="1"/>
      <w:numFmt w:val="decimal"/>
      <w:lvlText w:val="%7"/>
      <w:lvlJc w:val="left"/>
      <w:pPr>
        <w:ind w:left="4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3A11DA">
      <w:start w:val="1"/>
      <w:numFmt w:val="lowerLetter"/>
      <w:lvlText w:val="%8"/>
      <w:lvlJc w:val="left"/>
      <w:pPr>
        <w:ind w:left="5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E27AE">
      <w:start w:val="1"/>
      <w:numFmt w:val="lowerRoman"/>
      <w:lvlText w:val="%9"/>
      <w:lvlJc w:val="left"/>
      <w:pPr>
        <w:ind w:left="5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C65A9F"/>
    <w:multiLevelType w:val="hybridMultilevel"/>
    <w:tmpl w:val="B0820AC8"/>
    <w:lvl w:ilvl="0" w:tplc="F270485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266A26">
      <w:start w:val="1"/>
      <w:numFmt w:val="lowerLetter"/>
      <w:lvlText w:val="%2"/>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F4289C">
      <w:start w:val="1"/>
      <w:numFmt w:val="lowerRoman"/>
      <w:lvlText w:val="%3"/>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5A7A4C">
      <w:start w:val="1"/>
      <w:numFmt w:val="decimal"/>
      <w:lvlText w:val="%4"/>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163E52">
      <w:start w:val="1"/>
      <w:numFmt w:val="lowerLetter"/>
      <w:lvlText w:val="%5"/>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4E6CD8">
      <w:start w:val="1"/>
      <w:numFmt w:val="lowerRoman"/>
      <w:lvlText w:val="%6"/>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12A59A">
      <w:start w:val="1"/>
      <w:numFmt w:val="decimal"/>
      <w:lvlText w:val="%7"/>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6A6AD4">
      <w:start w:val="1"/>
      <w:numFmt w:val="lowerLetter"/>
      <w:lvlText w:val="%8"/>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5639E0">
      <w:start w:val="1"/>
      <w:numFmt w:val="lowerRoman"/>
      <w:lvlText w:val="%9"/>
      <w:lvlJc w:val="left"/>
      <w:pPr>
        <w:ind w:left="7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DB2526"/>
    <w:multiLevelType w:val="hybridMultilevel"/>
    <w:tmpl w:val="9D9613D0"/>
    <w:lvl w:ilvl="0" w:tplc="68B41BC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640172">
      <w:start w:val="1"/>
      <w:numFmt w:val="lowerLetter"/>
      <w:lvlText w:val="%2"/>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366604">
      <w:start w:val="1"/>
      <w:numFmt w:val="lowerRoman"/>
      <w:lvlText w:val="%3"/>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3EA468">
      <w:start w:val="1"/>
      <w:numFmt w:val="decimal"/>
      <w:lvlText w:val="%4"/>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9202C8">
      <w:start w:val="1"/>
      <w:numFmt w:val="lowerLetter"/>
      <w:lvlText w:val="%5"/>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D00F88">
      <w:start w:val="1"/>
      <w:numFmt w:val="lowerRoman"/>
      <w:lvlText w:val="%6"/>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6C2966">
      <w:start w:val="1"/>
      <w:numFmt w:val="decimal"/>
      <w:lvlText w:val="%7"/>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E20F62">
      <w:start w:val="1"/>
      <w:numFmt w:val="lowerLetter"/>
      <w:lvlText w:val="%8"/>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24CC5E">
      <w:start w:val="1"/>
      <w:numFmt w:val="lowerRoman"/>
      <w:lvlText w:val="%9"/>
      <w:lvlJc w:val="left"/>
      <w:pPr>
        <w:ind w:left="7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692A6E"/>
    <w:multiLevelType w:val="hybridMultilevel"/>
    <w:tmpl w:val="F984FA7A"/>
    <w:lvl w:ilvl="0" w:tplc="D562C0FA">
      <w:start w:val="1"/>
      <w:numFmt w:val="lowerLetter"/>
      <w:lvlText w:val="(%1)"/>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5CBBCA">
      <w:start w:val="1"/>
      <w:numFmt w:val="lowerRoman"/>
      <w:lvlText w:val="%2)"/>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A4309E">
      <w:start w:val="1"/>
      <w:numFmt w:val="lowerRoman"/>
      <w:lvlText w:val="%3"/>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D05596">
      <w:start w:val="1"/>
      <w:numFmt w:val="decimal"/>
      <w:lvlText w:val="%4"/>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CE1D28">
      <w:start w:val="1"/>
      <w:numFmt w:val="lowerLetter"/>
      <w:lvlText w:val="%5"/>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CE86AA">
      <w:start w:val="1"/>
      <w:numFmt w:val="lowerRoman"/>
      <w:lvlText w:val="%6"/>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F81D78">
      <w:start w:val="1"/>
      <w:numFmt w:val="decimal"/>
      <w:lvlText w:val="%7"/>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B65FB0">
      <w:start w:val="1"/>
      <w:numFmt w:val="lowerLetter"/>
      <w:lvlText w:val="%8"/>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C23A68">
      <w:start w:val="1"/>
      <w:numFmt w:val="lowerRoman"/>
      <w:lvlText w:val="%9"/>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F724AE"/>
    <w:multiLevelType w:val="hybridMultilevel"/>
    <w:tmpl w:val="DA3E2E7C"/>
    <w:lvl w:ilvl="0" w:tplc="B74C8EB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F41592">
      <w:start w:val="1"/>
      <w:numFmt w:val="lowerLetter"/>
      <w:lvlText w:val="%2"/>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4A1042">
      <w:start w:val="1"/>
      <w:numFmt w:val="lowerRoman"/>
      <w:lvlText w:val="%3"/>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DCAF30">
      <w:start w:val="1"/>
      <w:numFmt w:val="decimal"/>
      <w:lvlText w:val="%4"/>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B4EFDC">
      <w:start w:val="1"/>
      <w:numFmt w:val="lowerLetter"/>
      <w:lvlText w:val="%5"/>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5803E8">
      <w:start w:val="1"/>
      <w:numFmt w:val="lowerRoman"/>
      <w:lvlText w:val="%6"/>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1835FC">
      <w:start w:val="1"/>
      <w:numFmt w:val="decimal"/>
      <w:lvlText w:val="%7"/>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0ADD94">
      <w:start w:val="1"/>
      <w:numFmt w:val="lowerLetter"/>
      <w:lvlText w:val="%8"/>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CC9D94">
      <w:start w:val="1"/>
      <w:numFmt w:val="lowerRoman"/>
      <w:lvlText w:val="%9"/>
      <w:lvlJc w:val="left"/>
      <w:pPr>
        <w:ind w:left="7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93790A"/>
    <w:multiLevelType w:val="hybridMultilevel"/>
    <w:tmpl w:val="995E1B9A"/>
    <w:lvl w:ilvl="0" w:tplc="D4844EB8">
      <w:start w:val="6"/>
      <w:numFmt w:val="decimal"/>
      <w:lvlText w:val="%1."/>
      <w:lvlJc w:val="left"/>
      <w:pPr>
        <w:ind w:left="72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166" w:hanging="360"/>
      </w:pPr>
    </w:lvl>
    <w:lvl w:ilvl="2" w:tplc="2000001B" w:tentative="1">
      <w:start w:val="1"/>
      <w:numFmt w:val="lowerRoman"/>
      <w:lvlText w:val="%3."/>
      <w:lvlJc w:val="right"/>
      <w:pPr>
        <w:ind w:left="1886" w:hanging="180"/>
      </w:pPr>
    </w:lvl>
    <w:lvl w:ilvl="3" w:tplc="2000000F" w:tentative="1">
      <w:start w:val="1"/>
      <w:numFmt w:val="decimal"/>
      <w:lvlText w:val="%4."/>
      <w:lvlJc w:val="left"/>
      <w:pPr>
        <w:ind w:left="2606" w:hanging="360"/>
      </w:pPr>
    </w:lvl>
    <w:lvl w:ilvl="4" w:tplc="20000019" w:tentative="1">
      <w:start w:val="1"/>
      <w:numFmt w:val="lowerLetter"/>
      <w:lvlText w:val="%5."/>
      <w:lvlJc w:val="left"/>
      <w:pPr>
        <w:ind w:left="3326" w:hanging="360"/>
      </w:pPr>
    </w:lvl>
    <w:lvl w:ilvl="5" w:tplc="2000001B" w:tentative="1">
      <w:start w:val="1"/>
      <w:numFmt w:val="lowerRoman"/>
      <w:lvlText w:val="%6."/>
      <w:lvlJc w:val="right"/>
      <w:pPr>
        <w:ind w:left="4046" w:hanging="180"/>
      </w:pPr>
    </w:lvl>
    <w:lvl w:ilvl="6" w:tplc="2000000F" w:tentative="1">
      <w:start w:val="1"/>
      <w:numFmt w:val="decimal"/>
      <w:lvlText w:val="%7."/>
      <w:lvlJc w:val="left"/>
      <w:pPr>
        <w:ind w:left="4766" w:hanging="360"/>
      </w:pPr>
    </w:lvl>
    <w:lvl w:ilvl="7" w:tplc="20000019" w:tentative="1">
      <w:start w:val="1"/>
      <w:numFmt w:val="lowerLetter"/>
      <w:lvlText w:val="%8."/>
      <w:lvlJc w:val="left"/>
      <w:pPr>
        <w:ind w:left="5486" w:hanging="360"/>
      </w:pPr>
    </w:lvl>
    <w:lvl w:ilvl="8" w:tplc="2000001B" w:tentative="1">
      <w:start w:val="1"/>
      <w:numFmt w:val="lowerRoman"/>
      <w:lvlText w:val="%9."/>
      <w:lvlJc w:val="right"/>
      <w:pPr>
        <w:ind w:left="6206" w:hanging="180"/>
      </w:pPr>
    </w:lvl>
  </w:abstractNum>
  <w:abstractNum w:abstractNumId="8" w15:restartNumberingAfterBreak="0">
    <w:nsid w:val="41940FDB"/>
    <w:multiLevelType w:val="hybridMultilevel"/>
    <w:tmpl w:val="89E8F2B4"/>
    <w:lvl w:ilvl="0" w:tplc="EDC40EA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3647BE1"/>
    <w:multiLevelType w:val="hybridMultilevel"/>
    <w:tmpl w:val="05C012B0"/>
    <w:lvl w:ilvl="0" w:tplc="A2481B5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DEB3ADA"/>
    <w:multiLevelType w:val="hybridMultilevel"/>
    <w:tmpl w:val="C992614C"/>
    <w:lvl w:ilvl="0" w:tplc="E912FF38">
      <w:start w:val="6"/>
      <w:numFmt w:val="decimal"/>
      <w:lvlText w:val="%1."/>
      <w:lvlJc w:val="left"/>
      <w:pPr>
        <w:ind w:left="782"/>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FED4A634">
      <w:start w:val="1"/>
      <w:numFmt w:val="lowerLetter"/>
      <w:lvlText w:val="%2"/>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5E5D7A">
      <w:start w:val="1"/>
      <w:numFmt w:val="lowerRoman"/>
      <w:lvlText w:val="%3"/>
      <w:lvlJc w:val="left"/>
      <w:pPr>
        <w:ind w:left="2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16390C">
      <w:start w:val="1"/>
      <w:numFmt w:val="decimal"/>
      <w:lvlText w:val="%4"/>
      <w:lvlJc w:val="left"/>
      <w:pPr>
        <w:ind w:left="2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1E1F2E">
      <w:start w:val="1"/>
      <w:numFmt w:val="lowerLetter"/>
      <w:lvlText w:val="%5"/>
      <w:lvlJc w:val="left"/>
      <w:pPr>
        <w:ind w:left="3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783054">
      <w:start w:val="1"/>
      <w:numFmt w:val="lowerRoman"/>
      <w:lvlText w:val="%6"/>
      <w:lvlJc w:val="left"/>
      <w:pPr>
        <w:ind w:left="4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722F8E">
      <w:start w:val="1"/>
      <w:numFmt w:val="decimal"/>
      <w:lvlText w:val="%7"/>
      <w:lvlJc w:val="left"/>
      <w:pPr>
        <w:ind w:left="5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6064F0">
      <w:start w:val="1"/>
      <w:numFmt w:val="lowerLetter"/>
      <w:lvlText w:val="%8"/>
      <w:lvlJc w:val="left"/>
      <w:pPr>
        <w:ind w:left="5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7C8D1E">
      <w:start w:val="1"/>
      <w:numFmt w:val="lowerRoman"/>
      <w:lvlText w:val="%9"/>
      <w:lvlJc w:val="left"/>
      <w:pPr>
        <w:ind w:left="6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B527A29"/>
    <w:multiLevelType w:val="hybridMultilevel"/>
    <w:tmpl w:val="6D4C9DD2"/>
    <w:lvl w:ilvl="0" w:tplc="F10CFC6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0C9A84">
      <w:start w:val="1"/>
      <w:numFmt w:val="lowerLetter"/>
      <w:lvlText w:val="%2"/>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08BE94">
      <w:start w:val="1"/>
      <w:numFmt w:val="lowerRoman"/>
      <w:lvlText w:val="%3"/>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04A058">
      <w:start w:val="1"/>
      <w:numFmt w:val="decimal"/>
      <w:lvlText w:val="%4"/>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E04F46">
      <w:start w:val="1"/>
      <w:numFmt w:val="lowerLetter"/>
      <w:lvlText w:val="%5"/>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C015C4">
      <w:start w:val="1"/>
      <w:numFmt w:val="lowerRoman"/>
      <w:lvlText w:val="%6"/>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F8B890">
      <w:start w:val="1"/>
      <w:numFmt w:val="decimal"/>
      <w:lvlText w:val="%7"/>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E6746C">
      <w:start w:val="1"/>
      <w:numFmt w:val="lowerLetter"/>
      <w:lvlText w:val="%8"/>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921238">
      <w:start w:val="1"/>
      <w:numFmt w:val="lowerRoman"/>
      <w:lvlText w:val="%9"/>
      <w:lvlJc w:val="left"/>
      <w:pPr>
        <w:ind w:left="7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D83074A"/>
    <w:multiLevelType w:val="hybridMultilevel"/>
    <w:tmpl w:val="31AAA2C4"/>
    <w:lvl w:ilvl="0" w:tplc="832E028C">
      <w:start w:val="6"/>
      <w:numFmt w:val="decimal"/>
      <w:lvlText w:val="%1."/>
      <w:lvlJc w:val="left"/>
      <w:pPr>
        <w:ind w:left="994" w:firstLine="0"/>
      </w:pPr>
      <w:rPr>
        <w:rFonts w:ascii="Calibri" w:eastAsia="Calibri" w:hAnsi="Calibri" w:cs="Calibri" w:hint="default"/>
        <w:b w:val="0"/>
        <w:i w:val="0"/>
        <w:strike w:val="0"/>
        <w:dstrike w:val="0"/>
        <w:color w:val="000000"/>
        <w:sz w:val="22"/>
        <w:szCs w:val="22"/>
        <w:u w:val="none" w:color="000000"/>
        <w:vertAlign w:val="baseline"/>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6FE2EC7"/>
    <w:multiLevelType w:val="hybridMultilevel"/>
    <w:tmpl w:val="9A4CECAA"/>
    <w:lvl w:ilvl="0" w:tplc="D1E241B6">
      <w:start w:val="1"/>
      <w:numFmt w:val="lowerLetter"/>
      <w:lvlText w:val="%1)"/>
      <w:lvlJc w:val="left"/>
      <w:pPr>
        <w:ind w:left="1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40E650">
      <w:start w:val="1"/>
      <w:numFmt w:val="lowerRoman"/>
      <w:lvlText w:val="%2."/>
      <w:lvlJc w:val="left"/>
      <w:pPr>
        <w:ind w:left="2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F0412C">
      <w:start w:val="1"/>
      <w:numFmt w:val="lowerRoman"/>
      <w:lvlText w:val="%3"/>
      <w:lvlJc w:val="left"/>
      <w:pPr>
        <w:ind w:left="2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246612">
      <w:start w:val="1"/>
      <w:numFmt w:val="decimal"/>
      <w:lvlText w:val="%4"/>
      <w:lvlJc w:val="left"/>
      <w:pPr>
        <w:ind w:left="3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008506">
      <w:start w:val="1"/>
      <w:numFmt w:val="lowerLetter"/>
      <w:lvlText w:val="%5"/>
      <w:lvlJc w:val="left"/>
      <w:pPr>
        <w:ind w:left="4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42CCEA">
      <w:start w:val="1"/>
      <w:numFmt w:val="lowerRoman"/>
      <w:lvlText w:val="%6"/>
      <w:lvlJc w:val="left"/>
      <w:pPr>
        <w:ind w:left="4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7603A4">
      <w:start w:val="1"/>
      <w:numFmt w:val="decimal"/>
      <w:lvlText w:val="%7"/>
      <w:lvlJc w:val="left"/>
      <w:pPr>
        <w:ind w:left="5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20C6B0">
      <w:start w:val="1"/>
      <w:numFmt w:val="lowerLetter"/>
      <w:lvlText w:val="%8"/>
      <w:lvlJc w:val="left"/>
      <w:pPr>
        <w:ind w:left="6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906516">
      <w:start w:val="1"/>
      <w:numFmt w:val="lowerRoman"/>
      <w:lvlText w:val="%9"/>
      <w:lvlJc w:val="left"/>
      <w:pPr>
        <w:ind w:left="7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ACF3004"/>
    <w:multiLevelType w:val="hybridMultilevel"/>
    <w:tmpl w:val="717630CE"/>
    <w:lvl w:ilvl="0" w:tplc="FFFFFFFF">
      <w:start w:val="6"/>
      <w:numFmt w:val="decimal"/>
      <w:lvlText w:val="%1."/>
      <w:lvlJc w:val="left"/>
      <w:pPr>
        <w:ind w:left="994" w:firstLine="0"/>
      </w:pPr>
      <w:rPr>
        <w:rFonts w:ascii="Calibri" w:eastAsia="Calibri" w:hAnsi="Calibri" w:cs="Calibri"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3366936">
    <w:abstractNumId w:val="5"/>
  </w:num>
  <w:num w:numId="2" w16cid:durableId="260189218">
    <w:abstractNumId w:val="2"/>
  </w:num>
  <w:num w:numId="3" w16cid:durableId="889880462">
    <w:abstractNumId w:val="10"/>
  </w:num>
  <w:num w:numId="4" w16cid:durableId="1434746161">
    <w:abstractNumId w:val="3"/>
  </w:num>
  <w:num w:numId="5" w16cid:durableId="413749761">
    <w:abstractNumId w:val="11"/>
  </w:num>
  <w:num w:numId="6" w16cid:durableId="207576404">
    <w:abstractNumId w:val="4"/>
  </w:num>
  <w:num w:numId="7" w16cid:durableId="595402113">
    <w:abstractNumId w:val="13"/>
  </w:num>
  <w:num w:numId="8" w16cid:durableId="875236063">
    <w:abstractNumId w:val="6"/>
  </w:num>
  <w:num w:numId="9" w16cid:durableId="1342514530">
    <w:abstractNumId w:val="8"/>
  </w:num>
  <w:num w:numId="10" w16cid:durableId="611202543">
    <w:abstractNumId w:val="9"/>
  </w:num>
  <w:num w:numId="11" w16cid:durableId="636254602">
    <w:abstractNumId w:val="12"/>
  </w:num>
  <w:num w:numId="12" w16cid:durableId="592785358">
    <w:abstractNumId w:val="7"/>
  </w:num>
  <w:num w:numId="13" w16cid:durableId="26805601">
    <w:abstractNumId w:val="0"/>
  </w:num>
  <w:num w:numId="14" w16cid:durableId="945428311">
    <w:abstractNumId w:val="14"/>
  </w:num>
  <w:num w:numId="15" w16cid:durableId="862129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F7B"/>
    <w:rsid w:val="00061BB7"/>
    <w:rsid w:val="0006289B"/>
    <w:rsid w:val="000A41DC"/>
    <w:rsid w:val="001043B1"/>
    <w:rsid w:val="001406DC"/>
    <w:rsid w:val="0020719C"/>
    <w:rsid w:val="00226649"/>
    <w:rsid w:val="002A7C9C"/>
    <w:rsid w:val="002C011E"/>
    <w:rsid w:val="002D3AC0"/>
    <w:rsid w:val="00320465"/>
    <w:rsid w:val="003C0D28"/>
    <w:rsid w:val="003D4BE7"/>
    <w:rsid w:val="003D5CFF"/>
    <w:rsid w:val="003F0F9C"/>
    <w:rsid w:val="004030C0"/>
    <w:rsid w:val="00472BBD"/>
    <w:rsid w:val="00487824"/>
    <w:rsid w:val="004D3451"/>
    <w:rsid w:val="005C36BF"/>
    <w:rsid w:val="005E5528"/>
    <w:rsid w:val="005F0570"/>
    <w:rsid w:val="00661807"/>
    <w:rsid w:val="0070358E"/>
    <w:rsid w:val="007042D4"/>
    <w:rsid w:val="00732F5F"/>
    <w:rsid w:val="007357EA"/>
    <w:rsid w:val="007A1CB4"/>
    <w:rsid w:val="007C5480"/>
    <w:rsid w:val="007D6F72"/>
    <w:rsid w:val="007E22BE"/>
    <w:rsid w:val="00806A1A"/>
    <w:rsid w:val="00814952"/>
    <w:rsid w:val="00865F6D"/>
    <w:rsid w:val="00881F4B"/>
    <w:rsid w:val="008B358F"/>
    <w:rsid w:val="008C6886"/>
    <w:rsid w:val="008E00E2"/>
    <w:rsid w:val="008F4254"/>
    <w:rsid w:val="009347A4"/>
    <w:rsid w:val="00964D96"/>
    <w:rsid w:val="009A1929"/>
    <w:rsid w:val="009C7B2E"/>
    <w:rsid w:val="009D686D"/>
    <w:rsid w:val="009D6D1D"/>
    <w:rsid w:val="009D78DF"/>
    <w:rsid w:val="00A36ECE"/>
    <w:rsid w:val="00A83BAA"/>
    <w:rsid w:val="00AF3905"/>
    <w:rsid w:val="00B83B4C"/>
    <w:rsid w:val="00BC515D"/>
    <w:rsid w:val="00C02C33"/>
    <w:rsid w:val="00C0318E"/>
    <w:rsid w:val="00C12EB6"/>
    <w:rsid w:val="00C54F7B"/>
    <w:rsid w:val="00C6185D"/>
    <w:rsid w:val="00CB3FC5"/>
    <w:rsid w:val="00CC4622"/>
    <w:rsid w:val="00CF23AB"/>
    <w:rsid w:val="00D157D9"/>
    <w:rsid w:val="00DA67D0"/>
    <w:rsid w:val="00DC5B52"/>
    <w:rsid w:val="00DF3B14"/>
    <w:rsid w:val="00E47E95"/>
    <w:rsid w:val="00E64218"/>
    <w:rsid w:val="00EC281D"/>
    <w:rsid w:val="00F4444C"/>
    <w:rsid w:val="00F61894"/>
    <w:rsid w:val="00FA1D5C"/>
    <w:rsid w:val="00FA7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5D17E4"/>
  <w15:docId w15:val="{AAB20B32-920D-47C5-A86F-EE6C819D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3" w:lineRule="auto"/>
      <w:ind w:left="512"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EC2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81D"/>
    <w:rPr>
      <w:rFonts w:ascii="Calibri" w:eastAsia="Calibri" w:hAnsi="Calibri" w:cs="Calibri"/>
      <w:color w:val="000000"/>
    </w:rPr>
  </w:style>
  <w:style w:type="character" w:styleId="PlaceholderText">
    <w:name w:val="Placeholder Text"/>
    <w:basedOn w:val="DefaultParagraphFont"/>
    <w:uiPriority w:val="99"/>
    <w:semiHidden/>
    <w:rsid w:val="00BC515D"/>
    <w:rPr>
      <w:color w:val="808080"/>
    </w:rPr>
  </w:style>
  <w:style w:type="paragraph" w:styleId="ListParagraph">
    <w:name w:val="List Paragraph"/>
    <w:basedOn w:val="Normal"/>
    <w:uiPriority w:val="34"/>
    <w:qFormat/>
    <w:rsid w:val="00B83B4C"/>
    <w:pPr>
      <w:ind w:left="720"/>
      <w:contextualSpacing/>
    </w:pPr>
  </w:style>
  <w:style w:type="paragraph" w:styleId="Revision">
    <w:name w:val="Revision"/>
    <w:hidden/>
    <w:uiPriority w:val="99"/>
    <w:semiHidden/>
    <w:rsid w:val="00C0318E"/>
    <w:pPr>
      <w:spacing w:after="0" w:line="240" w:lineRule="auto"/>
    </w:pPr>
    <w:rPr>
      <w:rFonts w:ascii="Calibri" w:eastAsia="Calibri" w:hAnsi="Calibri" w:cs="Calibri"/>
      <w:color w:val="000000"/>
    </w:rPr>
  </w:style>
  <w:style w:type="paragraph" w:customStyle="1" w:styleId="Default">
    <w:name w:val="Default"/>
    <w:rsid w:val="0022664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A1D5C"/>
    <w:rPr>
      <w:color w:val="0563C1" w:themeColor="hyperlink"/>
      <w:u w:val="single"/>
    </w:rPr>
  </w:style>
  <w:style w:type="character" w:styleId="FollowedHyperlink">
    <w:name w:val="FollowedHyperlink"/>
    <w:basedOn w:val="DefaultParagraphFont"/>
    <w:uiPriority w:val="99"/>
    <w:semiHidden/>
    <w:unhideWhenUsed/>
    <w:rsid w:val="00FA1D5C"/>
    <w:rPr>
      <w:color w:val="954F72" w:themeColor="followedHyperlink"/>
      <w:u w:val="single"/>
    </w:rPr>
  </w:style>
  <w:style w:type="character" w:styleId="UnresolvedMention">
    <w:name w:val="Unresolved Mention"/>
    <w:basedOn w:val="DefaultParagraphFont"/>
    <w:uiPriority w:val="99"/>
    <w:semiHidden/>
    <w:unhideWhenUsed/>
    <w:rsid w:val="00C02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82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csc.un.org/Resources/COLD/Booklets/PABooklet.pdf?r=02131246" TargetMode="External"/><Relationship Id="rId18" Type="http://schemas.openxmlformats.org/officeDocument/2006/relationships/hyperlink" Target="https://icsc.un.org/Resources/COLD/Booklets/PABooklet.pdf?r=0213124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easury.un.org/operationalrates/OperationalRates.php"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treasury.un.org/operationalrates/OperationalRate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treasury.un.org/operationalrates/OperationalRates.aspx"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Exchan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73BA9D01DC4A0F813156CCC0BF1E0C"/>
        <w:category>
          <w:name w:val="General"/>
          <w:gallery w:val="placeholder"/>
        </w:category>
        <w:types>
          <w:type w:val="bbPlcHdr"/>
        </w:types>
        <w:behaviors>
          <w:behavior w:val="content"/>
        </w:behaviors>
        <w:guid w:val="{72431C87-A46B-4913-8E35-388B482B3AA4}"/>
      </w:docPartPr>
      <w:docPartBody>
        <w:p w:rsidR="008508F1" w:rsidRDefault="008233A2">
          <w:r w:rsidRPr="006F133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A2"/>
    <w:rsid w:val="00060ED4"/>
    <w:rsid w:val="00673D4B"/>
    <w:rsid w:val="008233A2"/>
    <w:rsid w:val="008508F1"/>
    <w:rsid w:val="00C61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3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4</UNDP_POPP_REFITEM_VERSION>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Avance de traitement</UNDP_POPP_TITLE_EN>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2023-01-14T23:00:00+00:00</UNDP_POPP_EFFECTIVEDATE>
    <DLCPolicyLabelLock xmlns="e560140e-7b2f-4392-90df-e7567e3021a3" xsi:nil="true"/>
    <DLCPolicyLabelClientValue xmlns="e560140e-7b2f-4392-90df-e7567e3021a3">Effective Date: 1/14/2023                                                Version #: 4.0</DLCPolicyLabelClientValue>
    <UNDP_POPP_BUSINESSUNITID_HIDDEN xmlns="8264c5cc-ec60-4b56-8111-ce635d3d139a" xsi:nil="true"/>
    <_dlc_DocId xmlns="8264c5cc-ec60-4b56-8111-ce635d3d139a">POPP-11-3621</_dlc_DocId>
    <_dlc_DocIdUrl xmlns="8264c5cc-ec60-4b56-8111-ce635d3d139a">
      <Url>https://popp.undp.org/_layouts/15/DocIdRedir.aspx?ID=POPP-11-3621</Url>
      <Description>POPP-11-3621</Description>
    </_dlc_DocIdUrl>
    <DLCPolicyLabelValue xmlns="e560140e-7b2f-4392-90df-e7567e3021a3">Effective Date: 1/14/2023                                                Version #: 4.0</DLCPolicyLabelValue>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4E1F0-E1E2-4F82-A867-601A3C54A838}">
  <ds:schemaRefs>
    <ds:schemaRef ds:uri="http://schemas.microsoft.com/sharepoint/v3/contenttype/forms"/>
  </ds:schemaRefs>
</ds:datastoreItem>
</file>

<file path=customXml/itemProps2.xml><?xml version="1.0" encoding="utf-8"?>
<ds:datastoreItem xmlns:ds="http://schemas.openxmlformats.org/officeDocument/2006/customXml" ds:itemID="{D6401392-3422-47C3-AE49-3B2DF3224A8E}">
  <ds:schemaRefs>
    <ds:schemaRef ds:uri="http://schemas.microsoft.com/sharepoint/events"/>
  </ds:schemaRefs>
</ds:datastoreItem>
</file>

<file path=customXml/itemProps3.xml><?xml version="1.0" encoding="utf-8"?>
<ds:datastoreItem xmlns:ds="http://schemas.openxmlformats.org/officeDocument/2006/customXml" ds:itemID="{2E82C9A4-DDF6-43DA-8299-C46570CDD47C}">
  <ds:schemaRefs>
    <ds:schemaRef ds:uri="http://schemas.microsoft.com/sharepoint/v3"/>
    <ds:schemaRef ds:uri="http://purl.org/dc/terms/"/>
    <ds:schemaRef ds:uri="http://purl.org/dc/elements/1.1/"/>
    <ds:schemaRef ds:uri="http://purl.org/dc/dcmitype/"/>
    <ds:schemaRef ds:uri="http://schemas.microsoft.com/office/2006/metadata/properties"/>
    <ds:schemaRef ds:uri="8264c5cc-ec60-4b56-8111-ce635d3d139a"/>
    <ds:schemaRef ds:uri="http://schemas.microsoft.com/office/2006/documentManagement/types"/>
    <ds:schemaRef ds:uri="http://schemas.microsoft.com/office/infopath/2007/PartnerControls"/>
    <ds:schemaRef ds:uri="e560140e-7b2f-4392-90df-e7567e3021a3"/>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31D60CD-B26E-46E7-A65C-244BB14A4FAA}">
  <ds:schemaRefs>
    <ds:schemaRef ds:uri="office.server.policy"/>
  </ds:schemaRefs>
</ds:datastoreItem>
</file>

<file path=customXml/itemProps5.xml><?xml version="1.0" encoding="utf-8"?>
<ds:datastoreItem xmlns:ds="http://schemas.openxmlformats.org/officeDocument/2006/customXml" ds:itemID="{CF31540A-51B4-437D-9A8C-EB5BFED7C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B7FF44-2858-439C-A088-1E05468E3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2648</Words>
  <Characters>15100</Characters>
  <Application>Microsoft Office Word</Application>
  <DocSecurity>0</DocSecurity>
  <Lines>125</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Emiliana Zhivkova</cp:lastModifiedBy>
  <cp:revision>14</cp:revision>
  <dcterms:created xsi:type="dcterms:W3CDTF">2024-02-07T23:40:00Z</dcterms:created>
  <dcterms:modified xsi:type="dcterms:W3CDTF">2024-02-09T18:45:00Z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91718225-8b0d-45c4-b568-b93da1705da4</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
  </property>
  <property fmtid="{D5CDD505-2E9C-101B-9397-08002B2CF9AE}" pid="8" name="Location">
    <vt:lpwstr>Public</vt:lpwstr>
  </property>
  <property fmtid="{D5CDD505-2E9C-101B-9397-08002B2CF9AE}" pid="9" name="TaxCatchAll">
    <vt:lpwstr/>
  </property>
</Properties>
</file>