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7E4" w14:textId="77777777" w:rsidR="00C54F7B" w:rsidRPr="002637FC" w:rsidRDefault="00F4444C">
      <w:pPr>
        <w:spacing w:after="0" w:line="259" w:lineRule="auto"/>
        <w:ind w:left="0" w:firstLine="0"/>
        <w:jc w:val="left"/>
      </w:pPr>
      <w:r w:rsidRPr="002637FC">
        <w:rPr>
          <w:b/>
          <w:sz w:val="28"/>
        </w:rPr>
        <w:t xml:space="preserve">Anticipo de sueldo </w:t>
      </w:r>
      <w:r w:rsidRPr="002637FC">
        <w:t xml:space="preserve"> </w:t>
      </w:r>
    </w:p>
    <w:p w14:paraId="485D17E5" w14:textId="77777777" w:rsidR="00C54F7B" w:rsidRPr="002637FC" w:rsidRDefault="00F4444C">
      <w:pPr>
        <w:spacing w:after="14" w:line="259" w:lineRule="auto"/>
        <w:ind w:left="0" w:firstLine="0"/>
        <w:jc w:val="left"/>
      </w:pPr>
      <w:r w:rsidRPr="002637FC">
        <w:rPr>
          <w:b/>
        </w:rPr>
        <w:t xml:space="preserve"> </w:t>
      </w:r>
      <w:r w:rsidRPr="002637FC">
        <w:t xml:space="preserve"> </w:t>
      </w:r>
    </w:p>
    <w:p w14:paraId="485D17E6" w14:textId="349B01E5" w:rsidR="00C54F7B" w:rsidRPr="002637FC" w:rsidRDefault="00F4444C" w:rsidP="004B4343">
      <w:pPr>
        <w:pStyle w:val="ListParagraph"/>
        <w:numPr>
          <w:ilvl w:val="0"/>
          <w:numId w:val="10"/>
        </w:numPr>
      </w:pPr>
      <w:r w:rsidRPr="002637FC">
        <w:t xml:space="preserve">La compensación al personal, que incluye el salario, las prestaciones y las subvenciones, está diseñada para que cumpla con los requisitos de vida normales de los miembros del personal y sus familiares a cargo.  Cuando ocurren gastos excepcionales o inesperados y se necesitan sumas de dinero adicionales, </w:t>
      </w:r>
      <w:r w:rsidR="004B4343" w:rsidRPr="002637FC">
        <w:t>el PNUD puede otorgar un anticipo bajo las circunstancias y condiciones específicas definidas en esta Política.</w:t>
      </w:r>
    </w:p>
    <w:p w14:paraId="7312D5A5" w14:textId="300EA633" w:rsidR="004B4343" w:rsidRPr="002637FC" w:rsidRDefault="004B4343" w:rsidP="004B4343">
      <w:pPr>
        <w:pStyle w:val="ListParagraph"/>
        <w:numPr>
          <w:ilvl w:val="0"/>
          <w:numId w:val="10"/>
        </w:numPr>
      </w:pPr>
      <w:r w:rsidRPr="002637FC">
        <w:t>Dado que el PNUD no es una institución crediticia, se aconseja a los miembros del personal que se dirijan a las instituciones de crédito tales como bancos o la Cooperativa Federal de Crédito de las Naciones Unidas.</w:t>
      </w:r>
    </w:p>
    <w:p w14:paraId="1A40D100" w14:textId="77777777" w:rsidR="00987A95" w:rsidRPr="002637FC" w:rsidRDefault="00987A95" w:rsidP="00987A95">
      <w:pPr>
        <w:pStyle w:val="ListParagraph"/>
        <w:numPr>
          <w:ilvl w:val="0"/>
          <w:numId w:val="10"/>
        </w:numPr>
        <w:spacing w:line="252" w:lineRule="auto"/>
      </w:pPr>
      <w:r w:rsidRPr="002637FC">
        <w:t xml:space="preserve">Esta política aplica la norma 3.16 del Reglamento del personal. </w:t>
      </w:r>
    </w:p>
    <w:p w14:paraId="3D0AC7CC" w14:textId="77777777" w:rsidR="00987A95" w:rsidRPr="002637FC" w:rsidRDefault="00987A95" w:rsidP="00987A95">
      <w:pPr>
        <w:pStyle w:val="ListParagraph"/>
        <w:ind w:firstLine="0"/>
      </w:pPr>
    </w:p>
    <w:p w14:paraId="485D17E7" w14:textId="77777777" w:rsidR="00C54F7B" w:rsidRPr="002637FC" w:rsidRDefault="00F4444C" w:rsidP="000A41DC">
      <w:pPr>
        <w:spacing w:after="0" w:line="259" w:lineRule="auto"/>
        <w:ind w:left="720" w:hanging="360"/>
        <w:jc w:val="left"/>
      </w:pPr>
      <w:r w:rsidRPr="002637FC">
        <w:rPr>
          <w:b/>
        </w:rPr>
        <w:t xml:space="preserve"> </w:t>
      </w:r>
      <w:r w:rsidRPr="002637FC">
        <w:t xml:space="preserve"> </w:t>
      </w:r>
    </w:p>
    <w:p w14:paraId="485D17E8" w14:textId="77777777" w:rsidR="00C54F7B" w:rsidRPr="002637FC" w:rsidRDefault="00F4444C" w:rsidP="000A41DC">
      <w:pPr>
        <w:pStyle w:val="Heading1"/>
        <w:ind w:left="0" w:firstLine="0"/>
      </w:pPr>
      <w:r w:rsidRPr="002637FC">
        <w:t xml:space="preserve">Aplicabilidad  </w:t>
      </w:r>
    </w:p>
    <w:p w14:paraId="485D17E9" w14:textId="77777777" w:rsidR="00C54F7B" w:rsidRPr="002637FC" w:rsidRDefault="00F4444C" w:rsidP="000A41DC">
      <w:pPr>
        <w:spacing w:after="11" w:line="259" w:lineRule="auto"/>
        <w:ind w:left="720" w:hanging="360"/>
        <w:jc w:val="left"/>
      </w:pPr>
      <w:r w:rsidRPr="002637FC">
        <w:rPr>
          <w:b/>
        </w:rPr>
        <w:t xml:space="preserve"> </w:t>
      </w:r>
      <w:r w:rsidRPr="002637FC">
        <w:t xml:space="preserve"> </w:t>
      </w:r>
    </w:p>
    <w:p w14:paraId="5778BC63" w14:textId="0D938153" w:rsidR="00987A95" w:rsidRPr="002637FC" w:rsidRDefault="00987A95" w:rsidP="00987A95">
      <w:pPr>
        <w:pStyle w:val="ListParagraph"/>
        <w:numPr>
          <w:ilvl w:val="0"/>
          <w:numId w:val="10"/>
        </w:numPr>
      </w:pPr>
      <w:r w:rsidRPr="002637FC">
        <w:t>Los miembros del personal con nombramientos permanentes, de plazo fijo y temporales, así como los titulares de Acuerdos Internacionales y Nacionales de Servicios de Personal (IPSA y NPSA) pueden solicitar, y el PNUD puede conceder, un anticipo de sueldo de conformidad con las condiciones que se describen a continuación.  A menos que se especifique lo contrario, los términos y condiciones relacionados con los anticipos salariales se aplican a todos los tipos de personal enumerados anteriormente.</w:t>
      </w:r>
    </w:p>
    <w:p w14:paraId="64C8FCB4" w14:textId="77777777" w:rsidR="00987A95" w:rsidRPr="002637FC" w:rsidRDefault="00987A95" w:rsidP="00987A95">
      <w:pPr>
        <w:pStyle w:val="ListParagraph"/>
        <w:ind w:firstLine="0"/>
      </w:pPr>
    </w:p>
    <w:p w14:paraId="4DE0132E" w14:textId="77777777" w:rsidR="00987A95" w:rsidRPr="002637FC" w:rsidRDefault="00987A95" w:rsidP="00987A95">
      <w:pPr>
        <w:ind w:left="720" w:hanging="360"/>
      </w:pPr>
    </w:p>
    <w:p w14:paraId="485D17EC" w14:textId="05418F3A" w:rsidR="00C54F7B" w:rsidRPr="002637FC" w:rsidRDefault="00F4444C" w:rsidP="000A41DC">
      <w:pPr>
        <w:pStyle w:val="Heading1"/>
        <w:ind w:left="0" w:firstLine="0"/>
      </w:pPr>
      <w:r w:rsidRPr="002637FC">
        <w:t xml:space="preserve">Condiciones </w:t>
      </w:r>
      <w:r w:rsidR="00987A95" w:rsidRPr="002637FC">
        <w:t>generales</w:t>
      </w:r>
    </w:p>
    <w:p w14:paraId="485D17ED" w14:textId="77777777" w:rsidR="00C54F7B" w:rsidRPr="002637FC" w:rsidRDefault="00F4444C" w:rsidP="000A41DC">
      <w:pPr>
        <w:spacing w:after="14" w:line="259" w:lineRule="auto"/>
        <w:ind w:left="720" w:hanging="360"/>
        <w:jc w:val="left"/>
      </w:pPr>
      <w:r w:rsidRPr="002637FC">
        <w:rPr>
          <w:b/>
        </w:rPr>
        <w:t xml:space="preserve"> </w:t>
      </w:r>
      <w:r w:rsidRPr="002637FC">
        <w:t xml:space="preserve"> </w:t>
      </w:r>
    </w:p>
    <w:p w14:paraId="485D17EE" w14:textId="5774FFE6" w:rsidR="00C54F7B" w:rsidRPr="002637FC" w:rsidRDefault="00987A95" w:rsidP="000A41DC">
      <w:pPr>
        <w:ind w:left="720" w:hanging="360"/>
      </w:pPr>
      <w:r w:rsidRPr="002637FC">
        <w:t>5</w:t>
      </w:r>
      <w:r w:rsidR="00F4444C" w:rsidRPr="002637FC">
        <w:t xml:space="preserve">. Las siguientes condiciones rigen para los anticipos de sueldo:  </w:t>
      </w:r>
    </w:p>
    <w:p w14:paraId="2A4214E5" w14:textId="77777777" w:rsidR="00B83B4C" w:rsidRPr="002637FC" w:rsidRDefault="00B83B4C">
      <w:pPr>
        <w:ind w:left="142" w:firstLine="0"/>
      </w:pPr>
    </w:p>
    <w:p w14:paraId="485D17EF" w14:textId="5EA19075" w:rsidR="00C54F7B" w:rsidRPr="002637FC" w:rsidRDefault="00383D00" w:rsidP="00C6185D">
      <w:pPr>
        <w:numPr>
          <w:ilvl w:val="0"/>
          <w:numId w:val="1"/>
        </w:numPr>
        <w:ind w:left="1440" w:hanging="427"/>
      </w:pPr>
      <w:r w:rsidRPr="002637FC">
        <w:t>S</w:t>
      </w:r>
      <w:r w:rsidR="00F4444C" w:rsidRPr="002637FC">
        <w:t xml:space="preserve">e recuperan por completo mediante deducciones regulares en la nómina;  </w:t>
      </w:r>
    </w:p>
    <w:p w14:paraId="20BBF1AC" w14:textId="77777777" w:rsidR="00B83B4C" w:rsidRPr="002637FC" w:rsidRDefault="00B83B4C" w:rsidP="00B83B4C">
      <w:pPr>
        <w:ind w:left="993" w:firstLine="0"/>
      </w:pPr>
    </w:p>
    <w:p w14:paraId="485D17F0" w14:textId="10905417" w:rsidR="00C54F7B" w:rsidRPr="002637FC" w:rsidRDefault="00383D00" w:rsidP="00C6185D">
      <w:pPr>
        <w:numPr>
          <w:ilvl w:val="0"/>
          <w:numId w:val="1"/>
        </w:numPr>
        <w:ind w:left="1440" w:hanging="427"/>
      </w:pPr>
      <w:r w:rsidRPr="002637FC">
        <w:t>L</w:t>
      </w:r>
      <w:r w:rsidR="00F4444C" w:rsidRPr="002637FC">
        <w:t xml:space="preserve">os anticipos para miembros del personal contratados internacionalmente </w:t>
      </w:r>
      <w:r w:rsidR="00987A95" w:rsidRPr="002637FC">
        <w:t xml:space="preserve">e </w:t>
      </w:r>
      <w:proofErr w:type="spellStart"/>
      <w:r w:rsidR="00987A95" w:rsidRPr="002637FC">
        <w:t>IPSAs</w:t>
      </w:r>
      <w:proofErr w:type="spellEnd"/>
      <w:r w:rsidR="00987A95" w:rsidRPr="002637FC">
        <w:t xml:space="preserve"> </w:t>
      </w:r>
      <w:r w:rsidR="00F4444C" w:rsidRPr="002637FC">
        <w:t xml:space="preserve">siempre se recuperan en dólares estadounidenses. Esos anticipos pueden desembolsarse en la moneda local del lugar de destino del miembro del personal.  Cuando se paga un anticipo en una moneda diferente al dólar estadounidense, el monto de ese anticipo se convertirá a dólares estadounidenses al tipo de cambio oficial de la ONU en efecto al momento en que se emitió el anticipo, y ese monto en dólares estadounidenses es el que se recuperará;  </w:t>
      </w:r>
    </w:p>
    <w:p w14:paraId="57FC0CDB" w14:textId="77777777" w:rsidR="00B83B4C" w:rsidRPr="002637FC" w:rsidRDefault="00B83B4C" w:rsidP="00B83B4C">
      <w:pPr>
        <w:pStyle w:val="ListParagraph"/>
      </w:pPr>
    </w:p>
    <w:p w14:paraId="485D17F1" w14:textId="4905D6E1" w:rsidR="00C54F7B" w:rsidRPr="002637FC" w:rsidRDefault="00874FDD" w:rsidP="00C6185D">
      <w:pPr>
        <w:numPr>
          <w:ilvl w:val="0"/>
          <w:numId w:val="1"/>
        </w:numPr>
        <w:ind w:left="1440" w:hanging="427"/>
      </w:pPr>
      <w:r w:rsidRPr="002637FC">
        <w:t>Los miembros del personal contratados localmente y los NPSA sólo pueden recibir anticipos en la moneda en la que se paga su salario y el anticipo debe reembolsarse en la misma moneda</w:t>
      </w:r>
      <w:r w:rsidR="00F4444C" w:rsidRPr="002637FC">
        <w:t xml:space="preserve">;  </w:t>
      </w:r>
    </w:p>
    <w:p w14:paraId="64B1DAAF" w14:textId="77777777" w:rsidR="00B83B4C" w:rsidRPr="002637FC" w:rsidRDefault="00B83B4C" w:rsidP="00B83B4C">
      <w:pPr>
        <w:pStyle w:val="ListParagraph"/>
      </w:pPr>
    </w:p>
    <w:p w14:paraId="25110FBD" w14:textId="6DBE4243" w:rsidR="00B83B4C" w:rsidRPr="002637FC" w:rsidRDefault="00383D00" w:rsidP="00C6185D">
      <w:pPr>
        <w:numPr>
          <w:ilvl w:val="0"/>
          <w:numId w:val="1"/>
        </w:numPr>
        <w:ind w:left="1440" w:hanging="427"/>
      </w:pPr>
      <w:r w:rsidRPr="002637FC">
        <w:lastRenderedPageBreak/>
        <w:t>L</w:t>
      </w:r>
      <w:r w:rsidR="00F4444C" w:rsidRPr="002637FC">
        <w:t xml:space="preserve">a recuperación comienza con el primer día de pago mensual después de que se haya otorgado el anticipo, a menos que se estipule de otro modo al momento de la aprobación; </w:t>
      </w:r>
    </w:p>
    <w:p w14:paraId="76F85B7B" w14:textId="77777777" w:rsidR="00B83B4C" w:rsidRPr="002637FC" w:rsidRDefault="00B83B4C" w:rsidP="00B83B4C">
      <w:pPr>
        <w:pStyle w:val="ListParagraph"/>
      </w:pPr>
    </w:p>
    <w:p w14:paraId="343630DB" w14:textId="57107551" w:rsidR="00B83B4C" w:rsidRPr="002637FC" w:rsidRDefault="00874FDD" w:rsidP="00C6185D">
      <w:pPr>
        <w:numPr>
          <w:ilvl w:val="0"/>
          <w:numId w:val="1"/>
        </w:numPr>
        <w:ind w:left="1440" w:hanging="427"/>
      </w:pPr>
      <w:r w:rsidRPr="002637FC">
        <w:t xml:space="preserve">Salvo que se especifique lo contrario, se liquidan a una tasa constante de hasta un máximo de doce (12) períodos de pago consecutivos sin extenderse los mismos más allá de la fecha de expiración del nombramiento / </w:t>
      </w:r>
      <w:r w:rsidR="002637FC" w:rsidRPr="002637FC">
        <w:t>contrato</w:t>
      </w:r>
      <w:r w:rsidRPr="002637FC">
        <w:t>;</w:t>
      </w:r>
      <w:r w:rsidR="00F4444C" w:rsidRPr="002637FC">
        <w:t xml:space="preserve"> </w:t>
      </w:r>
    </w:p>
    <w:p w14:paraId="0FE062F3" w14:textId="77777777" w:rsidR="00B83B4C" w:rsidRPr="002637FC" w:rsidRDefault="00B83B4C" w:rsidP="00B83B4C">
      <w:pPr>
        <w:pStyle w:val="ListParagraph"/>
      </w:pPr>
    </w:p>
    <w:p w14:paraId="3A3A14B4" w14:textId="7D9FF209" w:rsidR="00B83B4C" w:rsidRPr="002637FC" w:rsidRDefault="00383D00" w:rsidP="00F90CA2">
      <w:pPr>
        <w:numPr>
          <w:ilvl w:val="0"/>
          <w:numId w:val="1"/>
        </w:numPr>
        <w:ind w:left="993" w:firstLine="0"/>
      </w:pPr>
      <w:r w:rsidRPr="002637FC">
        <w:t>N</w:t>
      </w:r>
      <w:r w:rsidR="00F4444C" w:rsidRPr="002637FC">
        <w:t xml:space="preserve">o se otorgarán nuevos anticipos mientras esté en curso un anticipo o una parte de un anticipo anterior, excepto:  </w:t>
      </w:r>
    </w:p>
    <w:p w14:paraId="485D17F5" w14:textId="35D026E5" w:rsidR="00C54F7B" w:rsidRPr="002637FC" w:rsidRDefault="00383D00" w:rsidP="00B93394">
      <w:pPr>
        <w:numPr>
          <w:ilvl w:val="1"/>
          <w:numId w:val="1"/>
        </w:numPr>
        <w:ind w:left="1800" w:hanging="360"/>
      </w:pPr>
      <w:r w:rsidRPr="002637FC">
        <w:t>E</w:t>
      </w:r>
      <w:r w:rsidR="00F4444C" w:rsidRPr="002637FC">
        <w:t xml:space="preserve">n el caso de gastos médicos importantes que requieran un reembolso por parte de un esquema de seguro médico de la ONU; o  </w:t>
      </w:r>
    </w:p>
    <w:p w14:paraId="7124DF08" w14:textId="77777777" w:rsidR="00487824" w:rsidRPr="002637FC" w:rsidRDefault="00487824" w:rsidP="00B93394">
      <w:pPr>
        <w:ind w:left="1980" w:hanging="540"/>
      </w:pPr>
    </w:p>
    <w:p w14:paraId="485D17F6" w14:textId="144E57B8" w:rsidR="00C54F7B" w:rsidRPr="002637FC" w:rsidRDefault="00383D00" w:rsidP="00B93394">
      <w:pPr>
        <w:numPr>
          <w:ilvl w:val="1"/>
          <w:numId w:val="1"/>
        </w:numPr>
        <w:ind w:left="1800" w:hanging="360"/>
      </w:pPr>
      <w:r w:rsidRPr="002637FC">
        <w:t>S</w:t>
      </w:r>
      <w:r w:rsidR="00F4444C" w:rsidRPr="002637FC">
        <w:t xml:space="preserve">i, se basa en determinaciones de seguridad y del lugar de destino aprobado de acuerdo con el Manual de Seguridad del Departamento de Protección y Seguridad de las Naciones Unidas (UNDSS, </w:t>
      </w:r>
      <w:proofErr w:type="spellStart"/>
      <w:r w:rsidR="00F4444C" w:rsidRPr="002637FC">
        <w:rPr>
          <w:i/>
        </w:rPr>
        <w:t>United</w:t>
      </w:r>
      <w:proofErr w:type="spellEnd"/>
      <w:r w:rsidR="00F4444C" w:rsidRPr="002637FC">
        <w:rPr>
          <w:i/>
        </w:rPr>
        <w:t xml:space="preserve"> </w:t>
      </w:r>
      <w:proofErr w:type="spellStart"/>
      <w:r w:rsidR="00F4444C" w:rsidRPr="002637FC">
        <w:rPr>
          <w:i/>
        </w:rPr>
        <w:t>Nations</w:t>
      </w:r>
      <w:proofErr w:type="spellEnd"/>
      <w:r w:rsidR="00F4444C" w:rsidRPr="002637FC">
        <w:rPr>
          <w:i/>
        </w:rPr>
        <w:t xml:space="preserve"> </w:t>
      </w:r>
      <w:proofErr w:type="spellStart"/>
      <w:r w:rsidR="00F4444C" w:rsidRPr="002637FC">
        <w:rPr>
          <w:i/>
        </w:rPr>
        <w:t>Department</w:t>
      </w:r>
      <w:proofErr w:type="spellEnd"/>
      <w:r w:rsidR="00F4444C" w:rsidRPr="002637FC">
        <w:rPr>
          <w:i/>
        </w:rPr>
        <w:t xml:space="preserve"> </w:t>
      </w:r>
      <w:proofErr w:type="spellStart"/>
      <w:r w:rsidR="00F4444C" w:rsidRPr="002637FC">
        <w:rPr>
          <w:i/>
        </w:rPr>
        <w:t>of</w:t>
      </w:r>
      <w:proofErr w:type="spellEnd"/>
      <w:r w:rsidR="00F4444C" w:rsidRPr="002637FC">
        <w:rPr>
          <w:i/>
        </w:rPr>
        <w:t xml:space="preserve"> Safety and Security</w:t>
      </w:r>
      <w:r w:rsidR="00F4444C" w:rsidRPr="002637FC">
        <w:t>, por sus siglas en inglés); o</w:t>
      </w:r>
      <w:r w:rsidR="00F4444C" w:rsidRPr="002637FC">
        <w:rPr>
          <w:i/>
        </w:rPr>
        <w:t xml:space="preserve"> </w:t>
      </w:r>
      <w:r w:rsidR="00F4444C" w:rsidRPr="002637FC">
        <w:t xml:space="preserve"> </w:t>
      </w:r>
    </w:p>
    <w:p w14:paraId="369D772F" w14:textId="77777777" w:rsidR="00487824" w:rsidRPr="002637FC" w:rsidRDefault="00487824" w:rsidP="00B93394">
      <w:pPr>
        <w:pStyle w:val="ListParagraph"/>
        <w:ind w:left="1980" w:hanging="540"/>
      </w:pPr>
    </w:p>
    <w:p w14:paraId="485D17F7" w14:textId="2DAD5D8A" w:rsidR="00C54F7B" w:rsidRPr="002637FC" w:rsidRDefault="00383D00" w:rsidP="00B93394">
      <w:pPr>
        <w:numPr>
          <w:ilvl w:val="1"/>
          <w:numId w:val="1"/>
        </w:numPr>
        <w:spacing w:after="26"/>
        <w:ind w:left="1800" w:hanging="360"/>
      </w:pPr>
      <w:r w:rsidRPr="002637FC">
        <w:t>E</w:t>
      </w:r>
      <w:r w:rsidR="00F4444C" w:rsidRPr="002637FC">
        <w:t xml:space="preserve">n el caso de anticipos aprobados excepcionalmente en situaciones de emergencia específicas por el Administrador Auxiliar y el Director del Buró de Gestión de Servicios (BMS, </w:t>
      </w:r>
      <w:r w:rsidR="00F4444C" w:rsidRPr="002637FC">
        <w:rPr>
          <w:i/>
        </w:rPr>
        <w:t xml:space="preserve">Bureau </w:t>
      </w:r>
      <w:proofErr w:type="spellStart"/>
      <w:r w:rsidR="00F4444C" w:rsidRPr="002637FC">
        <w:rPr>
          <w:i/>
        </w:rPr>
        <w:t>for</w:t>
      </w:r>
      <w:proofErr w:type="spellEnd"/>
      <w:r w:rsidR="00F4444C" w:rsidRPr="002637FC">
        <w:rPr>
          <w:i/>
        </w:rPr>
        <w:t xml:space="preserve"> Management Services</w:t>
      </w:r>
      <w:r w:rsidR="00F4444C" w:rsidRPr="002637FC">
        <w:t>, por sus siglas en inglés)</w:t>
      </w:r>
      <w:r w:rsidR="00F4444C" w:rsidRPr="002637FC">
        <w:rPr>
          <w:i/>
        </w:rPr>
        <w:t xml:space="preserve"> </w:t>
      </w:r>
      <w:r w:rsidR="00F4444C" w:rsidRPr="002637FC">
        <w:t xml:space="preserve"> </w:t>
      </w:r>
    </w:p>
    <w:p w14:paraId="3C997D6C" w14:textId="77777777" w:rsidR="00487824" w:rsidRPr="002637FC" w:rsidRDefault="00487824" w:rsidP="00487824">
      <w:pPr>
        <w:spacing w:after="26"/>
        <w:ind w:left="2160" w:firstLine="0"/>
      </w:pPr>
    </w:p>
    <w:p w14:paraId="485D17F8" w14:textId="2F489B7B" w:rsidR="00C54F7B" w:rsidRPr="002637FC" w:rsidRDefault="00874FDD" w:rsidP="00C6185D">
      <w:pPr>
        <w:numPr>
          <w:ilvl w:val="0"/>
          <w:numId w:val="1"/>
        </w:numPr>
        <w:ind w:left="1440" w:hanging="427"/>
      </w:pPr>
      <w:r w:rsidRPr="002637FC">
        <w:t xml:space="preserve">La solicitud de anticipo debe explicar detalladamente la situación excepcional e inesperada para la que se necesitan los fondos y adjuntar la documentación justificativa. También debe incluir un compromiso por escrito de </w:t>
      </w:r>
      <w:proofErr w:type="gramStart"/>
      <w:r w:rsidRPr="002637FC">
        <w:t>que</w:t>
      </w:r>
      <w:proofErr w:type="gramEnd"/>
      <w:r w:rsidRPr="002637FC">
        <w:t xml:space="preserve"> si el miembro del personal / titular del APS se separa del servicio, cualquier saldo pendiente de un anticipo se recuperará en su totalidad con cargo a los emolumentos finales. Cualquier saldo que supere los emolumentos finales adeudados deberá abonarse inmediatamente y en su totalidad antes de la separación del servicio</w:t>
      </w:r>
      <w:r w:rsidR="00487824" w:rsidRPr="002637FC">
        <w:t xml:space="preserve">.  </w:t>
      </w:r>
      <w:r w:rsidR="00487824" w:rsidRPr="002637FC">
        <w:rPr>
          <w:i/>
        </w:rPr>
        <w:t xml:space="preserve"> </w:t>
      </w:r>
      <w:r w:rsidR="00487824" w:rsidRPr="002637FC">
        <w:t xml:space="preserve"> </w:t>
      </w:r>
    </w:p>
    <w:p w14:paraId="485D17F9" w14:textId="77777777" w:rsidR="00C54F7B" w:rsidRPr="002637FC" w:rsidRDefault="00F4444C">
      <w:pPr>
        <w:spacing w:after="0" w:line="259" w:lineRule="auto"/>
        <w:ind w:left="0" w:firstLine="0"/>
        <w:jc w:val="left"/>
      </w:pPr>
      <w:r w:rsidRPr="002637FC">
        <w:rPr>
          <w:b/>
        </w:rPr>
        <w:t xml:space="preserve"> </w:t>
      </w:r>
      <w:r w:rsidRPr="002637FC">
        <w:t xml:space="preserve"> </w:t>
      </w:r>
    </w:p>
    <w:p w14:paraId="485D17FA" w14:textId="77777777" w:rsidR="00C54F7B" w:rsidRPr="002637FC" w:rsidRDefault="00F4444C">
      <w:pPr>
        <w:pStyle w:val="Heading1"/>
      </w:pPr>
      <w:r w:rsidRPr="002637FC">
        <w:t xml:space="preserve">Autorización de anticipos de sueldo y responsabilidad por la recuperación  </w:t>
      </w:r>
    </w:p>
    <w:p w14:paraId="485D17FB" w14:textId="347E5E43" w:rsidR="00C54F7B" w:rsidRPr="002637FC" w:rsidRDefault="00F4444C">
      <w:pPr>
        <w:spacing w:after="0" w:line="259" w:lineRule="auto"/>
        <w:ind w:left="0" w:firstLine="0"/>
        <w:jc w:val="left"/>
        <w:rPr>
          <w:u w:val="single"/>
        </w:rPr>
      </w:pPr>
      <w:r w:rsidRPr="002637FC">
        <w:rPr>
          <w:b/>
        </w:rPr>
        <w:t xml:space="preserve"> </w:t>
      </w:r>
      <w:r w:rsidRPr="002637FC">
        <w:t xml:space="preserve"> </w:t>
      </w:r>
      <w:proofErr w:type="spellStart"/>
      <w:r w:rsidR="00874FDD" w:rsidRPr="002637FC">
        <w:rPr>
          <w:u w:val="single"/>
        </w:rPr>
        <w:t>Solicitutes</w:t>
      </w:r>
      <w:proofErr w:type="spellEnd"/>
    </w:p>
    <w:p w14:paraId="0197C666" w14:textId="00115F04" w:rsidR="00A27253" w:rsidRPr="002637FC" w:rsidRDefault="00A27253" w:rsidP="00A27253">
      <w:pPr>
        <w:numPr>
          <w:ilvl w:val="0"/>
          <w:numId w:val="12"/>
        </w:numPr>
      </w:pPr>
      <w:r w:rsidRPr="002637FC">
        <w:t xml:space="preserve">Las solicitudes de anticipos salariales por parte de los miembros del personal contratados localmente y de los NPSA fuera de la Sede (HQ) deben presentarse a través de la plataforma de autoservicio para empleados del PNUD junto con la documentación necesaria según lo dispuesto en esta Política. La solicitud es revisada y aprobada por el personal designado con estas funciones en la Oficina. Normalmente, la autoridad de aprobación recae en el Jefe de la Oficina (Representante Residente), quien puede delegarla en el Representante Residente Adjunto (operaciones) o en una función similar.  </w:t>
      </w:r>
    </w:p>
    <w:p w14:paraId="485D17FC" w14:textId="3B0F3A49" w:rsidR="00C54F7B" w:rsidRPr="002637FC" w:rsidRDefault="00A27253" w:rsidP="00A27253">
      <w:pPr>
        <w:numPr>
          <w:ilvl w:val="0"/>
          <w:numId w:val="12"/>
        </w:numPr>
      </w:pPr>
      <w:r w:rsidRPr="002637FC">
        <w:t>Para los miembros del personal contratados localmente y los NPSA en la sede, los anticipos deben ser aprobados por el Director de la oficina correspondiente, que puede delegar en el Director Adjunto, o función similar</w:t>
      </w:r>
      <w:r w:rsidR="00F4444C" w:rsidRPr="002637FC">
        <w:t xml:space="preserve">.  </w:t>
      </w:r>
    </w:p>
    <w:p w14:paraId="485D17FD" w14:textId="77777777" w:rsidR="00C54F7B" w:rsidRPr="002637FC" w:rsidRDefault="00F4444C">
      <w:pPr>
        <w:spacing w:after="9" w:line="259" w:lineRule="auto"/>
        <w:ind w:left="142" w:firstLine="0"/>
        <w:jc w:val="left"/>
      </w:pPr>
      <w:r w:rsidRPr="002637FC">
        <w:lastRenderedPageBreak/>
        <w:t xml:space="preserve">  </w:t>
      </w:r>
    </w:p>
    <w:p w14:paraId="6E0167B8" w14:textId="77777777" w:rsidR="00C33D85" w:rsidRPr="002637FC" w:rsidRDefault="00571C73" w:rsidP="00A27253">
      <w:pPr>
        <w:numPr>
          <w:ilvl w:val="0"/>
          <w:numId w:val="12"/>
        </w:numPr>
      </w:pPr>
      <w:r w:rsidRPr="002637FC">
        <w:t>La Oficina que aprueba el anticipo de sueldo es responsable de garantizar que el pago se realice y se recupere de acuerdo la presente Política. El Administrador Adjunto y Director de BMS puede revocar la delegación de autoridad para aprobar anticipos salariales del Jefe de Oficina, o del Director de la oficina del funcionario, si se aprueban anticipos incumpliendo la presente política.</w:t>
      </w:r>
    </w:p>
    <w:p w14:paraId="46F4E2FF" w14:textId="77777777" w:rsidR="00C33D85" w:rsidRPr="002637FC" w:rsidRDefault="00C33D85" w:rsidP="00C33D85">
      <w:pPr>
        <w:pStyle w:val="ListParagraph"/>
      </w:pPr>
    </w:p>
    <w:p w14:paraId="485D17FE" w14:textId="2B41818E" w:rsidR="00C54F7B" w:rsidRPr="002637FC" w:rsidRDefault="00F4444C" w:rsidP="00A27253">
      <w:pPr>
        <w:numPr>
          <w:ilvl w:val="0"/>
          <w:numId w:val="12"/>
        </w:numPr>
      </w:pPr>
      <w:r w:rsidRPr="002637FC">
        <w:t xml:space="preserve">  </w:t>
      </w:r>
      <w:r w:rsidR="00C33D85" w:rsidRPr="002637FC">
        <w:t>A excepción de los anticipos personales de emergencia, los anticipos salariales de los miembros del personal contratados internacionalmente y de los IPSA deben ser aprobados tanto por el Director del Servicio Global de Nómina Salaria</w:t>
      </w:r>
      <w:r w:rsidR="00015A20">
        <w:t xml:space="preserve"> </w:t>
      </w:r>
      <w:r w:rsidR="00C33D85" w:rsidRPr="002637FC">
        <w:t xml:space="preserve">(GPS por sus siglas en inglés, Global </w:t>
      </w:r>
      <w:proofErr w:type="spellStart"/>
      <w:r w:rsidR="00C33D85" w:rsidRPr="002637FC">
        <w:t>Payroll</w:t>
      </w:r>
      <w:proofErr w:type="spellEnd"/>
      <w:r w:rsidR="00C33D85" w:rsidRPr="002637FC">
        <w:t xml:space="preserve"> Services) como por el Director del Servicio de Prestaciones y Derechos (</w:t>
      </w:r>
      <w:r w:rsidR="00456AAA" w:rsidRPr="002637FC">
        <w:t xml:space="preserve">BES, </w:t>
      </w:r>
      <w:proofErr w:type="spellStart"/>
      <w:r w:rsidR="00C33D85" w:rsidRPr="002637FC">
        <w:t>Benefits</w:t>
      </w:r>
      <w:proofErr w:type="spellEnd"/>
      <w:r w:rsidR="00C33D85" w:rsidRPr="002637FC">
        <w:t xml:space="preserve"> and </w:t>
      </w:r>
      <w:proofErr w:type="spellStart"/>
      <w:r w:rsidR="00C33D85" w:rsidRPr="002637FC">
        <w:t>Entitlements</w:t>
      </w:r>
      <w:proofErr w:type="spellEnd"/>
      <w:r w:rsidR="00C33D85" w:rsidRPr="002637FC">
        <w:t xml:space="preserve"> Services, por sus siglas en inglés</w:t>
      </w:r>
      <w:r w:rsidR="00456AAA" w:rsidRPr="002637FC">
        <w:t>)</w:t>
      </w:r>
      <w:r w:rsidR="00C33D85" w:rsidRPr="002637FC">
        <w:t>. Los Directores de GPS y BES son responsables de garantizar que todos los anticipos salariales se aprueben y recuperen en el marco de esta política. En caso de anticipos personales de emergencia, el Administrador Adjunto y el Director de BMS deben aprobar el anticipo salarial</w:t>
      </w:r>
    </w:p>
    <w:p w14:paraId="485D17FF" w14:textId="6142D8D2" w:rsidR="00383D00" w:rsidRPr="002637FC" w:rsidRDefault="00F4444C">
      <w:pPr>
        <w:spacing w:after="0" w:line="259" w:lineRule="auto"/>
        <w:ind w:left="720" w:firstLine="0"/>
        <w:jc w:val="left"/>
      </w:pPr>
      <w:r w:rsidRPr="002637FC">
        <w:t xml:space="preserve"> </w:t>
      </w:r>
    </w:p>
    <w:p w14:paraId="485D1800" w14:textId="77777777" w:rsidR="00C54F7B" w:rsidRPr="002637FC" w:rsidRDefault="00F4444C">
      <w:pPr>
        <w:spacing w:after="3" w:line="259" w:lineRule="auto"/>
        <w:ind w:left="10" w:hanging="10"/>
        <w:jc w:val="left"/>
      </w:pPr>
      <w:r w:rsidRPr="002637FC">
        <w:rPr>
          <w:b/>
        </w:rPr>
        <w:t xml:space="preserve">Tipos de anticipos de sueldo </w:t>
      </w:r>
      <w:r w:rsidRPr="002637FC">
        <w:t xml:space="preserve"> </w:t>
      </w:r>
    </w:p>
    <w:p w14:paraId="485D1801" w14:textId="77777777" w:rsidR="00C54F7B" w:rsidRPr="002637FC" w:rsidRDefault="00F4444C">
      <w:pPr>
        <w:spacing w:after="2" w:line="259" w:lineRule="auto"/>
        <w:ind w:left="0" w:firstLine="0"/>
        <w:jc w:val="left"/>
      </w:pPr>
      <w:r w:rsidRPr="002637FC">
        <w:rPr>
          <w:b/>
          <w:sz w:val="20"/>
        </w:rPr>
        <w:t xml:space="preserve"> </w:t>
      </w:r>
      <w:r w:rsidRPr="002637FC">
        <w:t xml:space="preserve"> </w:t>
      </w:r>
    </w:p>
    <w:p w14:paraId="485D1802" w14:textId="77777777" w:rsidR="00C54F7B" w:rsidRPr="002637FC" w:rsidRDefault="00F4444C">
      <w:pPr>
        <w:pStyle w:val="Heading1"/>
        <w:ind w:left="408"/>
      </w:pPr>
      <w:r w:rsidRPr="002637FC">
        <w:t xml:space="preserve">Anticipos para los nombramientos iniciales  </w:t>
      </w:r>
    </w:p>
    <w:p w14:paraId="485D1803" w14:textId="77777777" w:rsidR="00C54F7B" w:rsidRPr="002637FC" w:rsidRDefault="00F4444C">
      <w:pPr>
        <w:spacing w:line="259" w:lineRule="auto"/>
        <w:ind w:left="0" w:firstLine="0"/>
        <w:jc w:val="left"/>
      </w:pPr>
      <w:r w:rsidRPr="002637FC">
        <w:rPr>
          <w:b/>
          <w:sz w:val="20"/>
        </w:rPr>
        <w:t xml:space="preserve"> </w:t>
      </w:r>
      <w:r w:rsidRPr="002637FC">
        <w:t xml:space="preserve"> </w:t>
      </w:r>
    </w:p>
    <w:p w14:paraId="485D1804" w14:textId="255EE925" w:rsidR="00C54F7B" w:rsidRPr="002637FC" w:rsidRDefault="00456AAA">
      <w:pPr>
        <w:ind w:left="422" w:firstLine="0"/>
      </w:pPr>
      <w:r w:rsidRPr="002637FC">
        <w:t>10.</w:t>
      </w:r>
      <w:r w:rsidRPr="002637FC">
        <w:tab/>
        <w:t>Cuando un miembro del personal / titular de un APS (PSA, acuerdo de servicios de personal) aún no haya sido inscrito en la nómina activa en Quantum HCM, podrá concederse un único anticipo de nombramiento inicial. En caso de que se desembolse un pago duplicado, se procederá a su recuperación íntegra en la siguiente nómina</w:t>
      </w:r>
      <w:r w:rsidR="00F4444C" w:rsidRPr="002637FC">
        <w:t xml:space="preserve">.   </w:t>
      </w:r>
    </w:p>
    <w:p w14:paraId="485D1805" w14:textId="77777777" w:rsidR="00C54F7B" w:rsidRPr="002637FC" w:rsidRDefault="00F4444C">
      <w:pPr>
        <w:spacing w:after="2" w:line="259" w:lineRule="auto"/>
        <w:ind w:left="0" w:firstLine="0"/>
        <w:jc w:val="left"/>
      </w:pPr>
      <w:r w:rsidRPr="002637FC">
        <w:rPr>
          <w:b/>
          <w:sz w:val="20"/>
        </w:rPr>
        <w:t xml:space="preserve"> </w:t>
      </w:r>
      <w:r w:rsidRPr="002637FC">
        <w:t xml:space="preserve"> </w:t>
      </w:r>
    </w:p>
    <w:p w14:paraId="485D1806" w14:textId="77777777" w:rsidR="00C54F7B" w:rsidRPr="002637FC" w:rsidRDefault="00F4444C">
      <w:pPr>
        <w:pStyle w:val="Heading1"/>
        <w:ind w:left="408"/>
      </w:pPr>
      <w:r w:rsidRPr="002637FC">
        <w:t xml:space="preserve">Anticipos por no recepción del sueldo  </w:t>
      </w:r>
    </w:p>
    <w:p w14:paraId="485D1807" w14:textId="77777777" w:rsidR="00C54F7B" w:rsidRPr="002637FC" w:rsidRDefault="00F4444C">
      <w:pPr>
        <w:spacing w:line="259" w:lineRule="auto"/>
        <w:ind w:left="0" w:firstLine="0"/>
        <w:jc w:val="left"/>
      </w:pPr>
      <w:r w:rsidRPr="002637FC">
        <w:rPr>
          <w:b/>
          <w:sz w:val="20"/>
        </w:rPr>
        <w:t xml:space="preserve"> </w:t>
      </w:r>
      <w:r w:rsidRPr="002637FC">
        <w:t xml:space="preserve"> </w:t>
      </w:r>
    </w:p>
    <w:p w14:paraId="485D1808" w14:textId="220F36B9" w:rsidR="00C54F7B" w:rsidRPr="002637FC" w:rsidRDefault="00456AAA">
      <w:pPr>
        <w:ind w:left="422" w:firstLine="0"/>
      </w:pPr>
      <w:r w:rsidRPr="002637FC">
        <w:t>11.</w:t>
      </w:r>
      <w:r w:rsidRPr="002637FC">
        <w:tab/>
        <w:t>En caso de que un miembro del personal / titular de un APS no reciba un salario regular debido a un problema bancario u otro problema técnico o un salario parcial del primer mes debido al calendario de procesamiento de la nómina, se concederá un anticipo por el importe adeudado. En caso de que se abone un salario duplicado, se procederá a su recuperación íntegra en la siguiente nómina</w:t>
      </w:r>
      <w:r w:rsidR="00F4444C" w:rsidRPr="002637FC">
        <w:t xml:space="preserve">.   </w:t>
      </w:r>
    </w:p>
    <w:p w14:paraId="485D1809" w14:textId="77777777" w:rsidR="00C54F7B" w:rsidRPr="002637FC" w:rsidRDefault="00F4444C">
      <w:pPr>
        <w:spacing w:after="0" w:line="259" w:lineRule="auto"/>
        <w:ind w:left="0" w:firstLine="0"/>
        <w:jc w:val="left"/>
      </w:pPr>
      <w:r w:rsidRPr="002637FC">
        <w:rPr>
          <w:b/>
          <w:sz w:val="20"/>
        </w:rPr>
        <w:t xml:space="preserve"> </w:t>
      </w:r>
      <w:r w:rsidRPr="002637FC">
        <w:t xml:space="preserve"> </w:t>
      </w:r>
    </w:p>
    <w:p w14:paraId="485D180A" w14:textId="77777777" w:rsidR="00C54F7B" w:rsidRPr="002637FC" w:rsidRDefault="00F4444C">
      <w:pPr>
        <w:pStyle w:val="Heading1"/>
        <w:ind w:left="408"/>
      </w:pPr>
      <w:r w:rsidRPr="002637FC">
        <w:t xml:space="preserve">Anticipos por separación del servicio  </w:t>
      </w:r>
    </w:p>
    <w:p w14:paraId="485D180B" w14:textId="77777777" w:rsidR="00C54F7B" w:rsidRPr="002637FC" w:rsidRDefault="00F4444C">
      <w:pPr>
        <w:spacing w:line="259" w:lineRule="auto"/>
        <w:ind w:left="0" w:firstLine="0"/>
        <w:jc w:val="left"/>
      </w:pPr>
      <w:r w:rsidRPr="002637FC">
        <w:rPr>
          <w:b/>
          <w:sz w:val="20"/>
        </w:rPr>
        <w:t xml:space="preserve"> </w:t>
      </w:r>
      <w:r w:rsidRPr="002637FC">
        <w:t xml:space="preserve"> </w:t>
      </w:r>
    </w:p>
    <w:p w14:paraId="485D180C" w14:textId="1A5D8BD9" w:rsidR="00C54F7B" w:rsidRPr="002637FC" w:rsidRDefault="00456AAA">
      <w:pPr>
        <w:ind w:left="422" w:firstLine="0"/>
      </w:pPr>
      <w:r w:rsidRPr="002637FC">
        <w:t>12.</w:t>
      </w:r>
      <w:r w:rsidRPr="002637FC">
        <w:tab/>
        <w:t>Cuando un miembro del personal / titular de un APS se separa del servicio y la liquidación final de las cuentas salariales no puede realizarse en el momento del cese, puede concederse un anticipo que no supere el 80 % de los pagos netos finales estimados adeudados</w:t>
      </w:r>
      <w:r w:rsidR="00F4444C" w:rsidRPr="002637FC">
        <w:t xml:space="preserve">.  </w:t>
      </w:r>
    </w:p>
    <w:p w14:paraId="485D180D" w14:textId="77777777" w:rsidR="00C54F7B" w:rsidRPr="002637FC" w:rsidRDefault="00F4444C">
      <w:pPr>
        <w:spacing w:after="2" w:line="259" w:lineRule="auto"/>
        <w:ind w:left="0" w:firstLine="0"/>
        <w:jc w:val="left"/>
      </w:pPr>
      <w:r w:rsidRPr="002637FC">
        <w:rPr>
          <w:b/>
          <w:sz w:val="20"/>
        </w:rPr>
        <w:t xml:space="preserve"> </w:t>
      </w:r>
      <w:r w:rsidRPr="002637FC">
        <w:t xml:space="preserve"> </w:t>
      </w:r>
    </w:p>
    <w:p w14:paraId="485D180E" w14:textId="77777777" w:rsidR="00C54F7B" w:rsidRPr="002637FC" w:rsidRDefault="00F4444C">
      <w:pPr>
        <w:pStyle w:val="Heading1"/>
        <w:ind w:left="408"/>
      </w:pPr>
      <w:r w:rsidRPr="002637FC">
        <w:t xml:space="preserve">Anticipos por gastos médicos  </w:t>
      </w:r>
    </w:p>
    <w:p w14:paraId="485D180F" w14:textId="77777777" w:rsidR="00C54F7B" w:rsidRPr="002637FC" w:rsidRDefault="00F4444C">
      <w:pPr>
        <w:spacing w:after="33" w:line="259" w:lineRule="auto"/>
        <w:ind w:left="0" w:firstLine="0"/>
        <w:jc w:val="left"/>
      </w:pPr>
      <w:r w:rsidRPr="002637FC">
        <w:rPr>
          <w:b/>
          <w:sz w:val="20"/>
        </w:rPr>
        <w:t xml:space="preserve"> </w:t>
      </w:r>
      <w:r w:rsidRPr="002637FC">
        <w:t xml:space="preserve"> </w:t>
      </w:r>
    </w:p>
    <w:p w14:paraId="485D1810" w14:textId="0D6B6EB5" w:rsidR="00C54F7B" w:rsidRPr="002637FC" w:rsidRDefault="00456AAA" w:rsidP="007541B1">
      <w:pPr>
        <w:pStyle w:val="ListParagraph"/>
        <w:numPr>
          <w:ilvl w:val="0"/>
          <w:numId w:val="14"/>
        </w:numPr>
      </w:pPr>
      <w:r w:rsidRPr="002637FC">
        <w:t xml:space="preserve">Un miembro del personal / titular de un APS puede, </w:t>
      </w:r>
      <w:r w:rsidR="007541B1" w:rsidRPr="002637FC">
        <w:t>de manera excepcional</w:t>
      </w:r>
      <w:r w:rsidRPr="002637FC">
        <w:t xml:space="preserve">, solicitar un anticipo de sueldo para gastos médicos importantes e imprevistos incurridos por él o un </w:t>
      </w:r>
      <w:r w:rsidRPr="002637FC">
        <w:lastRenderedPageBreak/>
        <w:t>dependiente reconocido por el PNUD. La solicitud de tales anticipos sólo se considerará si (i) el miembro del personal / titular de PSA, incluyendo el dependiente nombrado, están inscritos en un plan médico oficial de la ONU, (</w:t>
      </w:r>
      <w:proofErr w:type="spellStart"/>
      <w:r w:rsidRPr="002637FC">
        <w:t>ii</w:t>
      </w:r>
      <w:proofErr w:type="spellEnd"/>
      <w:r w:rsidRPr="002637FC">
        <w:t>) la facturación directa / facilidad de pago no está disponible entre el proveedor de salud y la compañía de seguros y (</w:t>
      </w:r>
      <w:proofErr w:type="spellStart"/>
      <w:r w:rsidRPr="002637FC">
        <w:t>iii</w:t>
      </w:r>
      <w:proofErr w:type="spellEnd"/>
      <w:r w:rsidRPr="002637FC">
        <w:t>) las facturas deben ser pagadas antes de recibir el pago del seguro</w:t>
      </w:r>
      <w:r w:rsidR="00F4444C" w:rsidRPr="002637FC">
        <w:t xml:space="preserve">.  </w:t>
      </w:r>
    </w:p>
    <w:p w14:paraId="6D82CE79" w14:textId="77777777" w:rsidR="00872E97" w:rsidRPr="002637FC" w:rsidRDefault="00872E97" w:rsidP="00872E97">
      <w:pPr>
        <w:ind w:left="428" w:firstLine="0"/>
      </w:pPr>
    </w:p>
    <w:p w14:paraId="4D4A7CAA" w14:textId="586C29D1" w:rsidR="007541B1" w:rsidRPr="002637FC" w:rsidRDefault="007541B1" w:rsidP="007541B1">
      <w:pPr>
        <w:pStyle w:val="ListParagraph"/>
        <w:numPr>
          <w:ilvl w:val="0"/>
          <w:numId w:val="14"/>
        </w:numPr>
      </w:pPr>
      <w:r w:rsidRPr="002637FC">
        <w:t xml:space="preserve"> Se espera que la mayoría de los gastos médicos estén cubiertos por un plan de seguro médico de la ONU. Sin embargo, si un miembro del personal / titular de un APS o un dependiente reconocido por el PNUD, incurre en gastos médicos importantes que están más allá de los límites del plan de seguro médico y se enfrenta a dificultades financieras indebidas, se puede considerar un anticipo de sueldo en virtud de las disposiciones relativas a los anticipos de sueldo de emergencia personal.</w:t>
      </w:r>
    </w:p>
    <w:p w14:paraId="6AFEF060" w14:textId="77777777" w:rsidR="00872E97" w:rsidRPr="002637FC" w:rsidRDefault="00872E97" w:rsidP="00872E97">
      <w:pPr>
        <w:pStyle w:val="ListParagraph"/>
      </w:pPr>
    </w:p>
    <w:p w14:paraId="67396F84" w14:textId="0FD05ACC" w:rsidR="007541B1" w:rsidRPr="002637FC" w:rsidRDefault="007541B1" w:rsidP="007541B1">
      <w:pPr>
        <w:pStyle w:val="ListParagraph"/>
        <w:numPr>
          <w:ilvl w:val="0"/>
          <w:numId w:val="14"/>
        </w:numPr>
      </w:pPr>
      <w:r w:rsidRPr="002637FC">
        <w:t>El anticipo no puede superar el menor de los siguientes importes: (i) dos meses de salario neto, (</w:t>
      </w:r>
      <w:proofErr w:type="spellStart"/>
      <w:r w:rsidRPr="002637FC">
        <w:t>ii</w:t>
      </w:r>
      <w:proofErr w:type="spellEnd"/>
      <w:r w:rsidRPr="002637FC">
        <w:t>) el importe máximo reembolsable en virtud del régimen de seguro médico aplicable o (</w:t>
      </w:r>
      <w:proofErr w:type="spellStart"/>
      <w:r w:rsidRPr="002637FC">
        <w:t>iii</w:t>
      </w:r>
      <w:proofErr w:type="spellEnd"/>
      <w:r w:rsidRPr="002637FC">
        <w:t>) el importe de la factura del hospital. Los anticipos para gastos médicos pueden concederse simultáneamente con un anticipo salarial existente.</w:t>
      </w:r>
    </w:p>
    <w:p w14:paraId="473804C6" w14:textId="77777777" w:rsidR="00872E97" w:rsidRPr="002637FC" w:rsidRDefault="00872E97" w:rsidP="00872E97">
      <w:pPr>
        <w:ind w:left="428" w:firstLine="0"/>
      </w:pPr>
    </w:p>
    <w:p w14:paraId="4A252993" w14:textId="5386D130" w:rsidR="007541B1" w:rsidRPr="002637FC" w:rsidRDefault="007541B1" w:rsidP="007541B1">
      <w:pPr>
        <w:pStyle w:val="ListParagraph"/>
        <w:numPr>
          <w:ilvl w:val="0"/>
          <w:numId w:val="14"/>
        </w:numPr>
      </w:pPr>
      <w:r w:rsidRPr="002637FC">
        <w:t xml:space="preserve"> El anticipo para gastos médicos debe restituirse a través del régimen de seguro de salude aplicable o por el miembro del personal / titular del APS en un plazo de cuatro meses a partir de la concesión del anticipo</w:t>
      </w:r>
      <w:r w:rsidR="00B93394">
        <w:t>.</w:t>
      </w:r>
    </w:p>
    <w:p w14:paraId="485D1819" w14:textId="6DF54C1C" w:rsidR="00C54F7B" w:rsidRPr="002637FC" w:rsidRDefault="00F4444C" w:rsidP="00B93394">
      <w:pPr>
        <w:spacing w:after="50" w:line="259" w:lineRule="auto"/>
        <w:ind w:left="0" w:firstLine="0"/>
        <w:jc w:val="left"/>
      </w:pPr>
      <w:r w:rsidRPr="002637FC">
        <w:rPr>
          <w:b/>
          <w:sz w:val="20"/>
        </w:rPr>
        <w:t xml:space="preserve"> </w:t>
      </w:r>
      <w:r w:rsidRPr="002637FC">
        <w:t xml:space="preserve"> </w:t>
      </w:r>
      <w:r w:rsidRPr="002637FC">
        <w:rPr>
          <w:b/>
          <w:color w:val="333333"/>
        </w:rPr>
        <w:t xml:space="preserve"> </w:t>
      </w:r>
      <w:r w:rsidRPr="002637FC">
        <w:t xml:space="preserve"> </w:t>
      </w:r>
    </w:p>
    <w:p w14:paraId="485D181A" w14:textId="77777777" w:rsidR="00C54F7B" w:rsidRPr="002637FC" w:rsidRDefault="00F4444C">
      <w:pPr>
        <w:pStyle w:val="Heading1"/>
        <w:ind w:left="408"/>
      </w:pPr>
      <w:r w:rsidRPr="002637FC">
        <w:t xml:space="preserve">Anticipos para pago anticipado de alquiler  </w:t>
      </w:r>
    </w:p>
    <w:p w14:paraId="485D181B" w14:textId="322080DF" w:rsidR="00C54F7B" w:rsidRPr="002637FC" w:rsidRDefault="00F4444C">
      <w:pPr>
        <w:spacing w:after="14" w:line="259" w:lineRule="auto"/>
        <w:ind w:left="427" w:firstLine="0"/>
        <w:jc w:val="left"/>
      </w:pPr>
      <w:r w:rsidRPr="002637FC">
        <w:rPr>
          <w:b/>
        </w:rPr>
        <w:t xml:space="preserve"> </w:t>
      </w:r>
      <w:r w:rsidRPr="002637FC">
        <w:t xml:space="preserve"> </w:t>
      </w:r>
    </w:p>
    <w:p w14:paraId="23FCB69E" w14:textId="253181A3" w:rsidR="00872E97" w:rsidRPr="002637FC" w:rsidRDefault="00872E97" w:rsidP="001F0243">
      <w:pPr>
        <w:pStyle w:val="ListParagraph"/>
        <w:numPr>
          <w:ilvl w:val="0"/>
          <w:numId w:val="14"/>
        </w:numPr>
        <w:spacing w:after="14" w:line="259" w:lineRule="auto"/>
      </w:pPr>
      <w:r w:rsidRPr="002637FC">
        <w:t>A los funcionarios contratados internacionalmente se les puede conceder un anticipo de alquiler cuando normalmente deban pagarse por adelantado tres o más meses de alquiler para garantizar el alojamiento según lo estipulado en el contrato de arrendamiento. La solicitud de anticipo debe especificar el importe del alquiler, el número de meses por los que el contrato de arrendamiento indica que debe pagarse por adelantado, el importe y la moneda del anticipo solicitado.</w:t>
      </w:r>
    </w:p>
    <w:p w14:paraId="7747087A" w14:textId="77777777" w:rsidR="00872E97" w:rsidRPr="002637FC" w:rsidRDefault="00872E97" w:rsidP="00872E97">
      <w:pPr>
        <w:spacing w:after="14" w:line="259" w:lineRule="auto"/>
        <w:ind w:left="428" w:firstLine="0"/>
        <w:jc w:val="left"/>
      </w:pPr>
    </w:p>
    <w:p w14:paraId="3EA15874" w14:textId="2593343D" w:rsidR="00872E97" w:rsidRPr="002637FC" w:rsidRDefault="00872E97" w:rsidP="001F0243">
      <w:pPr>
        <w:pStyle w:val="ListParagraph"/>
        <w:numPr>
          <w:ilvl w:val="0"/>
          <w:numId w:val="14"/>
        </w:numPr>
        <w:spacing w:after="14" w:line="259" w:lineRule="auto"/>
      </w:pPr>
      <w:r w:rsidRPr="002637FC">
        <w:t xml:space="preserve">El número de meses de adelanto debe ajustarse a la práctica habitual para las propiedades de alquiler en el lugar de destino, según lo confirmado por el </w:t>
      </w:r>
      <w:proofErr w:type="gramStart"/>
      <w:r w:rsidRPr="002637FC">
        <w:t>Jefe</w:t>
      </w:r>
      <w:proofErr w:type="gramEnd"/>
      <w:r w:rsidRPr="002637FC">
        <w:t xml:space="preserve"> de la Oficina.</w:t>
      </w:r>
    </w:p>
    <w:p w14:paraId="2C51D2BB" w14:textId="77777777" w:rsidR="00872E97" w:rsidRPr="002637FC" w:rsidRDefault="00872E97" w:rsidP="00872E97">
      <w:pPr>
        <w:pStyle w:val="ListParagraph"/>
      </w:pPr>
    </w:p>
    <w:p w14:paraId="1B47CB60" w14:textId="79279746" w:rsidR="00872E97" w:rsidRPr="002637FC" w:rsidRDefault="00872E97" w:rsidP="001F0243">
      <w:pPr>
        <w:pStyle w:val="ListParagraph"/>
        <w:numPr>
          <w:ilvl w:val="0"/>
          <w:numId w:val="14"/>
        </w:numPr>
        <w:spacing w:after="14" w:line="259" w:lineRule="auto"/>
      </w:pPr>
      <w:r w:rsidRPr="002637FC">
        <w:t>El importe del anticipo sólo cubre el alquiler; no cubre los depósitos de seguridad (que generalmente se devuelven al inquilino al final del contrato), los honorarios de los agentes ni los gastos recurrentes como la electricidad, el agua u otros servicios públicos cuando éstos se pagan aparte del alquiler.</w:t>
      </w:r>
    </w:p>
    <w:p w14:paraId="714AE1ED" w14:textId="77777777" w:rsidR="00872E97" w:rsidRPr="002637FC" w:rsidRDefault="00872E97" w:rsidP="00872E97">
      <w:pPr>
        <w:pStyle w:val="ListParagraph"/>
      </w:pPr>
    </w:p>
    <w:p w14:paraId="6F511D65" w14:textId="77777777" w:rsidR="00872E97" w:rsidRPr="002637FC" w:rsidRDefault="00872E97" w:rsidP="00872E97">
      <w:pPr>
        <w:pStyle w:val="ListParagraph"/>
        <w:numPr>
          <w:ilvl w:val="0"/>
          <w:numId w:val="14"/>
        </w:numPr>
        <w:spacing w:after="33" w:line="256" w:lineRule="auto"/>
      </w:pPr>
      <w:r w:rsidRPr="002637FC">
        <w:t>El importe del anticipo se recuperará dentro del plazo del contrato de arrendamiento para el que se solicitó el anticipo o dentro del periodo de contrato en curso del funcionario, lo que ocurra primero.</w:t>
      </w:r>
    </w:p>
    <w:p w14:paraId="15E1AF91" w14:textId="77777777" w:rsidR="00872E97" w:rsidRPr="002637FC" w:rsidRDefault="00872E97" w:rsidP="00872E97">
      <w:pPr>
        <w:pStyle w:val="ListParagraph"/>
      </w:pPr>
    </w:p>
    <w:p w14:paraId="7EE34E97" w14:textId="4F41A2D8" w:rsidR="00872E97" w:rsidRPr="002637FC" w:rsidRDefault="00872E97" w:rsidP="00015A20">
      <w:pPr>
        <w:pStyle w:val="ListParagraph"/>
        <w:numPr>
          <w:ilvl w:val="0"/>
          <w:numId w:val="14"/>
        </w:numPr>
        <w:spacing w:after="14" w:line="259" w:lineRule="auto"/>
      </w:pPr>
      <w:r w:rsidRPr="002637FC">
        <w:lastRenderedPageBreak/>
        <w:t xml:space="preserve">No se autorizan anticipos para el pago anticipado de alquileres a los funcionarios destinados en lugares de destino del Grupo I en virtud </w:t>
      </w:r>
      <w:hyperlink r:id="rId12" w:history="1">
        <w:r w:rsidRPr="002637FC">
          <w:rPr>
            <w:rStyle w:val="Hyperlink"/>
            <w:color w:val="954F72"/>
          </w:rPr>
          <w:t>del sistema de reajuste de puestos</w:t>
        </w:r>
      </w:hyperlink>
      <w:r w:rsidR="00F96681">
        <w:rPr>
          <w:rStyle w:val="Hyperlink"/>
          <w:color w:val="954F72"/>
        </w:rPr>
        <w:t xml:space="preserve"> </w:t>
      </w:r>
      <w:r w:rsidR="00F96681">
        <w:t>(e</w:t>
      </w:r>
      <w:r w:rsidR="00F96681" w:rsidRPr="002637FC">
        <w:t xml:space="preserve">n inglés).  </w:t>
      </w:r>
    </w:p>
    <w:p w14:paraId="485D1823" w14:textId="77777777" w:rsidR="00C54F7B" w:rsidRPr="002637FC" w:rsidRDefault="00F4444C">
      <w:pPr>
        <w:spacing w:after="0" w:line="259" w:lineRule="auto"/>
        <w:ind w:left="0" w:firstLine="0"/>
        <w:jc w:val="left"/>
      </w:pPr>
      <w:r w:rsidRPr="002637FC">
        <w:t xml:space="preserve">  </w:t>
      </w:r>
    </w:p>
    <w:p w14:paraId="485D1824" w14:textId="77777777" w:rsidR="00C54F7B" w:rsidRPr="002637FC" w:rsidRDefault="00F4444C">
      <w:pPr>
        <w:pStyle w:val="Heading1"/>
        <w:ind w:left="408"/>
      </w:pPr>
      <w:r w:rsidRPr="002637FC">
        <w:t xml:space="preserve">Anticipos para compra de un vehículo particular  </w:t>
      </w:r>
    </w:p>
    <w:p w14:paraId="7EB031FC" w14:textId="4766A2C8" w:rsidR="007B61B6" w:rsidRDefault="007B61B6" w:rsidP="007B61B6">
      <w:pPr>
        <w:pStyle w:val="ListParagraph"/>
        <w:numPr>
          <w:ilvl w:val="0"/>
          <w:numId w:val="14"/>
        </w:numPr>
      </w:pPr>
      <w:r w:rsidRPr="002637FC">
        <w:t xml:space="preserve">Los miembros del personal contratados internacionalmente entre las categorías P-1 a P-4 pueden recibir un anticipo de sueldo para la compra de un automóvil particular de hasta USD 7500.00 o el equivalente en moneda local al tipo de cambio operacional de las Naciones Unidas (UNORE, </w:t>
      </w:r>
      <w:proofErr w:type="spellStart"/>
      <w:r w:rsidRPr="002637FC">
        <w:rPr>
          <w:i/>
        </w:rPr>
        <w:t>United</w:t>
      </w:r>
      <w:proofErr w:type="spellEnd"/>
      <w:r w:rsidRPr="002637FC">
        <w:rPr>
          <w:i/>
        </w:rPr>
        <w:t xml:space="preserve"> </w:t>
      </w:r>
      <w:proofErr w:type="spellStart"/>
      <w:r w:rsidRPr="002637FC">
        <w:rPr>
          <w:i/>
        </w:rPr>
        <w:t>Nations</w:t>
      </w:r>
      <w:proofErr w:type="spellEnd"/>
      <w:r w:rsidRPr="002637FC">
        <w:rPr>
          <w:i/>
        </w:rPr>
        <w:t xml:space="preserve"> </w:t>
      </w:r>
      <w:proofErr w:type="spellStart"/>
      <w:r w:rsidRPr="002637FC">
        <w:rPr>
          <w:i/>
        </w:rPr>
        <w:t>Operational</w:t>
      </w:r>
      <w:proofErr w:type="spellEnd"/>
      <w:r w:rsidRPr="002637FC">
        <w:rPr>
          <w:i/>
        </w:rPr>
        <w:t xml:space="preserve"> </w:t>
      </w:r>
      <w:proofErr w:type="spellStart"/>
      <w:r w:rsidRPr="002637FC">
        <w:rPr>
          <w:i/>
        </w:rPr>
        <w:t>Rate</w:t>
      </w:r>
      <w:proofErr w:type="spellEnd"/>
      <w:r w:rsidRPr="002637FC">
        <w:rPr>
          <w:i/>
        </w:rPr>
        <w:t xml:space="preserve"> </w:t>
      </w:r>
      <w:proofErr w:type="spellStart"/>
      <w:r w:rsidRPr="002637FC">
        <w:rPr>
          <w:i/>
        </w:rPr>
        <w:t>of</w:t>
      </w:r>
      <w:proofErr w:type="spellEnd"/>
      <w:r w:rsidRPr="002637FC">
        <w:rPr>
          <w:i/>
        </w:rPr>
        <w:t xml:space="preserve"> </w:t>
      </w:r>
      <w:hyperlink r:id="rId13">
        <w:r w:rsidRPr="002637FC">
          <w:rPr>
            <w:i/>
          </w:rPr>
          <w:t>Exchang</w:t>
        </w:r>
      </w:hyperlink>
      <w:hyperlink r:id="rId14">
        <w:r w:rsidRPr="002637FC">
          <w:rPr>
            <w:i/>
          </w:rPr>
          <w:t>e</w:t>
        </w:r>
        <w:r w:rsidRPr="002637FC">
          <w:t>,</w:t>
        </w:r>
      </w:hyperlink>
      <w:hyperlink r:id="rId15">
        <w:r w:rsidRPr="002637FC">
          <w:t xml:space="preserve"> </w:t>
        </w:r>
      </w:hyperlink>
      <w:r w:rsidR="00717EDB" w:rsidRPr="00717EDB">
        <w:t xml:space="preserve"> </w:t>
      </w:r>
      <w:hyperlink r:id="rId16" w:history="1">
        <w:r w:rsidR="00717EDB" w:rsidRPr="00E63FD8">
          <w:rPr>
            <w:rStyle w:val="Hyperlink"/>
          </w:rPr>
          <w:t>https://treasury.un.org/operationalrates/OperationalRates.php</w:t>
        </w:r>
      </w:hyperlink>
      <w:r w:rsidRPr="002637FC">
        <w:t xml:space="preserve">, por sus siglas en inglés).  </w:t>
      </w:r>
    </w:p>
    <w:p w14:paraId="50EF661D" w14:textId="77777777" w:rsidR="005D7A96" w:rsidRPr="002637FC" w:rsidRDefault="005D7A96" w:rsidP="005D7A96">
      <w:pPr>
        <w:pStyle w:val="ListParagraph"/>
        <w:ind w:left="428" w:firstLine="0"/>
      </w:pPr>
    </w:p>
    <w:p w14:paraId="485D1825" w14:textId="38FDEF62" w:rsidR="00C54F7B" w:rsidRPr="002637FC" w:rsidRDefault="00E746DB" w:rsidP="00747233">
      <w:pPr>
        <w:pStyle w:val="ListParagraph"/>
        <w:numPr>
          <w:ilvl w:val="0"/>
          <w:numId w:val="14"/>
        </w:numPr>
        <w:spacing w:after="14" w:line="259" w:lineRule="auto"/>
      </w:pPr>
      <w:r w:rsidRPr="002637FC">
        <w:t xml:space="preserve">Las solicitudes de anticipo con este fin se considerarán, por una sola vez, dentro de los seis meses siguientes al nombramiento inicial o a la reasignación. El </w:t>
      </w:r>
      <w:proofErr w:type="gramStart"/>
      <w:r w:rsidRPr="002637FC">
        <w:t>Jefe</w:t>
      </w:r>
      <w:proofErr w:type="gramEnd"/>
      <w:r w:rsidRPr="002637FC">
        <w:t xml:space="preserve"> de la Oficina deberá certificar que el vehículo es necesario en relación con la misión del miembro del personal.</w:t>
      </w:r>
    </w:p>
    <w:p w14:paraId="485D1829" w14:textId="77777777" w:rsidR="00C54F7B" w:rsidRPr="002637FC" w:rsidRDefault="00F4444C">
      <w:pPr>
        <w:spacing w:after="28" w:line="259" w:lineRule="auto"/>
        <w:ind w:left="142" w:firstLine="0"/>
        <w:jc w:val="left"/>
      </w:pPr>
      <w:r w:rsidRPr="002637FC">
        <w:t xml:space="preserve">  </w:t>
      </w:r>
    </w:p>
    <w:p w14:paraId="485D182A" w14:textId="77777777" w:rsidR="00C54F7B" w:rsidRPr="002637FC" w:rsidRDefault="00F4444C" w:rsidP="007B61B6">
      <w:pPr>
        <w:numPr>
          <w:ilvl w:val="0"/>
          <w:numId w:val="14"/>
        </w:numPr>
      </w:pPr>
      <w:r w:rsidRPr="002637FC">
        <w:t xml:space="preserve">La solicitud de anticipo debe especificar el monto, la moneda y dónde se pagará el anticipo. Los anticipos para la compra de un vehículo particular se otorgan con la presunción de que el miembro del personal pretende mantener su vehículo durante al menos dos años o durante la duración de su asignación, lo que sea más corto.  </w:t>
      </w:r>
    </w:p>
    <w:p w14:paraId="485D182B" w14:textId="77777777" w:rsidR="00C54F7B" w:rsidRPr="002637FC" w:rsidRDefault="00F4444C">
      <w:pPr>
        <w:spacing w:after="0" w:line="259" w:lineRule="auto"/>
        <w:ind w:left="142" w:firstLine="0"/>
        <w:jc w:val="left"/>
      </w:pPr>
      <w:r w:rsidRPr="002637FC">
        <w:t xml:space="preserve">  </w:t>
      </w:r>
    </w:p>
    <w:p w14:paraId="485D182C" w14:textId="50123608" w:rsidR="00C54F7B" w:rsidRPr="002637FC" w:rsidRDefault="00F4444C" w:rsidP="00B32875">
      <w:pPr>
        <w:pStyle w:val="ListParagraph"/>
        <w:numPr>
          <w:ilvl w:val="0"/>
          <w:numId w:val="14"/>
        </w:numPr>
      </w:pPr>
      <w:r w:rsidRPr="002637FC">
        <w:t xml:space="preserve">Los anticipos para la compra de un vehículo particular no se autorizan a miembros del personal asignados a lugares de destino del grupo 1, dentro del </w:t>
      </w:r>
      <w:hyperlink r:id="rId17">
        <w:r w:rsidRPr="00F96681">
          <w:rPr>
            <w:color w:val="954F72"/>
            <w:u w:val="single" w:color="954F72"/>
          </w:rPr>
          <w:t>sistema de ajustes por lugar de destino</w:t>
        </w:r>
      </w:hyperlink>
      <w:r w:rsidRPr="002637FC">
        <w:t xml:space="preserve"> </w:t>
      </w:r>
      <w:r w:rsidR="00F96681" w:rsidRPr="00F96681">
        <w:t xml:space="preserve">(en inglés).  </w:t>
      </w:r>
    </w:p>
    <w:p w14:paraId="485D182D" w14:textId="77777777" w:rsidR="00C54F7B" w:rsidRPr="002637FC" w:rsidRDefault="00F4444C">
      <w:pPr>
        <w:spacing w:after="14" w:line="259" w:lineRule="auto"/>
        <w:ind w:left="142" w:firstLine="0"/>
        <w:jc w:val="left"/>
      </w:pPr>
      <w:r w:rsidRPr="002637FC">
        <w:t xml:space="preserve">  </w:t>
      </w:r>
    </w:p>
    <w:p w14:paraId="485D182E" w14:textId="77777777" w:rsidR="00C54F7B" w:rsidRPr="002637FC" w:rsidRDefault="00F4444C" w:rsidP="007B61B6">
      <w:pPr>
        <w:numPr>
          <w:ilvl w:val="0"/>
          <w:numId w:val="14"/>
        </w:numPr>
      </w:pPr>
      <w:r w:rsidRPr="002637FC">
        <w:t>Los miembros del personal con nombramientos temporales no son elegibles para este tipo de anticipo.</w:t>
      </w:r>
      <w:r w:rsidRPr="002637FC">
        <w:rPr>
          <w:b/>
        </w:rPr>
        <w:t xml:space="preserve"> </w:t>
      </w:r>
      <w:r w:rsidRPr="002637FC">
        <w:t xml:space="preserve"> </w:t>
      </w:r>
    </w:p>
    <w:p w14:paraId="485D182F" w14:textId="77777777" w:rsidR="00C54F7B" w:rsidRPr="002637FC" w:rsidRDefault="00F4444C">
      <w:pPr>
        <w:spacing w:after="0" w:line="259" w:lineRule="auto"/>
        <w:ind w:left="0" w:firstLine="0"/>
        <w:jc w:val="left"/>
      </w:pPr>
      <w:r w:rsidRPr="002637FC">
        <w:t xml:space="preserve">  </w:t>
      </w:r>
    </w:p>
    <w:p w14:paraId="485D1830" w14:textId="0DDDDC34" w:rsidR="00C54F7B" w:rsidRPr="002637FC" w:rsidRDefault="00F4444C">
      <w:pPr>
        <w:pStyle w:val="Heading1"/>
        <w:ind w:left="408"/>
      </w:pPr>
      <w:r w:rsidRPr="002637FC">
        <w:t xml:space="preserve">Anticipos </w:t>
      </w:r>
      <w:r w:rsidR="007F5613" w:rsidRPr="002637FC">
        <w:t>de emergencia</w:t>
      </w:r>
      <w:r w:rsidRPr="002637FC">
        <w:t xml:space="preserve">  </w:t>
      </w:r>
    </w:p>
    <w:p w14:paraId="418994C1" w14:textId="5A59025B" w:rsidR="00E746DB" w:rsidRPr="002637FC" w:rsidRDefault="00F4444C" w:rsidP="00CA4570">
      <w:pPr>
        <w:ind w:hanging="242"/>
        <w:rPr>
          <w:bCs/>
          <w:i/>
          <w:iCs/>
          <w:u w:val="single"/>
        </w:rPr>
      </w:pPr>
      <w:r w:rsidRPr="002637FC">
        <w:rPr>
          <w:b/>
        </w:rPr>
        <w:t xml:space="preserve"> </w:t>
      </w:r>
      <w:r w:rsidRPr="002637FC">
        <w:t xml:space="preserve"> </w:t>
      </w:r>
      <w:r w:rsidR="00E746DB" w:rsidRPr="002637FC">
        <w:rPr>
          <w:bCs/>
          <w:i/>
          <w:iCs/>
          <w:u w:val="single"/>
        </w:rPr>
        <w:t>Anticipos de emergencia masivos a grupos de funcionarios</w:t>
      </w:r>
    </w:p>
    <w:p w14:paraId="23BC50FA" w14:textId="77777777" w:rsidR="00E746DB" w:rsidRPr="002637FC" w:rsidRDefault="00E746DB" w:rsidP="00E746DB">
      <w:pPr>
        <w:rPr>
          <w:bCs/>
          <w:i/>
          <w:iCs/>
          <w:u w:val="single"/>
        </w:rPr>
      </w:pPr>
    </w:p>
    <w:p w14:paraId="47490030" w14:textId="23209BC1" w:rsidR="00E746DB" w:rsidRPr="002637FC" w:rsidRDefault="00E746DB" w:rsidP="00E746DB">
      <w:pPr>
        <w:pStyle w:val="ListParagraph"/>
        <w:numPr>
          <w:ilvl w:val="0"/>
          <w:numId w:val="14"/>
        </w:numPr>
        <w:spacing w:after="14" w:line="259" w:lineRule="auto"/>
        <w:jc w:val="left"/>
      </w:pPr>
      <w:r w:rsidRPr="00E746DB">
        <w:t xml:space="preserve">El Administrador Adjunto y el </w:t>
      </w:r>
      <w:proofErr w:type="gramStart"/>
      <w:r w:rsidRPr="00E746DB">
        <w:t>Director</w:t>
      </w:r>
      <w:proofErr w:type="gramEnd"/>
      <w:r w:rsidRPr="00E746DB">
        <w:t xml:space="preserve"> de los Servicios de Administración de Edificios podrán aprobar, con carácter excepcional, anticipos salariales a grupos de miembros del personal / titulares de APS, en situaciones de emergencia </w:t>
      </w:r>
      <w:r w:rsidRPr="00E746DB">
        <w:rPr>
          <w:bCs/>
        </w:rPr>
        <w:t xml:space="preserve">específicas, de </w:t>
      </w:r>
      <w:r w:rsidRPr="00E746DB">
        <w:t>conformidad con las condiciones y procedimientos especificados en el momento de la aprobación.</w:t>
      </w:r>
    </w:p>
    <w:p w14:paraId="3503FB1A" w14:textId="77777777" w:rsidR="007F5613" w:rsidRPr="002637FC" w:rsidRDefault="007F5613" w:rsidP="007F5613">
      <w:pPr>
        <w:spacing w:after="14" w:line="259" w:lineRule="auto"/>
        <w:ind w:left="428" w:firstLine="0"/>
        <w:jc w:val="left"/>
      </w:pPr>
    </w:p>
    <w:p w14:paraId="068551E5" w14:textId="72774ADB" w:rsidR="007F5613" w:rsidRPr="002637FC" w:rsidRDefault="007F5613" w:rsidP="007F5613">
      <w:pPr>
        <w:pStyle w:val="ListParagraph"/>
        <w:numPr>
          <w:ilvl w:val="0"/>
          <w:numId w:val="14"/>
        </w:numPr>
        <w:spacing w:after="33" w:line="256" w:lineRule="auto"/>
      </w:pPr>
      <w:r w:rsidRPr="002637FC">
        <w:rPr>
          <w:bCs/>
        </w:rPr>
        <w:t xml:space="preserve">Los anticipos de sueldo masivos que puedan proponer el </w:t>
      </w:r>
      <w:proofErr w:type="gramStart"/>
      <w:r w:rsidRPr="002637FC">
        <w:rPr>
          <w:bCs/>
        </w:rPr>
        <w:t>Jefe</w:t>
      </w:r>
      <w:proofErr w:type="gramEnd"/>
      <w:r w:rsidRPr="002637FC">
        <w:rPr>
          <w:bCs/>
        </w:rPr>
        <w:t xml:space="preserve"> de la Oficina o el Equipo de las Naciones Unidas en el país (UNCT) para responder a una situación de emergencia en un lugar de destino, deben ser aprobados por el Administrador Auxiliar y Director de los Servicios de Administración de Edificios.</w:t>
      </w:r>
    </w:p>
    <w:p w14:paraId="6EDDF47C" w14:textId="77777777" w:rsidR="007F5613" w:rsidRDefault="007F5613" w:rsidP="007F5613">
      <w:pPr>
        <w:pStyle w:val="ListParagraph"/>
      </w:pPr>
    </w:p>
    <w:p w14:paraId="03AA06BA" w14:textId="77777777" w:rsidR="00CA4570" w:rsidRDefault="00CA4570" w:rsidP="007F5613">
      <w:pPr>
        <w:pStyle w:val="ListParagraph"/>
      </w:pPr>
    </w:p>
    <w:p w14:paraId="5E938627" w14:textId="77777777" w:rsidR="00CA4570" w:rsidRPr="002637FC" w:rsidRDefault="00CA4570" w:rsidP="007F5613">
      <w:pPr>
        <w:pStyle w:val="ListParagraph"/>
      </w:pPr>
    </w:p>
    <w:p w14:paraId="657FB209" w14:textId="77777777" w:rsidR="007F5613" w:rsidRPr="002637FC" w:rsidRDefault="007F5613" w:rsidP="007F5613">
      <w:pPr>
        <w:spacing w:after="33" w:line="256" w:lineRule="auto"/>
        <w:ind w:left="428" w:firstLine="0"/>
      </w:pPr>
    </w:p>
    <w:p w14:paraId="2B47478A" w14:textId="043BCF4A" w:rsidR="007F5613" w:rsidRPr="002637FC" w:rsidRDefault="007F5613" w:rsidP="00CA4570">
      <w:pPr>
        <w:pStyle w:val="ListParagraph"/>
        <w:ind w:hanging="270"/>
      </w:pPr>
      <w:r w:rsidRPr="002637FC">
        <w:rPr>
          <w:bCs/>
          <w:i/>
          <w:iCs/>
          <w:u w:val="single"/>
        </w:rPr>
        <w:lastRenderedPageBreak/>
        <w:t>Anticipos de emergencia personal</w:t>
      </w:r>
    </w:p>
    <w:p w14:paraId="6FC9C995" w14:textId="3B33F182" w:rsidR="007F5613" w:rsidRDefault="007F5613" w:rsidP="007F5613">
      <w:pPr>
        <w:pStyle w:val="ListParagraph"/>
        <w:numPr>
          <w:ilvl w:val="0"/>
          <w:numId w:val="14"/>
        </w:numPr>
        <w:spacing w:after="33" w:line="256" w:lineRule="auto"/>
      </w:pPr>
      <w:r w:rsidRPr="002637FC">
        <w:t xml:space="preserve">Se podrá conceder a los miembros del personal / titulares de APS un anticipo para emergencias personales de hasta dos meses de sueldo neto para hacer frente a necesidades auténticas urgentes y no recurrentes. Estas solicitudes se examinarán en función de los méritos de cada caso, incluidas las pruebas aportadas, y se concederán según el mejor criterio del </w:t>
      </w:r>
      <w:proofErr w:type="gramStart"/>
      <w:r w:rsidRPr="002637FC">
        <w:t>Jefe</w:t>
      </w:r>
      <w:proofErr w:type="gramEnd"/>
      <w:r w:rsidRPr="002637FC">
        <w:t xml:space="preserve"> o Director de la Oficina, en el caso del personal contratado localmente y de los NPSA, o del Administrador Adjunto y Director de los Servicios de Administración de Edificios, en el caso del personal contratado internacionalmente y de los IPSA.</w:t>
      </w:r>
    </w:p>
    <w:p w14:paraId="38546A28" w14:textId="77777777" w:rsidR="007A05F0" w:rsidRPr="002637FC" w:rsidRDefault="007A05F0" w:rsidP="007A05F0">
      <w:pPr>
        <w:pStyle w:val="ListParagraph"/>
        <w:spacing w:after="33" w:line="256" w:lineRule="auto"/>
        <w:ind w:left="428" w:firstLine="0"/>
      </w:pPr>
    </w:p>
    <w:p w14:paraId="7795F069" w14:textId="5E3D7F22" w:rsidR="007F5613" w:rsidRPr="002637FC" w:rsidRDefault="007F5613" w:rsidP="007F5613">
      <w:pPr>
        <w:pStyle w:val="ListParagraph"/>
        <w:numPr>
          <w:ilvl w:val="0"/>
          <w:numId w:val="14"/>
        </w:numPr>
        <w:spacing w:after="33" w:line="256" w:lineRule="auto"/>
      </w:pPr>
      <w:r w:rsidRPr="002637FC">
        <w:t xml:space="preserve">Las situaciones que pueden considerarse para anticipos por emergencias personales incluyen:  </w:t>
      </w:r>
    </w:p>
    <w:p w14:paraId="0D116543" w14:textId="77777777" w:rsidR="007F5613" w:rsidRPr="002637FC" w:rsidRDefault="007F5613" w:rsidP="00F02E09">
      <w:pPr>
        <w:numPr>
          <w:ilvl w:val="0"/>
          <w:numId w:val="18"/>
        </w:numPr>
        <w:spacing w:after="14" w:line="259" w:lineRule="auto"/>
        <w:ind w:firstLine="131"/>
      </w:pPr>
      <w:r w:rsidRPr="002637FC">
        <w:t>gastos importantes para reparar una residencia privada dañada por catástrofes naturales o provocadas por el hombre (por ejemplo, incendios, inundaciones, etc.). Los anticipos de este tipo pueden aprobarse a menudo en todo el lugar de destino como parte de un Anticipo de Emergencia Masivo;</w:t>
      </w:r>
    </w:p>
    <w:p w14:paraId="6F6679E7" w14:textId="77777777" w:rsidR="007F5613" w:rsidRPr="002637FC" w:rsidRDefault="007F5613" w:rsidP="00F02E09">
      <w:pPr>
        <w:spacing w:after="14" w:line="259" w:lineRule="auto"/>
        <w:ind w:left="851" w:firstLine="0"/>
      </w:pPr>
    </w:p>
    <w:p w14:paraId="495F8675" w14:textId="77777777" w:rsidR="007F5613" w:rsidRPr="002637FC" w:rsidRDefault="007F5613" w:rsidP="00F02E09">
      <w:pPr>
        <w:numPr>
          <w:ilvl w:val="0"/>
          <w:numId w:val="18"/>
        </w:numPr>
        <w:spacing w:after="14" w:line="259" w:lineRule="auto"/>
        <w:ind w:firstLine="131"/>
      </w:pPr>
      <w:r w:rsidRPr="002637FC">
        <w:t>gastos importantes relacionados con la adopción de medidas de seguridad (vallas, sistema de alarma, etc.) en la residencia principal de un miembro del personal/titular de un APS, previa recomendación por escrito del oficial de seguridad del PNUD o del UNDSS y presentación de una factura o presupuesto del proveedor;</w:t>
      </w:r>
    </w:p>
    <w:p w14:paraId="70B613F0" w14:textId="77777777" w:rsidR="007F5613" w:rsidRPr="002637FC" w:rsidRDefault="007F5613" w:rsidP="00F02E09">
      <w:pPr>
        <w:spacing w:after="14" w:line="259" w:lineRule="auto"/>
        <w:ind w:left="851" w:firstLine="0"/>
      </w:pPr>
    </w:p>
    <w:p w14:paraId="1427CB70" w14:textId="77777777" w:rsidR="007F5613" w:rsidRPr="002637FC" w:rsidRDefault="007F5613" w:rsidP="00F02E09">
      <w:pPr>
        <w:numPr>
          <w:ilvl w:val="0"/>
          <w:numId w:val="18"/>
        </w:numPr>
        <w:spacing w:after="14" w:line="259" w:lineRule="auto"/>
        <w:ind w:firstLine="131"/>
      </w:pPr>
      <w:r w:rsidRPr="002637FC">
        <w:t>delitos que causen graves pérdidas económicas, acreditadas por un informe policial oficial o una reclamación al seguro, al funcionario y/o a la persona a su cargo reconocidos por el PNUD;</w:t>
      </w:r>
    </w:p>
    <w:p w14:paraId="55B434DE" w14:textId="77777777" w:rsidR="007F5613" w:rsidRPr="002637FC" w:rsidRDefault="007F5613" w:rsidP="00F02E09">
      <w:pPr>
        <w:spacing w:after="14" w:line="259" w:lineRule="auto"/>
        <w:ind w:left="851" w:firstLine="0"/>
      </w:pPr>
    </w:p>
    <w:p w14:paraId="7D5D16CA" w14:textId="31D16373" w:rsidR="007F5613" w:rsidRPr="002637FC" w:rsidRDefault="007F5613" w:rsidP="00F02E09">
      <w:pPr>
        <w:numPr>
          <w:ilvl w:val="0"/>
          <w:numId w:val="18"/>
        </w:numPr>
        <w:spacing w:after="14" w:line="259" w:lineRule="auto"/>
        <w:ind w:firstLine="131"/>
      </w:pPr>
      <w:r w:rsidRPr="002637FC">
        <w:t>gastos funerarios en caso de fallecimiento de un familiar directo;</w:t>
      </w:r>
      <w:r w:rsidR="00CA4570">
        <w:t xml:space="preserve"> </w:t>
      </w:r>
    </w:p>
    <w:p w14:paraId="77404408" w14:textId="77777777" w:rsidR="007F5613" w:rsidRPr="002637FC" w:rsidRDefault="007F5613" w:rsidP="00F02E09">
      <w:pPr>
        <w:spacing w:after="14" w:line="259" w:lineRule="auto"/>
        <w:ind w:left="851" w:firstLine="0"/>
      </w:pPr>
    </w:p>
    <w:p w14:paraId="53BF93A6" w14:textId="135D204C" w:rsidR="007F5613" w:rsidRPr="002637FC" w:rsidRDefault="007F5613" w:rsidP="00CA4570">
      <w:pPr>
        <w:numPr>
          <w:ilvl w:val="0"/>
          <w:numId w:val="18"/>
        </w:numPr>
        <w:spacing w:after="14" w:line="259" w:lineRule="auto"/>
        <w:ind w:firstLine="131"/>
      </w:pPr>
      <w:r w:rsidRPr="002637FC">
        <w:t>gastos relacionados con procedimientos y tratamientos médicos u odontológicos esenciales para los miembros del personal / titulares de APS y/o sus dependientes reconocidos por el PNUD que no estén cubiertos por su régimen de seguros y previa presentación de una factura o presupuesto del proveedor.</w:t>
      </w:r>
      <w:r w:rsidR="00CA4570">
        <w:t xml:space="preserve"> </w:t>
      </w:r>
    </w:p>
    <w:p w14:paraId="2E88DE29" w14:textId="77777777" w:rsidR="007F5613" w:rsidRPr="002637FC" w:rsidRDefault="007F5613" w:rsidP="007F5613">
      <w:pPr>
        <w:tabs>
          <w:tab w:val="left" w:pos="2340"/>
        </w:tabs>
        <w:spacing w:line="252" w:lineRule="auto"/>
        <w:ind w:left="1080" w:firstLine="0"/>
      </w:pPr>
    </w:p>
    <w:p w14:paraId="784317A9" w14:textId="0F822652" w:rsidR="007F5613" w:rsidRDefault="007F5613" w:rsidP="007F5613">
      <w:pPr>
        <w:pStyle w:val="ListParagraph"/>
        <w:numPr>
          <w:ilvl w:val="0"/>
          <w:numId w:val="14"/>
        </w:numPr>
        <w:spacing w:after="33" w:line="256" w:lineRule="auto"/>
      </w:pPr>
      <w:r w:rsidRPr="002637FC">
        <w:t>Sólo se puede conceder un anticipo de sueldo personal para emergencias durante un periodo de doce meses</w:t>
      </w:r>
      <w:r w:rsidR="007C00C7">
        <w:t>.</w:t>
      </w:r>
    </w:p>
    <w:p w14:paraId="01B32B42" w14:textId="77777777" w:rsidR="00BF513D" w:rsidRDefault="00BF513D" w:rsidP="00BF513D">
      <w:pPr>
        <w:spacing w:after="33" w:line="256" w:lineRule="auto"/>
      </w:pPr>
    </w:p>
    <w:p w14:paraId="3A69E836" w14:textId="77777777" w:rsidR="00BF513D" w:rsidRPr="002637FC" w:rsidRDefault="00BF513D" w:rsidP="00BF513D">
      <w:pPr>
        <w:spacing w:after="33" w:line="256" w:lineRule="auto"/>
      </w:pPr>
    </w:p>
    <w:p w14:paraId="4E996CEC" w14:textId="79EAFCE7" w:rsidR="007F5613" w:rsidRPr="002637FC" w:rsidRDefault="007F5613" w:rsidP="007F5613">
      <w:pPr>
        <w:pStyle w:val="ListParagraph"/>
        <w:spacing w:after="33" w:line="256" w:lineRule="auto"/>
        <w:ind w:left="428" w:firstLine="0"/>
      </w:pPr>
    </w:p>
    <w:p w14:paraId="46F52A92" w14:textId="466EF83C" w:rsidR="007F5613" w:rsidRPr="002637FC" w:rsidRDefault="007F5613" w:rsidP="007F5613">
      <w:pPr>
        <w:pStyle w:val="ListParagraph"/>
        <w:spacing w:after="33" w:line="256" w:lineRule="auto"/>
        <w:ind w:left="428" w:firstLine="0"/>
      </w:pPr>
    </w:p>
    <w:p w14:paraId="2A35DD6E" w14:textId="6F7C914F" w:rsidR="007F5613" w:rsidRDefault="007F5613" w:rsidP="007F5613">
      <w:pPr>
        <w:pStyle w:val="ListParagraph"/>
        <w:spacing w:after="33" w:line="256" w:lineRule="auto"/>
        <w:ind w:left="428" w:firstLine="0"/>
      </w:pPr>
    </w:p>
    <w:p w14:paraId="49EC6BC9" w14:textId="77777777" w:rsidR="001F0243" w:rsidRDefault="001F0243" w:rsidP="007F5613">
      <w:pPr>
        <w:pStyle w:val="ListParagraph"/>
        <w:spacing w:after="33" w:line="256" w:lineRule="auto"/>
        <w:ind w:left="428" w:firstLine="0"/>
      </w:pPr>
    </w:p>
    <w:p w14:paraId="45D9DD5A" w14:textId="77777777" w:rsidR="001F0243" w:rsidRPr="002637FC" w:rsidRDefault="001F0243" w:rsidP="007F5613">
      <w:pPr>
        <w:pStyle w:val="ListParagraph"/>
        <w:spacing w:after="33" w:line="256" w:lineRule="auto"/>
        <w:ind w:left="428" w:firstLine="0"/>
      </w:pPr>
    </w:p>
    <w:p w14:paraId="18DF876D" w14:textId="525B20A9" w:rsidR="007F5613" w:rsidRPr="002637FC" w:rsidRDefault="007F5613" w:rsidP="007F5613">
      <w:pPr>
        <w:pStyle w:val="ListParagraph"/>
        <w:spacing w:after="33" w:line="256" w:lineRule="auto"/>
        <w:ind w:left="428" w:firstLine="0"/>
      </w:pPr>
    </w:p>
    <w:p w14:paraId="0D00D8DA" w14:textId="77777777" w:rsidR="007F5613" w:rsidRPr="002637FC" w:rsidRDefault="007F5613" w:rsidP="007F5613">
      <w:pPr>
        <w:pStyle w:val="ListParagraph"/>
        <w:spacing w:after="33" w:line="256" w:lineRule="auto"/>
        <w:ind w:left="428" w:firstLine="0"/>
      </w:pPr>
    </w:p>
    <w:p w14:paraId="5CB0AC9D" w14:textId="77777777" w:rsidR="007F5613" w:rsidRPr="002637FC" w:rsidRDefault="007F5613" w:rsidP="007F5613">
      <w:pPr>
        <w:ind w:hanging="86"/>
        <w:rPr>
          <w:b/>
          <w:bCs/>
          <w:color w:val="auto"/>
          <w:u w:val="single"/>
        </w:rPr>
      </w:pPr>
      <w:r w:rsidRPr="002637FC">
        <w:rPr>
          <w:b/>
          <w:bCs/>
          <w:u w:val="single"/>
        </w:rPr>
        <w:t xml:space="preserve">Solicitudes no autorizadas </w:t>
      </w:r>
    </w:p>
    <w:p w14:paraId="362D33A0" w14:textId="77777777" w:rsidR="00E746DB" w:rsidRPr="00E746DB" w:rsidRDefault="00E746DB" w:rsidP="007F5613">
      <w:pPr>
        <w:pStyle w:val="ListParagraph"/>
        <w:spacing w:after="14" w:line="259" w:lineRule="auto"/>
        <w:ind w:left="428" w:firstLine="0"/>
        <w:jc w:val="left"/>
      </w:pPr>
    </w:p>
    <w:p w14:paraId="2F3DABDF" w14:textId="77777777" w:rsidR="007F5613" w:rsidRPr="007F5613" w:rsidRDefault="007F5613" w:rsidP="007F5613">
      <w:pPr>
        <w:numPr>
          <w:ilvl w:val="0"/>
          <w:numId w:val="14"/>
        </w:numPr>
        <w:spacing w:after="14" w:line="259" w:lineRule="auto"/>
        <w:jc w:val="left"/>
      </w:pPr>
      <w:r w:rsidRPr="007F5613">
        <w:t>No se autorizarán anticipos salariales para fines ajenos a los contemplados en la presente política. Entre ellos se incluyen los siguientes:</w:t>
      </w:r>
    </w:p>
    <w:p w14:paraId="6BF747E6" w14:textId="77777777" w:rsidR="007F5613" w:rsidRPr="007F5613" w:rsidRDefault="007F5613" w:rsidP="007F5613">
      <w:pPr>
        <w:spacing w:after="14" w:line="259" w:lineRule="auto"/>
        <w:ind w:left="428" w:firstLine="0"/>
        <w:jc w:val="left"/>
      </w:pPr>
    </w:p>
    <w:p w14:paraId="088E441C" w14:textId="77777777" w:rsidR="007F5613" w:rsidRPr="007F5613" w:rsidRDefault="007F5613" w:rsidP="00367655">
      <w:pPr>
        <w:numPr>
          <w:ilvl w:val="0"/>
          <w:numId w:val="24"/>
        </w:numPr>
        <w:tabs>
          <w:tab w:val="clear" w:pos="720"/>
          <w:tab w:val="num" w:pos="1440"/>
        </w:tabs>
        <w:spacing w:after="14" w:line="259" w:lineRule="auto"/>
        <w:ind w:left="1440"/>
        <w:jc w:val="left"/>
      </w:pPr>
      <w:r w:rsidRPr="007F5613">
        <w:t>bodas, fiestas u otras reuniones similares;</w:t>
      </w:r>
    </w:p>
    <w:p w14:paraId="54D79BE5" w14:textId="77777777" w:rsidR="007F5613" w:rsidRPr="007F5613" w:rsidRDefault="007F5613" w:rsidP="00367655">
      <w:pPr>
        <w:spacing w:after="14" w:line="259" w:lineRule="auto"/>
        <w:ind w:left="1148" w:firstLine="131"/>
        <w:jc w:val="left"/>
      </w:pPr>
    </w:p>
    <w:p w14:paraId="6E848318" w14:textId="77777777" w:rsidR="007F5613" w:rsidRPr="007F5613" w:rsidRDefault="007F5613" w:rsidP="00367655">
      <w:pPr>
        <w:numPr>
          <w:ilvl w:val="0"/>
          <w:numId w:val="24"/>
        </w:numPr>
        <w:tabs>
          <w:tab w:val="clear" w:pos="720"/>
          <w:tab w:val="num" w:pos="1440"/>
        </w:tabs>
        <w:spacing w:after="14" w:line="259" w:lineRule="auto"/>
        <w:ind w:left="1440"/>
        <w:jc w:val="left"/>
      </w:pPr>
      <w:r w:rsidRPr="007F5613">
        <w:t>tasas escolares o universitarias;</w:t>
      </w:r>
    </w:p>
    <w:p w14:paraId="6CA626ED" w14:textId="77777777" w:rsidR="007F5613" w:rsidRPr="007F5613" w:rsidRDefault="007F5613" w:rsidP="00367655">
      <w:pPr>
        <w:spacing w:after="14" w:line="259" w:lineRule="auto"/>
        <w:ind w:left="1148" w:firstLine="131"/>
        <w:jc w:val="left"/>
      </w:pPr>
    </w:p>
    <w:p w14:paraId="3D305200" w14:textId="77777777" w:rsidR="007F5613" w:rsidRPr="007F5613" w:rsidRDefault="007F5613" w:rsidP="00367655">
      <w:pPr>
        <w:numPr>
          <w:ilvl w:val="0"/>
          <w:numId w:val="24"/>
        </w:numPr>
        <w:tabs>
          <w:tab w:val="clear" w:pos="720"/>
          <w:tab w:val="num" w:pos="1440"/>
        </w:tabs>
        <w:spacing w:after="14" w:line="259" w:lineRule="auto"/>
        <w:ind w:left="1440"/>
        <w:jc w:val="left"/>
      </w:pPr>
      <w:r w:rsidRPr="007F5613">
        <w:t>vacaciones u otros viajes personales;</w:t>
      </w:r>
    </w:p>
    <w:p w14:paraId="01C6A63E" w14:textId="77777777" w:rsidR="007F5613" w:rsidRPr="007F5613" w:rsidRDefault="007F5613" w:rsidP="00367655">
      <w:pPr>
        <w:spacing w:after="14" w:line="259" w:lineRule="auto"/>
        <w:ind w:left="1148" w:firstLine="131"/>
        <w:jc w:val="left"/>
      </w:pPr>
    </w:p>
    <w:p w14:paraId="3CE43CA4" w14:textId="77777777" w:rsidR="007F5613" w:rsidRPr="007F5613" w:rsidRDefault="007F5613" w:rsidP="00367655">
      <w:pPr>
        <w:numPr>
          <w:ilvl w:val="0"/>
          <w:numId w:val="24"/>
        </w:numPr>
        <w:tabs>
          <w:tab w:val="clear" w:pos="720"/>
          <w:tab w:val="num" w:pos="1440"/>
        </w:tabs>
        <w:spacing w:after="14" w:line="259" w:lineRule="auto"/>
        <w:ind w:left="1440"/>
        <w:jc w:val="left"/>
      </w:pPr>
      <w:r w:rsidRPr="007F5613">
        <w:t>compra de una casa o un terreno;</w:t>
      </w:r>
    </w:p>
    <w:p w14:paraId="1AF72830" w14:textId="77777777" w:rsidR="007F5613" w:rsidRPr="007F5613" w:rsidRDefault="007F5613" w:rsidP="00367655">
      <w:pPr>
        <w:spacing w:after="14" w:line="259" w:lineRule="auto"/>
        <w:ind w:left="1148" w:firstLine="131"/>
        <w:jc w:val="left"/>
      </w:pPr>
    </w:p>
    <w:p w14:paraId="16CD844B" w14:textId="77777777" w:rsidR="007F5613" w:rsidRPr="007F5613" w:rsidRDefault="007F5613" w:rsidP="00367655">
      <w:pPr>
        <w:numPr>
          <w:ilvl w:val="0"/>
          <w:numId w:val="24"/>
        </w:numPr>
        <w:tabs>
          <w:tab w:val="clear" w:pos="720"/>
          <w:tab w:val="num" w:pos="1440"/>
        </w:tabs>
        <w:spacing w:after="14" w:line="259" w:lineRule="auto"/>
        <w:ind w:left="1440"/>
        <w:jc w:val="left"/>
      </w:pPr>
      <w:r w:rsidRPr="007F5613">
        <w:t>construcción de viviendas, edificios o ampliación de locales existentes;</w:t>
      </w:r>
    </w:p>
    <w:p w14:paraId="6558F654" w14:textId="77777777" w:rsidR="007F5613" w:rsidRPr="007F5613" w:rsidRDefault="007F5613" w:rsidP="00367655">
      <w:pPr>
        <w:spacing w:after="14" w:line="259" w:lineRule="auto"/>
        <w:ind w:left="1148" w:firstLine="131"/>
        <w:jc w:val="left"/>
      </w:pPr>
    </w:p>
    <w:p w14:paraId="20EEE07D" w14:textId="77777777" w:rsidR="007F5613" w:rsidRPr="007F5613" w:rsidRDefault="007F5613" w:rsidP="00367655">
      <w:pPr>
        <w:numPr>
          <w:ilvl w:val="0"/>
          <w:numId w:val="24"/>
        </w:numPr>
        <w:tabs>
          <w:tab w:val="clear" w:pos="720"/>
          <w:tab w:val="num" w:pos="1440"/>
        </w:tabs>
        <w:spacing w:after="14" w:line="259" w:lineRule="auto"/>
        <w:ind w:left="1440"/>
        <w:jc w:val="left"/>
      </w:pPr>
      <w:r w:rsidRPr="007F5613">
        <w:t xml:space="preserve">renovación o reparación de casas o edificios por desgaste normal; </w:t>
      </w:r>
    </w:p>
    <w:p w14:paraId="0726EB70" w14:textId="77777777" w:rsidR="007F5613" w:rsidRPr="007F5613" w:rsidRDefault="007F5613" w:rsidP="00367655">
      <w:pPr>
        <w:spacing w:after="14" w:line="259" w:lineRule="auto"/>
        <w:ind w:left="1148" w:firstLine="131"/>
        <w:jc w:val="left"/>
      </w:pPr>
    </w:p>
    <w:p w14:paraId="7B22DADC" w14:textId="77777777" w:rsidR="007F5613" w:rsidRPr="007F5613" w:rsidRDefault="007F5613" w:rsidP="00367655">
      <w:pPr>
        <w:numPr>
          <w:ilvl w:val="0"/>
          <w:numId w:val="24"/>
        </w:numPr>
        <w:tabs>
          <w:tab w:val="clear" w:pos="720"/>
          <w:tab w:val="num" w:pos="1440"/>
        </w:tabs>
        <w:spacing w:after="14" w:line="259" w:lineRule="auto"/>
        <w:ind w:left="1440"/>
        <w:jc w:val="left"/>
      </w:pPr>
      <w:r w:rsidRPr="007F5613">
        <w:t>compra de mobiliario doméstico y efectos personales;</w:t>
      </w:r>
    </w:p>
    <w:p w14:paraId="03332C73" w14:textId="77777777" w:rsidR="007F5613" w:rsidRPr="007F5613" w:rsidRDefault="007F5613" w:rsidP="00367655">
      <w:pPr>
        <w:spacing w:after="14" w:line="259" w:lineRule="auto"/>
        <w:ind w:left="1148" w:firstLine="131"/>
        <w:jc w:val="left"/>
      </w:pPr>
    </w:p>
    <w:p w14:paraId="5D3CFB70" w14:textId="4C647CE3" w:rsidR="007F5613" w:rsidRPr="002637FC" w:rsidRDefault="007F5613" w:rsidP="00367655">
      <w:pPr>
        <w:numPr>
          <w:ilvl w:val="0"/>
          <w:numId w:val="24"/>
        </w:numPr>
        <w:tabs>
          <w:tab w:val="clear" w:pos="720"/>
          <w:tab w:val="num" w:pos="1440"/>
        </w:tabs>
        <w:spacing w:after="14" w:line="259" w:lineRule="auto"/>
        <w:ind w:left="1440"/>
        <w:jc w:val="left"/>
      </w:pPr>
      <w:r w:rsidRPr="007F5613">
        <w:t>pago de deudas personales, préstamos bancarios o hipotecas.</w:t>
      </w:r>
    </w:p>
    <w:p w14:paraId="4617F47E" w14:textId="77777777" w:rsidR="007F5613" w:rsidRPr="002637FC" w:rsidRDefault="007F5613">
      <w:pPr>
        <w:spacing w:after="160" w:line="259" w:lineRule="auto"/>
        <w:ind w:left="0" w:firstLine="0"/>
        <w:jc w:val="left"/>
      </w:pPr>
      <w:r w:rsidRPr="002637FC">
        <w:br w:type="page"/>
      </w:r>
    </w:p>
    <w:p w14:paraId="38145EDF" w14:textId="77777777" w:rsidR="007F5613" w:rsidRPr="002637FC" w:rsidRDefault="007F5613" w:rsidP="007F5613">
      <w:pPr>
        <w:spacing w:after="0" w:line="240" w:lineRule="auto"/>
        <w:ind w:left="0" w:firstLine="0"/>
        <w:rPr>
          <w:rFonts w:ascii="Arial" w:hAnsi="Arial" w:cs="Arial"/>
          <w:b/>
          <w:bCs/>
          <w:sz w:val="20"/>
        </w:rPr>
      </w:pPr>
      <w:r w:rsidRPr="002637FC">
        <w:rPr>
          <w:rFonts w:ascii="Arial" w:hAnsi="Arial" w:cs="Arial"/>
          <w:b/>
          <w:bCs/>
          <w:sz w:val="20"/>
        </w:rPr>
        <w:lastRenderedPageBreak/>
        <w:t>Anexo: Resumen de las condiciones de pago, cobro y otras condiciones</w:t>
      </w:r>
    </w:p>
    <w:tbl>
      <w:tblPr>
        <w:tblW w:w="10494" w:type="dxa"/>
        <w:tblInd w:w="-934" w:type="dxa"/>
        <w:tblLook w:val="04A0" w:firstRow="1" w:lastRow="0" w:firstColumn="1" w:lastColumn="0" w:noHBand="0" w:noVBand="1"/>
      </w:tblPr>
      <w:tblGrid>
        <w:gridCol w:w="1310"/>
        <w:gridCol w:w="1264"/>
        <w:gridCol w:w="1181"/>
        <w:gridCol w:w="1524"/>
        <w:gridCol w:w="1924"/>
        <w:gridCol w:w="1763"/>
        <w:gridCol w:w="53"/>
        <w:gridCol w:w="1600"/>
      </w:tblGrid>
      <w:tr w:rsidR="000F3401" w:rsidRPr="002637FC" w14:paraId="67387B3E" w14:textId="77777777" w:rsidTr="00332B2B">
        <w:trPr>
          <w:trHeight w:val="312"/>
        </w:trPr>
        <w:tc>
          <w:tcPr>
            <w:tcW w:w="1310" w:type="dxa"/>
            <w:tcBorders>
              <w:top w:val="single" w:sz="8" w:space="0" w:color="auto"/>
              <w:left w:val="single" w:sz="8" w:space="0" w:color="auto"/>
              <w:bottom w:val="single" w:sz="8" w:space="0" w:color="auto"/>
              <w:right w:val="single" w:sz="8" w:space="0" w:color="auto"/>
            </w:tcBorders>
            <w:shd w:val="clear" w:color="auto" w:fill="F4B083" w:themeFill="accent2" w:themeFillTint="99"/>
            <w:noWrap/>
            <w:vAlign w:val="center"/>
            <w:hideMark/>
          </w:tcPr>
          <w:p w14:paraId="54D9DBE5" w14:textId="77777777" w:rsidR="000F3401" w:rsidRPr="002637FC" w:rsidRDefault="000F3401" w:rsidP="000F3401">
            <w:pPr>
              <w:pStyle w:val="Default"/>
              <w:rPr>
                <w:sz w:val="16"/>
                <w:szCs w:val="16"/>
              </w:rPr>
            </w:pPr>
            <w:r w:rsidRPr="002637FC">
              <w:rPr>
                <w:b/>
                <w:bCs/>
                <w:sz w:val="16"/>
                <w:szCs w:val="16"/>
              </w:rPr>
              <w:t xml:space="preserve">Tipo de anticipo </w:t>
            </w:r>
          </w:p>
          <w:p w14:paraId="2994D41F" w14:textId="241A3795" w:rsidR="000F3401" w:rsidRPr="002637FC" w:rsidRDefault="000F3401" w:rsidP="00332B2B">
            <w:pPr>
              <w:spacing w:after="0" w:line="240" w:lineRule="auto"/>
              <w:ind w:left="0" w:firstLine="0"/>
              <w:jc w:val="left"/>
              <w:rPr>
                <w:rFonts w:eastAsia="Times New Roman"/>
                <w:b/>
                <w:bCs/>
                <w:sz w:val="16"/>
                <w:szCs w:val="16"/>
                <w:lang w:eastAsia="en-MY"/>
              </w:rPr>
            </w:pPr>
          </w:p>
        </w:tc>
        <w:tc>
          <w:tcPr>
            <w:tcW w:w="1139"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54043B0D" w14:textId="77777777" w:rsidR="000F3401" w:rsidRPr="002637FC" w:rsidRDefault="000F3401" w:rsidP="000F3401">
            <w:pPr>
              <w:pStyle w:val="Default"/>
              <w:rPr>
                <w:sz w:val="16"/>
                <w:szCs w:val="16"/>
              </w:rPr>
            </w:pPr>
            <w:r w:rsidRPr="002637FC">
              <w:rPr>
                <w:b/>
                <w:bCs/>
                <w:sz w:val="16"/>
                <w:szCs w:val="16"/>
              </w:rPr>
              <w:t xml:space="preserve">Solicitud iniciada por </w:t>
            </w:r>
          </w:p>
          <w:p w14:paraId="4D9A66B4" w14:textId="6F87A460" w:rsidR="000F3401" w:rsidRPr="002637FC" w:rsidRDefault="000F3401" w:rsidP="00332B2B">
            <w:pPr>
              <w:spacing w:after="0" w:line="240" w:lineRule="auto"/>
              <w:ind w:left="0" w:firstLine="0"/>
              <w:jc w:val="left"/>
              <w:rPr>
                <w:rFonts w:eastAsia="Times New Roman"/>
                <w:b/>
                <w:bCs/>
                <w:sz w:val="16"/>
                <w:szCs w:val="16"/>
                <w:lang w:eastAsia="en-MY"/>
              </w:rPr>
            </w:pPr>
          </w:p>
        </w:tc>
        <w:tc>
          <w:tcPr>
            <w:tcW w:w="1181"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0A210536" w14:textId="77777777" w:rsidR="000F3401" w:rsidRPr="002637FC" w:rsidRDefault="000F3401" w:rsidP="000F3401">
            <w:pPr>
              <w:pStyle w:val="Default"/>
              <w:rPr>
                <w:sz w:val="16"/>
                <w:szCs w:val="16"/>
              </w:rPr>
            </w:pPr>
            <w:r w:rsidRPr="002637FC">
              <w:rPr>
                <w:b/>
                <w:bCs/>
                <w:sz w:val="16"/>
                <w:szCs w:val="16"/>
              </w:rPr>
              <w:t xml:space="preserve">Anticipo Aprobado por </w:t>
            </w:r>
          </w:p>
          <w:p w14:paraId="3762DF22" w14:textId="55F112C8" w:rsidR="000F3401" w:rsidRPr="002637FC" w:rsidRDefault="000F3401" w:rsidP="00332B2B">
            <w:pPr>
              <w:spacing w:after="0" w:line="240" w:lineRule="auto"/>
              <w:ind w:left="0" w:firstLine="0"/>
              <w:jc w:val="left"/>
              <w:rPr>
                <w:rFonts w:eastAsia="Times New Roman"/>
                <w:b/>
                <w:bCs/>
                <w:sz w:val="16"/>
                <w:szCs w:val="16"/>
                <w:lang w:eastAsia="en-MY"/>
              </w:rPr>
            </w:pPr>
          </w:p>
        </w:tc>
        <w:tc>
          <w:tcPr>
            <w:tcW w:w="1524" w:type="dxa"/>
            <w:tcBorders>
              <w:top w:val="single" w:sz="8" w:space="0" w:color="auto"/>
              <w:left w:val="nil"/>
              <w:bottom w:val="single" w:sz="8" w:space="0" w:color="auto"/>
              <w:right w:val="single" w:sz="8" w:space="0" w:color="auto"/>
            </w:tcBorders>
            <w:shd w:val="clear" w:color="auto" w:fill="F4B083" w:themeFill="accent2" w:themeFillTint="99"/>
            <w:noWrap/>
            <w:vAlign w:val="center"/>
            <w:hideMark/>
          </w:tcPr>
          <w:p w14:paraId="38DD3239" w14:textId="77777777" w:rsidR="000F3401" w:rsidRPr="002637FC" w:rsidRDefault="000F3401" w:rsidP="000F3401">
            <w:pPr>
              <w:pStyle w:val="Default"/>
              <w:rPr>
                <w:sz w:val="16"/>
                <w:szCs w:val="16"/>
              </w:rPr>
            </w:pPr>
            <w:r w:rsidRPr="002637FC">
              <w:rPr>
                <w:b/>
                <w:bCs/>
                <w:sz w:val="16"/>
                <w:szCs w:val="16"/>
              </w:rPr>
              <w:t xml:space="preserve">Admisibilidad </w:t>
            </w:r>
          </w:p>
          <w:p w14:paraId="6716E9B9" w14:textId="5A0B37B5" w:rsidR="000F3401" w:rsidRPr="002637FC" w:rsidRDefault="000F3401" w:rsidP="00332B2B">
            <w:pPr>
              <w:spacing w:after="0" w:line="240" w:lineRule="auto"/>
              <w:ind w:left="0" w:firstLine="0"/>
              <w:jc w:val="left"/>
              <w:rPr>
                <w:rFonts w:eastAsia="Times New Roman"/>
                <w:b/>
                <w:bCs/>
                <w:sz w:val="16"/>
                <w:szCs w:val="16"/>
                <w:lang w:eastAsia="en-MY"/>
              </w:rPr>
            </w:pPr>
          </w:p>
        </w:tc>
        <w:tc>
          <w:tcPr>
            <w:tcW w:w="1924" w:type="dxa"/>
            <w:tcBorders>
              <w:top w:val="single" w:sz="8" w:space="0" w:color="auto"/>
              <w:left w:val="nil"/>
              <w:bottom w:val="single" w:sz="8" w:space="0" w:color="auto"/>
              <w:right w:val="single" w:sz="8" w:space="0" w:color="auto"/>
            </w:tcBorders>
            <w:shd w:val="clear" w:color="auto" w:fill="F4B083" w:themeFill="accent2" w:themeFillTint="99"/>
            <w:noWrap/>
            <w:vAlign w:val="center"/>
            <w:hideMark/>
          </w:tcPr>
          <w:p w14:paraId="29BB0865" w14:textId="77777777" w:rsidR="000F3401" w:rsidRPr="002637FC" w:rsidRDefault="000F3401" w:rsidP="000F3401">
            <w:pPr>
              <w:pStyle w:val="Default"/>
              <w:rPr>
                <w:sz w:val="16"/>
                <w:szCs w:val="16"/>
              </w:rPr>
            </w:pPr>
            <w:r w:rsidRPr="002637FC">
              <w:rPr>
                <w:b/>
                <w:bCs/>
                <w:sz w:val="16"/>
                <w:szCs w:val="16"/>
              </w:rPr>
              <w:t xml:space="preserve">Importe máximo </w:t>
            </w:r>
          </w:p>
          <w:p w14:paraId="75115E42" w14:textId="6C95B3DC" w:rsidR="000F3401" w:rsidRPr="002637FC" w:rsidRDefault="000F3401" w:rsidP="00332B2B">
            <w:pPr>
              <w:spacing w:after="0" w:line="240" w:lineRule="auto"/>
              <w:ind w:left="0" w:firstLine="0"/>
              <w:jc w:val="left"/>
              <w:rPr>
                <w:rFonts w:eastAsia="Times New Roman"/>
                <w:b/>
                <w:bCs/>
                <w:sz w:val="16"/>
                <w:szCs w:val="16"/>
                <w:lang w:eastAsia="en-MY"/>
              </w:rPr>
            </w:pPr>
          </w:p>
        </w:tc>
        <w:tc>
          <w:tcPr>
            <w:tcW w:w="1763"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35608A98" w14:textId="77777777" w:rsidR="000F3401" w:rsidRPr="002637FC" w:rsidRDefault="000F3401" w:rsidP="000F3401">
            <w:pPr>
              <w:pStyle w:val="Default"/>
              <w:rPr>
                <w:sz w:val="16"/>
                <w:szCs w:val="16"/>
              </w:rPr>
            </w:pPr>
            <w:r w:rsidRPr="002637FC">
              <w:rPr>
                <w:b/>
                <w:bCs/>
                <w:sz w:val="16"/>
                <w:szCs w:val="16"/>
              </w:rPr>
              <w:t xml:space="preserve">Duración máxima de la recuperación </w:t>
            </w:r>
          </w:p>
          <w:p w14:paraId="3659F413" w14:textId="37FC77C4" w:rsidR="000F3401" w:rsidRPr="002637FC" w:rsidRDefault="000F3401" w:rsidP="00332B2B">
            <w:pPr>
              <w:spacing w:after="0" w:line="240" w:lineRule="auto"/>
              <w:ind w:left="0" w:firstLine="0"/>
              <w:jc w:val="left"/>
              <w:rPr>
                <w:rFonts w:eastAsia="Times New Roman"/>
                <w:b/>
                <w:bCs/>
                <w:sz w:val="16"/>
                <w:szCs w:val="16"/>
                <w:lang w:eastAsia="en-MY"/>
              </w:rPr>
            </w:pPr>
          </w:p>
        </w:tc>
        <w:tc>
          <w:tcPr>
            <w:tcW w:w="1653" w:type="dxa"/>
            <w:gridSpan w:val="2"/>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057FFF24" w14:textId="77777777" w:rsidR="000F3401" w:rsidRPr="002637FC" w:rsidRDefault="000F3401" w:rsidP="000F3401">
            <w:pPr>
              <w:pStyle w:val="Default"/>
              <w:rPr>
                <w:sz w:val="16"/>
                <w:szCs w:val="16"/>
              </w:rPr>
            </w:pPr>
            <w:r w:rsidRPr="002637FC">
              <w:rPr>
                <w:b/>
                <w:bCs/>
                <w:sz w:val="16"/>
                <w:szCs w:val="16"/>
              </w:rPr>
              <w:t xml:space="preserve">Otras condiciones </w:t>
            </w:r>
          </w:p>
          <w:p w14:paraId="33F55E89" w14:textId="3A39B2FF" w:rsidR="000F3401" w:rsidRPr="002637FC" w:rsidRDefault="000F3401" w:rsidP="00332B2B">
            <w:pPr>
              <w:spacing w:after="0" w:line="240" w:lineRule="auto"/>
              <w:ind w:left="0" w:firstLine="0"/>
              <w:jc w:val="left"/>
              <w:rPr>
                <w:rFonts w:eastAsia="Times New Roman"/>
                <w:b/>
                <w:bCs/>
                <w:sz w:val="16"/>
                <w:szCs w:val="16"/>
                <w:lang w:eastAsia="en-MY"/>
              </w:rPr>
            </w:pPr>
          </w:p>
        </w:tc>
      </w:tr>
      <w:tr w:rsidR="000F3401" w:rsidRPr="002637FC" w14:paraId="30E0259F" w14:textId="77777777" w:rsidTr="00332B2B">
        <w:trPr>
          <w:trHeight w:val="312"/>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75F3D6DA" w14:textId="77777777" w:rsidR="000F3401" w:rsidRPr="002637FC" w:rsidRDefault="000F3401" w:rsidP="000F3401">
            <w:pPr>
              <w:pStyle w:val="Default"/>
              <w:rPr>
                <w:sz w:val="16"/>
                <w:szCs w:val="16"/>
              </w:rPr>
            </w:pPr>
            <w:r w:rsidRPr="002637FC">
              <w:rPr>
                <w:sz w:val="16"/>
                <w:szCs w:val="16"/>
              </w:rPr>
              <w:t xml:space="preserve">Tras el nombramiento inicial </w:t>
            </w:r>
          </w:p>
          <w:p w14:paraId="7CDCF2AE" w14:textId="51F9F250" w:rsidR="000F3401" w:rsidRPr="002637FC" w:rsidRDefault="000F3401" w:rsidP="00332B2B">
            <w:pPr>
              <w:spacing w:after="0" w:line="240" w:lineRule="auto"/>
              <w:ind w:left="0" w:firstLine="0"/>
              <w:jc w:val="left"/>
              <w:rPr>
                <w:rFonts w:eastAsia="Times New Roman"/>
                <w:sz w:val="16"/>
                <w:szCs w:val="16"/>
                <w:lang w:eastAsia="en-MY"/>
              </w:rPr>
            </w:pPr>
          </w:p>
        </w:tc>
        <w:tc>
          <w:tcPr>
            <w:tcW w:w="1139" w:type="dxa"/>
            <w:tcBorders>
              <w:top w:val="nil"/>
              <w:left w:val="nil"/>
              <w:right w:val="single" w:sz="8" w:space="0" w:color="auto"/>
            </w:tcBorders>
            <w:shd w:val="clear" w:color="auto" w:fill="auto"/>
            <w:noWrap/>
            <w:vAlign w:val="center"/>
            <w:hideMark/>
          </w:tcPr>
          <w:p w14:paraId="1D4FF4AA" w14:textId="77777777" w:rsidR="000F3401" w:rsidRPr="002637FC" w:rsidRDefault="000F3401" w:rsidP="000F3401">
            <w:pPr>
              <w:pStyle w:val="Default"/>
              <w:rPr>
                <w:sz w:val="16"/>
                <w:szCs w:val="16"/>
              </w:rPr>
            </w:pPr>
            <w:r w:rsidRPr="002637FC">
              <w:rPr>
                <w:sz w:val="16"/>
                <w:szCs w:val="16"/>
              </w:rPr>
              <w:t xml:space="preserve">Coordinador de RRHH </w:t>
            </w:r>
          </w:p>
          <w:p w14:paraId="799E1030" w14:textId="3D60F05E" w:rsidR="000F3401" w:rsidRPr="002637FC" w:rsidRDefault="000F3401" w:rsidP="00332B2B">
            <w:pPr>
              <w:spacing w:after="0" w:line="240" w:lineRule="auto"/>
              <w:ind w:left="0"/>
              <w:jc w:val="left"/>
              <w:rPr>
                <w:rFonts w:eastAsia="Times New Roman"/>
                <w:sz w:val="16"/>
                <w:szCs w:val="16"/>
                <w:lang w:eastAsia="en-MY"/>
              </w:rPr>
            </w:pPr>
          </w:p>
        </w:tc>
        <w:tc>
          <w:tcPr>
            <w:tcW w:w="1181" w:type="dxa"/>
            <w:tcBorders>
              <w:top w:val="nil"/>
              <w:left w:val="nil"/>
              <w:right w:val="single" w:sz="8" w:space="0" w:color="auto"/>
            </w:tcBorders>
            <w:shd w:val="clear" w:color="auto" w:fill="auto"/>
            <w:noWrap/>
            <w:vAlign w:val="center"/>
          </w:tcPr>
          <w:p w14:paraId="3FDFF92C" w14:textId="4DA44B30" w:rsidR="000F3401" w:rsidRPr="002637FC" w:rsidRDefault="000F3401" w:rsidP="00332B2B">
            <w:pPr>
              <w:spacing w:after="0" w:line="240" w:lineRule="auto"/>
              <w:ind w:left="0"/>
              <w:jc w:val="left"/>
              <w:rPr>
                <w:rFonts w:eastAsia="Times New Roman"/>
                <w:sz w:val="16"/>
                <w:szCs w:val="16"/>
                <w:lang w:eastAsia="en-MY"/>
              </w:rPr>
            </w:pPr>
            <w:r w:rsidRPr="002637FC">
              <w:rPr>
                <w:rFonts w:eastAsia="Times New Roman"/>
                <w:sz w:val="16"/>
                <w:szCs w:val="16"/>
                <w:lang w:eastAsia="en-MY"/>
              </w:rPr>
              <w:t xml:space="preserve">Ma    </w:t>
            </w:r>
            <w:proofErr w:type="gramStart"/>
            <w:r w:rsidRPr="002637FC">
              <w:rPr>
                <w:rFonts w:eastAsia="Times New Roman"/>
                <w:sz w:val="16"/>
                <w:szCs w:val="16"/>
                <w:lang w:eastAsia="en-MY"/>
              </w:rPr>
              <w:t>Director</w:t>
            </w:r>
            <w:proofErr w:type="gramEnd"/>
            <w:r w:rsidRPr="002637FC">
              <w:rPr>
                <w:rFonts w:eastAsia="Times New Roman"/>
                <w:sz w:val="16"/>
                <w:szCs w:val="16"/>
                <w:lang w:eastAsia="en-MY"/>
              </w:rPr>
              <w:t xml:space="preserve"> de Global </w:t>
            </w:r>
            <w:proofErr w:type="spellStart"/>
            <w:r w:rsidRPr="002637FC">
              <w:rPr>
                <w:rFonts w:eastAsia="Times New Roman"/>
                <w:sz w:val="16"/>
                <w:szCs w:val="16"/>
                <w:lang w:eastAsia="en-MY"/>
              </w:rPr>
              <w:t>Payroll</w:t>
            </w:r>
            <w:proofErr w:type="spellEnd"/>
            <w:r w:rsidRPr="002637FC">
              <w:rPr>
                <w:rFonts w:eastAsia="Times New Roman"/>
                <w:sz w:val="16"/>
                <w:szCs w:val="16"/>
                <w:lang w:eastAsia="en-MY"/>
              </w:rPr>
              <w:t xml:space="preserve"> Services (GPS) and Manager, </w:t>
            </w:r>
            <w:proofErr w:type="spellStart"/>
            <w:r w:rsidRPr="002637FC">
              <w:rPr>
                <w:rFonts w:eastAsia="Times New Roman"/>
                <w:sz w:val="16"/>
                <w:szCs w:val="16"/>
                <w:lang w:eastAsia="en-MY"/>
              </w:rPr>
              <w:t>Benefits</w:t>
            </w:r>
            <w:proofErr w:type="spellEnd"/>
            <w:r w:rsidRPr="002637FC">
              <w:rPr>
                <w:rFonts w:eastAsia="Times New Roman"/>
                <w:sz w:val="16"/>
                <w:szCs w:val="16"/>
                <w:lang w:eastAsia="en-MY"/>
              </w:rPr>
              <w:t xml:space="preserve"> &amp; </w:t>
            </w:r>
            <w:proofErr w:type="spellStart"/>
            <w:r w:rsidRPr="002637FC">
              <w:rPr>
                <w:rFonts w:eastAsia="Times New Roman"/>
                <w:sz w:val="16"/>
                <w:szCs w:val="16"/>
                <w:lang w:eastAsia="en-MY"/>
              </w:rPr>
              <w:t>Entitlement</w:t>
            </w:r>
            <w:proofErr w:type="spellEnd"/>
            <w:r w:rsidRPr="002637FC">
              <w:rPr>
                <w:rFonts w:eastAsia="Times New Roman"/>
                <w:sz w:val="16"/>
                <w:szCs w:val="16"/>
                <w:lang w:eastAsia="en-MY"/>
              </w:rPr>
              <w:t xml:space="preserve"> Services (BES) </w:t>
            </w:r>
          </w:p>
        </w:tc>
        <w:tc>
          <w:tcPr>
            <w:tcW w:w="1524" w:type="dxa"/>
            <w:tcBorders>
              <w:top w:val="nil"/>
              <w:left w:val="nil"/>
              <w:right w:val="single" w:sz="8" w:space="0" w:color="auto"/>
            </w:tcBorders>
            <w:shd w:val="clear" w:color="auto" w:fill="auto"/>
            <w:noWrap/>
            <w:vAlign w:val="center"/>
            <w:hideMark/>
          </w:tcPr>
          <w:p w14:paraId="6C1856ED" w14:textId="77777777" w:rsidR="000F3401" w:rsidRPr="002637FC" w:rsidRDefault="000F3401" w:rsidP="000F3401">
            <w:pPr>
              <w:pStyle w:val="Default"/>
              <w:rPr>
                <w:sz w:val="16"/>
                <w:szCs w:val="16"/>
              </w:rPr>
            </w:pPr>
            <w:r w:rsidRPr="002637FC">
              <w:rPr>
                <w:sz w:val="16"/>
                <w:szCs w:val="16"/>
              </w:rPr>
              <w:t xml:space="preserve">Todo el personal </w:t>
            </w:r>
          </w:p>
          <w:p w14:paraId="1E38ECBD" w14:textId="2E20E149" w:rsidR="000F3401" w:rsidRPr="002637FC" w:rsidRDefault="000F3401" w:rsidP="00332B2B">
            <w:pPr>
              <w:spacing w:after="0" w:line="240" w:lineRule="auto"/>
              <w:ind w:left="0"/>
              <w:jc w:val="left"/>
              <w:rPr>
                <w:rFonts w:eastAsia="Times New Roman"/>
                <w:sz w:val="16"/>
                <w:szCs w:val="16"/>
                <w:lang w:eastAsia="en-MY"/>
              </w:rPr>
            </w:pPr>
          </w:p>
        </w:tc>
        <w:tc>
          <w:tcPr>
            <w:tcW w:w="1924" w:type="dxa"/>
            <w:tcBorders>
              <w:top w:val="nil"/>
              <w:left w:val="nil"/>
              <w:right w:val="single" w:sz="8" w:space="0" w:color="auto"/>
            </w:tcBorders>
            <w:shd w:val="clear" w:color="auto" w:fill="auto"/>
            <w:noWrap/>
            <w:vAlign w:val="center"/>
            <w:hideMark/>
          </w:tcPr>
          <w:p w14:paraId="6ADDA85A" w14:textId="77777777" w:rsidR="006A7712" w:rsidRPr="002637FC" w:rsidRDefault="006A7712" w:rsidP="006A7712">
            <w:pPr>
              <w:pStyle w:val="Default"/>
              <w:rPr>
                <w:sz w:val="16"/>
                <w:szCs w:val="16"/>
              </w:rPr>
            </w:pPr>
            <w:r w:rsidRPr="002637FC">
              <w:rPr>
                <w:sz w:val="16"/>
                <w:szCs w:val="16"/>
              </w:rPr>
              <w:t xml:space="preserve">Remuneración neta mensual </w:t>
            </w:r>
          </w:p>
          <w:p w14:paraId="08DED0AD" w14:textId="0E482083" w:rsidR="000F3401" w:rsidRPr="002637FC" w:rsidRDefault="000F3401" w:rsidP="00332B2B">
            <w:pPr>
              <w:spacing w:after="0" w:line="240" w:lineRule="auto"/>
              <w:ind w:left="0" w:firstLine="0"/>
              <w:jc w:val="left"/>
              <w:rPr>
                <w:rFonts w:eastAsia="Times New Roman"/>
                <w:sz w:val="16"/>
                <w:szCs w:val="16"/>
                <w:lang w:eastAsia="en-MY"/>
              </w:rPr>
            </w:pPr>
          </w:p>
        </w:tc>
        <w:tc>
          <w:tcPr>
            <w:tcW w:w="1763" w:type="dxa"/>
            <w:tcBorders>
              <w:top w:val="nil"/>
              <w:left w:val="nil"/>
              <w:right w:val="single" w:sz="8" w:space="0" w:color="auto"/>
            </w:tcBorders>
            <w:shd w:val="clear" w:color="auto" w:fill="auto"/>
            <w:noWrap/>
            <w:vAlign w:val="center"/>
            <w:hideMark/>
          </w:tcPr>
          <w:p w14:paraId="66F8314C" w14:textId="1E34DF23" w:rsidR="000F3401" w:rsidRPr="002637FC" w:rsidRDefault="002637FC" w:rsidP="00332B2B">
            <w:pPr>
              <w:spacing w:after="0" w:line="240" w:lineRule="auto"/>
              <w:ind w:left="0" w:firstLine="0"/>
              <w:jc w:val="left"/>
              <w:rPr>
                <w:rFonts w:eastAsia="Times New Roman"/>
                <w:sz w:val="16"/>
                <w:szCs w:val="16"/>
                <w:lang w:eastAsia="en-MY"/>
              </w:rPr>
            </w:pPr>
            <w:r>
              <w:rPr>
                <w:rFonts w:eastAsia="Times New Roman"/>
                <w:sz w:val="16"/>
                <w:szCs w:val="16"/>
                <w:lang w:eastAsia="en-MY"/>
              </w:rPr>
              <w:t>Recuperación total en la próxima nómina</w:t>
            </w: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5A881024" w14:textId="77777777" w:rsidR="000F3401" w:rsidRPr="002637FC" w:rsidRDefault="000F3401" w:rsidP="00332B2B">
            <w:pPr>
              <w:spacing w:after="0" w:line="240" w:lineRule="auto"/>
              <w:ind w:left="0" w:firstLine="0"/>
              <w:jc w:val="left"/>
              <w:rPr>
                <w:rFonts w:eastAsia="Times New Roman"/>
                <w:sz w:val="16"/>
                <w:szCs w:val="16"/>
                <w:lang w:eastAsia="en-MY"/>
              </w:rPr>
            </w:pPr>
            <w:r w:rsidRPr="002637FC">
              <w:rPr>
                <w:rFonts w:eastAsia="Times New Roman"/>
                <w:sz w:val="16"/>
                <w:szCs w:val="16"/>
                <w:lang w:eastAsia="en-MY"/>
              </w:rPr>
              <w:t> </w:t>
            </w:r>
          </w:p>
        </w:tc>
      </w:tr>
      <w:tr w:rsidR="000F3401" w:rsidRPr="002637FC" w14:paraId="32316AF6" w14:textId="77777777" w:rsidTr="00332B2B">
        <w:trPr>
          <w:trHeight w:val="507"/>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488551C2" w14:textId="77777777" w:rsidR="000F3401" w:rsidRPr="002637FC" w:rsidRDefault="000F3401" w:rsidP="000F3401">
            <w:pPr>
              <w:pStyle w:val="Default"/>
              <w:rPr>
                <w:sz w:val="16"/>
                <w:szCs w:val="16"/>
              </w:rPr>
            </w:pPr>
            <w:r w:rsidRPr="002637FC">
              <w:rPr>
                <w:sz w:val="16"/>
                <w:szCs w:val="16"/>
              </w:rPr>
              <w:t xml:space="preserve">No percepción del salario </w:t>
            </w:r>
          </w:p>
          <w:p w14:paraId="221017DC" w14:textId="792FCEBA" w:rsidR="000F3401" w:rsidRPr="002637FC" w:rsidRDefault="000F3401" w:rsidP="00332B2B">
            <w:pPr>
              <w:spacing w:after="0" w:line="240" w:lineRule="auto"/>
              <w:ind w:left="0" w:firstLine="0"/>
              <w:jc w:val="left"/>
              <w:rPr>
                <w:rFonts w:eastAsia="Times New Roman"/>
                <w:sz w:val="16"/>
                <w:szCs w:val="16"/>
                <w:lang w:eastAsia="en-MY"/>
              </w:rPr>
            </w:pPr>
          </w:p>
        </w:tc>
        <w:tc>
          <w:tcPr>
            <w:tcW w:w="1139" w:type="dxa"/>
            <w:vMerge/>
            <w:tcBorders>
              <w:left w:val="nil"/>
              <w:right w:val="single" w:sz="8" w:space="0" w:color="auto"/>
            </w:tcBorders>
            <w:shd w:val="clear" w:color="auto" w:fill="auto"/>
            <w:noWrap/>
            <w:vAlign w:val="center"/>
            <w:hideMark/>
          </w:tcPr>
          <w:p w14:paraId="5E701741" w14:textId="77777777" w:rsidR="000F3401" w:rsidRPr="002637FC" w:rsidRDefault="000F3401" w:rsidP="00332B2B">
            <w:pPr>
              <w:spacing w:after="0" w:line="240" w:lineRule="auto"/>
              <w:ind w:left="0"/>
              <w:jc w:val="left"/>
              <w:rPr>
                <w:rFonts w:eastAsia="Times New Roman"/>
                <w:sz w:val="16"/>
                <w:szCs w:val="16"/>
                <w:lang w:eastAsia="en-MY"/>
              </w:rPr>
            </w:pPr>
          </w:p>
        </w:tc>
        <w:tc>
          <w:tcPr>
            <w:tcW w:w="1181" w:type="dxa"/>
            <w:vMerge/>
            <w:tcBorders>
              <w:left w:val="nil"/>
              <w:right w:val="single" w:sz="8" w:space="0" w:color="auto"/>
            </w:tcBorders>
            <w:shd w:val="clear" w:color="auto" w:fill="auto"/>
            <w:noWrap/>
            <w:vAlign w:val="center"/>
            <w:hideMark/>
          </w:tcPr>
          <w:p w14:paraId="0D390BA2" w14:textId="77777777" w:rsidR="000F3401" w:rsidRPr="002637FC" w:rsidRDefault="000F3401" w:rsidP="00332B2B">
            <w:pPr>
              <w:spacing w:after="0" w:line="240" w:lineRule="auto"/>
              <w:ind w:left="0"/>
              <w:jc w:val="left"/>
              <w:rPr>
                <w:rFonts w:eastAsia="Times New Roman"/>
                <w:sz w:val="16"/>
                <w:szCs w:val="16"/>
                <w:lang w:eastAsia="en-MY"/>
              </w:rPr>
            </w:pPr>
          </w:p>
        </w:tc>
        <w:tc>
          <w:tcPr>
            <w:tcW w:w="1524" w:type="dxa"/>
            <w:vMerge/>
            <w:tcBorders>
              <w:left w:val="nil"/>
              <w:right w:val="single" w:sz="8" w:space="0" w:color="auto"/>
            </w:tcBorders>
            <w:shd w:val="clear" w:color="auto" w:fill="auto"/>
            <w:noWrap/>
            <w:vAlign w:val="center"/>
            <w:hideMark/>
          </w:tcPr>
          <w:p w14:paraId="607FF25B" w14:textId="77777777" w:rsidR="000F3401" w:rsidRPr="002637FC" w:rsidRDefault="000F3401" w:rsidP="00332B2B">
            <w:pPr>
              <w:spacing w:after="0" w:line="240" w:lineRule="auto"/>
              <w:ind w:left="0"/>
              <w:jc w:val="left"/>
              <w:rPr>
                <w:rFonts w:eastAsia="Times New Roman"/>
                <w:sz w:val="16"/>
                <w:szCs w:val="16"/>
                <w:lang w:eastAsia="en-MY"/>
              </w:rPr>
            </w:pPr>
          </w:p>
        </w:tc>
        <w:tc>
          <w:tcPr>
            <w:tcW w:w="1924" w:type="dxa"/>
            <w:vMerge/>
            <w:tcBorders>
              <w:left w:val="nil"/>
              <w:bottom w:val="single" w:sz="8" w:space="0" w:color="auto"/>
              <w:right w:val="single" w:sz="8" w:space="0" w:color="auto"/>
            </w:tcBorders>
            <w:shd w:val="clear" w:color="auto" w:fill="auto"/>
            <w:noWrap/>
            <w:vAlign w:val="center"/>
            <w:hideMark/>
          </w:tcPr>
          <w:p w14:paraId="27818937" w14:textId="77777777" w:rsidR="000F3401" w:rsidRPr="002637FC" w:rsidRDefault="000F3401" w:rsidP="00332B2B">
            <w:pPr>
              <w:spacing w:after="0" w:line="240" w:lineRule="auto"/>
              <w:ind w:left="0" w:firstLine="0"/>
              <w:jc w:val="left"/>
              <w:rPr>
                <w:rFonts w:eastAsia="Times New Roman"/>
                <w:sz w:val="16"/>
                <w:szCs w:val="16"/>
                <w:lang w:eastAsia="en-MY"/>
              </w:rPr>
            </w:pPr>
          </w:p>
        </w:tc>
        <w:tc>
          <w:tcPr>
            <w:tcW w:w="1763" w:type="dxa"/>
            <w:vMerge/>
            <w:tcBorders>
              <w:left w:val="nil"/>
              <w:bottom w:val="single" w:sz="8" w:space="0" w:color="auto"/>
              <w:right w:val="single" w:sz="8" w:space="0" w:color="auto"/>
            </w:tcBorders>
            <w:shd w:val="clear" w:color="auto" w:fill="auto"/>
            <w:noWrap/>
            <w:vAlign w:val="center"/>
            <w:hideMark/>
          </w:tcPr>
          <w:p w14:paraId="2F79DBFF" w14:textId="77777777" w:rsidR="000F3401" w:rsidRPr="002637FC" w:rsidRDefault="000F3401" w:rsidP="00332B2B">
            <w:pPr>
              <w:spacing w:after="0" w:line="240" w:lineRule="auto"/>
              <w:ind w:left="0" w:firstLine="0"/>
              <w:jc w:val="left"/>
              <w:rPr>
                <w:rFonts w:eastAsia="Times New Roman"/>
                <w:sz w:val="16"/>
                <w:szCs w:val="16"/>
                <w:lang w:eastAsia="en-MY"/>
              </w:rPr>
            </w:pP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70F99761" w14:textId="77777777" w:rsidR="000F3401" w:rsidRPr="002637FC" w:rsidRDefault="000F3401" w:rsidP="00332B2B">
            <w:pPr>
              <w:spacing w:after="0" w:line="240" w:lineRule="auto"/>
              <w:ind w:left="0" w:firstLine="0"/>
              <w:jc w:val="left"/>
              <w:rPr>
                <w:rFonts w:eastAsia="Times New Roman"/>
                <w:sz w:val="16"/>
                <w:szCs w:val="16"/>
                <w:lang w:eastAsia="en-MY"/>
              </w:rPr>
            </w:pPr>
            <w:r w:rsidRPr="002637FC">
              <w:rPr>
                <w:rFonts w:eastAsia="Times New Roman"/>
                <w:sz w:val="16"/>
                <w:szCs w:val="16"/>
                <w:lang w:eastAsia="en-MY"/>
              </w:rPr>
              <w:t> </w:t>
            </w:r>
          </w:p>
        </w:tc>
      </w:tr>
      <w:tr w:rsidR="000F3401" w:rsidRPr="002637FC" w14:paraId="23D4B9C0" w14:textId="77777777" w:rsidTr="00332B2B">
        <w:trPr>
          <w:trHeight w:val="810"/>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25D9DB66" w14:textId="77777777" w:rsidR="000F3401" w:rsidRPr="002637FC" w:rsidRDefault="000F3401" w:rsidP="000F3401">
            <w:pPr>
              <w:pStyle w:val="Default"/>
              <w:rPr>
                <w:sz w:val="16"/>
                <w:szCs w:val="16"/>
              </w:rPr>
            </w:pPr>
            <w:r w:rsidRPr="002637FC">
              <w:rPr>
                <w:sz w:val="16"/>
                <w:szCs w:val="16"/>
              </w:rPr>
              <w:t xml:space="preserve">Separación del servicio </w:t>
            </w:r>
          </w:p>
          <w:p w14:paraId="2CE1299F" w14:textId="55192FEB" w:rsidR="000F3401" w:rsidRPr="002637FC" w:rsidRDefault="000F3401" w:rsidP="00332B2B">
            <w:pPr>
              <w:spacing w:after="0" w:line="240" w:lineRule="auto"/>
              <w:ind w:left="0" w:firstLine="0"/>
              <w:jc w:val="left"/>
              <w:rPr>
                <w:rFonts w:eastAsia="Times New Roman"/>
                <w:sz w:val="16"/>
                <w:szCs w:val="16"/>
                <w:lang w:eastAsia="en-MY"/>
              </w:rPr>
            </w:pPr>
          </w:p>
        </w:tc>
        <w:tc>
          <w:tcPr>
            <w:tcW w:w="1139" w:type="dxa"/>
            <w:vMerge/>
            <w:tcBorders>
              <w:left w:val="nil"/>
              <w:bottom w:val="single" w:sz="8" w:space="0" w:color="auto"/>
              <w:right w:val="single" w:sz="8" w:space="0" w:color="auto"/>
            </w:tcBorders>
            <w:shd w:val="clear" w:color="auto" w:fill="auto"/>
            <w:noWrap/>
            <w:vAlign w:val="center"/>
            <w:hideMark/>
          </w:tcPr>
          <w:p w14:paraId="550692D3" w14:textId="77777777" w:rsidR="000F3401" w:rsidRPr="002637FC" w:rsidRDefault="000F3401" w:rsidP="00332B2B">
            <w:pPr>
              <w:spacing w:after="0" w:line="240" w:lineRule="auto"/>
              <w:ind w:left="0" w:firstLine="0"/>
              <w:jc w:val="left"/>
              <w:rPr>
                <w:rFonts w:eastAsia="Times New Roman"/>
                <w:sz w:val="16"/>
                <w:szCs w:val="16"/>
                <w:lang w:eastAsia="en-MY"/>
              </w:rPr>
            </w:pPr>
          </w:p>
        </w:tc>
        <w:tc>
          <w:tcPr>
            <w:tcW w:w="1181" w:type="dxa"/>
            <w:vMerge/>
            <w:tcBorders>
              <w:left w:val="nil"/>
              <w:bottom w:val="single" w:sz="8" w:space="0" w:color="auto"/>
              <w:right w:val="single" w:sz="8" w:space="0" w:color="auto"/>
            </w:tcBorders>
            <w:shd w:val="clear" w:color="auto" w:fill="auto"/>
            <w:noWrap/>
            <w:vAlign w:val="center"/>
            <w:hideMark/>
          </w:tcPr>
          <w:p w14:paraId="783B8F3A" w14:textId="77777777" w:rsidR="000F3401" w:rsidRPr="002637FC" w:rsidRDefault="000F3401" w:rsidP="00332B2B">
            <w:pPr>
              <w:spacing w:after="0" w:line="240" w:lineRule="auto"/>
              <w:ind w:left="0" w:firstLine="0"/>
              <w:jc w:val="left"/>
              <w:rPr>
                <w:rFonts w:eastAsia="Times New Roman"/>
                <w:sz w:val="16"/>
                <w:szCs w:val="16"/>
                <w:lang w:eastAsia="en-MY"/>
              </w:rPr>
            </w:pPr>
          </w:p>
        </w:tc>
        <w:tc>
          <w:tcPr>
            <w:tcW w:w="1524" w:type="dxa"/>
            <w:vMerge/>
            <w:tcBorders>
              <w:left w:val="nil"/>
              <w:right w:val="single" w:sz="8" w:space="0" w:color="auto"/>
            </w:tcBorders>
            <w:shd w:val="clear" w:color="auto" w:fill="auto"/>
            <w:noWrap/>
            <w:vAlign w:val="center"/>
            <w:hideMark/>
          </w:tcPr>
          <w:p w14:paraId="1FF29776" w14:textId="77777777" w:rsidR="000F3401" w:rsidRPr="002637FC" w:rsidRDefault="000F3401" w:rsidP="00332B2B">
            <w:pPr>
              <w:spacing w:after="0" w:line="240" w:lineRule="auto"/>
              <w:ind w:left="0"/>
              <w:jc w:val="left"/>
              <w:rPr>
                <w:rFonts w:eastAsia="Times New Roman"/>
                <w:sz w:val="16"/>
                <w:szCs w:val="16"/>
                <w:lang w:eastAsia="en-MY"/>
              </w:rPr>
            </w:pPr>
          </w:p>
        </w:tc>
        <w:tc>
          <w:tcPr>
            <w:tcW w:w="1924" w:type="dxa"/>
            <w:tcBorders>
              <w:top w:val="nil"/>
              <w:left w:val="nil"/>
              <w:bottom w:val="single" w:sz="8" w:space="0" w:color="auto"/>
              <w:right w:val="single" w:sz="8" w:space="0" w:color="auto"/>
            </w:tcBorders>
            <w:shd w:val="clear" w:color="auto" w:fill="auto"/>
            <w:noWrap/>
            <w:vAlign w:val="center"/>
            <w:hideMark/>
          </w:tcPr>
          <w:p w14:paraId="72892653" w14:textId="77777777" w:rsidR="006A7712" w:rsidRPr="002637FC" w:rsidRDefault="006A7712" w:rsidP="006A7712">
            <w:pPr>
              <w:pStyle w:val="Default"/>
              <w:rPr>
                <w:sz w:val="16"/>
                <w:szCs w:val="16"/>
              </w:rPr>
            </w:pPr>
            <w:r w:rsidRPr="002637FC">
              <w:rPr>
                <w:sz w:val="16"/>
                <w:szCs w:val="16"/>
              </w:rPr>
              <w:t xml:space="preserve">80% del salario final </w:t>
            </w:r>
          </w:p>
          <w:p w14:paraId="38A95938" w14:textId="1BF56ED4" w:rsidR="000F3401" w:rsidRPr="002637FC" w:rsidRDefault="000F3401" w:rsidP="00332B2B">
            <w:pPr>
              <w:spacing w:after="0" w:line="240" w:lineRule="auto"/>
              <w:ind w:left="0" w:firstLine="0"/>
              <w:jc w:val="left"/>
              <w:rPr>
                <w:rFonts w:eastAsia="Times New Roman"/>
                <w:sz w:val="16"/>
                <w:szCs w:val="16"/>
                <w:lang w:eastAsia="en-MY"/>
              </w:rPr>
            </w:pPr>
          </w:p>
        </w:tc>
        <w:tc>
          <w:tcPr>
            <w:tcW w:w="1763" w:type="dxa"/>
            <w:tcBorders>
              <w:top w:val="nil"/>
              <w:left w:val="nil"/>
              <w:bottom w:val="single" w:sz="8" w:space="0" w:color="auto"/>
              <w:right w:val="single" w:sz="8" w:space="0" w:color="auto"/>
            </w:tcBorders>
            <w:shd w:val="clear" w:color="auto" w:fill="auto"/>
            <w:vAlign w:val="center"/>
            <w:hideMark/>
          </w:tcPr>
          <w:p w14:paraId="53D07A88" w14:textId="3B7BA257" w:rsidR="000F3401" w:rsidRPr="002637FC" w:rsidRDefault="002637FC" w:rsidP="00332B2B">
            <w:pPr>
              <w:spacing w:after="0" w:line="240" w:lineRule="auto"/>
              <w:ind w:left="0" w:firstLine="0"/>
              <w:jc w:val="left"/>
              <w:rPr>
                <w:rFonts w:eastAsia="Times New Roman"/>
                <w:sz w:val="16"/>
                <w:szCs w:val="16"/>
                <w:lang w:eastAsia="en-MY"/>
              </w:rPr>
            </w:pPr>
            <w:r>
              <w:rPr>
                <w:rFonts w:eastAsia="Times New Roman"/>
                <w:sz w:val="16"/>
                <w:szCs w:val="16"/>
                <w:lang w:eastAsia="en-MY"/>
              </w:rPr>
              <w:t>Recuperación total del pago final</w:t>
            </w: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7FF98E4A" w14:textId="77777777" w:rsidR="000F3401" w:rsidRPr="002637FC" w:rsidRDefault="000F3401" w:rsidP="00332B2B">
            <w:pPr>
              <w:spacing w:after="0" w:line="240" w:lineRule="auto"/>
              <w:ind w:left="0" w:firstLine="0"/>
              <w:jc w:val="left"/>
              <w:rPr>
                <w:rFonts w:eastAsia="Times New Roman"/>
                <w:sz w:val="16"/>
                <w:szCs w:val="16"/>
                <w:lang w:eastAsia="en-MY"/>
              </w:rPr>
            </w:pPr>
            <w:r w:rsidRPr="002637FC">
              <w:rPr>
                <w:rFonts w:eastAsia="Times New Roman"/>
                <w:sz w:val="16"/>
                <w:szCs w:val="16"/>
                <w:lang w:eastAsia="en-MY"/>
              </w:rPr>
              <w:t> </w:t>
            </w:r>
          </w:p>
        </w:tc>
      </w:tr>
      <w:tr w:rsidR="000F3401" w:rsidRPr="002637FC" w14:paraId="4647E4C3" w14:textId="77777777" w:rsidTr="00332B2B">
        <w:trPr>
          <w:trHeight w:val="437"/>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012DB8E0" w14:textId="77777777" w:rsidR="000F3401" w:rsidRPr="002637FC" w:rsidRDefault="000F3401" w:rsidP="000F3401">
            <w:pPr>
              <w:pStyle w:val="Default"/>
              <w:rPr>
                <w:sz w:val="16"/>
                <w:szCs w:val="16"/>
              </w:rPr>
            </w:pPr>
            <w:r w:rsidRPr="002637FC">
              <w:rPr>
                <w:sz w:val="16"/>
                <w:szCs w:val="16"/>
              </w:rPr>
              <w:t xml:space="preserve">Gastos médicos </w:t>
            </w:r>
          </w:p>
          <w:p w14:paraId="32E6C0CF" w14:textId="3FA1916F" w:rsidR="000F3401" w:rsidRPr="002637FC" w:rsidRDefault="000F3401" w:rsidP="00332B2B">
            <w:pPr>
              <w:spacing w:after="0" w:line="240" w:lineRule="auto"/>
              <w:ind w:left="0" w:firstLine="0"/>
              <w:jc w:val="left"/>
              <w:rPr>
                <w:rFonts w:eastAsia="Times New Roman"/>
                <w:sz w:val="16"/>
                <w:szCs w:val="16"/>
                <w:lang w:eastAsia="en-MY"/>
              </w:rPr>
            </w:pPr>
          </w:p>
        </w:tc>
        <w:tc>
          <w:tcPr>
            <w:tcW w:w="1139" w:type="dxa"/>
            <w:tcBorders>
              <w:top w:val="nil"/>
              <w:left w:val="nil"/>
              <w:right w:val="single" w:sz="8" w:space="0" w:color="auto"/>
            </w:tcBorders>
            <w:shd w:val="clear" w:color="auto" w:fill="auto"/>
            <w:noWrap/>
            <w:vAlign w:val="center"/>
            <w:hideMark/>
          </w:tcPr>
          <w:p w14:paraId="22E60139" w14:textId="77777777" w:rsidR="000F3401" w:rsidRPr="002637FC" w:rsidRDefault="000F3401" w:rsidP="000F3401">
            <w:pPr>
              <w:pStyle w:val="Default"/>
              <w:rPr>
                <w:sz w:val="16"/>
                <w:szCs w:val="16"/>
              </w:rPr>
            </w:pPr>
          </w:p>
          <w:p w14:paraId="0FA910D9" w14:textId="77777777" w:rsidR="000F3401" w:rsidRPr="002637FC" w:rsidRDefault="000F3401" w:rsidP="000F3401">
            <w:pPr>
              <w:pStyle w:val="Default"/>
              <w:rPr>
                <w:sz w:val="16"/>
                <w:szCs w:val="16"/>
              </w:rPr>
            </w:pPr>
          </w:p>
          <w:p w14:paraId="19B097F6" w14:textId="6CC9AAC4" w:rsidR="000F3401" w:rsidRPr="002637FC" w:rsidRDefault="000F3401" w:rsidP="000F3401">
            <w:pPr>
              <w:pStyle w:val="Default"/>
              <w:rPr>
                <w:sz w:val="16"/>
                <w:szCs w:val="16"/>
              </w:rPr>
            </w:pPr>
            <w:r w:rsidRPr="002637FC">
              <w:rPr>
                <w:sz w:val="16"/>
                <w:szCs w:val="16"/>
              </w:rPr>
              <w:t xml:space="preserve">Miembro del personal </w:t>
            </w:r>
          </w:p>
          <w:p w14:paraId="0F10BF4D" w14:textId="10225BEE" w:rsidR="000F3401" w:rsidRPr="002637FC" w:rsidRDefault="000F3401" w:rsidP="00332B2B">
            <w:pPr>
              <w:spacing w:after="0" w:line="240" w:lineRule="auto"/>
              <w:ind w:left="0"/>
              <w:jc w:val="left"/>
              <w:rPr>
                <w:rFonts w:eastAsia="Times New Roman"/>
                <w:sz w:val="16"/>
                <w:szCs w:val="16"/>
                <w:lang w:eastAsia="en-MY"/>
              </w:rPr>
            </w:pPr>
          </w:p>
        </w:tc>
        <w:tc>
          <w:tcPr>
            <w:tcW w:w="1181" w:type="dxa"/>
            <w:tcBorders>
              <w:top w:val="nil"/>
              <w:left w:val="nil"/>
              <w:bottom w:val="single" w:sz="8" w:space="0" w:color="auto"/>
              <w:right w:val="single" w:sz="8" w:space="0" w:color="auto"/>
            </w:tcBorders>
            <w:shd w:val="clear" w:color="auto" w:fill="auto"/>
            <w:vAlign w:val="center"/>
            <w:hideMark/>
          </w:tcPr>
          <w:p w14:paraId="6FDF4998" w14:textId="77777777" w:rsidR="000F3401" w:rsidRPr="002637FC" w:rsidRDefault="000F3401" w:rsidP="000F3401">
            <w:pPr>
              <w:pStyle w:val="Default"/>
              <w:rPr>
                <w:sz w:val="16"/>
                <w:szCs w:val="16"/>
              </w:rPr>
            </w:pPr>
            <w:r w:rsidRPr="002637FC">
              <w:rPr>
                <w:sz w:val="16"/>
                <w:szCs w:val="16"/>
              </w:rPr>
              <w:t xml:space="preserve">Jefe de la Oficina o persona designada </w:t>
            </w:r>
          </w:p>
          <w:p w14:paraId="1087A506" w14:textId="151314AE" w:rsidR="000F3401" w:rsidRPr="002637FC" w:rsidRDefault="000F3401" w:rsidP="00332B2B">
            <w:pPr>
              <w:spacing w:after="0" w:line="240" w:lineRule="auto"/>
              <w:ind w:left="0" w:firstLine="0"/>
              <w:jc w:val="left"/>
              <w:rPr>
                <w:rFonts w:eastAsia="Times New Roman"/>
                <w:sz w:val="16"/>
                <w:szCs w:val="16"/>
                <w:lang w:eastAsia="en-MY"/>
              </w:rPr>
            </w:pPr>
          </w:p>
        </w:tc>
        <w:tc>
          <w:tcPr>
            <w:tcW w:w="1524" w:type="dxa"/>
            <w:tcBorders>
              <w:left w:val="nil"/>
              <w:bottom w:val="single" w:sz="8" w:space="0" w:color="auto"/>
              <w:right w:val="single" w:sz="8" w:space="0" w:color="auto"/>
            </w:tcBorders>
            <w:shd w:val="clear" w:color="auto" w:fill="auto"/>
            <w:noWrap/>
            <w:vAlign w:val="center"/>
            <w:hideMark/>
          </w:tcPr>
          <w:p w14:paraId="3ED28590" w14:textId="77777777" w:rsidR="000F3401" w:rsidRPr="002637FC" w:rsidRDefault="000F3401" w:rsidP="00332B2B">
            <w:pPr>
              <w:spacing w:after="0" w:line="240" w:lineRule="auto"/>
              <w:ind w:left="0" w:firstLine="0"/>
              <w:jc w:val="left"/>
              <w:rPr>
                <w:rFonts w:eastAsia="Times New Roman"/>
                <w:sz w:val="16"/>
                <w:szCs w:val="16"/>
                <w:lang w:eastAsia="en-MY"/>
              </w:rPr>
            </w:pPr>
          </w:p>
        </w:tc>
        <w:tc>
          <w:tcPr>
            <w:tcW w:w="1924" w:type="dxa"/>
            <w:tcBorders>
              <w:top w:val="nil"/>
              <w:left w:val="nil"/>
              <w:bottom w:val="single" w:sz="8" w:space="0" w:color="auto"/>
              <w:right w:val="single" w:sz="8" w:space="0" w:color="auto"/>
            </w:tcBorders>
            <w:shd w:val="clear" w:color="auto" w:fill="auto"/>
            <w:vAlign w:val="center"/>
            <w:hideMark/>
          </w:tcPr>
          <w:p w14:paraId="48CF873D" w14:textId="77777777" w:rsidR="006A7712" w:rsidRPr="002637FC" w:rsidRDefault="006A7712" w:rsidP="006A7712">
            <w:pPr>
              <w:pStyle w:val="Default"/>
              <w:rPr>
                <w:sz w:val="16"/>
                <w:szCs w:val="16"/>
              </w:rPr>
            </w:pPr>
            <w:r w:rsidRPr="002637FC">
              <w:rPr>
                <w:sz w:val="16"/>
                <w:szCs w:val="16"/>
              </w:rPr>
              <w:t>El más bajo de (i) 2 meses de salario neto (</w:t>
            </w:r>
            <w:proofErr w:type="spellStart"/>
            <w:r w:rsidRPr="002637FC">
              <w:rPr>
                <w:sz w:val="16"/>
                <w:szCs w:val="16"/>
              </w:rPr>
              <w:t>ii</w:t>
            </w:r>
            <w:proofErr w:type="spellEnd"/>
            <w:r w:rsidRPr="002637FC">
              <w:rPr>
                <w:sz w:val="16"/>
                <w:szCs w:val="16"/>
              </w:rPr>
              <w:t>) reembolso del seguro (</w:t>
            </w:r>
            <w:proofErr w:type="spellStart"/>
            <w:r w:rsidRPr="002637FC">
              <w:rPr>
                <w:sz w:val="16"/>
                <w:szCs w:val="16"/>
              </w:rPr>
              <w:t>iii</w:t>
            </w:r>
            <w:proofErr w:type="spellEnd"/>
            <w:r w:rsidRPr="002637FC">
              <w:rPr>
                <w:sz w:val="16"/>
                <w:szCs w:val="16"/>
              </w:rPr>
              <w:t xml:space="preserve">) factura del hospital </w:t>
            </w:r>
          </w:p>
          <w:p w14:paraId="2D5AA980" w14:textId="361852F3" w:rsidR="000F3401" w:rsidRPr="002637FC" w:rsidRDefault="000F3401" w:rsidP="00332B2B">
            <w:pPr>
              <w:spacing w:after="0" w:line="240" w:lineRule="auto"/>
              <w:ind w:left="0" w:firstLine="0"/>
              <w:jc w:val="left"/>
              <w:rPr>
                <w:rFonts w:eastAsia="Times New Roman"/>
                <w:sz w:val="16"/>
                <w:szCs w:val="16"/>
                <w:lang w:eastAsia="en-MY"/>
              </w:rPr>
            </w:pPr>
          </w:p>
        </w:tc>
        <w:tc>
          <w:tcPr>
            <w:tcW w:w="1763" w:type="dxa"/>
            <w:tcBorders>
              <w:top w:val="nil"/>
              <w:left w:val="nil"/>
              <w:bottom w:val="single" w:sz="8" w:space="0" w:color="auto"/>
              <w:right w:val="single" w:sz="8" w:space="0" w:color="auto"/>
            </w:tcBorders>
            <w:shd w:val="clear" w:color="auto" w:fill="auto"/>
            <w:vAlign w:val="center"/>
            <w:hideMark/>
          </w:tcPr>
          <w:p w14:paraId="0A255238" w14:textId="3914B08D" w:rsidR="000F3401" w:rsidRPr="002637FC" w:rsidRDefault="002637FC" w:rsidP="00332B2B">
            <w:pPr>
              <w:spacing w:after="0" w:line="240" w:lineRule="auto"/>
              <w:ind w:left="0" w:firstLine="0"/>
              <w:jc w:val="left"/>
              <w:rPr>
                <w:rFonts w:eastAsia="Times New Roman"/>
                <w:sz w:val="16"/>
                <w:szCs w:val="16"/>
                <w:lang w:eastAsia="en-MY"/>
              </w:rPr>
            </w:pPr>
            <w:r>
              <w:rPr>
                <w:rFonts w:eastAsia="Times New Roman"/>
                <w:sz w:val="16"/>
                <w:szCs w:val="16"/>
                <w:lang w:eastAsia="en-MY"/>
              </w:rPr>
              <w:t>En 4 meses o al final del contrato, lo que ocurra primero</w:t>
            </w: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54CFE318" w14:textId="693FECFA" w:rsidR="000F3401" w:rsidRPr="002637FC" w:rsidRDefault="002637FC" w:rsidP="00332B2B">
            <w:pPr>
              <w:spacing w:after="0" w:line="240" w:lineRule="auto"/>
              <w:ind w:left="0" w:firstLine="0"/>
              <w:jc w:val="left"/>
              <w:rPr>
                <w:rFonts w:eastAsia="Times New Roman"/>
                <w:sz w:val="16"/>
                <w:szCs w:val="16"/>
                <w:lang w:eastAsia="en-MY"/>
              </w:rPr>
            </w:pPr>
            <w:r>
              <w:rPr>
                <w:rFonts w:eastAsia="Times New Roman"/>
                <w:sz w:val="16"/>
                <w:szCs w:val="16"/>
                <w:lang w:eastAsia="en-MY"/>
              </w:rPr>
              <w:t>Tienen que ser cubiertos por un seguro médico de la ONU/UNDP</w:t>
            </w:r>
          </w:p>
        </w:tc>
      </w:tr>
      <w:tr w:rsidR="000F3401" w:rsidRPr="002637FC" w14:paraId="3AD2DC4C" w14:textId="77777777" w:rsidTr="00332B2B">
        <w:trPr>
          <w:trHeight w:val="1175"/>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4B407FA6" w14:textId="77777777" w:rsidR="000F3401" w:rsidRPr="002637FC" w:rsidRDefault="000F3401" w:rsidP="000F3401">
            <w:pPr>
              <w:pStyle w:val="Default"/>
              <w:rPr>
                <w:sz w:val="16"/>
                <w:szCs w:val="16"/>
              </w:rPr>
            </w:pPr>
            <w:r w:rsidRPr="002637FC">
              <w:rPr>
                <w:sz w:val="16"/>
                <w:szCs w:val="16"/>
              </w:rPr>
              <w:t xml:space="preserve">Alquiler </w:t>
            </w:r>
          </w:p>
          <w:p w14:paraId="4F1FECE6" w14:textId="0B253BFC" w:rsidR="000F3401" w:rsidRPr="002637FC" w:rsidRDefault="000F3401" w:rsidP="00332B2B">
            <w:pPr>
              <w:spacing w:after="0" w:line="240" w:lineRule="auto"/>
              <w:ind w:left="0" w:firstLine="0"/>
              <w:jc w:val="left"/>
              <w:rPr>
                <w:rFonts w:eastAsia="Times New Roman"/>
                <w:sz w:val="16"/>
                <w:szCs w:val="16"/>
                <w:lang w:eastAsia="en-MY"/>
              </w:rPr>
            </w:pPr>
          </w:p>
        </w:tc>
        <w:tc>
          <w:tcPr>
            <w:tcW w:w="1139" w:type="dxa"/>
            <w:vMerge w:val="restart"/>
            <w:tcBorders>
              <w:left w:val="nil"/>
              <w:right w:val="single" w:sz="8" w:space="0" w:color="auto"/>
            </w:tcBorders>
            <w:shd w:val="clear" w:color="auto" w:fill="auto"/>
            <w:noWrap/>
            <w:vAlign w:val="center"/>
            <w:hideMark/>
          </w:tcPr>
          <w:p w14:paraId="16D00827" w14:textId="77777777" w:rsidR="000F3401" w:rsidRPr="002637FC" w:rsidRDefault="000F3401" w:rsidP="00332B2B">
            <w:pPr>
              <w:spacing w:after="0" w:line="240" w:lineRule="auto"/>
              <w:ind w:left="0"/>
              <w:jc w:val="left"/>
              <w:rPr>
                <w:rFonts w:eastAsia="Times New Roman"/>
                <w:sz w:val="16"/>
                <w:szCs w:val="16"/>
                <w:lang w:eastAsia="en-MY"/>
              </w:rPr>
            </w:pPr>
          </w:p>
        </w:tc>
        <w:tc>
          <w:tcPr>
            <w:tcW w:w="1181" w:type="dxa"/>
            <w:tcBorders>
              <w:top w:val="nil"/>
              <w:left w:val="single" w:sz="8" w:space="0" w:color="auto"/>
              <w:bottom w:val="single" w:sz="8" w:space="0" w:color="000000"/>
              <w:right w:val="single" w:sz="8" w:space="0" w:color="auto"/>
            </w:tcBorders>
            <w:shd w:val="clear" w:color="auto" w:fill="auto"/>
            <w:vAlign w:val="center"/>
            <w:hideMark/>
          </w:tcPr>
          <w:p w14:paraId="140A1D30" w14:textId="77777777" w:rsidR="000F3401" w:rsidRPr="002637FC" w:rsidRDefault="000F3401" w:rsidP="000F3401">
            <w:pPr>
              <w:pStyle w:val="Default"/>
              <w:rPr>
                <w:sz w:val="16"/>
                <w:szCs w:val="16"/>
              </w:rPr>
            </w:pPr>
            <w:r w:rsidRPr="002637FC">
              <w:rPr>
                <w:sz w:val="16"/>
                <w:szCs w:val="16"/>
              </w:rPr>
              <w:t xml:space="preserve">Personal de PI fuera de los lugares de destino del Grupo 1 </w:t>
            </w:r>
          </w:p>
          <w:p w14:paraId="45D5766B" w14:textId="3D4AA848" w:rsidR="000F3401" w:rsidRPr="002637FC" w:rsidRDefault="000F3401" w:rsidP="00332B2B">
            <w:pPr>
              <w:spacing w:after="0" w:line="240" w:lineRule="auto"/>
              <w:ind w:left="0" w:firstLine="0"/>
              <w:jc w:val="left"/>
              <w:rPr>
                <w:rFonts w:eastAsia="Times New Roman"/>
                <w:sz w:val="16"/>
                <w:szCs w:val="16"/>
                <w:lang w:eastAsia="en-MY"/>
              </w:rPr>
            </w:pPr>
          </w:p>
        </w:tc>
        <w:tc>
          <w:tcPr>
            <w:tcW w:w="1524" w:type="dxa"/>
            <w:tcBorders>
              <w:top w:val="nil"/>
              <w:left w:val="nil"/>
              <w:bottom w:val="single" w:sz="8" w:space="0" w:color="auto"/>
              <w:right w:val="single" w:sz="8" w:space="0" w:color="auto"/>
            </w:tcBorders>
            <w:shd w:val="clear" w:color="auto" w:fill="auto"/>
            <w:vAlign w:val="center"/>
            <w:hideMark/>
          </w:tcPr>
          <w:p w14:paraId="292CADD4" w14:textId="03739C79" w:rsidR="000F3401" w:rsidRPr="002637FC" w:rsidRDefault="00E75CC4" w:rsidP="00332B2B">
            <w:pPr>
              <w:spacing w:after="0" w:line="240" w:lineRule="auto"/>
              <w:ind w:left="0" w:firstLine="0"/>
              <w:jc w:val="left"/>
              <w:rPr>
                <w:rFonts w:eastAsia="Times New Roman"/>
                <w:sz w:val="16"/>
                <w:szCs w:val="16"/>
                <w:lang w:eastAsia="en-MY"/>
              </w:rPr>
            </w:pPr>
            <w:r w:rsidRPr="00E75CC4">
              <w:rPr>
                <w:rFonts w:eastAsia="Times New Roman"/>
                <w:sz w:val="16"/>
                <w:szCs w:val="16"/>
                <w:lang w:eastAsia="en-MY"/>
              </w:rPr>
              <w:t xml:space="preserve">Profesionales internacionales (P1-P4) </w:t>
            </w:r>
            <w:r>
              <w:rPr>
                <w:rFonts w:eastAsia="Times New Roman"/>
                <w:sz w:val="16"/>
                <w:szCs w:val="16"/>
                <w:lang w:eastAsia="en-MY"/>
              </w:rPr>
              <w:t>fuera de lugares de asignación en el Grupo 1</w:t>
            </w:r>
          </w:p>
        </w:tc>
        <w:tc>
          <w:tcPr>
            <w:tcW w:w="1924" w:type="dxa"/>
            <w:tcBorders>
              <w:top w:val="nil"/>
              <w:left w:val="nil"/>
              <w:bottom w:val="single" w:sz="8" w:space="0" w:color="auto"/>
              <w:right w:val="single" w:sz="8" w:space="0" w:color="auto"/>
            </w:tcBorders>
            <w:shd w:val="clear" w:color="auto" w:fill="auto"/>
            <w:vAlign w:val="center"/>
            <w:hideMark/>
          </w:tcPr>
          <w:p w14:paraId="3EEF51A7" w14:textId="77777777" w:rsidR="006A7712" w:rsidRPr="002637FC" w:rsidRDefault="006A7712" w:rsidP="006A7712">
            <w:pPr>
              <w:pStyle w:val="Default"/>
              <w:rPr>
                <w:sz w:val="16"/>
                <w:szCs w:val="16"/>
              </w:rPr>
            </w:pPr>
            <w:r w:rsidRPr="002637FC">
              <w:rPr>
                <w:sz w:val="16"/>
                <w:szCs w:val="16"/>
              </w:rPr>
              <w:t xml:space="preserve">Por contrato firmado </w:t>
            </w:r>
          </w:p>
          <w:p w14:paraId="32157861" w14:textId="316B117E" w:rsidR="000F3401" w:rsidRPr="002637FC" w:rsidRDefault="000F3401" w:rsidP="00332B2B">
            <w:pPr>
              <w:spacing w:after="0" w:line="240" w:lineRule="auto"/>
              <w:ind w:left="0" w:firstLine="0"/>
              <w:jc w:val="left"/>
              <w:rPr>
                <w:rFonts w:eastAsia="Times New Roman"/>
                <w:sz w:val="16"/>
                <w:szCs w:val="16"/>
                <w:lang w:eastAsia="en-MY"/>
              </w:rPr>
            </w:pPr>
          </w:p>
        </w:tc>
        <w:tc>
          <w:tcPr>
            <w:tcW w:w="1763" w:type="dxa"/>
            <w:tcBorders>
              <w:top w:val="nil"/>
              <w:left w:val="nil"/>
              <w:bottom w:val="single" w:sz="8" w:space="0" w:color="auto"/>
              <w:right w:val="single" w:sz="8" w:space="0" w:color="auto"/>
            </w:tcBorders>
            <w:shd w:val="clear" w:color="auto" w:fill="auto"/>
            <w:vAlign w:val="center"/>
            <w:hideMark/>
          </w:tcPr>
          <w:p w14:paraId="7CB7FD52" w14:textId="4E8BA577" w:rsidR="000F3401" w:rsidRPr="002637FC" w:rsidRDefault="002637FC" w:rsidP="00332B2B">
            <w:pPr>
              <w:spacing w:after="0" w:line="240" w:lineRule="auto"/>
              <w:ind w:left="0" w:firstLine="0"/>
              <w:jc w:val="left"/>
              <w:rPr>
                <w:rFonts w:eastAsia="Times New Roman"/>
                <w:sz w:val="16"/>
                <w:szCs w:val="16"/>
                <w:lang w:eastAsia="en-MY"/>
              </w:rPr>
            </w:pPr>
            <w:r>
              <w:rPr>
                <w:rFonts w:eastAsia="Times New Roman"/>
                <w:sz w:val="16"/>
                <w:szCs w:val="16"/>
                <w:lang w:eastAsia="en-MY"/>
              </w:rPr>
              <w:t>Término del alquiler o fin del contrato, lo que ocurra primero.</w:t>
            </w:r>
            <w:r w:rsidR="000F3401" w:rsidRPr="002637FC">
              <w:rPr>
                <w:rFonts w:eastAsia="Times New Roman"/>
                <w:sz w:val="16"/>
                <w:szCs w:val="16"/>
                <w:lang w:eastAsia="en-MY"/>
              </w:rPr>
              <w:t xml:space="preserve"> </w:t>
            </w:r>
          </w:p>
        </w:tc>
        <w:tc>
          <w:tcPr>
            <w:tcW w:w="1653" w:type="dxa"/>
            <w:gridSpan w:val="2"/>
            <w:tcBorders>
              <w:top w:val="nil"/>
              <w:left w:val="nil"/>
              <w:bottom w:val="single" w:sz="8" w:space="0" w:color="auto"/>
              <w:right w:val="single" w:sz="8" w:space="0" w:color="auto"/>
            </w:tcBorders>
            <w:shd w:val="clear" w:color="auto" w:fill="auto"/>
            <w:vAlign w:val="center"/>
            <w:hideMark/>
          </w:tcPr>
          <w:p w14:paraId="397E3C0F" w14:textId="791309B6" w:rsidR="000F3401" w:rsidRPr="002637FC" w:rsidRDefault="002637FC" w:rsidP="00332B2B">
            <w:pPr>
              <w:spacing w:after="0" w:line="240" w:lineRule="auto"/>
              <w:ind w:left="0" w:firstLine="0"/>
              <w:jc w:val="left"/>
              <w:rPr>
                <w:rFonts w:eastAsia="Times New Roman"/>
                <w:sz w:val="16"/>
                <w:szCs w:val="16"/>
                <w:lang w:eastAsia="en-MY"/>
              </w:rPr>
            </w:pPr>
            <w:r>
              <w:rPr>
                <w:rFonts w:eastAsia="Times New Roman"/>
                <w:sz w:val="16"/>
                <w:szCs w:val="16"/>
                <w:lang w:eastAsia="en-MY"/>
              </w:rPr>
              <w:t>En línea con las condiciones del mercado de alquileres local</w:t>
            </w:r>
          </w:p>
        </w:tc>
      </w:tr>
      <w:tr w:rsidR="000F3401" w:rsidRPr="002637FC" w14:paraId="1F51B03A" w14:textId="77777777" w:rsidTr="00332B2B">
        <w:trPr>
          <w:trHeight w:val="750"/>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49BB1400" w14:textId="77777777" w:rsidR="000F3401" w:rsidRPr="002637FC" w:rsidRDefault="000F3401" w:rsidP="000F3401">
            <w:pPr>
              <w:pStyle w:val="Default"/>
              <w:rPr>
                <w:sz w:val="16"/>
                <w:szCs w:val="16"/>
              </w:rPr>
            </w:pPr>
            <w:r w:rsidRPr="002637FC">
              <w:rPr>
                <w:sz w:val="16"/>
                <w:szCs w:val="16"/>
              </w:rPr>
              <w:t xml:space="preserve">Vehículo </w:t>
            </w:r>
          </w:p>
          <w:p w14:paraId="465A2913" w14:textId="7C8B4636" w:rsidR="000F3401" w:rsidRPr="002637FC" w:rsidRDefault="000F3401" w:rsidP="00332B2B">
            <w:pPr>
              <w:spacing w:after="0" w:line="240" w:lineRule="auto"/>
              <w:ind w:left="0" w:firstLine="0"/>
              <w:jc w:val="left"/>
              <w:rPr>
                <w:rFonts w:eastAsia="Times New Roman"/>
                <w:sz w:val="16"/>
                <w:szCs w:val="16"/>
                <w:lang w:eastAsia="en-MY"/>
              </w:rPr>
            </w:pPr>
          </w:p>
        </w:tc>
        <w:tc>
          <w:tcPr>
            <w:tcW w:w="1139" w:type="dxa"/>
            <w:vMerge/>
            <w:tcBorders>
              <w:left w:val="nil"/>
              <w:bottom w:val="single" w:sz="4" w:space="0" w:color="auto"/>
              <w:right w:val="single" w:sz="8" w:space="0" w:color="auto"/>
            </w:tcBorders>
            <w:shd w:val="clear" w:color="auto" w:fill="auto"/>
            <w:noWrap/>
            <w:vAlign w:val="center"/>
            <w:hideMark/>
          </w:tcPr>
          <w:p w14:paraId="0BE69319" w14:textId="77777777" w:rsidR="000F3401" w:rsidRPr="002637FC" w:rsidRDefault="000F3401" w:rsidP="00332B2B">
            <w:pPr>
              <w:spacing w:after="0" w:line="240" w:lineRule="auto"/>
              <w:ind w:left="0"/>
              <w:jc w:val="left"/>
              <w:rPr>
                <w:rFonts w:eastAsia="Times New Roman"/>
                <w:sz w:val="16"/>
                <w:szCs w:val="16"/>
                <w:lang w:eastAsia="en-MY"/>
              </w:rPr>
            </w:pPr>
          </w:p>
        </w:tc>
        <w:tc>
          <w:tcPr>
            <w:tcW w:w="1181" w:type="dxa"/>
            <w:vMerge/>
            <w:tcBorders>
              <w:top w:val="nil"/>
              <w:left w:val="single" w:sz="8" w:space="0" w:color="auto"/>
              <w:bottom w:val="single" w:sz="8" w:space="0" w:color="000000"/>
              <w:right w:val="single" w:sz="8" w:space="0" w:color="auto"/>
            </w:tcBorders>
            <w:vAlign w:val="center"/>
            <w:hideMark/>
          </w:tcPr>
          <w:p w14:paraId="27A5EDB7" w14:textId="77777777" w:rsidR="000F3401" w:rsidRPr="002637FC" w:rsidRDefault="000F3401" w:rsidP="00332B2B">
            <w:pPr>
              <w:spacing w:after="0" w:line="240" w:lineRule="auto"/>
              <w:ind w:left="0" w:firstLine="0"/>
              <w:jc w:val="left"/>
              <w:rPr>
                <w:rFonts w:eastAsia="Times New Roman"/>
                <w:sz w:val="16"/>
                <w:szCs w:val="16"/>
                <w:lang w:eastAsia="en-MY"/>
              </w:rPr>
            </w:pPr>
          </w:p>
        </w:tc>
        <w:tc>
          <w:tcPr>
            <w:tcW w:w="1524" w:type="dxa"/>
            <w:tcBorders>
              <w:top w:val="nil"/>
              <w:left w:val="nil"/>
              <w:bottom w:val="single" w:sz="8" w:space="0" w:color="auto"/>
              <w:right w:val="single" w:sz="8" w:space="0" w:color="auto"/>
            </w:tcBorders>
            <w:shd w:val="clear" w:color="auto" w:fill="auto"/>
            <w:vAlign w:val="center"/>
            <w:hideMark/>
          </w:tcPr>
          <w:p w14:paraId="239D51D6" w14:textId="309DF6D0" w:rsidR="000F3401" w:rsidRPr="00E75CC4" w:rsidRDefault="00E75CC4" w:rsidP="00332B2B">
            <w:pPr>
              <w:spacing w:after="0" w:line="240" w:lineRule="auto"/>
              <w:ind w:left="0" w:firstLine="0"/>
              <w:jc w:val="left"/>
              <w:rPr>
                <w:rFonts w:eastAsia="Times New Roman"/>
                <w:sz w:val="16"/>
                <w:szCs w:val="16"/>
                <w:lang w:eastAsia="en-MY"/>
              </w:rPr>
            </w:pPr>
            <w:r w:rsidRPr="00E75CC4">
              <w:rPr>
                <w:rFonts w:eastAsia="Times New Roman"/>
                <w:sz w:val="16"/>
                <w:szCs w:val="16"/>
                <w:lang w:eastAsia="en-MY"/>
              </w:rPr>
              <w:t>Profesionales internacionales</w:t>
            </w:r>
            <w:r w:rsidR="000F3401" w:rsidRPr="00E75CC4">
              <w:rPr>
                <w:rFonts w:eastAsia="Times New Roman"/>
                <w:sz w:val="16"/>
                <w:szCs w:val="16"/>
                <w:lang w:eastAsia="en-MY"/>
              </w:rPr>
              <w:t xml:space="preserve"> (P1-P4) </w:t>
            </w:r>
            <w:r w:rsidRPr="00E75CC4">
              <w:rPr>
                <w:rFonts w:eastAsia="Times New Roman"/>
                <w:sz w:val="16"/>
                <w:szCs w:val="16"/>
                <w:lang w:eastAsia="en-MY"/>
              </w:rPr>
              <w:t>except</w:t>
            </w:r>
            <w:r>
              <w:rPr>
                <w:rFonts w:eastAsia="Times New Roman"/>
                <w:sz w:val="16"/>
                <w:szCs w:val="16"/>
                <w:lang w:eastAsia="en-MY"/>
              </w:rPr>
              <w:t xml:space="preserve">o </w:t>
            </w:r>
            <w:r w:rsidRPr="00E75CC4">
              <w:rPr>
                <w:rFonts w:eastAsia="Times New Roman"/>
                <w:sz w:val="16"/>
                <w:szCs w:val="16"/>
                <w:lang w:eastAsia="en-MY"/>
              </w:rPr>
              <w:t>temporaries.</w:t>
            </w:r>
            <w:r>
              <w:rPr>
                <w:rFonts w:eastAsia="Times New Roman"/>
                <w:sz w:val="16"/>
                <w:szCs w:val="16"/>
                <w:lang w:eastAsia="en-MY"/>
              </w:rPr>
              <w:t xml:space="preserve"> Fuera de lugares de asignación en el Grupo 1</w:t>
            </w:r>
          </w:p>
        </w:tc>
        <w:tc>
          <w:tcPr>
            <w:tcW w:w="1924" w:type="dxa"/>
            <w:tcBorders>
              <w:top w:val="nil"/>
              <w:left w:val="nil"/>
              <w:bottom w:val="single" w:sz="8" w:space="0" w:color="auto"/>
              <w:right w:val="single" w:sz="8" w:space="0" w:color="auto"/>
            </w:tcBorders>
            <w:shd w:val="clear" w:color="auto" w:fill="auto"/>
            <w:noWrap/>
            <w:vAlign w:val="center"/>
            <w:hideMark/>
          </w:tcPr>
          <w:p w14:paraId="655935BD" w14:textId="77777777" w:rsidR="000F3401" w:rsidRPr="002637FC" w:rsidRDefault="000F3401" w:rsidP="00332B2B">
            <w:pPr>
              <w:spacing w:after="0" w:line="240" w:lineRule="auto"/>
              <w:ind w:left="0" w:firstLine="0"/>
              <w:jc w:val="left"/>
              <w:rPr>
                <w:rFonts w:eastAsia="Times New Roman"/>
                <w:sz w:val="16"/>
                <w:szCs w:val="16"/>
                <w:lang w:eastAsia="en-MY"/>
              </w:rPr>
            </w:pPr>
            <w:r w:rsidRPr="002637FC">
              <w:rPr>
                <w:rFonts w:eastAsia="Times New Roman"/>
                <w:sz w:val="16"/>
                <w:szCs w:val="16"/>
                <w:lang w:eastAsia="en-MY"/>
              </w:rPr>
              <w:t>$7,500</w:t>
            </w:r>
          </w:p>
        </w:tc>
        <w:tc>
          <w:tcPr>
            <w:tcW w:w="1763" w:type="dxa"/>
            <w:tcBorders>
              <w:top w:val="nil"/>
              <w:left w:val="nil"/>
              <w:bottom w:val="single" w:sz="8" w:space="0" w:color="auto"/>
              <w:right w:val="single" w:sz="8" w:space="0" w:color="auto"/>
            </w:tcBorders>
            <w:shd w:val="clear" w:color="auto" w:fill="auto"/>
            <w:vAlign w:val="center"/>
            <w:hideMark/>
          </w:tcPr>
          <w:p w14:paraId="2A6F79F0" w14:textId="2C5A8CA4" w:rsidR="000F3401" w:rsidRPr="002637FC" w:rsidRDefault="002637FC" w:rsidP="00332B2B">
            <w:pPr>
              <w:spacing w:after="0" w:line="240" w:lineRule="auto"/>
              <w:ind w:left="0" w:firstLine="0"/>
              <w:jc w:val="left"/>
              <w:rPr>
                <w:rFonts w:eastAsia="Times New Roman"/>
                <w:sz w:val="16"/>
                <w:szCs w:val="16"/>
                <w:lang w:eastAsia="en-MY"/>
              </w:rPr>
            </w:pPr>
            <w:r>
              <w:rPr>
                <w:rFonts w:eastAsia="Times New Roman"/>
                <w:sz w:val="16"/>
                <w:szCs w:val="16"/>
                <w:lang w:eastAsia="en-MY"/>
              </w:rPr>
              <w:t>En 12 meses o al final del contrato, lo que ocurra primero</w:t>
            </w:r>
          </w:p>
        </w:tc>
        <w:tc>
          <w:tcPr>
            <w:tcW w:w="1653" w:type="dxa"/>
            <w:gridSpan w:val="2"/>
            <w:tcBorders>
              <w:top w:val="nil"/>
              <w:left w:val="nil"/>
              <w:bottom w:val="single" w:sz="8" w:space="0" w:color="auto"/>
              <w:right w:val="single" w:sz="8" w:space="0" w:color="auto"/>
            </w:tcBorders>
            <w:shd w:val="clear" w:color="auto" w:fill="auto"/>
            <w:vAlign w:val="center"/>
            <w:hideMark/>
          </w:tcPr>
          <w:p w14:paraId="11A5C3B5" w14:textId="2ACDE152" w:rsidR="000F3401" w:rsidRPr="002637FC" w:rsidRDefault="002637FC" w:rsidP="00332B2B">
            <w:pPr>
              <w:spacing w:after="0" w:line="240" w:lineRule="auto"/>
              <w:ind w:left="0" w:firstLine="0"/>
              <w:jc w:val="left"/>
              <w:rPr>
                <w:rFonts w:eastAsia="Times New Roman"/>
                <w:sz w:val="16"/>
                <w:szCs w:val="16"/>
                <w:lang w:eastAsia="en-MY"/>
              </w:rPr>
            </w:pPr>
            <w:r>
              <w:rPr>
                <w:rFonts w:eastAsia="Times New Roman"/>
                <w:sz w:val="16"/>
                <w:szCs w:val="16"/>
                <w:lang w:eastAsia="en-MY"/>
              </w:rPr>
              <w:t>Sólo una vez dentro de los 6 meses de</w:t>
            </w:r>
            <w:r w:rsidR="00E75CC4">
              <w:rPr>
                <w:rFonts w:eastAsia="Times New Roman"/>
                <w:sz w:val="16"/>
                <w:szCs w:val="16"/>
                <w:lang w:eastAsia="en-MY"/>
              </w:rPr>
              <w:t>l contrato inicial o reasignación</w:t>
            </w:r>
          </w:p>
        </w:tc>
      </w:tr>
      <w:tr w:rsidR="000F3401" w:rsidRPr="002637FC" w14:paraId="003FA45E" w14:textId="77777777" w:rsidTr="00332B2B">
        <w:trPr>
          <w:trHeight w:val="662"/>
        </w:trPr>
        <w:tc>
          <w:tcPr>
            <w:tcW w:w="1310" w:type="dxa"/>
            <w:tcBorders>
              <w:top w:val="nil"/>
              <w:left w:val="single" w:sz="8" w:space="0" w:color="auto"/>
              <w:bottom w:val="single" w:sz="8" w:space="0" w:color="auto"/>
              <w:right w:val="single" w:sz="8" w:space="0" w:color="auto"/>
            </w:tcBorders>
            <w:shd w:val="clear" w:color="auto" w:fill="auto"/>
            <w:noWrap/>
            <w:vAlign w:val="center"/>
          </w:tcPr>
          <w:p w14:paraId="1B863872" w14:textId="77777777" w:rsidR="000F3401" w:rsidRPr="002637FC" w:rsidRDefault="000F3401" w:rsidP="000F3401">
            <w:pPr>
              <w:pStyle w:val="Default"/>
              <w:rPr>
                <w:sz w:val="16"/>
                <w:szCs w:val="16"/>
              </w:rPr>
            </w:pPr>
            <w:r w:rsidRPr="002637FC">
              <w:rPr>
                <w:sz w:val="16"/>
                <w:szCs w:val="16"/>
              </w:rPr>
              <w:t xml:space="preserve">Emergencia - A granel </w:t>
            </w:r>
          </w:p>
          <w:p w14:paraId="1BE260C3" w14:textId="66C575EC" w:rsidR="000F3401" w:rsidRPr="002637FC" w:rsidRDefault="000F3401" w:rsidP="00332B2B">
            <w:pPr>
              <w:spacing w:after="0" w:line="240" w:lineRule="auto"/>
              <w:ind w:left="0" w:firstLine="0"/>
              <w:jc w:val="left"/>
              <w:rPr>
                <w:rFonts w:eastAsia="Times New Roman"/>
                <w:sz w:val="16"/>
                <w:szCs w:val="16"/>
                <w:lang w:eastAsia="en-MY"/>
              </w:rPr>
            </w:pPr>
          </w:p>
        </w:tc>
        <w:tc>
          <w:tcPr>
            <w:tcW w:w="1139" w:type="dxa"/>
            <w:tcBorders>
              <w:top w:val="single" w:sz="4" w:space="0" w:color="auto"/>
              <w:left w:val="nil"/>
              <w:bottom w:val="single" w:sz="8" w:space="0" w:color="auto"/>
              <w:right w:val="single" w:sz="8" w:space="0" w:color="auto"/>
            </w:tcBorders>
            <w:shd w:val="clear" w:color="auto" w:fill="auto"/>
            <w:noWrap/>
            <w:vAlign w:val="center"/>
          </w:tcPr>
          <w:p w14:paraId="1C9BD7F4" w14:textId="77777777" w:rsidR="000F3401" w:rsidRPr="002637FC" w:rsidRDefault="000F3401" w:rsidP="000F3401">
            <w:pPr>
              <w:pStyle w:val="Default"/>
              <w:rPr>
                <w:sz w:val="16"/>
                <w:szCs w:val="16"/>
              </w:rPr>
            </w:pPr>
            <w:r w:rsidRPr="002637FC">
              <w:rPr>
                <w:sz w:val="16"/>
                <w:szCs w:val="16"/>
              </w:rPr>
              <w:t xml:space="preserve">Coordinador de RRHH </w:t>
            </w:r>
          </w:p>
          <w:p w14:paraId="56A6DB73" w14:textId="69C810AF" w:rsidR="000F3401" w:rsidRPr="002637FC" w:rsidRDefault="000F3401" w:rsidP="00332B2B">
            <w:pPr>
              <w:spacing w:after="0" w:line="240" w:lineRule="auto"/>
              <w:ind w:left="0" w:firstLine="0"/>
              <w:jc w:val="left"/>
              <w:rPr>
                <w:rFonts w:eastAsia="Times New Roman"/>
                <w:sz w:val="16"/>
                <w:szCs w:val="16"/>
                <w:lang w:eastAsia="en-MY"/>
              </w:rPr>
            </w:pPr>
          </w:p>
        </w:tc>
        <w:tc>
          <w:tcPr>
            <w:tcW w:w="1181" w:type="dxa"/>
            <w:tcBorders>
              <w:top w:val="nil"/>
              <w:left w:val="single" w:sz="8" w:space="0" w:color="auto"/>
              <w:bottom w:val="single" w:sz="8" w:space="0" w:color="000000"/>
              <w:right w:val="single" w:sz="8" w:space="0" w:color="auto"/>
            </w:tcBorders>
            <w:shd w:val="clear" w:color="auto" w:fill="auto"/>
            <w:vAlign w:val="center"/>
          </w:tcPr>
          <w:p w14:paraId="3402204D" w14:textId="77777777" w:rsidR="000F3401" w:rsidRPr="002637FC" w:rsidRDefault="000F3401" w:rsidP="000F3401">
            <w:pPr>
              <w:pStyle w:val="Default"/>
              <w:rPr>
                <w:sz w:val="16"/>
                <w:szCs w:val="16"/>
              </w:rPr>
            </w:pPr>
            <w:r w:rsidRPr="002637FC">
              <w:rPr>
                <w:sz w:val="16"/>
                <w:szCs w:val="16"/>
              </w:rPr>
              <w:t xml:space="preserve">Administrador Adjunto y </w:t>
            </w:r>
            <w:proofErr w:type="gramStart"/>
            <w:r w:rsidRPr="002637FC">
              <w:rPr>
                <w:sz w:val="16"/>
                <w:szCs w:val="16"/>
              </w:rPr>
              <w:t>Director</w:t>
            </w:r>
            <w:proofErr w:type="gramEnd"/>
            <w:r w:rsidRPr="002637FC">
              <w:rPr>
                <w:sz w:val="16"/>
                <w:szCs w:val="16"/>
              </w:rPr>
              <w:t xml:space="preserve">, BMS </w:t>
            </w:r>
          </w:p>
          <w:p w14:paraId="5A3DB6F9" w14:textId="3143DA7F" w:rsidR="000F3401" w:rsidRPr="002637FC" w:rsidRDefault="000F3401" w:rsidP="00332B2B">
            <w:pPr>
              <w:spacing w:after="0" w:line="240" w:lineRule="auto"/>
              <w:ind w:left="0" w:firstLine="0"/>
              <w:jc w:val="left"/>
              <w:rPr>
                <w:rFonts w:eastAsia="Times New Roman"/>
                <w:sz w:val="16"/>
                <w:szCs w:val="16"/>
                <w:lang w:eastAsia="en-MY"/>
              </w:rPr>
            </w:pPr>
          </w:p>
        </w:tc>
        <w:tc>
          <w:tcPr>
            <w:tcW w:w="1524" w:type="dxa"/>
            <w:tcBorders>
              <w:top w:val="nil"/>
              <w:left w:val="nil"/>
              <w:bottom w:val="single" w:sz="8" w:space="0" w:color="auto"/>
              <w:right w:val="single" w:sz="8" w:space="0" w:color="auto"/>
            </w:tcBorders>
            <w:shd w:val="clear" w:color="auto" w:fill="auto"/>
            <w:vAlign w:val="center"/>
          </w:tcPr>
          <w:p w14:paraId="323F869D" w14:textId="77777777" w:rsidR="000F3401" w:rsidRPr="002637FC" w:rsidRDefault="000F3401" w:rsidP="000F3401">
            <w:pPr>
              <w:pStyle w:val="Default"/>
              <w:rPr>
                <w:sz w:val="16"/>
                <w:szCs w:val="16"/>
              </w:rPr>
            </w:pPr>
            <w:r w:rsidRPr="002637FC">
              <w:rPr>
                <w:sz w:val="16"/>
                <w:szCs w:val="16"/>
              </w:rPr>
              <w:t xml:space="preserve">Todo el personal en el lugar de destino específico </w:t>
            </w:r>
          </w:p>
          <w:p w14:paraId="0CA15364" w14:textId="2715D0F0" w:rsidR="000F3401" w:rsidRPr="002637FC" w:rsidRDefault="000F3401" w:rsidP="00332B2B">
            <w:pPr>
              <w:spacing w:after="0" w:line="240" w:lineRule="auto"/>
              <w:ind w:left="0" w:firstLine="0"/>
              <w:jc w:val="left"/>
              <w:rPr>
                <w:rFonts w:eastAsia="Times New Roman"/>
                <w:sz w:val="16"/>
                <w:szCs w:val="16"/>
                <w:lang w:eastAsia="en-MY"/>
              </w:rPr>
            </w:pPr>
          </w:p>
        </w:tc>
        <w:tc>
          <w:tcPr>
            <w:tcW w:w="5340" w:type="dxa"/>
            <w:gridSpan w:val="4"/>
            <w:tcBorders>
              <w:top w:val="single" w:sz="8" w:space="0" w:color="auto"/>
              <w:left w:val="single" w:sz="8" w:space="0" w:color="auto"/>
              <w:bottom w:val="single" w:sz="8" w:space="0" w:color="000000"/>
              <w:right w:val="single" w:sz="8" w:space="0" w:color="000000"/>
            </w:tcBorders>
            <w:shd w:val="clear" w:color="auto" w:fill="auto"/>
            <w:vAlign w:val="center"/>
          </w:tcPr>
          <w:p w14:paraId="31A9637E" w14:textId="77777777" w:rsidR="006A7712" w:rsidRPr="002637FC" w:rsidRDefault="006A7712" w:rsidP="006A7712">
            <w:pPr>
              <w:pStyle w:val="Default"/>
              <w:jc w:val="center"/>
              <w:rPr>
                <w:sz w:val="16"/>
                <w:szCs w:val="16"/>
              </w:rPr>
            </w:pPr>
            <w:r w:rsidRPr="002637FC">
              <w:rPr>
                <w:sz w:val="16"/>
                <w:szCs w:val="16"/>
              </w:rPr>
              <w:t xml:space="preserve">Según se determine en el momento de la aprobación </w:t>
            </w:r>
          </w:p>
          <w:p w14:paraId="2408CA25" w14:textId="6C323D03" w:rsidR="000F3401" w:rsidRPr="002637FC" w:rsidRDefault="000F3401" w:rsidP="00332B2B">
            <w:pPr>
              <w:spacing w:after="0" w:line="240" w:lineRule="auto"/>
              <w:ind w:left="0" w:firstLine="0"/>
              <w:jc w:val="center"/>
              <w:rPr>
                <w:rFonts w:eastAsia="Times New Roman"/>
                <w:sz w:val="16"/>
                <w:szCs w:val="16"/>
                <w:lang w:eastAsia="en-MY"/>
              </w:rPr>
            </w:pPr>
          </w:p>
        </w:tc>
      </w:tr>
      <w:tr w:rsidR="000F3401" w:rsidRPr="002637FC" w14:paraId="32288C0D" w14:textId="77777777" w:rsidTr="00332B2B">
        <w:trPr>
          <w:trHeight w:val="662"/>
        </w:trPr>
        <w:tc>
          <w:tcPr>
            <w:tcW w:w="1310" w:type="dxa"/>
            <w:tcBorders>
              <w:top w:val="nil"/>
              <w:left w:val="single" w:sz="8" w:space="0" w:color="auto"/>
              <w:bottom w:val="single" w:sz="8" w:space="0" w:color="auto"/>
              <w:right w:val="single" w:sz="8" w:space="0" w:color="auto"/>
            </w:tcBorders>
            <w:shd w:val="clear" w:color="auto" w:fill="auto"/>
            <w:noWrap/>
            <w:vAlign w:val="center"/>
          </w:tcPr>
          <w:p w14:paraId="0CEE2276" w14:textId="77777777" w:rsidR="000F3401" w:rsidRPr="002637FC" w:rsidRDefault="000F3401" w:rsidP="000F3401">
            <w:pPr>
              <w:pStyle w:val="Default"/>
              <w:rPr>
                <w:sz w:val="16"/>
                <w:szCs w:val="16"/>
              </w:rPr>
            </w:pPr>
            <w:r w:rsidRPr="002637FC">
              <w:rPr>
                <w:sz w:val="16"/>
                <w:szCs w:val="16"/>
              </w:rPr>
              <w:t xml:space="preserve">Emergencia - Personal </w:t>
            </w:r>
          </w:p>
          <w:p w14:paraId="24916319" w14:textId="23D6F284" w:rsidR="000F3401" w:rsidRPr="002637FC" w:rsidRDefault="000F3401" w:rsidP="00332B2B">
            <w:pPr>
              <w:spacing w:after="0" w:line="240" w:lineRule="auto"/>
              <w:ind w:left="0" w:firstLine="0"/>
              <w:jc w:val="left"/>
              <w:rPr>
                <w:rFonts w:eastAsia="Times New Roman"/>
                <w:sz w:val="16"/>
                <w:szCs w:val="16"/>
                <w:lang w:eastAsia="en-MY"/>
              </w:rPr>
            </w:pPr>
          </w:p>
        </w:tc>
        <w:tc>
          <w:tcPr>
            <w:tcW w:w="1139" w:type="dxa"/>
            <w:tcBorders>
              <w:top w:val="single" w:sz="4" w:space="0" w:color="auto"/>
              <w:left w:val="nil"/>
              <w:bottom w:val="single" w:sz="8" w:space="0" w:color="auto"/>
              <w:right w:val="single" w:sz="8" w:space="0" w:color="auto"/>
            </w:tcBorders>
            <w:shd w:val="clear" w:color="auto" w:fill="auto"/>
            <w:noWrap/>
            <w:vAlign w:val="center"/>
          </w:tcPr>
          <w:p w14:paraId="639B85DD" w14:textId="77777777" w:rsidR="000F3401" w:rsidRPr="002637FC" w:rsidRDefault="000F3401" w:rsidP="000F3401">
            <w:pPr>
              <w:pStyle w:val="Default"/>
              <w:rPr>
                <w:sz w:val="16"/>
                <w:szCs w:val="16"/>
              </w:rPr>
            </w:pPr>
            <w:r w:rsidRPr="002637FC">
              <w:rPr>
                <w:sz w:val="16"/>
                <w:szCs w:val="16"/>
              </w:rPr>
              <w:t xml:space="preserve">Miembro del personal/Titular de la APS </w:t>
            </w:r>
          </w:p>
          <w:p w14:paraId="78936B5B" w14:textId="09A3DE24" w:rsidR="000F3401" w:rsidRPr="002637FC" w:rsidRDefault="000F3401" w:rsidP="00332B2B">
            <w:pPr>
              <w:spacing w:after="0" w:line="240" w:lineRule="auto"/>
              <w:ind w:left="0" w:firstLine="0"/>
              <w:jc w:val="left"/>
              <w:rPr>
                <w:rFonts w:eastAsia="Times New Roman"/>
                <w:sz w:val="16"/>
                <w:szCs w:val="16"/>
                <w:lang w:eastAsia="en-MY"/>
              </w:rPr>
            </w:pPr>
          </w:p>
        </w:tc>
        <w:tc>
          <w:tcPr>
            <w:tcW w:w="1181" w:type="dxa"/>
            <w:tcBorders>
              <w:top w:val="nil"/>
              <w:left w:val="single" w:sz="8" w:space="0" w:color="auto"/>
              <w:bottom w:val="single" w:sz="8" w:space="0" w:color="000000"/>
              <w:right w:val="single" w:sz="8" w:space="0" w:color="auto"/>
            </w:tcBorders>
            <w:shd w:val="clear" w:color="auto" w:fill="auto"/>
            <w:vAlign w:val="center"/>
          </w:tcPr>
          <w:p w14:paraId="6E4F1549" w14:textId="77777777" w:rsidR="000F3401" w:rsidRPr="002637FC" w:rsidRDefault="000F3401" w:rsidP="000F3401">
            <w:pPr>
              <w:pStyle w:val="Default"/>
              <w:rPr>
                <w:sz w:val="16"/>
                <w:szCs w:val="16"/>
              </w:rPr>
            </w:pPr>
            <w:r w:rsidRPr="002637FC">
              <w:rPr>
                <w:sz w:val="16"/>
                <w:szCs w:val="16"/>
              </w:rPr>
              <w:t xml:space="preserve">Jefe o </w:t>
            </w:r>
            <w:proofErr w:type="gramStart"/>
            <w:r w:rsidRPr="002637FC">
              <w:rPr>
                <w:sz w:val="16"/>
                <w:szCs w:val="16"/>
              </w:rPr>
              <w:t>Director</w:t>
            </w:r>
            <w:proofErr w:type="gramEnd"/>
            <w:r w:rsidRPr="002637FC">
              <w:rPr>
                <w:sz w:val="16"/>
                <w:szCs w:val="16"/>
              </w:rPr>
              <w:t xml:space="preserve"> de la Oficina o Administrador Adjunto y Director, BMS </w:t>
            </w:r>
          </w:p>
          <w:p w14:paraId="4A8A6FE7" w14:textId="04C645E1" w:rsidR="000F3401" w:rsidRPr="002637FC" w:rsidRDefault="000F3401" w:rsidP="00332B2B">
            <w:pPr>
              <w:spacing w:after="0" w:line="240" w:lineRule="auto"/>
              <w:ind w:left="0" w:firstLine="0"/>
              <w:jc w:val="left"/>
              <w:rPr>
                <w:rFonts w:eastAsia="Times New Roman"/>
                <w:sz w:val="16"/>
                <w:szCs w:val="16"/>
                <w:lang w:eastAsia="en-MY"/>
              </w:rPr>
            </w:pPr>
          </w:p>
        </w:tc>
        <w:tc>
          <w:tcPr>
            <w:tcW w:w="1524" w:type="dxa"/>
            <w:tcBorders>
              <w:top w:val="nil"/>
              <w:left w:val="nil"/>
              <w:bottom w:val="single" w:sz="8" w:space="0" w:color="auto"/>
              <w:right w:val="single" w:sz="8" w:space="0" w:color="auto"/>
            </w:tcBorders>
            <w:shd w:val="clear" w:color="auto" w:fill="auto"/>
            <w:vAlign w:val="center"/>
          </w:tcPr>
          <w:p w14:paraId="3BF3D5D9" w14:textId="388DF670" w:rsidR="000F3401" w:rsidRPr="002637FC" w:rsidRDefault="002637FC" w:rsidP="00332B2B">
            <w:pPr>
              <w:spacing w:after="0" w:line="240" w:lineRule="auto"/>
              <w:ind w:left="0" w:firstLine="0"/>
              <w:jc w:val="left"/>
              <w:rPr>
                <w:rFonts w:eastAsia="Times New Roman"/>
                <w:sz w:val="16"/>
                <w:szCs w:val="16"/>
                <w:lang w:eastAsia="en-MY"/>
              </w:rPr>
            </w:pPr>
            <w:r>
              <w:rPr>
                <w:rFonts w:eastAsia="Times New Roman"/>
                <w:sz w:val="16"/>
                <w:szCs w:val="16"/>
                <w:lang w:eastAsia="en-MY"/>
              </w:rPr>
              <w:t>Todo el</w:t>
            </w:r>
            <w:r w:rsidR="000F3401" w:rsidRPr="002637FC">
              <w:rPr>
                <w:rFonts w:eastAsia="Times New Roman"/>
                <w:sz w:val="16"/>
                <w:szCs w:val="16"/>
                <w:lang w:eastAsia="en-MY"/>
              </w:rPr>
              <w:t xml:space="preserve"> </w:t>
            </w:r>
            <w:r w:rsidRPr="002637FC">
              <w:rPr>
                <w:rFonts w:eastAsia="Times New Roman"/>
                <w:sz w:val="16"/>
                <w:szCs w:val="16"/>
                <w:lang w:eastAsia="en-MY"/>
              </w:rPr>
              <w:t>personal</w:t>
            </w:r>
          </w:p>
        </w:tc>
        <w:tc>
          <w:tcPr>
            <w:tcW w:w="1924" w:type="dxa"/>
            <w:tcBorders>
              <w:top w:val="single" w:sz="8" w:space="0" w:color="auto"/>
              <w:left w:val="single" w:sz="8" w:space="0" w:color="auto"/>
              <w:bottom w:val="single" w:sz="8" w:space="0" w:color="000000"/>
              <w:right w:val="single" w:sz="8" w:space="0" w:color="000000"/>
            </w:tcBorders>
            <w:shd w:val="clear" w:color="auto" w:fill="auto"/>
            <w:vAlign w:val="center"/>
          </w:tcPr>
          <w:p w14:paraId="11D21932" w14:textId="77777777" w:rsidR="006A7712" w:rsidRPr="002637FC" w:rsidRDefault="006A7712" w:rsidP="006A7712">
            <w:pPr>
              <w:pStyle w:val="Default"/>
              <w:rPr>
                <w:sz w:val="16"/>
                <w:szCs w:val="16"/>
              </w:rPr>
            </w:pPr>
            <w:r w:rsidRPr="002637FC">
              <w:rPr>
                <w:sz w:val="16"/>
                <w:szCs w:val="16"/>
              </w:rPr>
              <w:t xml:space="preserve">Dos (2) meses de salario neto </w:t>
            </w:r>
          </w:p>
          <w:p w14:paraId="145FB303" w14:textId="6170064A" w:rsidR="000F3401" w:rsidRPr="002637FC" w:rsidRDefault="000F3401" w:rsidP="00332B2B">
            <w:pPr>
              <w:spacing w:after="0" w:line="240" w:lineRule="auto"/>
              <w:ind w:left="0" w:firstLine="0"/>
              <w:jc w:val="left"/>
              <w:rPr>
                <w:rFonts w:eastAsia="Times New Roman"/>
                <w:sz w:val="16"/>
                <w:szCs w:val="16"/>
                <w:lang w:eastAsia="en-MY"/>
              </w:rPr>
            </w:pPr>
          </w:p>
        </w:tc>
        <w:tc>
          <w:tcPr>
            <w:tcW w:w="1816"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14639406" w14:textId="77777777" w:rsidR="006A7712" w:rsidRPr="002637FC" w:rsidRDefault="006A7712" w:rsidP="006A7712">
            <w:pPr>
              <w:pStyle w:val="Default"/>
              <w:rPr>
                <w:sz w:val="16"/>
                <w:szCs w:val="16"/>
              </w:rPr>
            </w:pPr>
            <w:r w:rsidRPr="002637FC">
              <w:rPr>
                <w:sz w:val="16"/>
                <w:szCs w:val="16"/>
              </w:rPr>
              <w:t xml:space="preserve">12 meses o fin de contrato, lo que ocurra primero </w:t>
            </w:r>
          </w:p>
          <w:p w14:paraId="36633103" w14:textId="75D30B1D" w:rsidR="000F3401" w:rsidRPr="002637FC" w:rsidRDefault="000F3401" w:rsidP="00332B2B">
            <w:pPr>
              <w:spacing w:after="0" w:line="240" w:lineRule="auto"/>
              <w:ind w:left="0" w:firstLine="0"/>
              <w:jc w:val="left"/>
              <w:rPr>
                <w:rFonts w:eastAsia="Times New Roman"/>
                <w:sz w:val="16"/>
                <w:szCs w:val="16"/>
                <w:lang w:eastAsia="en-MY"/>
              </w:rPr>
            </w:pPr>
          </w:p>
        </w:tc>
        <w:tc>
          <w:tcPr>
            <w:tcW w:w="1600" w:type="dxa"/>
            <w:tcBorders>
              <w:top w:val="single" w:sz="8" w:space="0" w:color="auto"/>
              <w:left w:val="single" w:sz="8" w:space="0" w:color="auto"/>
              <w:bottom w:val="single" w:sz="8" w:space="0" w:color="000000"/>
              <w:right w:val="single" w:sz="8" w:space="0" w:color="000000"/>
            </w:tcBorders>
            <w:shd w:val="clear" w:color="auto" w:fill="auto"/>
            <w:vAlign w:val="center"/>
          </w:tcPr>
          <w:p w14:paraId="7EA0EDE2" w14:textId="77777777" w:rsidR="006A7712" w:rsidRPr="002637FC" w:rsidRDefault="006A7712" w:rsidP="006A7712">
            <w:pPr>
              <w:pStyle w:val="Default"/>
              <w:rPr>
                <w:sz w:val="16"/>
                <w:szCs w:val="16"/>
              </w:rPr>
            </w:pPr>
            <w:r w:rsidRPr="002637FC">
              <w:rPr>
                <w:sz w:val="16"/>
                <w:szCs w:val="16"/>
              </w:rPr>
              <w:t xml:space="preserve">(1) Para condiciones específicas definidas relacionadas con el personal/titular de un APS o persona a su cargo reconocida por el PNUD </w:t>
            </w:r>
          </w:p>
          <w:p w14:paraId="7ED2EEFC" w14:textId="77777777" w:rsidR="006A7712" w:rsidRPr="002637FC" w:rsidRDefault="006A7712" w:rsidP="006A7712">
            <w:pPr>
              <w:pStyle w:val="Default"/>
              <w:rPr>
                <w:sz w:val="16"/>
                <w:szCs w:val="16"/>
              </w:rPr>
            </w:pPr>
            <w:r w:rsidRPr="002637FC">
              <w:rPr>
                <w:sz w:val="16"/>
                <w:szCs w:val="16"/>
              </w:rPr>
              <w:t xml:space="preserve">(2) Se requiere una prueba oficial de emergencia </w:t>
            </w:r>
          </w:p>
          <w:p w14:paraId="53EFD0C2" w14:textId="62B76553" w:rsidR="000F3401" w:rsidRPr="002637FC" w:rsidRDefault="006A7712" w:rsidP="006A7712">
            <w:pPr>
              <w:spacing w:after="0" w:line="240" w:lineRule="auto"/>
              <w:ind w:left="0" w:firstLine="0"/>
              <w:jc w:val="left"/>
              <w:rPr>
                <w:rFonts w:eastAsia="Times New Roman"/>
                <w:sz w:val="16"/>
                <w:szCs w:val="16"/>
                <w:lang w:eastAsia="en-MY"/>
              </w:rPr>
            </w:pPr>
            <w:r w:rsidRPr="002637FC">
              <w:rPr>
                <w:sz w:val="16"/>
                <w:szCs w:val="16"/>
              </w:rPr>
              <w:t xml:space="preserve">(3) Sólo un anticipo en un periodo de 12 meses </w:t>
            </w:r>
          </w:p>
        </w:tc>
      </w:tr>
    </w:tbl>
    <w:p w14:paraId="394FFB32" w14:textId="77777777" w:rsidR="007F5613" w:rsidRPr="007F5613" w:rsidRDefault="007F5613" w:rsidP="007F5613">
      <w:pPr>
        <w:spacing w:after="14" w:line="259" w:lineRule="auto"/>
        <w:jc w:val="left"/>
      </w:pPr>
    </w:p>
    <w:p w14:paraId="5A1BEF49" w14:textId="77777777" w:rsidR="00473A35" w:rsidRPr="00473A35" w:rsidRDefault="00473A35" w:rsidP="00473A35">
      <w:pPr>
        <w:widowControl w:val="0"/>
        <w:autoSpaceDE w:val="0"/>
        <w:autoSpaceDN w:val="0"/>
        <w:spacing w:after="0" w:line="240" w:lineRule="auto"/>
        <w:ind w:left="0" w:firstLine="0"/>
        <w:rPr>
          <w:i/>
          <w:iCs/>
          <w:color w:val="auto"/>
          <w:lang w:val="en-GB" w:eastAsia="en-US"/>
        </w:rPr>
      </w:pPr>
      <w:r w:rsidRPr="00473A35">
        <w:rPr>
          <w:b/>
          <w:bCs/>
          <w:i/>
          <w:iCs/>
          <w:color w:val="auto"/>
          <w:lang w:val="en-GB" w:eastAsia="en-US"/>
        </w:rPr>
        <w:t>Disclaimer</w:t>
      </w:r>
      <w:r w:rsidRPr="00473A35">
        <w:rPr>
          <w:i/>
          <w:iCs/>
          <w:color w:val="auto"/>
          <w:lang w:val="en-GB" w:eastAsia="en-US"/>
        </w:rPr>
        <w:t>: This document was translated from English into Spanish. In the event of any discrepancy between this translation and the original English document, the original English document shall prevail.</w:t>
      </w:r>
    </w:p>
    <w:p w14:paraId="7CB7A347" w14:textId="77777777" w:rsidR="00473A35" w:rsidRPr="00473A35" w:rsidRDefault="00473A35" w:rsidP="00473A35">
      <w:pPr>
        <w:widowControl w:val="0"/>
        <w:autoSpaceDE w:val="0"/>
        <w:autoSpaceDN w:val="0"/>
        <w:spacing w:after="0" w:line="240" w:lineRule="auto"/>
        <w:ind w:left="0" w:firstLine="0"/>
        <w:jc w:val="left"/>
        <w:rPr>
          <w:i/>
          <w:iCs/>
          <w:color w:val="auto"/>
          <w:lang w:val="en-GB" w:eastAsia="en-US"/>
        </w:rPr>
      </w:pPr>
    </w:p>
    <w:p w14:paraId="3886D107" w14:textId="1DD19432" w:rsidR="004D2632" w:rsidRPr="002637FC" w:rsidRDefault="00473A35" w:rsidP="00473A35">
      <w:pPr>
        <w:widowControl w:val="0"/>
        <w:autoSpaceDE w:val="0"/>
        <w:autoSpaceDN w:val="0"/>
        <w:spacing w:after="0" w:line="240" w:lineRule="auto"/>
        <w:ind w:left="0" w:firstLine="0"/>
      </w:pPr>
      <w:r w:rsidRPr="00473A35">
        <w:rPr>
          <w:b/>
          <w:bCs/>
          <w:i/>
          <w:iCs/>
          <w:color w:val="auto"/>
          <w:lang w:eastAsia="en-US"/>
        </w:rPr>
        <w:t>Descargo de responsabilidad</w:t>
      </w:r>
      <w:r w:rsidRPr="00473A35">
        <w:rPr>
          <w:i/>
          <w:iCs/>
          <w:color w:val="auto"/>
          <w:lang w:eastAsia="en-US"/>
        </w:rPr>
        <w:t xml:space="preserve">: esta es una traducción de un documento original en </w:t>
      </w:r>
      <w:r>
        <w:rPr>
          <w:i/>
          <w:iCs/>
          <w:color w:val="auto"/>
          <w:lang w:eastAsia="en-US"/>
        </w:rPr>
        <w:t>i</w:t>
      </w:r>
      <w:r w:rsidRPr="00473A35">
        <w:rPr>
          <w:i/>
          <w:iCs/>
          <w:color w:val="auto"/>
          <w:lang w:eastAsia="en-US"/>
        </w:rPr>
        <w:t>nglés. En caso de discrepancias entre esta traducción y el documento original en inglés, prevalecerá el documento original en inglés.</w:t>
      </w:r>
    </w:p>
    <w:sectPr w:rsidR="004D2632" w:rsidRPr="002637FC" w:rsidSect="00EC281D">
      <w:headerReference w:type="default" r:id="rId18"/>
      <w:footerReference w:type="even" r:id="rId19"/>
      <w:footerReference w:type="default" r:id="rId20"/>
      <w:headerReference w:type="first" r:id="rId21"/>
      <w:footerReference w:type="first" r:id="rId22"/>
      <w:pgSz w:w="12240" w:h="15840"/>
      <w:pgMar w:top="1164" w:right="1790" w:bottom="1350" w:left="1800" w:header="72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7115" w14:textId="77777777" w:rsidR="009634EE" w:rsidRDefault="009634EE">
      <w:pPr>
        <w:spacing w:after="0" w:line="240" w:lineRule="auto"/>
      </w:pPr>
      <w:r>
        <w:separator/>
      </w:r>
    </w:p>
  </w:endnote>
  <w:endnote w:type="continuationSeparator" w:id="0">
    <w:p w14:paraId="003E484F" w14:textId="77777777" w:rsidR="009634EE" w:rsidRDefault="0096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184B" w14:textId="77777777" w:rsidR="00C54F7B" w:rsidRDefault="00F4444C">
    <w:pPr>
      <w:spacing w:after="1432" w:line="259" w:lineRule="auto"/>
      <w:ind w:left="619" w:firstLine="0"/>
      <w:jc w:val="left"/>
    </w:pPr>
    <w:r>
      <w:rPr>
        <w:rFonts w:ascii="Arial" w:hAnsi="Arial"/>
      </w:rPr>
      <w:t xml:space="preserve"> </w:t>
    </w:r>
  </w:p>
  <w:p w14:paraId="485D184C" w14:textId="77777777" w:rsidR="00C54F7B" w:rsidRDefault="00F4444C">
    <w:pPr>
      <w:spacing w:after="0" w:line="259" w:lineRule="auto"/>
      <w:ind w:left="0" w:right="7" w:firstLine="0"/>
      <w:jc w:val="center"/>
    </w:pPr>
    <w:r>
      <w:fldChar w:fldCharType="begin"/>
    </w:r>
    <w:r>
      <w:instrText xml:space="preserve"> PAGE   \* MERGEFORMAT </w:instrText>
    </w:r>
    <w:r>
      <w:fldChar w:fldCharType="separate"/>
    </w:r>
    <w:r>
      <w:rPr>
        <w:noProof/>
      </w:rPr>
      <w:t>2</w:t>
    </w:r>
    <w:r>
      <w:fldChar w:fldCharType="end"/>
    </w:r>
    <w:r>
      <w:t xml:space="preserve">  </w:t>
    </w:r>
  </w:p>
  <w:p w14:paraId="485D184D" w14:textId="77777777" w:rsidR="00C54F7B" w:rsidRDefault="00F4444C">
    <w:pPr>
      <w:spacing w:after="0" w:line="259" w:lineRule="auto"/>
      <w:ind w:left="0" w:firstLine="0"/>
      <w:jc w:val="left"/>
    </w:pPr>
    <w:r>
      <w:rPr>
        <w:rFonts w:ascii="Times New Roman" w:hAnsi="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1850" w14:textId="58445C14" w:rsidR="00C54F7B" w:rsidRDefault="00EC281D">
    <w:pPr>
      <w:spacing w:after="0" w:line="259" w:lineRule="auto"/>
      <w:ind w:left="0" w:firstLine="0"/>
      <w:jc w:val="left"/>
    </w:pPr>
    <w:r>
      <w:t xml:space="preserve">Página </w:t>
    </w:r>
    <w:r>
      <w:rPr>
        <w:b/>
        <w:bCs/>
      </w:rPr>
      <w:fldChar w:fldCharType="begin"/>
    </w:r>
    <w:r>
      <w:rPr>
        <w:b/>
        <w:bCs/>
      </w:rPr>
      <w:instrText xml:space="preserve"> PAGE  \* Arabic  \* MERGEFORMAT </w:instrText>
    </w:r>
    <w:r>
      <w:rPr>
        <w:b/>
        <w:bCs/>
      </w:rPr>
      <w:fldChar w:fldCharType="separate"/>
    </w:r>
    <w:r w:rsidR="004D2632">
      <w:rPr>
        <w:b/>
        <w:bCs/>
        <w:noProof/>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4D2632">
      <w:rPr>
        <w:b/>
        <w:bCs/>
        <w:noProof/>
      </w:rPr>
      <w:t>7</w:t>
    </w:r>
    <w:r>
      <w:rPr>
        <w:b/>
        <w:bCs/>
      </w:rPr>
      <w:fldChar w:fldCharType="end"/>
    </w:r>
    <w:r>
      <w:ptab w:relativeTo="margin" w:alignment="center" w:leader="none"/>
    </w:r>
    <w:r>
      <w:t xml:space="preserve">Fecha de entrada en vigor: </w:t>
    </w:r>
    <w:r w:rsidR="00EA30D2" w:rsidRPr="00EA30D2">
      <w:t>1</w:t>
    </w:r>
    <w:r w:rsidR="00EA30D2">
      <w:t>5</w:t>
    </w:r>
    <w:r w:rsidR="00EA30D2" w:rsidRPr="00EA30D2">
      <w:t xml:space="preserve">/01/2023 </w:t>
    </w:r>
    <w:r>
      <w:ptab w:relativeTo="margin" w:alignment="right" w:leader="none"/>
    </w:r>
    <w:r>
      <w:t xml:space="preserve">Versión #: </w:t>
    </w:r>
    <w:sdt>
      <w:sdtPr>
        <w:alias w:val="POPPRefItemVersion"/>
        <w:tag w:val="UNDP_POPP_REFITEM_VERSION"/>
        <w:id w:val="-2089911440"/>
        <w:placeholder>
          <w:docPart w:val="B273BA9D01DC4A0F813156CCC0BF1E0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E82C9A4-DDF6-43DA-8299-C46570CDD47C}"/>
        <w:text/>
      </w:sdtPr>
      <w:sdtEndPr/>
      <w:sdtContent>
        <w:r w:rsidR="00EA30D2">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1851" w14:textId="030763FD" w:rsidR="00C54F7B" w:rsidRDefault="00C54F7B">
    <w:pPr>
      <w:spacing w:after="0" w:line="259" w:lineRule="auto"/>
      <w:ind w:left="0" w:right="7" w:firstLine="0"/>
      <w:jc w:val="center"/>
    </w:pPr>
  </w:p>
  <w:p w14:paraId="485D1852" w14:textId="77777777" w:rsidR="00C54F7B" w:rsidRDefault="00F4444C">
    <w:pPr>
      <w:spacing w:after="0" w:line="259" w:lineRule="auto"/>
      <w:ind w:left="0" w:firstLine="0"/>
      <w:jc w:val="left"/>
    </w:pPr>
    <w:r>
      <w:rPr>
        <w:rFonts w:ascii="Times New Roman" w:hAnsi="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2E12" w14:textId="77777777" w:rsidR="009634EE" w:rsidRDefault="009634EE">
      <w:pPr>
        <w:spacing w:after="0" w:line="240" w:lineRule="auto"/>
      </w:pPr>
      <w:r>
        <w:separator/>
      </w:r>
    </w:p>
  </w:footnote>
  <w:footnote w:type="continuationSeparator" w:id="0">
    <w:p w14:paraId="5135C0CB" w14:textId="77777777" w:rsidR="009634EE" w:rsidRDefault="00963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B32F" w14:textId="701B1E56" w:rsidR="00BC515D" w:rsidRDefault="00B0621F" w:rsidP="00BC515D">
    <w:pPr>
      <w:pStyle w:val="Header"/>
      <w:ind w:left="9010"/>
    </w:pPr>
    <w:r>
      <w:rPr>
        <w:noProof/>
      </w:rPr>
      <w:drawing>
        <wp:inline distT="0" distB="0" distL="0" distR="0" wp14:anchorId="5B67C579" wp14:editId="042ECBE1">
          <wp:extent cx="294640" cy="589280"/>
          <wp:effectExtent l="0" t="0" r="0" b="127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0571E3C0" w14:textId="77777777" w:rsidR="00EC281D" w:rsidRDefault="00EC2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0A81" w14:textId="46FA982F" w:rsidR="00EC281D" w:rsidRDefault="100DB188" w:rsidP="00EC281D">
    <w:pPr>
      <w:pStyle w:val="Header"/>
      <w:ind w:left="9010"/>
    </w:pPr>
    <w:r>
      <w:rPr>
        <w:noProof/>
        <w:lang w:val="en-US" w:eastAsia="en-US"/>
      </w:rPr>
      <w:drawing>
        <wp:inline distT="0" distB="0" distL="0" distR="0" wp14:anchorId="06C5318E" wp14:editId="2ACD4564">
          <wp:extent cx="304800" cy="7030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04800" cy="703072"/>
                  </a:xfrm>
                  <a:prstGeom prst="rect">
                    <a:avLst/>
                  </a:prstGeom>
                </pic:spPr>
              </pic:pic>
            </a:graphicData>
          </a:graphic>
        </wp:inline>
      </w:drawing>
    </w:r>
  </w:p>
  <w:p w14:paraId="5A2726D8" w14:textId="77777777" w:rsidR="00EC281D" w:rsidRDefault="00EC2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6E2B"/>
    <w:multiLevelType w:val="hybridMultilevel"/>
    <w:tmpl w:val="51EE7528"/>
    <w:lvl w:ilvl="0" w:tplc="D562C0FA">
      <w:start w:val="1"/>
      <w:numFmt w:val="lowerLetter"/>
      <w:lvlText w:val="(%1)"/>
      <w:lvlJc w:val="left"/>
      <w:pPr>
        <w:ind w:left="135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11260513"/>
    <w:multiLevelType w:val="hybridMultilevel"/>
    <w:tmpl w:val="C896A6C8"/>
    <w:lvl w:ilvl="0" w:tplc="D85017E0">
      <w:start w:val="4"/>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84E984">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5A00F8">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F8080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4242C4">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365C8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A8DBE6">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3A11DA">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E27A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EC3A90"/>
    <w:multiLevelType w:val="hybridMultilevel"/>
    <w:tmpl w:val="B76ACBE0"/>
    <w:lvl w:ilvl="0" w:tplc="B8F4E156">
      <w:start w:val="13"/>
      <w:numFmt w:val="decimal"/>
      <w:lvlText w:val="%1."/>
      <w:lvlJc w:val="left"/>
      <w:pPr>
        <w:ind w:left="85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867" w:hanging="360"/>
      </w:pPr>
    </w:lvl>
    <w:lvl w:ilvl="2" w:tplc="2000001B" w:tentative="1">
      <w:start w:val="1"/>
      <w:numFmt w:val="lowerRoman"/>
      <w:lvlText w:val="%3."/>
      <w:lvlJc w:val="right"/>
      <w:pPr>
        <w:ind w:left="2587" w:hanging="180"/>
      </w:pPr>
    </w:lvl>
    <w:lvl w:ilvl="3" w:tplc="2000000F" w:tentative="1">
      <w:start w:val="1"/>
      <w:numFmt w:val="decimal"/>
      <w:lvlText w:val="%4."/>
      <w:lvlJc w:val="left"/>
      <w:pPr>
        <w:ind w:left="3307" w:hanging="360"/>
      </w:pPr>
    </w:lvl>
    <w:lvl w:ilvl="4" w:tplc="20000019" w:tentative="1">
      <w:start w:val="1"/>
      <w:numFmt w:val="lowerLetter"/>
      <w:lvlText w:val="%5."/>
      <w:lvlJc w:val="left"/>
      <w:pPr>
        <w:ind w:left="4027" w:hanging="360"/>
      </w:pPr>
    </w:lvl>
    <w:lvl w:ilvl="5" w:tplc="2000001B" w:tentative="1">
      <w:start w:val="1"/>
      <w:numFmt w:val="lowerRoman"/>
      <w:lvlText w:val="%6."/>
      <w:lvlJc w:val="right"/>
      <w:pPr>
        <w:ind w:left="4747" w:hanging="180"/>
      </w:pPr>
    </w:lvl>
    <w:lvl w:ilvl="6" w:tplc="2000000F" w:tentative="1">
      <w:start w:val="1"/>
      <w:numFmt w:val="decimal"/>
      <w:lvlText w:val="%7."/>
      <w:lvlJc w:val="left"/>
      <w:pPr>
        <w:ind w:left="5467" w:hanging="360"/>
      </w:pPr>
    </w:lvl>
    <w:lvl w:ilvl="7" w:tplc="20000019" w:tentative="1">
      <w:start w:val="1"/>
      <w:numFmt w:val="lowerLetter"/>
      <w:lvlText w:val="%8."/>
      <w:lvlJc w:val="left"/>
      <w:pPr>
        <w:ind w:left="6187" w:hanging="360"/>
      </w:pPr>
    </w:lvl>
    <w:lvl w:ilvl="8" w:tplc="2000001B" w:tentative="1">
      <w:start w:val="1"/>
      <w:numFmt w:val="lowerRoman"/>
      <w:lvlText w:val="%9."/>
      <w:lvlJc w:val="right"/>
      <w:pPr>
        <w:ind w:left="6907" w:hanging="180"/>
      </w:pPr>
    </w:lvl>
  </w:abstractNum>
  <w:abstractNum w:abstractNumId="3" w15:restartNumberingAfterBreak="0">
    <w:nsid w:val="155221AB"/>
    <w:multiLevelType w:val="hybridMultilevel"/>
    <w:tmpl w:val="C38ECE86"/>
    <w:lvl w:ilvl="0" w:tplc="FFFFFFFF">
      <w:start w:val="1"/>
      <w:numFmt w:val="lowerLetter"/>
      <w:lvlText w:val="%1)"/>
      <w:lvlJc w:val="left"/>
      <w:pPr>
        <w:ind w:left="720" w:hanging="360"/>
      </w:pPr>
    </w:lvl>
    <w:lvl w:ilvl="1" w:tplc="D562C0FA">
      <w:start w:val="1"/>
      <w:numFmt w:val="lowerLetter"/>
      <w:lvlText w:val="(%2)"/>
      <w:lvlJc w:val="left"/>
      <w:pPr>
        <w:ind w:left="1354" w:hanging="36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9064AE"/>
    <w:multiLevelType w:val="hybridMultilevel"/>
    <w:tmpl w:val="81228DE0"/>
    <w:lvl w:ilvl="0" w:tplc="E912FF38">
      <w:start w:val="6"/>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166" w:hanging="360"/>
      </w:pPr>
    </w:lvl>
    <w:lvl w:ilvl="2" w:tplc="2000001B" w:tentative="1">
      <w:start w:val="1"/>
      <w:numFmt w:val="lowerRoman"/>
      <w:lvlText w:val="%3."/>
      <w:lvlJc w:val="right"/>
      <w:pPr>
        <w:ind w:left="1886" w:hanging="180"/>
      </w:pPr>
    </w:lvl>
    <w:lvl w:ilvl="3" w:tplc="2000000F" w:tentative="1">
      <w:start w:val="1"/>
      <w:numFmt w:val="decimal"/>
      <w:lvlText w:val="%4."/>
      <w:lvlJc w:val="left"/>
      <w:pPr>
        <w:ind w:left="2606" w:hanging="360"/>
      </w:pPr>
    </w:lvl>
    <w:lvl w:ilvl="4" w:tplc="20000019" w:tentative="1">
      <w:start w:val="1"/>
      <w:numFmt w:val="lowerLetter"/>
      <w:lvlText w:val="%5."/>
      <w:lvlJc w:val="left"/>
      <w:pPr>
        <w:ind w:left="3326" w:hanging="360"/>
      </w:pPr>
    </w:lvl>
    <w:lvl w:ilvl="5" w:tplc="2000001B" w:tentative="1">
      <w:start w:val="1"/>
      <w:numFmt w:val="lowerRoman"/>
      <w:lvlText w:val="%6."/>
      <w:lvlJc w:val="right"/>
      <w:pPr>
        <w:ind w:left="4046" w:hanging="180"/>
      </w:pPr>
    </w:lvl>
    <w:lvl w:ilvl="6" w:tplc="2000000F" w:tentative="1">
      <w:start w:val="1"/>
      <w:numFmt w:val="decimal"/>
      <w:lvlText w:val="%7."/>
      <w:lvlJc w:val="left"/>
      <w:pPr>
        <w:ind w:left="4766" w:hanging="360"/>
      </w:pPr>
    </w:lvl>
    <w:lvl w:ilvl="7" w:tplc="20000019" w:tentative="1">
      <w:start w:val="1"/>
      <w:numFmt w:val="lowerLetter"/>
      <w:lvlText w:val="%8."/>
      <w:lvlJc w:val="left"/>
      <w:pPr>
        <w:ind w:left="5486" w:hanging="360"/>
      </w:pPr>
    </w:lvl>
    <w:lvl w:ilvl="8" w:tplc="2000001B" w:tentative="1">
      <w:start w:val="1"/>
      <w:numFmt w:val="lowerRoman"/>
      <w:lvlText w:val="%9."/>
      <w:lvlJc w:val="right"/>
      <w:pPr>
        <w:ind w:left="6206" w:hanging="180"/>
      </w:pPr>
    </w:lvl>
  </w:abstractNum>
  <w:abstractNum w:abstractNumId="5" w15:restartNumberingAfterBreak="0">
    <w:nsid w:val="21C65A9F"/>
    <w:multiLevelType w:val="hybridMultilevel"/>
    <w:tmpl w:val="B0820AC8"/>
    <w:lvl w:ilvl="0" w:tplc="F270485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66A26">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F4289C">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A7A4C">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163E52">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4E6CD8">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12A59A">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6A6AD4">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5639E0">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517B25"/>
    <w:multiLevelType w:val="hybridMultilevel"/>
    <w:tmpl w:val="1F80B374"/>
    <w:lvl w:ilvl="0" w:tplc="D562C0FA">
      <w:start w:val="1"/>
      <w:numFmt w:val="lowerLetter"/>
      <w:lvlText w:val="(%1)"/>
      <w:lvlJc w:val="left"/>
      <w:pPr>
        <w:ind w:left="135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7" w15:restartNumberingAfterBreak="0">
    <w:nsid w:val="27DB2526"/>
    <w:multiLevelType w:val="hybridMultilevel"/>
    <w:tmpl w:val="9D9613D0"/>
    <w:lvl w:ilvl="0" w:tplc="68B41BC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640172">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366604">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3EA468">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9202C8">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D00F88">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6C2966">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E20F62">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24CC5E">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692A6E"/>
    <w:multiLevelType w:val="hybridMultilevel"/>
    <w:tmpl w:val="F984FA7A"/>
    <w:lvl w:ilvl="0" w:tplc="D562C0FA">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5CBBCA">
      <w:start w:val="1"/>
      <w:numFmt w:val="lowerRoman"/>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A4309E">
      <w:start w:val="1"/>
      <w:numFmt w:val="lowerRoman"/>
      <w:lvlText w:val="%3"/>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D05596">
      <w:start w:val="1"/>
      <w:numFmt w:val="decimal"/>
      <w:lvlText w:val="%4"/>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CE1D28">
      <w:start w:val="1"/>
      <w:numFmt w:val="lowerLetter"/>
      <w:lvlText w:val="%5"/>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CE86AA">
      <w:start w:val="1"/>
      <w:numFmt w:val="lowerRoman"/>
      <w:lvlText w:val="%6"/>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F81D78">
      <w:start w:val="1"/>
      <w:numFmt w:val="decimal"/>
      <w:lvlText w:val="%7"/>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65FB0">
      <w:start w:val="1"/>
      <w:numFmt w:val="lowerLetter"/>
      <w:lvlText w:val="%8"/>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23A68">
      <w:start w:val="1"/>
      <w:numFmt w:val="lowerRoman"/>
      <w:lvlText w:val="%9"/>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F724AE"/>
    <w:multiLevelType w:val="hybridMultilevel"/>
    <w:tmpl w:val="DA3E2E7C"/>
    <w:lvl w:ilvl="0" w:tplc="B74C8EB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F41592">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4A1042">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DCAF30">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B4EFDC">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5803E8">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1835FC">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0ADD94">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C9D94">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940FDB"/>
    <w:multiLevelType w:val="hybridMultilevel"/>
    <w:tmpl w:val="89E8F2B4"/>
    <w:lvl w:ilvl="0" w:tplc="EDC40E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DFB5D3E"/>
    <w:multiLevelType w:val="hybridMultilevel"/>
    <w:tmpl w:val="D21060B0"/>
    <w:lvl w:ilvl="0" w:tplc="8E12C1E6">
      <w:start w:val="1"/>
      <w:numFmt w:val="lowerLetter"/>
      <w:lvlText w:val="(%1)"/>
      <w:lvlJc w:val="left"/>
      <w:pPr>
        <w:tabs>
          <w:tab w:val="num" w:pos="720"/>
        </w:tabs>
        <w:ind w:left="720" w:hanging="720"/>
      </w:pPr>
      <w:rPr>
        <w:rFonts w:ascii="Calibri" w:eastAsia="Calibri" w:hAnsi="Calibri" w:cs="Calibri"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EF605DF"/>
    <w:multiLevelType w:val="hybridMultilevel"/>
    <w:tmpl w:val="EE862ED6"/>
    <w:lvl w:ilvl="0" w:tplc="D562C0FA">
      <w:start w:val="1"/>
      <w:numFmt w:val="lowerLetter"/>
      <w:lvlText w:val="(%1)"/>
      <w:lvlJc w:val="left"/>
      <w:pPr>
        <w:ind w:left="135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3" w15:restartNumberingAfterBreak="0">
    <w:nsid w:val="5DEB3ADA"/>
    <w:multiLevelType w:val="hybridMultilevel"/>
    <w:tmpl w:val="03DA3BC0"/>
    <w:lvl w:ilvl="0" w:tplc="AC165674">
      <w:start w:val="1"/>
      <w:numFmt w:val="lowerLetter"/>
      <w:lvlText w:val="%1)"/>
      <w:lvlJc w:val="left"/>
      <w:pPr>
        <w:ind w:left="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D4A634">
      <w:start w:val="1"/>
      <w:numFmt w:val="lowerLetter"/>
      <w:lvlText w:val="%2"/>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5E5D7A">
      <w:start w:val="1"/>
      <w:numFmt w:val="lowerRoman"/>
      <w:lvlText w:val="%3"/>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16390C">
      <w:start w:val="1"/>
      <w:numFmt w:val="decimal"/>
      <w:lvlText w:val="%4"/>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E1F2E">
      <w:start w:val="1"/>
      <w:numFmt w:val="lowerLetter"/>
      <w:lvlText w:val="%5"/>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783054">
      <w:start w:val="1"/>
      <w:numFmt w:val="lowerRoman"/>
      <w:lvlText w:val="%6"/>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22F8E">
      <w:start w:val="1"/>
      <w:numFmt w:val="decimal"/>
      <w:lvlText w:val="%7"/>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6064F0">
      <w:start w:val="1"/>
      <w:numFmt w:val="lowerLetter"/>
      <w:lvlText w:val="%8"/>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C8D1E">
      <w:start w:val="1"/>
      <w:numFmt w:val="lowerRoman"/>
      <w:lvlText w:val="%9"/>
      <w:lvlJc w:val="left"/>
      <w:pPr>
        <w:ind w:left="6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61663D"/>
    <w:multiLevelType w:val="hybridMultilevel"/>
    <w:tmpl w:val="F1365E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2DE31D4"/>
    <w:multiLevelType w:val="hybridMultilevel"/>
    <w:tmpl w:val="BA14424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6" w15:restartNumberingAfterBreak="0">
    <w:nsid w:val="649609E7"/>
    <w:multiLevelType w:val="hybridMultilevel"/>
    <w:tmpl w:val="170C6974"/>
    <w:lvl w:ilvl="0" w:tplc="D562C0FA">
      <w:start w:val="1"/>
      <w:numFmt w:val="lowerLetter"/>
      <w:lvlText w:val="(%1)"/>
      <w:lvlJc w:val="left"/>
      <w:pPr>
        <w:tabs>
          <w:tab w:val="num" w:pos="720"/>
        </w:tabs>
        <w:ind w:left="720" w:hanging="720"/>
      </w:pPr>
      <w:rPr>
        <w:rFonts w:ascii="Calibri" w:eastAsia="Calibri" w:hAnsi="Calibri" w:cs="Calibri"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676D083E"/>
    <w:multiLevelType w:val="hybridMultilevel"/>
    <w:tmpl w:val="5D20260C"/>
    <w:lvl w:ilvl="0" w:tplc="B8F4E156">
      <w:start w:val="13"/>
      <w:numFmt w:val="decimal"/>
      <w:lvlText w:val="%1."/>
      <w:lvlJc w:val="left"/>
      <w:pPr>
        <w:ind w:left="428"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B527A29"/>
    <w:multiLevelType w:val="hybridMultilevel"/>
    <w:tmpl w:val="202EF6BA"/>
    <w:lvl w:ilvl="0" w:tplc="F10CFC6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0C9A84">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08BE94">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04A058">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04F46">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C015C4">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F8B890">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E6746C">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921238">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6FE2EC7"/>
    <w:multiLevelType w:val="hybridMultilevel"/>
    <w:tmpl w:val="9A4CECAA"/>
    <w:lvl w:ilvl="0" w:tplc="D1E241B6">
      <w:start w:val="1"/>
      <w:numFmt w:val="lowerLetter"/>
      <w:lvlText w:val="%1)"/>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40E650">
      <w:start w:val="1"/>
      <w:numFmt w:val="lowerRoman"/>
      <w:lvlText w:val="%2."/>
      <w:lvlJc w:val="left"/>
      <w:pPr>
        <w:ind w:left="2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F0412C">
      <w:start w:val="1"/>
      <w:numFmt w:val="lowerRoman"/>
      <w:lvlText w:val="%3"/>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246612">
      <w:start w:val="1"/>
      <w:numFmt w:val="decimal"/>
      <w:lvlText w:val="%4"/>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008506">
      <w:start w:val="1"/>
      <w:numFmt w:val="lowerLetter"/>
      <w:lvlText w:val="%5"/>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42CCEA">
      <w:start w:val="1"/>
      <w:numFmt w:val="lowerRoman"/>
      <w:lvlText w:val="%6"/>
      <w:lvlJc w:val="left"/>
      <w:pPr>
        <w:ind w:left="4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7603A4">
      <w:start w:val="1"/>
      <w:numFmt w:val="decimal"/>
      <w:lvlText w:val="%7"/>
      <w:lvlJc w:val="left"/>
      <w:pPr>
        <w:ind w:left="5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20C6B0">
      <w:start w:val="1"/>
      <w:numFmt w:val="lowerLetter"/>
      <w:lvlText w:val="%8"/>
      <w:lvlJc w:val="left"/>
      <w:pPr>
        <w:ind w:left="6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906516">
      <w:start w:val="1"/>
      <w:numFmt w:val="lowerRoman"/>
      <w:lvlText w:val="%9"/>
      <w:lvlJc w:val="left"/>
      <w:pPr>
        <w:ind w:left="7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87207FA"/>
    <w:multiLevelType w:val="hybridMultilevel"/>
    <w:tmpl w:val="60A038EE"/>
    <w:lvl w:ilvl="0" w:tplc="E912FF38">
      <w:start w:val="6"/>
      <w:numFmt w:val="decimal"/>
      <w:lvlText w:val="%1."/>
      <w:lvlJc w:val="left"/>
      <w:pPr>
        <w:ind w:left="428"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874" w:hanging="360"/>
      </w:pPr>
    </w:lvl>
    <w:lvl w:ilvl="2" w:tplc="2000001B" w:tentative="1">
      <w:start w:val="1"/>
      <w:numFmt w:val="lowerRoman"/>
      <w:lvlText w:val="%3."/>
      <w:lvlJc w:val="right"/>
      <w:pPr>
        <w:ind w:left="1594" w:hanging="180"/>
      </w:pPr>
    </w:lvl>
    <w:lvl w:ilvl="3" w:tplc="2000000F" w:tentative="1">
      <w:start w:val="1"/>
      <w:numFmt w:val="decimal"/>
      <w:lvlText w:val="%4."/>
      <w:lvlJc w:val="left"/>
      <w:pPr>
        <w:ind w:left="2314" w:hanging="360"/>
      </w:pPr>
    </w:lvl>
    <w:lvl w:ilvl="4" w:tplc="20000019" w:tentative="1">
      <w:start w:val="1"/>
      <w:numFmt w:val="lowerLetter"/>
      <w:lvlText w:val="%5."/>
      <w:lvlJc w:val="left"/>
      <w:pPr>
        <w:ind w:left="3034" w:hanging="360"/>
      </w:pPr>
    </w:lvl>
    <w:lvl w:ilvl="5" w:tplc="2000001B" w:tentative="1">
      <w:start w:val="1"/>
      <w:numFmt w:val="lowerRoman"/>
      <w:lvlText w:val="%6."/>
      <w:lvlJc w:val="right"/>
      <w:pPr>
        <w:ind w:left="3754" w:hanging="180"/>
      </w:pPr>
    </w:lvl>
    <w:lvl w:ilvl="6" w:tplc="2000000F" w:tentative="1">
      <w:start w:val="1"/>
      <w:numFmt w:val="decimal"/>
      <w:lvlText w:val="%7."/>
      <w:lvlJc w:val="left"/>
      <w:pPr>
        <w:ind w:left="4474" w:hanging="360"/>
      </w:pPr>
    </w:lvl>
    <w:lvl w:ilvl="7" w:tplc="20000019" w:tentative="1">
      <w:start w:val="1"/>
      <w:numFmt w:val="lowerLetter"/>
      <w:lvlText w:val="%8."/>
      <w:lvlJc w:val="left"/>
      <w:pPr>
        <w:ind w:left="5194" w:hanging="360"/>
      </w:pPr>
    </w:lvl>
    <w:lvl w:ilvl="8" w:tplc="2000001B" w:tentative="1">
      <w:start w:val="1"/>
      <w:numFmt w:val="lowerRoman"/>
      <w:lvlText w:val="%9."/>
      <w:lvlJc w:val="right"/>
      <w:pPr>
        <w:ind w:left="5914" w:hanging="180"/>
      </w:pPr>
    </w:lvl>
  </w:abstractNum>
  <w:abstractNum w:abstractNumId="21" w15:restartNumberingAfterBreak="0">
    <w:nsid w:val="789657ED"/>
    <w:multiLevelType w:val="hybridMultilevel"/>
    <w:tmpl w:val="DF8A492E"/>
    <w:lvl w:ilvl="0" w:tplc="B8F4E156">
      <w:start w:val="13"/>
      <w:numFmt w:val="decimal"/>
      <w:lvlText w:val="%1."/>
      <w:lvlJc w:val="left"/>
      <w:pPr>
        <w:ind w:left="85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867" w:hanging="360"/>
      </w:pPr>
    </w:lvl>
    <w:lvl w:ilvl="2" w:tplc="2000001B" w:tentative="1">
      <w:start w:val="1"/>
      <w:numFmt w:val="lowerRoman"/>
      <w:lvlText w:val="%3."/>
      <w:lvlJc w:val="right"/>
      <w:pPr>
        <w:ind w:left="2587" w:hanging="180"/>
      </w:pPr>
    </w:lvl>
    <w:lvl w:ilvl="3" w:tplc="2000000F" w:tentative="1">
      <w:start w:val="1"/>
      <w:numFmt w:val="decimal"/>
      <w:lvlText w:val="%4."/>
      <w:lvlJc w:val="left"/>
      <w:pPr>
        <w:ind w:left="3307" w:hanging="360"/>
      </w:pPr>
    </w:lvl>
    <w:lvl w:ilvl="4" w:tplc="20000019" w:tentative="1">
      <w:start w:val="1"/>
      <w:numFmt w:val="lowerLetter"/>
      <w:lvlText w:val="%5."/>
      <w:lvlJc w:val="left"/>
      <w:pPr>
        <w:ind w:left="4027" w:hanging="360"/>
      </w:pPr>
    </w:lvl>
    <w:lvl w:ilvl="5" w:tplc="2000001B" w:tentative="1">
      <w:start w:val="1"/>
      <w:numFmt w:val="lowerRoman"/>
      <w:lvlText w:val="%6."/>
      <w:lvlJc w:val="right"/>
      <w:pPr>
        <w:ind w:left="4747" w:hanging="180"/>
      </w:pPr>
    </w:lvl>
    <w:lvl w:ilvl="6" w:tplc="2000000F" w:tentative="1">
      <w:start w:val="1"/>
      <w:numFmt w:val="decimal"/>
      <w:lvlText w:val="%7."/>
      <w:lvlJc w:val="left"/>
      <w:pPr>
        <w:ind w:left="5467" w:hanging="360"/>
      </w:pPr>
    </w:lvl>
    <w:lvl w:ilvl="7" w:tplc="20000019" w:tentative="1">
      <w:start w:val="1"/>
      <w:numFmt w:val="lowerLetter"/>
      <w:lvlText w:val="%8."/>
      <w:lvlJc w:val="left"/>
      <w:pPr>
        <w:ind w:left="6187" w:hanging="360"/>
      </w:pPr>
    </w:lvl>
    <w:lvl w:ilvl="8" w:tplc="2000001B" w:tentative="1">
      <w:start w:val="1"/>
      <w:numFmt w:val="lowerRoman"/>
      <w:lvlText w:val="%9."/>
      <w:lvlJc w:val="right"/>
      <w:pPr>
        <w:ind w:left="6907" w:hanging="180"/>
      </w:pPr>
    </w:lvl>
  </w:abstractNum>
  <w:num w:numId="1" w16cid:durableId="391467575">
    <w:abstractNumId w:val="8"/>
  </w:num>
  <w:num w:numId="2" w16cid:durableId="766541165">
    <w:abstractNumId w:val="1"/>
  </w:num>
  <w:num w:numId="3" w16cid:durableId="1137332189">
    <w:abstractNumId w:val="13"/>
  </w:num>
  <w:num w:numId="4" w16cid:durableId="1502698722">
    <w:abstractNumId w:val="5"/>
  </w:num>
  <w:num w:numId="5" w16cid:durableId="2102796532">
    <w:abstractNumId w:val="18"/>
  </w:num>
  <w:num w:numId="6" w16cid:durableId="1307591677">
    <w:abstractNumId w:val="7"/>
  </w:num>
  <w:num w:numId="7" w16cid:durableId="1292979629">
    <w:abstractNumId w:val="19"/>
  </w:num>
  <w:num w:numId="8" w16cid:durableId="2046249224">
    <w:abstractNumId w:val="9"/>
  </w:num>
  <w:num w:numId="9" w16cid:durableId="945891605">
    <w:abstractNumId w:val="10"/>
  </w:num>
  <w:num w:numId="10" w16cid:durableId="1945113120">
    <w:abstractNumId w:val="14"/>
  </w:num>
  <w:num w:numId="11" w16cid:durableId="163981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8154534">
    <w:abstractNumId w:val="20"/>
  </w:num>
  <w:num w:numId="13" w16cid:durableId="385221492">
    <w:abstractNumId w:val="4"/>
  </w:num>
  <w:num w:numId="14" w16cid:durableId="433324961">
    <w:abstractNumId w:val="17"/>
  </w:num>
  <w:num w:numId="15" w16cid:durableId="473916756">
    <w:abstractNumId w:val="2"/>
  </w:num>
  <w:num w:numId="16" w16cid:durableId="900209725">
    <w:abstractNumId w:val="21"/>
  </w:num>
  <w:num w:numId="17" w16cid:durableId="312803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2904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0558477">
    <w:abstractNumId w:val="15"/>
  </w:num>
  <w:num w:numId="20" w16cid:durableId="221865349">
    <w:abstractNumId w:val="3"/>
  </w:num>
  <w:num w:numId="21" w16cid:durableId="1389259221">
    <w:abstractNumId w:val="12"/>
  </w:num>
  <w:num w:numId="22" w16cid:durableId="893807950">
    <w:abstractNumId w:val="6"/>
  </w:num>
  <w:num w:numId="23" w16cid:durableId="2107116888">
    <w:abstractNumId w:val="0"/>
  </w:num>
  <w:num w:numId="24" w16cid:durableId="18351450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7B"/>
    <w:rsid w:val="00015A20"/>
    <w:rsid w:val="0006289B"/>
    <w:rsid w:val="000A41DC"/>
    <w:rsid w:val="000F3401"/>
    <w:rsid w:val="001F0243"/>
    <w:rsid w:val="002637FC"/>
    <w:rsid w:val="002C011E"/>
    <w:rsid w:val="002C1E8D"/>
    <w:rsid w:val="003152B2"/>
    <w:rsid w:val="00367655"/>
    <w:rsid w:val="00383D00"/>
    <w:rsid w:val="003C0EEC"/>
    <w:rsid w:val="003D4BE7"/>
    <w:rsid w:val="00456AAA"/>
    <w:rsid w:val="00473A35"/>
    <w:rsid w:val="00487824"/>
    <w:rsid w:val="004B4343"/>
    <w:rsid w:val="004D2632"/>
    <w:rsid w:val="00571C73"/>
    <w:rsid w:val="005D7A96"/>
    <w:rsid w:val="005E4BA8"/>
    <w:rsid w:val="006A7712"/>
    <w:rsid w:val="0070358E"/>
    <w:rsid w:val="00717EDB"/>
    <w:rsid w:val="00732F5F"/>
    <w:rsid w:val="00747233"/>
    <w:rsid w:val="007541B1"/>
    <w:rsid w:val="007A05F0"/>
    <w:rsid w:val="007B61B6"/>
    <w:rsid w:val="007C00C7"/>
    <w:rsid w:val="007F5613"/>
    <w:rsid w:val="00806A1A"/>
    <w:rsid w:val="008233A2"/>
    <w:rsid w:val="00872E97"/>
    <w:rsid w:val="00874FDD"/>
    <w:rsid w:val="00881F4B"/>
    <w:rsid w:val="008C6886"/>
    <w:rsid w:val="009634EE"/>
    <w:rsid w:val="00964D96"/>
    <w:rsid w:val="00987A95"/>
    <w:rsid w:val="009D686D"/>
    <w:rsid w:val="00A27253"/>
    <w:rsid w:val="00A83BAA"/>
    <w:rsid w:val="00AF3905"/>
    <w:rsid w:val="00B0621F"/>
    <w:rsid w:val="00B83B4C"/>
    <w:rsid w:val="00B93394"/>
    <w:rsid w:val="00BC515D"/>
    <w:rsid w:val="00BF513D"/>
    <w:rsid w:val="00C33D85"/>
    <w:rsid w:val="00C54F7B"/>
    <w:rsid w:val="00C6185D"/>
    <w:rsid w:val="00C628CF"/>
    <w:rsid w:val="00CA4570"/>
    <w:rsid w:val="00CB3FC5"/>
    <w:rsid w:val="00E746DB"/>
    <w:rsid w:val="00E75CC4"/>
    <w:rsid w:val="00EA30D2"/>
    <w:rsid w:val="00EC281D"/>
    <w:rsid w:val="00F02E09"/>
    <w:rsid w:val="00F1289F"/>
    <w:rsid w:val="00F4444C"/>
    <w:rsid w:val="00F62081"/>
    <w:rsid w:val="00F96681"/>
    <w:rsid w:val="00FB6A7F"/>
    <w:rsid w:val="014B5B2F"/>
    <w:rsid w:val="01634DAA"/>
    <w:rsid w:val="100DB188"/>
    <w:rsid w:val="2E435CD2"/>
    <w:rsid w:val="337C8659"/>
    <w:rsid w:val="36FA7FCB"/>
    <w:rsid w:val="3A58FBCE"/>
    <w:rsid w:val="54A9A86A"/>
    <w:rsid w:val="5A9D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D17E4"/>
  <w15:docId w15:val="{AAB20B32-920D-47C5-A86F-EE6C819D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51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EC2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1D"/>
    <w:rPr>
      <w:rFonts w:ascii="Calibri" w:eastAsia="Calibri" w:hAnsi="Calibri" w:cs="Calibri"/>
      <w:color w:val="000000"/>
    </w:rPr>
  </w:style>
  <w:style w:type="character" w:styleId="PlaceholderText">
    <w:name w:val="Placeholder Text"/>
    <w:basedOn w:val="DefaultParagraphFont"/>
    <w:uiPriority w:val="99"/>
    <w:semiHidden/>
    <w:rsid w:val="00BC515D"/>
    <w:rPr>
      <w:color w:val="808080"/>
    </w:rPr>
  </w:style>
  <w:style w:type="paragraph" w:styleId="ListParagraph">
    <w:name w:val="List Paragraph"/>
    <w:basedOn w:val="Normal"/>
    <w:uiPriority w:val="34"/>
    <w:qFormat/>
    <w:rsid w:val="00B83B4C"/>
    <w:pPr>
      <w:ind w:left="720"/>
      <w:contextualSpacing/>
    </w:pPr>
  </w:style>
  <w:style w:type="character" w:styleId="Hyperlink">
    <w:name w:val="Hyperlink"/>
    <w:basedOn w:val="DefaultParagraphFont"/>
    <w:uiPriority w:val="99"/>
    <w:unhideWhenUsed/>
    <w:rsid w:val="00383D00"/>
    <w:rPr>
      <w:color w:val="0563C1" w:themeColor="hyperlink"/>
      <w:u w:val="single"/>
    </w:rPr>
  </w:style>
  <w:style w:type="paragraph" w:styleId="BalloonText">
    <w:name w:val="Balloon Text"/>
    <w:basedOn w:val="Normal"/>
    <w:link w:val="BalloonTextChar"/>
    <w:uiPriority w:val="99"/>
    <w:semiHidden/>
    <w:unhideWhenUsed/>
    <w:rsid w:val="004D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632"/>
    <w:rPr>
      <w:rFonts w:ascii="Segoe UI" w:eastAsia="Calibri" w:hAnsi="Segoe UI" w:cs="Segoe UI"/>
      <w:color w:val="000000"/>
      <w:sz w:val="18"/>
      <w:szCs w:val="18"/>
    </w:rPr>
  </w:style>
  <w:style w:type="paragraph" w:styleId="NormalWeb">
    <w:name w:val="Normal (Web)"/>
    <w:basedOn w:val="Normal"/>
    <w:uiPriority w:val="99"/>
    <w:unhideWhenUsed/>
    <w:rsid w:val="004D263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Default">
    <w:name w:val="Default"/>
    <w:rsid w:val="000F340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15A20"/>
    <w:rPr>
      <w:color w:val="954F72" w:themeColor="followedHyperlink"/>
      <w:u w:val="single"/>
    </w:rPr>
  </w:style>
  <w:style w:type="character" w:styleId="UnresolvedMention">
    <w:name w:val="Unresolved Mention"/>
    <w:basedOn w:val="DefaultParagraphFont"/>
    <w:uiPriority w:val="99"/>
    <w:semiHidden/>
    <w:unhideWhenUsed/>
    <w:rsid w:val="00747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976">
      <w:bodyDiv w:val="1"/>
      <w:marLeft w:val="0"/>
      <w:marRight w:val="0"/>
      <w:marTop w:val="0"/>
      <w:marBottom w:val="0"/>
      <w:divBdr>
        <w:top w:val="none" w:sz="0" w:space="0" w:color="auto"/>
        <w:left w:val="none" w:sz="0" w:space="0" w:color="auto"/>
        <w:bottom w:val="none" w:sz="0" w:space="0" w:color="auto"/>
        <w:right w:val="none" w:sz="0" w:space="0" w:color="auto"/>
      </w:divBdr>
    </w:div>
    <w:div w:id="421069572">
      <w:bodyDiv w:val="1"/>
      <w:marLeft w:val="0"/>
      <w:marRight w:val="0"/>
      <w:marTop w:val="0"/>
      <w:marBottom w:val="0"/>
      <w:divBdr>
        <w:top w:val="none" w:sz="0" w:space="0" w:color="auto"/>
        <w:left w:val="none" w:sz="0" w:space="0" w:color="auto"/>
        <w:bottom w:val="none" w:sz="0" w:space="0" w:color="auto"/>
        <w:right w:val="none" w:sz="0" w:space="0" w:color="auto"/>
      </w:divBdr>
    </w:div>
    <w:div w:id="760756996">
      <w:bodyDiv w:val="1"/>
      <w:marLeft w:val="0"/>
      <w:marRight w:val="0"/>
      <w:marTop w:val="0"/>
      <w:marBottom w:val="0"/>
      <w:divBdr>
        <w:top w:val="none" w:sz="0" w:space="0" w:color="auto"/>
        <w:left w:val="none" w:sz="0" w:space="0" w:color="auto"/>
        <w:bottom w:val="none" w:sz="0" w:space="0" w:color="auto"/>
        <w:right w:val="none" w:sz="0" w:space="0" w:color="auto"/>
      </w:divBdr>
    </w:div>
    <w:div w:id="887716257">
      <w:bodyDiv w:val="1"/>
      <w:marLeft w:val="0"/>
      <w:marRight w:val="0"/>
      <w:marTop w:val="0"/>
      <w:marBottom w:val="0"/>
      <w:divBdr>
        <w:top w:val="none" w:sz="0" w:space="0" w:color="auto"/>
        <w:left w:val="none" w:sz="0" w:space="0" w:color="auto"/>
        <w:bottom w:val="none" w:sz="0" w:space="0" w:color="auto"/>
        <w:right w:val="none" w:sz="0" w:space="0" w:color="auto"/>
      </w:divBdr>
    </w:div>
    <w:div w:id="1011570744">
      <w:bodyDiv w:val="1"/>
      <w:marLeft w:val="0"/>
      <w:marRight w:val="0"/>
      <w:marTop w:val="0"/>
      <w:marBottom w:val="0"/>
      <w:divBdr>
        <w:top w:val="none" w:sz="0" w:space="0" w:color="auto"/>
        <w:left w:val="none" w:sz="0" w:space="0" w:color="auto"/>
        <w:bottom w:val="none" w:sz="0" w:space="0" w:color="auto"/>
        <w:right w:val="none" w:sz="0" w:space="0" w:color="auto"/>
      </w:divBdr>
    </w:div>
    <w:div w:id="1256013878">
      <w:bodyDiv w:val="1"/>
      <w:marLeft w:val="0"/>
      <w:marRight w:val="0"/>
      <w:marTop w:val="0"/>
      <w:marBottom w:val="0"/>
      <w:divBdr>
        <w:top w:val="none" w:sz="0" w:space="0" w:color="auto"/>
        <w:left w:val="none" w:sz="0" w:space="0" w:color="auto"/>
        <w:bottom w:val="none" w:sz="0" w:space="0" w:color="auto"/>
        <w:right w:val="none" w:sz="0" w:space="0" w:color="auto"/>
      </w:divBdr>
    </w:div>
    <w:div w:id="1373068477">
      <w:bodyDiv w:val="1"/>
      <w:marLeft w:val="0"/>
      <w:marRight w:val="0"/>
      <w:marTop w:val="0"/>
      <w:marBottom w:val="0"/>
      <w:divBdr>
        <w:top w:val="none" w:sz="0" w:space="0" w:color="auto"/>
        <w:left w:val="none" w:sz="0" w:space="0" w:color="auto"/>
        <w:bottom w:val="none" w:sz="0" w:space="0" w:color="auto"/>
        <w:right w:val="none" w:sz="0" w:space="0" w:color="auto"/>
      </w:divBdr>
    </w:div>
    <w:div w:id="1410151643">
      <w:bodyDiv w:val="1"/>
      <w:marLeft w:val="0"/>
      <w:marRight w:val="0"/>
      <w:marTop w:val="0"/>
      <w:marBottom w:val="0"/>
      <w:divBdr>
        <w:top w:val="none" w:sz="0" w:space="0" w:color="auto"/>
        <w:left w:val="none" w:sz="0" w:space="0" w:color="auto"/>
        <w:bottom w:val="none" w:sz="0" w:space="0" w:color="auto"/>
        <w:right w:val="none" w:sz="0" w:space="0" w:color="auto"/>
      </w:divBdr>
    </w:div>
    <w:div w:id="1599368466">
      <w:bodyDiv w:val="1"/>
      <w:marLeft w:val="0"/>
      <w:marRight w:val="0"/>
      <w:marTop w:val="0"/>
      <w:marBottom w:val="0"/>
      <w:divBdr>
        <w:top w:val="none" w:sz="0" w:space="0" w:color="auto"/>
        <w:left w:val="none" w:sz="0" w:space="0" w:color="auto"/>
        <w:bottom w:val="none" w:sz="0" w:space="0" w:color="auto"/>
        <w:right w:val="none" w:sz="0" w:space="0" w:color="auto"/>
      </w:divBdr>
    </w:div>
    <w:div w:id="1721897311">
      <w:bodyDiv w:val="1"/>
      <w:marLeft w:val="0"/>
      <w:marRight w:val="0"/>
      <w:marTop w:val="0"/>
      <w:marBottom w:val="0"/>
      <w:divBdr>
        <w:top w:val="none" w:sz="0" w:space="0" w:color="auto"/>
        <w:left w:val="none" w:sz="0" w:space="0" w:color="auto"/>
        <w:bottom w:val="none" w:sz="0" w:space="0" w:color="auto"/>
        <w:right w:val="none" w:sz="0" w:space="0" w:color="auto"/>
      </w:divBdr>
    </w:div>
    <w:div w:id="1787117394">
      <w:bodyDiv w:val="1"/>
      <w:marLeft w:val="0"/>
      <w:marRight w:val="0"/>
      <w:marTop w:val="0"/>
      <w:marBottom w:val="0"/>
      <w:divBdr>
        <w:top w:val="none" w:sz="0" w:space="0" w:color="auto"/>
        <w:left w:val="none" w:sz="0" w:space="0" w:color="auto"/>
        <w:bottom w:val="none" w:sz="0" w:space="0" w:color="auto"/>
        <w:right w:val="none" w:sz="0" w:space="0" w:color="auto"/>
      </w:divBdr>
    </w:div>
    <w:div w:id="2121102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reasury.un.org/operationalrates/OperationalRate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csc.un.org/Resources/COLD/Booklets/PABooklet.pdf?r=02131246" TargetMode="External"/><Relationship Id="rId17" Type="http://schemas.openxmlformats.org/officeDocument/2006/relationships/hyperlink" Target="https://icsc.un.org/Resources/COLD/Booklets/PABooklet.pdf?r=0213124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easury.un.org/operationalrates/OperationalRates.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treasury.un.org/operationalrates/OperationalRates.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reasury.un.org/operationalrates/OperationalRates.aspx"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73BA9D01DC4A0F813156CCC0BF1E0C"/>
        <w:category>
          <w:name w:val="General"/>
          <w:gallery w:val="placeholder"/>
        </w:category>
        <w:types>
          <w:type w:val="bbPlcHdr"/>
        </w:types>
        <w:behaviors>
          <w:behavior w:val="content"/>
        </w:behaviors>
        <w:guid w:val="{72431C87-A46B-4913-8E35-388B482B3AA4}"/>
      </w:docPartPr>
      <w:docPartBody>
        <w:p w:rsidR="008508F1" w:rsidRDefault="008233A2">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A2"/>
    <w:rsid w:val="002C564A"/>
    <w:rsid w:val="005B3632"/>
    <w:rsid w:val="00677A39"/>
    <w:rsid w:val="008233A2"/>
    <w:rsid w:val="0085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3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1/14/2023                                                Version #: 4.0</DLCPolicyLabelClientValue>
    <UNDP_POPP_PLANNED_REVIEWDATE xmlns="8264c5cc-ec60-4b56-8111-ce635d3d139a">2026-01-14T23:00:00+00:00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2023-01-14T23:00:00+00:00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Anticipo de sueldo  </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POPP-11-3200</_dlc_DocId>
    <_dlc_DocIdUrl xmlns="8264c5cc-ec60-4b56-8111-ce635d3d139a">
      <Url>https://popp.undp.org/_layouts/15/DocIdRedir.aspx?ID=POPP-11-3200</Url>
      <Description>POPP-11-3200</Description>
    </_dlc_DocIdUrl>
    <DLCPolicyLabelValue xmlns="e560140e-7b2f-4392-90df-e7567e3021a3">Effective Date: 1/14/2023                                                Version #: 4.0</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419E64-5A94-4730-B134-2E37825D0679}">
  <ds:schemaRefs>
    <ds:schemaRef ds:uri="office.server.policy"/>
  </ds:schemaRefs>
</ds:datastoreItem>
</file>

<file path=customXml/itemProps2.xml><?xml version="1.0" encoding="utf-8"?>
<ds:datastoreItem xmlns:ds="http://schemas.openxmlformats.org/officeDocument/2006/customXml" ds:itemID="{346A791A-09C1-425C-B219-3D4F09A9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4E1F0-E1E2-4F82-A867-601A3C54A838}">
  <ds:schemaRefs>
    <ds:schemaRef ds:uri="http://schemas.microsoft.com/sharepoint/v3/contenttype/forms"/>
  </ds:schemaRefs>
</ds:datastoreItem>
</file>

<file path=customXml/itemProps4.xml><?xml version="1.0" encoding="utf-8"?>
<ds:datastoreItem xmlns:ds="http://schemas.openxmlformats.org/officeDocument/2006/customXml" ds:itemID="{2E82C9A4-DDF6-43DA-8299-C46570CDD47C}">
  <ds:schemaRefs>
    <ds:schemaRef ds:uri="8264c5cc-ec60-4b56-8111-ce635d3d139a"/>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schemas.microsoft.com/sharepoint/v3"/>
    <ds:schemaRef ds:uri="e560140e-7b2f-4392-90df-e7567e3021a3"/>
    <ds:schemaRef ds:uri="http://purl.org/dc/terms/"/>
  </ds:schemaRefs>
</ds:datastoreItem>
</file>

<file path=customXml/itemProps5.xml><?xml version="1.0" encoding="utf-8"?>
<ds:datastoreItem xmlns:ds="http://schemas.openxmlformats.org/officeDocument/2006/customXml" ds:itemID="{E19516D0-05A9-4451-8149-91EC03C5EF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Emiliana Zhivkova</cp:lastModifiedBy>
  <cp:revision>12</cp:revision>
  <dcterms:created xsi:type="dcterms:W3CDTF">2024-02-07T22:58:00Z</dcterms:created>
  <dcterms:modified xsi:type="dcterms:W3CDTF">2024-02-09T18:36:00Z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75cc85a4-8fca-46d7-8d0c-51613ba161ab</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