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D16732" w14:textId="7157582A" w:rsidR="00471AFA" w:rsidRPr="000156BF" w:rsidRDefault="003B0775" w:rsidP="000156BF">
      <w:pPr>
        <w:pStyle w:val="NoSpacing"/>
        <w:rPr>
          <w:rFonts w:asciiTheme="majorHAnsi" w:hAnsiTheme="majorHAnsi"/>
          <w:b/>
        </w:rPr>
      </w:pPr>
      <w:r>
        <w:rPr>
          <w:rFonts w:asciiTheme="majorHAnsi" w:hAnsiTheme="majorHAnsi"/>
          <w:b/>
          <w:sz w:val="28"/>
        </w:rPr>
        <w:t>Movilidad y condiciones de vida difíciles</w:t>
      </w:r>
    </w:p>
    <w:p w14:paraId="32BC793F" w14:textId="6DCFEBF7" w:rsidR="000156BF" w:rsidRPr="000156BF" w:rsidRDefault="000156BF" w:rsidP="000156BF">
      <w:pPr>
        <w:pStyle w:val="SingleTxt"/>
        <w:ind w:left="0" w:right="0"/>
        <w:rPr>
          <w:rFonts w:asciiTheme="majorHAnsi" w:hAnsiTheme="majorHAnsi"/>
          <w:b/>
          <w:sz w:val="22"/>
          <w:szCs w:val="22"/>
        </w:rPr>
      </w:pPr>
    </w:p>
    <w:p w14:paraId="08AA07B2" w14:textId="4831D611" w:rsidR="00471AFA" w:rsidRPr="000156BF" w:rsidRDefault="00471AFA" w:rsidP="000156BF">
      <w:pPr>
        <w:pStyle w:val="SingleTxt"/>
        <w:numPr>
          <w:ilvl w:val="0"/>
          <w:numId w:val="6"/>
        </w:numPr>
        <w:ind w:right="0"/>
        <w:rPr>
          <w:rFonts w:asciiTheme="majorHAnsi" w:eastAsiaTheme="minorEastAsia" w:hAnsiTheme="majorHAnsi" w:cs="Arial"/>
          <w:spacing w:val="0"/>
          <w:w w:val="100"/>
          <w:kern w:val="0"/>
          <w:sz w:val="22"/>
          <w:szCs w:val="22"/>
        </w:rPr>
      </w:pPr>
      <w:r>
        <w:rPr>
          <w:rFonts w:asciiTheme="majorHAnsi" w:eastAsiaTheme="minorEastAsia" w:hAnsiTheme="majorHAnsi"/>
          <w:spacing w:val="0"/>
          <w:w w:val="100"/>
          <w:kern w:val="0"/>
          <w:sz w:val="22"/>
        </w:rPr>
        <w:t>Esta política entra en vigor el 1 de julio de 2016, e introduce cambios en l</w:t>
      </w:r>
      <w:r w:rsidR="00432F44">
        <w:rPr>
          <w:rFonts w:asciiTheme="majorHAnsi" w:eastAsiaTheme="minorEastAsia" w:hAnsiTheme="majorHAnsi"/>
          <w:spacing w:val="0"/>
          <w:w w:val="100"/>
          <w:kern w:val="0"/>
          <w:sz w:val="22"/>
        </w:rPr>
        <w:t>o</w:t>
      </w:r>
      <w:r>
        <w:rPr>
          <w:rFonts w:asciiTheme="majorHAnsi" w:eastAsiaTheme="minorEastAsia" w:hAnsiTheme="majorHAnsi"/>
          <w:spacing w:val="0"/>
          <w:w w:val="100"/>
          <w:kern w:val="0"/>
          <w:sz w:val="22"/>
        </w:rPr>
        <w:t xml:space="preserve">s anteriores </w:t>
      </w:r>
      <w:r w:rsidR="00425209">
        <w:rPr>
          <w:rFonts w:asciiTheme="majorHAnsi" w:eastAsiaTheme="minorEastAsia" w:hAnsiTheme="majorHAnsi"/>
          <w:spacing w:val="0"/>
          <w:w w:val="100"/>
          <w:kern w:val="0"/>
          <w:sz w:val="22"/>
        </w:rPr>
        <w:t xml:space="preserve">subsidios </w:t>
      </w:r>
      <w:r>
        <w:rPr>
          <w:rFonts w:asciiTheme="majorHAnsi" w:eastAsiaTheme="minorEastAsia" w:hAnsiTheme="majorHAnsi"/>
          <w:spacing w:val="0"/>
          <w:w w:val="100"/>
          <w:kern w:val="0"/>
          <w:sz w:val="22"/>
        </w:rPr>
        <w:t xml:space="preserve">de </w:t>
      </w:r>
      <w:r w:rsidR="00070FC6">
        <w:rPr>
          <w:rFonts w:asciiTheme="majorHAnsi" w:eastAsiaTheme="minorEastAsia" w:hAnsiTheme="majorHAnsi"/>
          <w:spacing w:val="0"/>
          <w:w w:val="100"/>
          <w:kern w:val="0"/>
          <w:sz w:val="22"/>
        </w:rPr>
        <w:t>Subsidio</w:t>
      </w:r>
      <w:r>
        <w:rPr>
          <w:rFonts w:asciiTheme="majorHAnsi" w:eastAsiaTheme="minorEastAsia" w:hAnsiTheme="majorHAnsi"/>
          <w:spacing w:val="0"/>
          <w:w w:val="100"/>
          <w:kern w:val="0"/>
          <w:sz w:val="22"/>
        </w:rPr>
        <w:t xml:space="preserve"> por Movilidad y </w:t>
      </w:r>
      <w:r w:rsidR="00070FC6">
        <w:rPr>
          <w:rFonts w:asciiTheme="majorHAnsi" w:eastAsiaTheme="minorEastAsia" w:hAnsiTheme="majorHAnsi"/>
          <w:spacing w:val="0"/>
          <w:w w:val="100"/>
          <w:kern w:val="0"/>
          <w:sz w:val="22"/>
        </w:rPr>
        <w:t>Subsidio</w:t>
      </w:r>
      <w:r>
        <w:rPr>
          <w:rFonts w:asciiTheme="majorHAnsi" w:eastAsiaTheme="minorEastAsia" w:hAnsiTheme="majorHAnsi"/>
          <w:spacing w:val="0"/>
          <w:w w:val="100"/>
          <w:kern w:val="0"/>
          <w:sz w:val="22"/>
        </w:rPr>
        <w:t xml:space="preserve"> Adicional por Condiciones de Vida Difíciles, y modifica elementos de la versión anterior del </w:t>
      </w:r>
      <w:r w:rsidR="00997D97">
        <w:rPr>
          <w:rFonts w:asciiTheme="majorHAnsi" w:eastAsiaTheme="minorEastAsia" w:hAnsiTheme="majorHAnsi"/>
          <w:spacing w:val="0"/>
          <w:w w:val="100"/>
          <w:kern w:val="0"/>
          <w:sz w:val="22"/>
        </w:rPr>
        <w:t xml:space="preserve">Subsidio </w:t>
      </w:r>
      <w:r>
        <w:rPr>
          <w:rFonts w:asciiTheme="majorHAnsi" w:eastAsiaTheme="minorEastAsia" w:hAnsiTheme="majorHAnsi"/>
          <w:spacing w:val="0"/>
          <w:w w:val="100"/>
          <w:kern w:val="0"/>
          <w:sz w:val="22"/>
        </w:rPr>
        <w:t xml:space="preserve">por Condiciones de Vida Difíciles. También registra la discontinuación del </w:t>
      </w:r>
      <w:r w:rsidR="00997D97">
        <w:rPr>
          <w:rFonts w:asciiTheme="majorHAnsi" w:eastAsiaTheme="minorEastAsia" w:hAnsiTheme="majorHAnsi"/>
          <w:spacing w:val="0"/>
          <w:w w:val="100"/>
          <w:kern w:val="0"/>
          <w:sz w:val="22"/>
        </w:rPr>
        <w:t>Subsidio</w:t>
      </w:r>
      <w:r>
        <w:rPr>
          <w:rFonts w:asciiTheme="majorHAnsi" w:eastAsiaTheme="minorEastAsia" w:hAnsiTheme="majorHAnsi"/>
          <w:spacing w:val="0"/>
          <w:w w:val="100"/>
          <w:kern w:val="0"/>
          <w:sz w:val="22"/>
        </w:rPr>
        <w:t xml:space="preserve"> por No Reembolso de Gastos de Mudanza en la misma fecha, y aborda los acuerdos transitorios del plan anterior al nuevo.</w:t>
      </w:r>
    </w:p>
    <w:p w14:paraId="7DF5E119" w14:textId="77777777" w:rsidR="00471AFA" w:rsidRPr="000156BF" w:rsidRDefault="00471AFA" w:rsidP="000156BF">
      <w:pPr>
        <w:pStyle w:val="SingleTxt"/>
        <w:spacing w:after="0" w:line="120" w:lineRule="exact"/>
        <w:ind w:left="907" w:right="0"/>
        <w:rPr>
          <w:rFonts w:asciiTheme="majorHAnsi" w:hAnsiTheme="majorHAnsi"/>
          <w:sz w:val="22"/>
          <w:szCs w:val="22"/>
        </w:rPr>
      </w:pPr>
    </w:p>
    <w:p w14:paraId="5CC96714" w14:textId="77777777" w:rsidR="00471AFA" w:rsidRPr="000156BF" w:rsidRDefault="00471AFA" w:rsidP="000156BF">
      <w:pPr>
        <w:pStyle w:val="SingleTxt"/>
        <w:ind w:left="0" w:right="0"/>
        <w:rPr>
          <w:rFonts w:asciiTheme="majorHAnsi" w:hAnsiTheme="majorHAnsi"/>
          <w:b/>
          <w:i/>
          <w:sz w:val="22"/>
          <w:szCs w:val="22"/>
        </w:rPr>
      </w:pPr>
      <w:r>
        <w:rPr>
          <w:rFonts w:asciiTheme="majorHAnsi" w:hAnsiTheme="majorHAnsi"/>
          <w:b/>
          <w:i/>
          <w:sz w:val="22"/>
        </w:rPr>
        <w:t>Elementos del plan</w:t>
      </w:r>
    </w:p>
    <w:p w14:paraId="7B6EC8BD" w14:textId="6050994F" w:rsidR="000156BF" w:rsidRPr="00C512EC" w:rsidRDefault="00471AFA" w:rsidP="000156BF">
      <w:pPr>
        <w:pStyle w:val="SingleTxt"/>
        <w:numPr>
          <w:ilvl w:val="0"/>
          <w:numId w:val="6"/>
        </w:numPr>
        <w:ind w:right="0"/>
        <w:rPr>
          <w:rFonts w:asciiTheme="majorHAnsi" w:eastAsiaTheme="minorEastAsia" w:hAnsiTheme="majorHAnsi" w:cs="Arial"/>
          <w:spacing w:val="0"/>
          <w:w w:val="100"/>
          <w:kern w:val="0"/>
          <w:sz w:val="22"/>
          <w:szCs w:val="22"/>
        </w:rPr>
      </w:pPr>
      <w:r w:rsidRPr="009A6A1A">
        <w:rPr>
          <w:rFonts w:asciiTheme="majorHAnsi" w:eastAsiaTheme="minorEastAsia" w:hAnsiTheme="majorHAnsi"/>
          <w:spacing w:val="0"/>
          <w:w w:val="100"/>
          <w:kern w:val="0"/>
          <w:sz w:val="22"/>
          <w:szCs w:val="22"/>
        </w:rPr>
        <w:t xml:space="preserve">El plan de </w:t>
      </w:r>
      <w:r w:rsidR="009A193C" w:rsidRPr="009A6A1A">
        <w:rPr>
          <w:rFonts w:asciiTheme="majorHAnsi" w:eastAsiaTheme="minorEastAsia" w:hAnsiTheme="majorHAnsi"/>
          <w:spacing w:val="0"/>
          <w:w w:val="100"/>
          <w:kern w:val="0"/>
          <w:sz w:val="22"/>
          <w:szCs w:val="22"/>
        </w:rPr>
        <w:t>subsidio</w:t>
      </w:r>
      <w:r w:rsidRPr="009A6A1A">
        <w:rPr>
          <w:rFonts w:asciiTheme="majorHAnsi" w:eastAsiaTheme="minorEastAsia" w:hAnsiTheme="majorHAnsi"/>
          <w:spacing w:val="0"/>
          <w:w w:val="100"/>
          <w:kern w:val="0"/>
          <w:sz w:val="22"/>
          <w:szCs w:val="22"/>
        </w:rPr>
        <w:t xml:space="preserve"> por movilidad y condiciones de vida difíciles consiste en l</w:t>
      </w:r>
      <w:r w:rsidR="00F77329" w:rsidRPr="009A6A1A">
        <w:rPr>
          <w:rFonts w:asciiTheme="majorHAnsi" w:eastAsiaTheme="minorEastAsia" w:hAnsiTheme="majorHAnsi"/>
          <w:spacing w:val="0"/>
          <w:w w:val="100"/>
          <w:kern w:val="0"/>
          <w:sz w:val="22"/>
          <w:szCs w:val="22"/>
        </w:rPr>
        <w:t>o</w:t>
      </w:r>
      <w:r w:rsidRPr="009A6A1A">
        <w:rPr>
          <w:rFonts w:asciiTheme="majorHAnsi" w:eastAsiaTheme="minorEastAsia" w:hAnsiTheme="majorHAnsi"/>
          <w:spacing w:val="0"/>
          <w:w w:val="100"/>
          <w:kern w:val="0"/>
          <w:sz w:val="22"/>
          <w:szCs w:val="22"/>
        </w:rPr>
        <w:t xml:space="preserve">s siguientes </w:t>
      </w:r>
      <w:r w:rsidR="00F77329" w:rsidRPr="009A6A1A">
        <w:rPr>
          <w:rFonts w:asciiTheme="majorHAnsi" w:eastAsiaTheme="minorEastAsia" w:hAnsiTheme="majorHAnsi"/>
          <w:spacing w:val="0"/>
          <w:w w:val="100"/>
          <w:kern w:val="0"/>
          <w:sz w:val="22"/>
          <w:szCs w:val="22"/>
        </w:rPr>
        <w:t>subsidios</w:t>
      </w:r>
      <w:r w:rsidRPr="009A6A1A">
        <w:rPr>
          <w:rFonts w:asciiTheme="majorHAnsi" w:eastAsiaTheme="minorEastAsia" w:hAnsiTheme="majorHAnsi"/>
          <w:spacing w:val="0"/>
          <w:w w:val="100"/>
          <w:kern w:val="0"/>
          <w:sz w:val="22"/>
          <w:szCs w:val="22"/>
        </w:rPr>
        <w:t xml:space="preserve"> no pensionables:</w:t>
      </w:r>
    </w:p>
    <w:p w14:paraId="3614BD37" w14:textId="013B585F" w:rsidR="000156BF" w:rsidRPr="00C512EC" w:rsidRDefault="00471AFA" w:rsidP="000156BF">
      <w:pPr>
        <w:pStyle w:val="SingleTxt"/>
        <w:numPr>
          <w:ilvl w:val="1"/>
          <w:numId w:val="6"/>
        </w:numPr>
        <w:ind w:right="0"/>
        <w:rPr>
          <w:rFonts w:asciiTheme="majorHAnsi" w:eastAsiaTheme="minorEastAsia" w:hAnsiTheme="majorHAnsi" w:cs="Arial"/>
          <w:spacing w:val="0"/>
          <w:w w:val="100"/>
          <w:kern w:val="0"/>
          <w:sz w:val="22"/>
          <w:szCs w:val="22"/>
        </w:rPr>
      </w:pPr>
      <w:r>
        <w:rPr>
          <w:rFonts w:asciiTheme="majorHAnsi" w:eastAsiaTheme="minorEastAsia" w:hAnsiTheme="majorHAnsi"/>
          <w:spacing w:val="0"/>
          <w:w w:val="100"/>
          <w:kern w:val="0"/>
          <w:sz w:val="22"/>
        </w:rPr>
        <w:t>Un incentivo por movilidad, que varía según la cantidad de asignaciones a lugares de destino sobre el terreno y cuyo propósito es proporcionar un incentivo para la movilidad geográfica del personal en apoyo de las operaciones sobre el terreno;</w:t>
      </w:r>
    </w:p>
    <w:p w14:paraId="58D8658C" w14:textId="5BC13DBC" w:rsidR="000156BF" w:rsidRPr="00C512EC" w:rsidRDefault="00471AFA" w:rsidP="000156BF">
      <w:pPr>
        <w:pStyle w:val="SingleTxt"/>
        <w:numPr>
          <w:ilvl w:val="1"/>
          <w:numId w:val="6"/>
        </w:numPr>
        <w:ind w:right="0"/>
        <w:rPr>
          <w:rFonts w:asciiTheme="majorHAnsi" w:eastAsiaTheme="minorEastAsia" w:hAnsiTheme="majorHAnsi" w:cs="Arial"/>
          <w:spacing w:val="0"/>
          <w:w w:val="100"/>
          <w:kern w:val="0"/>
          <w:sz w:val="22"/>
          <w:szCs w:val="22"/>
        </w:rPr>
      </w:pPr>
      <w:r w:rsidRPr="009A6A1A">
        <w:rPr>
          <w:rFonts w:asciiTheme="majorHAnsi" w:eastAsiaTheme="minorEastAsia" w:hAnsiTheme="majorHAnsi"/>
          <w:spacing w:val="0"/>
          <w:w w:val="100"/>
          <w:kern w:val="0"/>
          <w:sz w:val="22"/>
          <w:szCs w:val="22"/>
        </w:rPr>
        <w:t xml:space="preserve">Un </w:t>
      </w:r>
      <w:r w:rsidR="00574E9A" w:rsidRPr="009A6A1A">
        <w:rPr>
          <w:rFonts w:asciiTheme="majorHAnsi" w:eastAsiaTheme="minorEastAsia" w:hAnsiTheme="majorHAnsi"/>
          <w:spacing w:val="0"/>
          <w:w w:val="100"/>
          <w:kern w:val="0"/>
          <w:sz w:val="22"/>
          <w:szCs w:val="22"/>
        </w:rPr>
        <w:t>subsidio</w:t>
      </w:r>
      <w:r w:rsidRPr="009A6A1A">
        <w:rPr>
          <w:rFonts w:asciiTheme="majorHAnsi" w:eastAsiaTheme="minorEastAsia" w:hAnsiTheme="majorHAnsi"/>
          <w:spacing w:val="0"/>
          <w:w w:val="100"/>
          <w:kern w:val="0"/>
          <w:sz w:val="22"/>
          <w:szCs w:val="22"/>
        </w:rPr>
        <w:t xml:space="preserve"> por condiciones de vida difíciles, cuyo propósito es compensar los diferentes grados de dificultad de condiciones de vida en diferentes lugares de destino sobre el terreno; </w:t>
      </w:r>
    </w:p>
    <w:p w14:paraId="23A60FDF" w14:textId="18AEEB1D" w:rsidR="00471AFA" w:rsidRPr="00C512EC" w:rsidRDefault="00471AFA">
      <w:pPr>
        <w:pStyle w:val="SingleTxt"/>
        <w:numPr>
          <w:ilvl w:val="1"/>
          <w:numId w:val="6"/>
        </w:numPr>
        <w:ind w:right="0"/>
        <w:rPr>
          <w:rFonts w:asciiTheme="majorHAnsi" w:eastAsiaTheme="minorEastAsia" w:hAnsiTheme="majorHAnsi" w:cs="Arial"/>
          <w:sz w:val="22"/>
          <w:szCs w:val="22"/>
        </w:rPr>
      </w:pPr>
      <w:r w:rsidRPr="009A6A1A">
        <w:rPr>
          <w:rFonts w:asciiTheme="majorHAnsi" w:eastAsiaTheme="minorEastAsia" w:hAnsiTheme="majorHAnsi"/>
          <w:spacing w:val="0"/>
          <w:w w:val="100"/>
          <w:kern w:val="0"/>
          <w:sz w:val="22"/>
          <w:szCs w:val="22"/>
        </w:rPr>
        <w:t>Un</w:t>
      </w:r>
      <w:r w:rsidR="14E8DA92" w:rsidRPr="009A6A1A">
        <w:rPr>
          <w:rFonts w:asciiTheme="majorHAnsi" w:eastAsiaTheme="minorEastAsia" w:hAnsiTheme="majorHAnsi"/>
          <w:spacing w:val="0"/>
          <w:w w:val="100"/>
          <w:kern w:val="0"/>
          <w:sz w:val="22"/>
          <w:szCs w:val="22"/>
        </w:rPr>
        <w:t xml:space="preserve"> </w:t>
      </w:r>
      <w:r w:rsidR="00AB5199" w:rsidRPr="009A6A1A">
        <w:rPr>
          <w:rFonts w:asciiTheme="majorHAnsi" w:eastAsiaTheme="minorEastAsia" w:hAnsiTheme="majorHAnsi"/>
          <w:spacing w:val="0"/>
          <w:w w:val="100"/>
          <w:kern w:val="0"/>
          <w:sz w:val="22"/>
          <w:szCs w:val="22"/>
        </w:rPr>
        <w:t>subsidio</w:t>
      </w:r>
      <w:r w:rsidRPr="009A6A1A">
        <w:rPr>
          <w:rFonts w:asciiTheme="majorHAnsi" w:eastAsiaTheme="minorEastAsia" w:hAnsiTheme="majorHAnsi"/>
          <w:spacing w:val="0"/>
          <w:w w:val="100"/>
          <w:kern w:val="0"/>
          <w:sz w:val="22"/>
          <w:szCs w:val="22"/>
        </w:rPr>
        <w:t xml:space="preserve"> por servicio en lugares de destino no aptos para familias, cuyo propósito es reconocer el servicio en lugares de destino no aptos para familias.</w:t>
      </w:r>
    </w:p>
    <w:p w14:paraId="5B3C9761" w14:textId="77777777" w:rsidR="000156BF" w:rsidRDefault="000156BF" w:rsidP="000156BF">
      <w:pPr>
        <w:pStyle w:val="H4"/>
        <w:ind w:left="0" w:right="0" w:firstLine="0"/>
        <w:rPr>
          <w:rFonts w:asciiTheme="majorHAnsi" w:hAnsiTheme="majorHAnsi"/>
          <w:i w:val="0"/>
          <w:spacing w:val="4"/>
          <w:sz w:val="22"/>
          <w:szCs w:val="22"/>
        </w:rPr>
      </w:pPr>
    </w:p>
    <w:p w14:paraId="1E780FAA" w14:textId="097E7641" w:rsidR="00471AFA" w:rsidRPr="00C512EC" w:rsidRDefault="00E95A4B">
      <w:pPr>
        <w:pStyle w:val="NoSpacing"/>
        <w:rPr>
          <w:rFonts w:asciiTheme="majorHAnsi" w:hAnsiTheme="majorHAnsi"/>
          <w:b/>
          <w:bCs/>
          <w:i/>
          <w:iCs/>
          <w:sz w:val="22"/>
          <w:szCs w:val="22"/>
        </w:rPr>
      </w:pPr>
      <w:r w:rsidRPr="009A6A1A">
        <w:rPr>
          <w:rFonts w:asciiTheme="majorHAnsi" w:hAnsiTheme="majorHAnsi"/>
          <w:b/>
          <w:bCs/>
          <w:i/>
          <w:iCs/>
          <w:sz w:val="22"/>
          <w:szCs w:val="22"/>
        </w:rPr>
        <w:t>Elegi</w:t>
      </w:r>
      <w:r w:rsidR="00471AFA" w:rsidRPr="009A6A1A">
        <w:rPr>
          <w:rFonts w:asciiTheme="majorHAnsi" w:hAnsiTheme="majorHAnsi"/>
          <w:b/>
          <w:bCs/>
          <w:i/>
          <w:iCs/>
          <w:sz w:val="22"/>
          <w:szCs w:val="22"/>
        </w:rPr>
        <w:t>bilidad</w:t>
      </w:r>
    </w:p>
    <w:p w14:paraId="7EFDBD27" w14:textId="77777777" w:rsidR="00471AFA" w:rsidRPr="000156BF" w:rsidRDefault="00471AFA" w:rsidP="000156BF">
      <w:pPr>
        <w:pStyle w:val="SingleTxt"/>
        <w:spacing w:after="0" w:line="120" w:lineRule="exact"/>
        <w:ind w:left="187" w:right="0"/>
        <w:rPr>
          <w:rFonts w:asciiTheme="majorHAnsi" w:eastAsiaTheme="minorEastAsia" w:hAnsiTheme="majorHAnsi" w:cs="Arial"/>
          <w:spacing w:val="0"/>
          <w:w w:val="100"/>
          <w:kern w:val="0"/>
          <w:sz w:val="22"/>
          <w:szCs w:val="22"/>
        </w:rPr>
      </w:pPr>
    </w:p>
    <w:p w14:paraId="67B520F4" w14:textId="211B2E87" w:rsidR="000156BF" w:rsidRPr="00C512EC" w:rsidRDefault="00471AFA" w:rsidP="000156BF">
      <w:pPr>
        <w:pStyle w:val="SingleTxt"/>
        <w:numPr>
          <w:ilvl w:val="0"/>
          <w:numId w:val="6"/>
        </w:numPr>
        <w:ind w:right="0"/>
        <w:rPr>
          <w:rFonts w:asciiTheme="majorHAnsi" w:eastAsiaTheme="minorEastAsia" w:hAnsiTheme="majorHAnsi" w:cs="Arial"/>
          <w:spacing w:val="0"/>
          <w:w w:val="100"/>
          <w:kern w:val="0"/>
          <w:sz w:val="22"/>
          <w:szCs w:val="22"/>
        </w:rPr>
      </w:pPr>
      <w:r w:rsidRPr="009A6A1A">
        <w:rPr>
          <w:rFonts w:asciiTheme="majorHAnsi" w:eastAsiaTheme="minorEastAsia" w:hAnsiTheme="majorHAnsi"/>
          <w:spacing w:val="0"/>
          <w:w w:val="100"/>
          <w:kern w:val="0"/>
          <w:sz w:val="22"/>
          <w:szCs w:val="22"/>
        </w:rPr>
        <w:t>El personal en el Cuadro Orgánico y categorías superiores (es decir, el personal del Cuadro Orgánico Internacional) y el personal en la categoría de Servicio Móvil reúnen las condiciones para el pago de l</w:t>
      </w:r>
      <w:r w:rsidR="00E81F8E" w:rsidRPr="009A6A1A">
        <w:rPr>
          <w:rFonts w:asciiTheme="majorHAnsi" w:eastAsiaTheme="minorEastAsia" w:hAnsiTheme="majorHAnsi"/>
          <w:spacing w:val="0"/>
          <w:w w:val="100"/>
          <w:kern w:val="0"/>
          <w:sz w:val="22"/>
          <w:szCs w:val="22"/>
        </w:rPr>
        <w:t>o</w:t>
      </w:r>
      <w:r w:rsidRPr="009A6A1A">
        <w:rPr>
          <w:rFonts w:asciiTheme="majorHAnsi" w:eastAsiaTheme="minorEastAsia" w:hAnsiTheme="majorHAnsi"/>
          <w:spacing w:val="0"/>
          <w:w w:val="100"/>
          <w:kern w:val="0"/>
          <w:sz w:val="22"/>
          <w:szCs w:val="22"/>
        </w:rPr>
        <w:t xml:space="preserve">s </w:t>
      </w:r>
      <w:r w:rsidR="00E81F8E" w:rsidRPr="009A6A1A">
        <w:rPr>
          <w:rFonts w:asciiTheme="majorHAnsi" w:eastAsiaTheme="minorEastAsia" w:hAnsiTheme="majorHAnsi"/>
          <w:spacing w:val="0"/>
          <w:w w:val="100"/>
          <w:kern w:val="0"/>
          <w:sz w:val="22"/>
          <w:szCs w:val="22"/>
        </w:rPr>
        <w:t>subsidios</w:t>
      </w:r>
      <w:r w:rsidRPr="009A6A1A">
        <w:rPr>
          <w:rFonts w:asciiTheme="majorHAnsi" w:eastAsiaTheme="minorEastAsia" w:hAnsiTheme="majorHAnsi"/>
          <w:spacing w:val="0"/>
          <w:w w:val="100"/>
          <w:kern w:val="0"/>
          <w:sz w:val="22"/>
          <w:szCs w:val="22"/>
        </w:rPr>
        <w:t xml:space="preserve"> conforme a este plan, siempre que cumplan con los requisitos establecidos a continuación y sujetos a las condiciones particulares que rigen cada </w:t>
      </w:r>
      <w:r w:rsidR="00DB3664" w:rsidRPr="009A6A1A">
        <w:rPr>
          <w:rFonts w:asciiTheme="majorHAnsi" w:eastAsiaTheme="minorEastAsia" w:hAnsiTheme="majorHAnsi"/>
          <w:spacing w:val="0"/>
          <w:w w:val="100"/>
          <w:kern w:val="0"/>
          <w:sz w:val="22"/>
          <w:szCs w:val="22"/>
        </w:rPr>
        <w:t>subsidio</w:t>
      </w:r>
      <w:r w:rsidRPr="009A6A1A">
        <w:rPr>
          <w:rFonts w:asciiTheme="majorHAnsi" w:eastAsiaTheme="minorEastAsia" w:hAnsiTheme="majorHAnsi"/>
          <w:spacing w:val="0"/>
          <w:w w:val="100"/>
          <w:kern w:val="0"/>
          <w:sz w:val="22"/>
          <w:szCs w:val="22"/>
        </w:rPr>
        <w:t xml:space="preserve">, como se describe en los párrafos siguientes. </w:t>
      </w:r>
    </w:p>
    <w:p w14:paraId="439679A8" w14:textId="1AA23508" w:rsidR="000156BF" w:rsidRPr="00C512EC" w:rsidRDefault="00471AFA" w:rsidP="000156BF">
      <w:pPr>
        <w:pStyle w:val="SingleTxt"/>
        <w:numPr>
          <w:ilvl w:val="0"/>
          <w:numId w:val="6"/>
        </w:numPr>
        <w:ind w:right="0"/>
        <w:rPr>
          <w:rFonts w:asciiTheme="majorHAnsi" w:eastAsiaTheme="minorEastAsia" w:hAnsiTheme="majorHAnsi" w:cs="Arial"/>
          <w:spacing w:val="0"/>
          <w:w w:val="100"/>
          <w:kern w:val="0"/>
          <w:sz w:val="22"/>
          <w:szCs w:val="22"/>
        </w:rPr>
      </w:pPr>
      <w:r w:rsidRPr="009A6A1A">
        <w:rPr>
          <w:rFonts w:asciiTheme="majorHAnsi" w:eastAsiaTheme="minorEastAsia" w:hAnsiTheme="majorHAnsi"/>
          <w:spacing w:val="0"/>
          <w:w w:val="100"/>
          <w:kern w:val="0"/>
          <w:sz w:val="22"/>
          <w:szCs w:val="22"/>
        </w:rPr>
        <w:t xml:space="preserve">La </w:t>
      </w:r>
      <w:r w:rsidR="00DB3664" w:rsidRPr="009A6A1A">
        <w:rPr>
          <w:rFonts w:asciiTheme="majorHAnsi" w:eastAsiaTheme="minorEastAsia" w:hAnsiTheme="majorHAnsi"/>
          <w:spacing w:val="0"/>
          <w:w w:val="100"/>
          <w:kern w:val="0"/>
          <w:sz w:val="22"/>
          <w:szCs w:val="22"/>
        </w:rPr>
        <w:t>elegi</w:t>
      </w:r>
      <w:r w:rsidRPr="009A6A1A">
        <w:rPr>
          <w:rFonts w:asciiTheme="majorHAnsi" w:eastAsiaTheme="minorEastAsia" w:hAnsiTheme="majorHAnsi"/>
          <w:spacing w:val="0"/>
          <w:w w:val="100"/>
          <w:kern w:val="0"/>
          <w:sz w:val="22"/>
          <w:szCs w:val="22"/>
        </w:rPr>
        <w:t>bilidad para el incentivo por movilidad normalmente requiere un cambio geográfico a un nuevo lugar de destino sobre el terreno, por un período de un año o más (a menos que se especifique de otro modo).</w:t>
      </w:r>
    </w:p>
    <w:p w14:paraId="26BCA573" w14:textId="71205905" w:rsidR="000156BF" w:rsidRPr="00C512EC" w:rsidRDefault="00471AFA" w:rsidP="000156BF">
      <w:pPr>
        <w:pStyle w:val="SingleTxt"/>
        <w:numPr>
          <w:ilvl w:val="0"/>
          <w:numId w:val="6"/>
        </w:numPr>
        <w:ind w:right="0"/>
        <w:rPr>
          <w:rFonts w:asciiTheme="majorHAnsi" w:eastAsiaTheme="minorEastAsia" w:hAnsiTheme="majorHAnsi" w:cs="Arial"/>
          <w:spacing w:val="0"/>
          <w:w w:val="100"/>
          <w:kern w:val="0"/>
          <w:sz w:val="22"/>
          <w:szCs w:val="22"/>
        </w:rPr>
      </w:pPr>
      <w:r w:rsidRPr="009A6A1A">
        <w:rPr>
          <w:rFonts w:asciiTheme="majorHAnsi" w:eastAsiaTheme="minorEastAsia" w:hAnsiTheme="majorHAnsi"/>
          <w:spacing w:val="0"/>
          <w:w w:val="100"/>
          <w:kern w:val="0"/>
          <w:sz w:val="22"/>
          <w:szCs w:val="22"/>
        </w:rPr>
        <w:t>L</w:t>
      </w:r>
      <w:r w:rsidR="00481A74" w:rsidRPr="009A6A1A">
        <w:rPr>
          <w:rFonts w:asciiTheme="majorHAnsi" w:eastAsiaTheme="minorEastAsia" w:hAnsiTheme="majorHAnsi"/>
          <w:spacing w:val="0"/>
          <w:w w:val="100"/>
          <w:kern w:val="0"/>
          <w:sz w:val="22"/>
          <w:szCs w:val="22"/>
        </w:rPr>
        <w:t>o</w:t>
      </w:r>
      <w:r w:rsidRPr="009A6A1A">
        <w:rPr>
          <w:rFonts w:asciiTheme="majorHAnsi" w:eastAsiaTheme="minorEastAsia" w:hAnsiTheme="majorHAnsi"/>
          <w:spacing w:val="0"/>
          <w:w w:val="100"/>
          <w:kern w:val="0"/>
          <w:sz w:val="22"/>
          <w:szCs w:val="22"/>
        </w:rPr>
        <w:t xml:space="preserve">s </w:t>
      </w:r>
      <w:r w:rsidR="00481A74" w:rsidRPr="009A6A1A">
        <w:rPr>
          <w:rFonts w:asciiTheme="majorHAnsi" w:eastAsiaTheme="minorEastAsia" w:hAnsiTheme="majorHAnsi"/>
          <w:spacing w:val="0"/>
          <w:w w:val="100"/>
          <w:kern w:val="0"/>
          <w:sz w:val="22"/>
          <w:szCs w:val="22"/>
        </w:rPr>
        <w:t>subsidios</w:t>
      </w:r>
      <w:r w:rsidRPr="009A6A1A">
        <w:rPr>
          <w:rFonts w:asciiTheme="majorHAnsi" w:eastAsiaTheme="minorEastAsia" w:hAnsiTheme="majorHAnsi"/>
          <w:spacing w:val="0"/>
          <w:w w:val="100"/>
          <w:kern w:val="0"/>
          <w:sz w:val="22"/>
          <w:szCs w:val="22"/>
        </w:rPr>
        <w:t xml:space="preserve"> comprendid</w:t>
      </w:r>
      <w:r w:rsidR="007B7077" w:rsidRPr="009A6A1A">
        <w:rPr>
          <w:rFonts w:asciiTheme="majorHAnsi" w:eastAsiaTheme="minorEastAsia" w:hAnsiTheme="majorHAnsi"/>
          <w:spacing w:val="0"/>
          <w:w w:val="100"/>
          <w:kern w:val="0"/>
          <w:sz w:val="22"/>
          <w:szCs w:val="22"/>
        </w:rPr>
        <w:t>o</w:t>
      </w:r>
      <w:r w:rsidRPr="009A6A1A">
        <w:rPr>
          <w:rFonts w:asciiTheme="majorHAnsi" w:eastAsiaTheme="minorEastAsia" w:hAnsiTheme="majorHAnsi"/>
          <w:spacing w:val="0"/>
          <w:w w:val="100"/>
          <w:kern w:val="0"/>
          <w:sz w:val="22"/>
          <w:szCs w:val="22"/>
        </w:rPr>
        <w:t>s en este plan no se consideran beneficios para personal expatriado, y pueden pagarse a los miembros del personal que reúnen las condiciones que prestan servicio en su país de origen.</w:t>
      </w:r>
    </w:p>
    <w:p w14:paraId="41C969BD" w14:textId="7D1E461E" w:rsidR="00B54925" w:rsidRPr="00C512EC" w:rsidRDefault="003C776B" w:rsidP="000E387E">
      <w:pPr>
        <w:pStyle w:val="SingleTxt"/>
        <w:numPr>
          <w:ilvl w:val="0"/>
          <w:numId w:val="6"/>
        </w:numPr>
        <w:ind w:right="0"/>
        <w:rPr>
          <w:rFonts w:asciiTheme="majorHAnsi" w:eastAsiaTheme="minorEastAsia" w:hAnsiTheme="majorHAnsi" w:cs="Arial"/>
          <w:spacing w:val="0"/>
          <w:w w:val="100"/>
          <w:kern w:val="0"/>
          <w:sz w:val="22"/>
          <w:szCs w:val="22"/>
        </w:rPr>
      </w:pPr>
      <w:r w:rsidRPr="009A6A1A">
        <w:rPr>
          <w:rFonts w:asciiTheme="majorHAnsi" w:eastAsiaTheme="minorEastAsia" w:hAnsiTheme="majorHAnsi"/>
          <w:spacing w:val="0"/>
          <w:w w:val="100"/>
          <w:kern w:val="0"/>
          <w:sz w:val="22"/>
          <w:szCs w:val="22"/>
        </w:rPr>
        <w:t>Cuando los miembros del personal que reúnen las condiciones para el pago de l</w:t>
      </w:r>
      <w:r w:rsidR="001F53AE" w:rsidRPr="009A6A1A">
        <w:rPr>
          <w:rFonts w:asciiTheme="majorHAnsi" w:eastAsiaTheme="minorEastAsia" w:hAnsiTheme="majorHAnsi"/>
          <w:spacing w:val="0"/>
          <w:w w:val="100"/>
          <w:kern w:val="0"/>
          <w:sz w:val="22"/>
          <w:szCs w:val="22"/>
        </w:rPr>
        <w:t>o</w:t>
      </w:r>
      <w:r w:rsidRPr="009A6A1A">
        <w:rPr>
          <w:rFonts w:asciiTheme="majorHAnsi" w:eastAsiaTheme="minorEastAsia" w:hAnsiTheme="majorHAnsi"/>
          <w:spacing w:val="0"/>
          <w:w w:val="100"/>
          <w:kern w:val="0"/>
          <w:sz w:val="22"/>
          <w:szCs w:val="22"/>
        </w:rPr>
        <w:t xml:space="preserve">s </w:t>
      </w:r>
      <w:r w:rsidR="001F53AE" w:rsidRPr="009A6A1A">
        <w:rPr>
          <w:rFonts w:asciiTheme="majorHAnsi" w:eastAsiaTheme="minorEastAsia" w:hAnsiTheme="majorHAnsi"/>
          <w:spacing w:val="0"/>
          <w:w w:val="100"/>
          <w:kern w:val="0"/>
          <w:sz w:val="22"/>
          <w:szCs w:val="22"/>
        </w:rPr>
        <w:t>subsidios</w:t>
      </w:r>
      <w:r w:rsidRPr="009A6A1A">
        <w:rPr>
          <w:rFonts w:asciiTheme="majorHAnsi" w:eastAsiaTheme="minorEastAsia" w:hAnsiTheme="majorHAnsi"/>
          <w:spacing w:val="0"/>
          <w:w w:val="100"/>
          <w:kern w:val="0"/>
          <w:sz w:val="22"/>
          <w:szCs w:val="22"/>
        </w:rPr>
        <w:t xml:space="preserve"> están en situación de viaje y reciben una dieta como consecuencia de esto, los incentivos o l</w:t>
      </w:r>
      <w:r w:rsidR="00494848" w:rsidRPr="009A6A1A">
        <w:rPr>
          <w:rFonts w:asciiTheme="majorHAnsi" w:eastAsiaTheme="minorEastAsia" w:hAnsiTheme="majorHAnsi"/>
          <w:spacing w:val="0"/>
          <w:w w:val="100"/>
          <w:kern w:val="0"/>
          <w:sz w:val="22"/>
          <w:szCs w:val="22"/>
        </w:rPr>
        <w:t>o</w:t>
      </w:r>
      <w:r w:rsidRPr="009A6A1A">
        <w:rPr>
          <w:rFonts w:asciiTheme="majorHAnsi" w:eastAsiaTheme="minorEastAsia" w:hAnsiTheme="majorHAnsi"/>
          <w:spacing w:val="0"/>
          <w:w w:val="100"/>
          <w:kern w:val="0"/>
          <w:sz w:val="22"/>
          <w:szCs w:val="22"/>
        </w:rPr>
        <w:t xml:space="preserve">s </w:t>
      </w:r>
      <w:r w:rsidR="00494848" w:rsidRPr="009A6A1A">
        <w:rPr>
          <w:rFonts w:asciiTheme="majorHAnsi" w:eastAsiaTheme="minorEastAsia" w:hAnsiTheme="majorHAnsi"/>
          <w:spacing w:val="0"/>
          <w:w w:val="100"/>
          <w:kern w:val="0"/>
          <w:sz w:val="22"/>
          <w:szCs w:val="22"/>
        </w:rPr>
        <w:t>subsidios</w:t>
      </w:r>
      <w:r w:rsidRPr="009A6A1A">
        <w:rPr>
          <w:rFonts w:asciiTheme="majorHAnsi" w:eastAsiaTheme="minorEastAsia" w:hAnsiTheme="majorHAnsi"/>
          <w:spacing w:val="0"/>
          <w:w w:val="100"/>
          <w:kern w:val="0"/>
          <w:sz w:val="22"/>
          <w:szCs w:val="22"/>
        </w:rPr>
        <w:t xml:space="preserve"> conforme al plan de prestaciones por movilidad y condiciones de vida difíciles deberán continuar pagándose sobre la base de su nombramiento en el lugar de destino principal. El pago de los incentivos o l</w:t>
      </w:r>
      <w:r w:rsidR="00803EF5" w:rsidRPr="009A6A1A">
        <w:rPr>
          <w:rFonts w:asciiTheme="majorHAnsi" w:eastAsiaTheme="minorEastAsia" w:hAnsiTheme="majorHAnsi"/>
          <w:spacing w:val="0"/>
          <w:w w:val="100"/>
          <w:kern w:val="0"/>
          <w:sz w:val="22"/>
          <w:szCs w:val="22"/>
        </w:rPr>
        <w:t>o</w:t>
      </w:r>
      <w:r w:rsidRPr="009A6A1A">
        <w:rPr>
          <w:rFonts w:asciiTheme="majorHAnsi" w:eastAsiaTheme="minorEastAsia" w:hAnsiTheme="majorHAnsi"/>
          <w:spacing w:val="0"/>
          <w:w w:val="100"/>
          <w:kern w:val="0"/>
          <w:sz w:val="22"/>
          <w:szCs w:val="22"/>
        </w:rPr>
        <w:t xml:space="preserve">s </w:t>
      </w:r>
      <w:r w:rsidR="00803EF5" w:rsidRPr="009A6A1A">
        <w:rPr>
          <w:rFonts w:asciiTheme="majorHAnsi" w:eastAsiaTheme="minorEastAsia" w:hAnsiTheme="majorHAnsi"/>
          <w:spacing w:val="0"/>
          <w:w w:val="100"/>
          <w:kern w:val="0"/>
          <w:sz w:val="22"/>
          <w:szCs w:val="22"/>
        </w:rPr>
        <w:t>subsidios</w:t>
      </w:r>
      <w:r w:rsidRPr="009A6A1A">
        <w:rPr>
          <w:rFonts w:asciiTheme="majorHAnsi" w:eastAsiaTheme="minorEastAsia" w:hAnsiTheme="majorHAnsi"/>
          <w:spacing w:val="0"/>
          <w:w w:val="100"/>
          <w:kern w:val="0"/>
          <w:sz w:val="22"/>
          <w:szCs w:val="22"/>
        </w:rPr>
        <w:t xml:space="preserve"> está sujeto al cambio oficial de lugar de destino. </w:t>
      </w:r>
    </w:p>
    <w:p w14:paraId="4A22D3BB" w14:textId="77777777" w:rsidR="00B54925" w:rsidRDefault="00B54925" w:rsidP="000E387E">
      <w:pPr>
        <w:pStyle w:val="NoSpacing"/>
        <w:rPr>
          <w:rFonts w:asciiTheme="majorHAnsi" w:hAnsiTheme="majorHAnsi"/>
          <w:b/>
          <w:i/>
          <w:sz w:val="22"/>
          <w:szCs w:val="22"/>
        </w:rPr>
      </w:pPr>
    </w:p>
    <w:p w14:paraId="464BCDFE" w14:textId="3F01A6C5" w:rsidR="000E387E" w:rsidRPr="000E387E" w:rsidRDefault="00471AFA" w:rsidP="000E387E">
      <w:pPr>
        <w:pStyle w:val="NoSpacing"/>
        <w:rPr>
          <w:rFonts w:asciiTheme="majorHAnsi" w:hAnsiTheme="majorHAnsi"/>
          <w:sz w:val="22"/>
          <w:szCs w:val="22"/>
        </w:rPr>
      </w:pPr>
      <w:r>
        <w:rPr>
          <w:rFonts w:asciiTheme="majorHAnsi" w:hAnsiTheme="majorHAnsi"/>
          <w:b/>
          <w:i/>
          <w:sz w:val="22"/>
        </w:rPr>
        <w:t>Categoría y designación de lugares de destino</w:t>
      </w:r>
    </w:p>
    <w:p w14:paraId="7FB087FD" w14:textId="77777777" w:rsidR="00471AFA" w:rsidRPr="000156BF" w:rsidRDefault="00471AFA" w:rsidP="000156BF">
      <w:pPr>
        <w:pStyle w:val="SingleTxt"/>
        <w:spacing w:after="0" w:line="120" w:lineRule="exact"/>
        <w:ind w:left="187" w:right="0"/>
        <w:rPr>
          <w:rFonts w:asciiTheme="majorHAnsi" w:hAnsiTheme="majorHAnsi"/>
          <w:sz w:val="22"/>
          <w:szCs w:val="22"/>
        </w:rPr>
      </w:pPr>
    </w:p>
    <w:p w14:paraId="2580BF41" w14:textId="32C47F5E" w:rsidR="000E387E" w:rsidRPr="00C512EC" w:rsidRDefault="00471AFA" w:rsidP="000E387E">
      <w:pPr>
        <w:pStyle w:val="SingleTxt"/>
        <w:numPr>
          <w:ilvl w:val="0"/>
          <w:numId w:val="6"/>
        </w:numPr>
        <w:ind w:right="0"/>
        <w:rPr>
          <w:rFonts w:asciiTheme="majorHAnsi" w:eastAsiaTheme="minorEastAsia" w:hAnsiTheme="majorHAnsi" w:cs="Arial"/>
          <w:spacing w:val="0"/>
          <w:w w:val="100"/>
          <w:kern w:val="0"/>
          <w:sz w:val="22"/>
          <w:szCs w:val="22"/>
        </w:rPr>
      </w:pPr>
      <w:r>
        <w:rPr>
          <w:rFonts w:asciiTheme="majorHAnsi" w:eastAsiaTheme="minorEastAsia" w:hAnsiTheme="majorHAnsi"/>
          <w:spacing w:val="0"/>
          <w:w w:val="100"/>
          <w:kern w:val="0"/>
          <w:sz w:val="22"/>
        </w:rPr>
        <w:t xml:space="preserve">Todos los lugares de destino son designados por la Comisión de Administración Pública Internacional en una de seis categorías: H, y de la A a la E. Los lugares de destino en la categoría H son sedes y lugares de designación similar en los que las Naciones Unidas no tienen ningún programa de asistencia humanitaria o de desarrollo, o ubicaciones en países que son miembros de la Unión Europea. Las categorías A a la E comprenden todos los demás </w:t>
      </w:r>
      <w:r>
        <w:rPr>
          <w:rFonts w:asciiTheme="majorHAnsi" w:eastAsiaTheme="minorEastAsia" w:hAnsiTheme="majorHAnsi"/>
          <w:spacing w:val="0"/>
          <w:w w:val="100"/>
          <w:kern w:val="0"/>
          <w:sz w:val="22"/>
        </w:rPr>
        <w:lastRenderedPageBreak/>
        <w:t xml:space="preserve">lugares de destino, clasificados por orden de dificultad de condiciones de vida y trabajo. Los miembros del personal son informados sobre la categoría de su lugar de destino anualmente o con mayor frecuencia si hay un cambio en la clasificación. </w:t>
      </w:r>
    </w:p>
    <w:p w14:paraId="58213BD6" w14:textId="481228D1" w:rsidR="00471AFA" w:rsidRPr="00C512EC" w:rsidRDefault="00471AFA">
      <w:pPr>
        <w:pStyle w:val="SingleTxt"/>
        <w:numPr>
          <w:ilvl w:val="0"/>
          <w:numId w:val="6"/>
        </w:numPr>
        <w:ind w:right="0"/>
        <w:rPr>
          <w:rFonts w:asciiTheme="majorHAnsi" w:eastAsiaTheme="minorEastAsia" w:hAnsiTheme="majorHAnsi" w:cs="Arial"/>
          <w:spacing w:val="0"/>
          <w:w w:val="100"/>
          <w:kern w:val="0"/>
          <w:sz w:val="22"/>
          <w:szCs w:val="22"/>
        </w:rPr>
      </w:pPr>
      <w:r w:rsidRPr="009A6A1A">
        <w:rPr>
          <w:rFonts w:asciiTheme="majorHAnsi" w:eastAsiaTheme="minorEastAsia" w:hAnsiTheme="majorHAnsi"/>
          <w:spacing w:val="0"/>
          <w:w w:val="100"/>
          <w:kern w:val="0"/>
          <w:sz w:val="22"/>
          <w:szCs w:val="22"/>
        </w:rPr>
        <w:t xml:space="preserve">Con el fin del pago del </w:t>
      </w:r>
      <w:r w:rsidR="00491F63" w:rsidRPr="009A6A1A">
        <w:rPr>
          <w:rFonts w:asciiTheme="majorHAnsi" w:eastAsiaTheme="minorEastAsia" w:hAnsiTheme="majorHAnsi"/>
          <w:spacing w:val="0"/>
          <w:w w:val="100"/>
          <w:kern w:val="0"/>
          <w:sz w:val="22"/>
          <w:szCs w:val="22"/>
        </w:rPr>
        <w:t>subsidio</w:t>
      </w:r>
      <w:r w:rsidRPr="009A6A1A">
        <w:rPr>
          <w:rFonts w:asciiTheme="majorHAnsi" w:eastAsiaTheme="minorEastAsia" w:hAnsiTheme="majorHAnsi"/>
          <w:spacing w:val="0"/>
          <w:w w:val="100"/>
          <w:kern w:val="0"/>
          <w:sz w:val="22"/>
          <w:szCs w:val="22"/>
        </w:rPr>
        <w:t xml:space="preserve"> por servicio en lugares de destino no aptos para familias, el Presidente de la Comisión de Administración Pública Internacional designa un lugar de destino como «no apto para familias» cuando la presencia a mediano o más largo plazo del personal no esencial y/o los cónyuges reconocidos</w:t>
      </w:r>
      <w:r w:rsidRPr="00C512EC">
        <w:rPr>
          <w:rFonts w:asciiTheme="majorHAnsi" w:eastAsiaTheme="minorEastAsia" w:hAnsiTheme="majorHAnsi"/>
          <w:spacing w:val="0"/>
          <w:w w:val="100"/>
          <w:kern w:val="0"/>
          <w:sz w:val="22"/>
          <w:szCs w:val="22"/>
        </w:rPr>
        <w:t xml:space="preserve"> y/o hijos a cargo en el lugar de destino del miembro del personal se considera peligrosa o inadecuada por motivos de protección y seguridad. La decisión con respecto a la designación de un lugar de destino como «no apto para familias» normalmente se toma dentro de los seis meses posteriores a la declaración de evacuación o reubicación de personal no esencial y/o familiares.</w:t>
      </w:r>
    </w:p>
    <w:p w14:paraId="0E015783" w14:textId="77777777" w:rsidR="00471AFA" w:rsidRPr="000156BF" w:rsidRDefault="00471AFA" w:rsidP="000156BF">
      <w:pPr>
        <w:pStyle w:val="SingleTxt"/>
        <w:spacing w:after="0" w:line="120" w:lineRule="exact"/>
        <w:ind w:right="0"/>
        <w:rPr>
          <w:rFonts w:asciiTheme="majorHAnsi" w:hAnsiTheme="majorHAnsi"/>
          <w:sz w:val="22"/>
          <w:szCs w:val="22"/>
        </w:rPr>
      </w:pPr>
    </w:p>
    <w:p w14:paraId="6486FD1A" w14:textId="77777777" w:rsidR="00471AFA" w:rsidRPr="000E387E" w:rsidRDefault="00471AFA" w:rsidP="000E387E">
      <w:pPr>
        <w:pStyle w:val="NoSpacing"/>
        <w:rPr>
          <w:rFonts w:asciiTheme="majorHAnsi" w:hAnsiTheme="majorHAnsi"/>
          <w:b/>
          <w:i/>
          <w:sz w:val="22"/>
          <w:szCs w:val="22"/>
        </w:rPr>
      </w:pPr>
      <w:r>
        <w:rPr>
          <w:rFonts w:asciiTheme="majorHAnsi" w:hAnsiTheme="majorHAnsi"/>
          <w:b/>
          <w:i/>
          <w:sz w:val="22"/>
        </w:rPr>
        <w:t>Montos</w:t>
      </w:r>
    </w:p>
    <w:p w14:paraId="29A8B759" w14:textId="77777777" w:rsidR="00471AFA" w:rsidRPr="000156BF" w:rsidRDefault="00471AFA" w:rsidP="000156BF">
      <w:pPr>
        <w:pStyle w:val="SingleTxt"/>
        <w:spacing w:after="0" w:line="120" w:lineRule="exact"/>
        <w:ind w:right="0"/>
        <w:rPr>
          <w:rFonts w:asciiTheme="majorHAnsi" w:hAnsiTheme="majorHAnsi"/>
          <w:sz w:val="22"/>
          <w:szCs w:val="22"/>
        </w:rPr>
      </w:pPr>
    </w:p>
    <w:p w14:paraId="488E9032" w14:textId="28E5FBE5" w:rsidR="00471AFA" w:rsidRPr="00C512EC" w:rsidRDefault="00471AFA">
      <w:pPr>
        <w:pStyle w:val="SingleTxt"/>
        <w:numPr>
          <w:ilvl w:val="0"/>
          <w:numId w:val="6"/>
        </w:numPr>
        <w:ind w:right="0"/>
        <w:rPr>
          <w:rFonts w:asciiTheme="majorHAnsi" w:eastAsiaTheme="minorEastAsia" w:hAnsiTheme="majorHAnsi" w:cs="Arial"/>
          <w:spacing w:val="0"/>
          <w:w w:val="100"/>
          <w:kern w:val="0"/>
          <w:sz w:val="22"/>
          <w:szCs w:val="22"/>
        </w:rPr>
      </w:pPr>
      <w:r w:rsidRPr="009A6A1A">
        <w:rPr>
          <w:rFonts w:asciiTheme="majorHAnsi" w:eastAsiaTheme="minorEastAsia" w:hAnsiTheme="majorHAnsi"/>
          <w:spacing w:val="0"/>
          <w:w w:val="100"/>
          <w:kern w:val="0"/>
          <w:sz w:val="22"/>
          <w:szCs w:val="22"/>
        </w:rPr>
        <w:t>El monto de l</w:t>
      </w:r>
      <w:r w:rsidR="00E6251A" w:rsidRPr="009A6A1A">
        <w:rPr>
          <w:rFonts w:asciiTheme="majorHAnsi" w:eastAsiaTheme="minorEastAsia" w:hAnsiTheme="majorHAnsi"/>
          <w:spacing w:val="0"/>
          <w:w w:val="100"/>
          <w:kern w:val="0"/>
          <w:sz w:val="22"/>
          <w:szCs w:val="22"/>
        </w:rPr>
        <w:t>o</w:t>
      </w:r>
      <w:r w:rsidRPr="009A6A1A">
        <w:rPr>
          <w:rFonts w:asciiTheme="majorHAnsi" w:eastAsiaTheme="minorEastAsia" w:hAnsiTheme="majorHAnsi"/>
          <w:spacing w:val="0"/>
          <w:w w:val="100"/>
          <w:kern w:val="0"/>
          <w:sz w:val="22"/>
          <w:szCs w:val="22"/>
        </w:rPr>
        <w:t xml:space="preserve">s </w:t>
      </w:r>
      <w:r w:rsidR="00E6251A" w:rsidRPr="009A6A1A">
        <w:rPr>
          <w:rFonts w:asciiTheme="majorHAnsi" w:eastAsiaTheme="minorEastAsia" w:hAnsiTheme="majorHAnsi"/>
          <w:spacing w:val="0"/>
          <w:w w:val="100"/>
          <w:kern w:val="0"/>
          <w:sz w:val="22"/>
          <w:szCs w:val="22"/>
        </w:rPr>
        <w:t>subsidios</w:t>
      </w:r>
      <w:r w:rsidRPr="009A6A1A">
        <w:rPr>
          <w:rFonts w:asciiTheme="majorHAnsi" w:eastAsiaTheme="minorEastAsia" w:hAnsiTheme="majorHAnsi"/>
          <w:spacing w:val="0"/>
          <w:w w:val="100"/>
          <w:kern w:val="0"/>
          <w:sz w:val="22"/>
          <w:szCs w:val="22"/>
        </w:rPr>
        <w:t xml:space="preserve"> pagader</w:t>
      </w:r>
      <w:r w:rsidR="00E6251A" w:rsidRPr="009A6A1A">
        <w:rPr>
          <w:rFonts w:asciiTheme="majorHAnsi" w:eastAsiaTheme="minorEastAsia" w:hAnsiTheme="majorHAnsi"/>
          <w:spacing w:val="0"/>
          <w:w w:val="100"/>
          <w:kern w:val="0"/>
          <w:sz w:val="22"/>
          <w:szCs w:val="22"/>
        </w:rPr>
        <w:t>o</w:t>
      </w:r>
      <w:r w:rsidRPr="009A6A1A">
        <w:rPr>
          <w:rFonts w:asciiTheme="majorHAnsi" w:eastAsiaTheme="minorEastAsia" w:hAnsiTheme="majorHAnsi"/>
          <w:spacing w:val="0"/>
          <w:w w:val="100"/>
          <w:kern w:val="0"/>
          <w:sz w:val="22"/>
          <w:szCs w:val="22"/>
        </w:rPr>
        <w:t>s a cada miembro del personal que reúne las condiciones puede variar según la</w:t>
      </w:r>
      <w:r w:rsidRPr="00C512EC">
        <w:rPr>
          <w:rFonts w:asciiTheme="majorHAnsi" w:eastAsiaTheme="minorEastAsia" w:hAnsiTheme="majorHAnsi"/>
          <w:spacing w:val="0"/>
          <w:w w:val="100"/>
          <w:kern w:val="0"/>
          <w:sz w:val="22"/>
          <w:szCs w:val="22"/>
        </w:rPr>
        <w:t xml:space="preserve"> categoría y el estado de dependencia. El Anexo 1 muestra los montos aplicables según las circunstancias individuales.</w:t>
      </w:r>
    </w:p>
    <w:p w14:paraId="203EB737" w14:textId="77777777" w:rsidR="004A242B" w:rsidRPr="000156BF" w:rsidRDefault="004A242B" w:rsidP="000156BF">
      <w:pPr>
        <w:pStyle w:val="SingleTxt"/>
        <w:ind w:left="0" w:right="0"/>
        <w:rPr>
          <w:rFonts w:asciiTheme="majorHAnsi" w:hAnsiTheme="majorHAnsi"/>
          <w:sz w:val="22"/>
          <w:szCs w:val="22"/>
        </w:rPr>
      </w:pPr>
    </w:p>
    <w:p w14:paraId="210785C9" w14:textId="77777777" w:rsidR="004A242B" w:rsidRPr="000156BF" w:rsidRDefault="004A242B" w:rsidP="000156BF">
      <w:pPr>
        <w:pStyle w:val="SingleTxt"/>
        <w:ind w:left="0" w:right="0"/>
        <w:rPr>
          <w:rFonts w:asciiTheme="majorHAnsi" w:hAnsiTheme="majorHAnsi"/>
          <w:b/>
          <w:sz w:val="22"/>
          <w:szCs w:val="22"/>
        </w:rPr>
      </w:pPr>
      <w:r>
        <w:rPr>
          <w:rFonts w:asciiTheme="majorHAnsi" w:hAnsiTheme="majorHAnsi"/>
          <w:b/>
          <w:sz w:val="22"/>
        </w:rPr>
        <w:t>Incentivo por movilidad</w:t>
      </w:r>
    </w:p>
    <w:p w14:paraId="5735EF49" w14:textId="37571935" w:rsidR="000E387E" w:rsidRPr="00C512EC" w:rsidRDefault="004A242B" w:rsidP="000E387E">
      <w:pPr>
        <w:pStyle w:val="NoSpacing"/>
        <w:rPr>
          <w:rFonts w:asciiTheme="majorHAnsi" w:hAnsiTheme="majorHAnsi"/>
          <w:b/>
          <w:i/>
          <w:sz w:val="22"/>
          <w:szCs w:val="22"/>
        </w:rPr>
      </w:pPr>
      <w:r>
        <w:rPr>
          <w:rFonts w:asciiTheme="majorHAnsi" w:hAnsiTheme="majorHAnsi"/>
          <w:b/>
          <w:i/>
          <w:sz w:val="22"/>
        </w:rPr>
        <w:t>Servicio acreditable</w:t>
      </w:r>
    </w:p>
    <w:p w14:paraId="0CFDE4C9" w14:textId="77777777" w:rsidR="004A242B" w:rsidRPr="000156BF" w:rsidRDefault="004A242B" w:rsidP="000156BF">
      <w:pPr>
        <w:pStyle w:val="SingleTxt"/>
        <w:spacing w:after="0" w:line="120" w:lineRule="exact"/>
        <w:ind w:right="0"/>
        <w:rPr>
          <w:rFonts w:asciiTheme="majorHAnsi" w:hAnsiTheme="majorHAnsi"/>
          <w:sz w:val="22"/>
          <w:szCs w:val="22"/>
        </w:rPr>
      </w:pPr>
    </w:p>
    <w:p w14:paraId="23E07763" w14:textId="3F3289A2" w:rsidR="000E387E" w:rsidRPr="00C512EC" w:rsidRDefault="004A242B" w:rsidP="000E387E">
      <w:pPr>
        <w:pStyle w:val="SingleTxt"/>
        <w:numPr>
          <w:ilvl w:val="0"/>
          <w:numId w:val="6"/>
        </w:numPr>
        <w:ind w:right="0"/>
        <w:rPr>
          <w:rFonts w:asciiTheme="majorHAnsi" w:eastAsiaTheme="minorEastAsia" w:hAnsiTheme="majorHAnsi" w:cs="Arial"/>
          <w:spacing w:val="0"/>
          <w:w w:val="100"/>
          <w:kern w:val="0"/>
          <w:sz w:val="22"/>
          <w:szCs w:val="22"/>
        </w:rPr>
      </w:pPr>
      <w:r w:rsidRPr="009A6A1A">
        <w:rPr>
          <w:rFonts w:asciiTheme="majorHAnsi" w:eastAsiaTheme="minorEastAsia" w:hAnsiTheme="majorHAnsi"/>
          <w:spacing w:val="0"/>
          <w:w w:val="100"/>
          <w:kern w:val="0"/>
          <w:sz w:val="22"/>
          <w:szCs w:val="22"/>
        </w:rPr>
        <w:t xml:space="preserve">Para reunir los requisitos para el pago del </w:t>
      </w:r>
      <w:r w:rsidR="00B74D9C" w:rsidRPr="009A6A1A">
        <w:rPr>
          <w:rFonts w:asciiTheme="majorHAnsi" w:eastAsiaTheme="minorEastAsia" w:hAnsiTheme="majorHAnsi"/>
          <w:spacing w:val="0"/>
          <w:w w:val="100"/>
          <w:kern w:val="0"/>
          <w:sz w:val="22"/>
          <w:szCs w:val="22"/>
        </w:rPr>
        <w:t>subsidio</w:t>
      </w:r>
      <w:r w:rsidRPr="009A6A1A">
        <w:rPr>
          <w:rFonts w:asciiTheme="majorHAnsi" w:eastAsiaTheme="minorEastAsia" w:hAnsiTheme="majorHAnsi"/>
          <w:spacing w:val="0"/>
          <w:w w:val="100"/>
          <w:kern w:val="0"/>
          <w:sz w:val="22"/>
          <w:szCs w:val="22"/>
        </w:rPr>
        <w:t xml:space="preserve"> por movilidad, un miembro del personal debe tener cinco años de servicio continuo previo en un nombramiento de plazo fijo o continuo como miembro del personal del régimen común de las Naciones Unidas. Cuando el servicio acreditable ha sido interrumpido po</w:t>
      </w:r>
      <w:r w:rsidRPr="00C512EC">
        <w:rPr>
          <w:rFonts w:asciiTheme="majorHAnsi" w:eastAsiaTheme="minorEastAsia" w:hAnsiTheme="majorHAnsi"/>
          <w:spacing w:val="0"/>
          <w:w w:val="100"/>
          <w:kern w:val="0"/>
          <w:sz w:val="22"/>
          <w:szCs w:val="22"/>
        </w:rPr>
        <w:t xml:space="preserve">r la separación del servicio según lo definido en la </w:t>
      </w:r>
      <w:hyperlink r:id="rId13" w:history="1">
        <w:r w:rsidRPr="008D29E4">
          <w:rPr>
            <w:rStyle w:val="Hyperlink"/>
            <w:rFonts w:asciiTheme="majorHAnsi" w:hAnsiTheme="majorHAnsi"/>
            <w:sz w:val="22"/>
            <w:szCs w:val="22"/>
          </w:rPr>
          <w:t>regla del Reglamento del Personal de las Naciones Unidas 9.1</w:t>
        </w:r>
      </w:hyperlink>
      <w:r w:rsidRPr="00C512EC">
        <w:rPr>
          <w:rFonts w:asciiTheme="majorHAnsi" w:eastAsiaTheme="minorEastAsia" w:hAnsiTheme="majorHAnsi"/>
          <w:spacing w:val="0"/>
          <w:w w:val="100"/>
          <w:kern w:val="0"/>
          <w:sz w:val="22"/>
          <w:szCs w:val="22"/>
        </w:rPr>
        <w:t>, dicho servicio acumulado antes de la separación caducará y comenzará un nuevo período cuando comience el reempleo del miembro del personal. El servicio acreditado para el requisito de cinco años de servicio puede incluir servicio como miembro del personal en una de las categorías que reúnen las condiciones para el pago de</w:t>
      </w:r>
      <w:r w:rsidRPr="009A6A1A">
        <w:rPr>
          <w:rFonts w:asciiTheme="majorHAnsi" w:eastAsiaTheme="minorEastAsia" w:hAnsiTheme="majorHAnsi"/>
          <w:spacing w:val="0"/>
          <w:w w:val="100"/>
          <w:kern w:val="0"/>
          <w:sz w:val="22"/>
          <w:szCs w:val="22"/>
        </w:rPr>
        <w:t xml:space="preserve">l </w:t>
      </w:r>
      <w:r w:rsidR="00506A02" w:rsidRPr="009A6A1A">
        <w:rPr>
          <w:rFonts w:asciiTheme="majorHAnsi" w:eastAsiaTheme="minorEastAsia" w:hAnsiTheme="majorHAnsi"/>
          <w:spacing w:val="0"/>
          <w:w w:val="100"/>
          <w:kern w:val="0"/>
          <w:sz w:val="22"/>
          <w:szCs w:val="22"/>
        </w:rPr>
        <w:t>subsidio</w:t>
      </w:r>
      <w:r w:rsidRPr="009A6A1A">
        <w:rPr>
          <w:rFonts w:asciiTheme="majorHAnsi" w:eastAsiaTheme="minorEastAsia" w:hAnsiTheme="majorHAnsi"/>
          <w:spacing w:val="0"/>
          <w:w w:val="100"/>
          <w:kern w:val="0"/>
          <w:sz w:val="22"/>
          <w:szCs w:val="22"/>
        </w:rPr>
        <w:t xml:space="preserve"> además del servicio previo en una categoría que no reúne las condiciones cuando lo permite la (véase la sección sobre recuento de asignaciones). </w:t>
      </w:r>
    </w:p>
    <w:p w14:paraId="203C4527" w14:textId="7F98A868" w:rsidR="000E387E" w:rsidRPr="00C512EC" w:rsidRDefault="004A242B" w:rsidP="000E387E">
      <w:pPr>
        <w:pStyle w:val="SingleTxt"/>
        <w:numPr>
          <w:ilvl w:val="0"/>
          <w:numId w:val="6"/>
        </w:numPr>
        <w:ind w:right="0"/>
        <w:rPr>
          <w:rFonts w:asciiTheme="majorHAnsi" w:eastAsiaTheme="minorEastAsia" w:hAnsiTheme="majorHAnsi" w:cs="Arial"/>
          <w:spacing w:val="0"/>
          <w:w w:val="100"/>
          <w:kern w:val="0"/>
          <w:sz w:val="22"/>
          <w:szCs w:val="22"/>
        </w:rPr>
      </w:pPr>
      <w:r>
        <w:rPr>
          <w:rFonts w:asciiTheme="majorHAnsi" w:eastAsiaTheme="minorEastAsia" w:hAnsiTheme="majorHAnsi"/>
          <w:spacing w:val="0"/>
          <w:w w:val="100"/>
          <w:kern w:val="0"/>
          <w:sz w:val="22"/>
        </w:rPr>
        <w:t xml:space="preserve">En todos los lugares de destino clasificados en las categorías A a la E, el incentivo por movilidad es pagadero desde la segunda asignación siempre que se haya cumplido el requisito de cinco años de servicio consecutivos. </w:t>
      </w:r>
    </w:p>
    <w:p w14:paraId="2D7F1FDE" w14:textId="53F48A09" w:rsidR="000E387E" w:rsidRPr="00C512EC" w:rsidRDefault="004A242B" w:rsidP="000E387E">
      <w:pPr>
        <w:pStyle w:val="SingleTxt"/>
        <w:numPr>
          <w:ilvl w:val="0"/>
          <w:numId w:val="6"/>
        </w:numPr>
        <w:ind w:right="0"/>
        <w:rPr>
          <w:rFonts w:asciiTheme="majorHAnsi" w:eastAsiaTheme="minorEastAsia" w:hAnsiTheme="majorHAnsi" w:cs="Arial"/>
          <w:spacing w:val="0"/>
          <w:w w:val="100"/>
          <w:kern w:val="0"/>
          <w:sz w:val="22"/>
          <w:szCs w:val="22"/>
        </w:rPr>
      </w:pPr>
      <w:r>
        <w:rPr>
          <w:rFonts w:asciiTheme="majorHAnsi" w:eastAsiaTheme="minorEastAsia" w:hAnsiTheme="majorHAnsi"/>
          <w:spacing w:val="0"/>
          <w:w w:val="100"/>
          <w:kern w:val="0"/>
          <w:sz w:val="22"/>
        </w:rPr>
        <w:t>El servicio no debe considerarse desglosado por períodos de licencia especial de menos de 30 días, pero los meses completos de licencia especial sin sueldo no se acreditarán para el requisito de cinco años de servicio.</w:t>
      </w:r>
    </w:p>
    <w:p w14:paraId="03DA7AE3" w14:textId="5FC89814" w:rsidR="004A242B" w:rsidRDefault="004A242B" w:rsidP="000E387E">
      <w:pPr>
        <w:pStyle w:val="SingleTxt"/>
        <w:numPr>
          <w:ilvl w:val="0"/>
          <w:numId w:val="6"/>
        </w:numPr>
        <w:ind w:right="0"/>
        <w:rPr>
          <w:rFonts w:asciiTheme="majorHAnsi" w:eastAsiaTheme="minorEastAsia" w:hAnsiTheme="majorHAnsi" w:cs="Arial"/>
          <w:spacing w:val="0"/>
          <w:w w:val="100"/>
          <w:kern w:val="0"/>
          <w:sz w:val="22"/>
          <w:szCs w:val="22"/>
        </w:rPr>
      </w:pPr>
      <w:r>
        <w:rPr>
          <w:rFonts w:asciiTheme="majorHAnsi" w:eastAsiaTheme="minorEastAsia" w:hAnsiTheme="majorHAnsi"/>
          <w:spacing w:val="0"/>
          <w:w w:val="100"/>
          <w:kern w:val="0"/>
          <w:sz w:val="22"/>
        </w:rPr>
        <w:t>Los miembros del personal que posean nombramientos temporales no reúnen las condiciones para recibir el incentivo por movilidad independientemente de cualquier extensión excepcional de su nombramiento después de los 364 días.</w:t>
      </w:r>
    </w:p>
    <w:p w14:paraId="1AAE343F" w14:textId="77777777" w:rsidR="000E387E" w:rsidRDefault="000E387E" w:rsidP="000E387E">
      <w:pPr>
        <w:pStyle w:val="ListParagraph"/>
        <w:rPr>
          <w:rFonts w:asciiTheme="majorHAnsi" w:hAnsiTheme="majorHAnsi" w:cs="Arial"/>
          <w:sz w:val="22"/>
          <w:szCs w:val="22"/>
        </w:rPr>
      </w:pPr>
    </w:p>
    <w:p w14:paraId="3FFE161B" w14:textId="77777777" w:rsidR="004A242B" w:rsidRDefault="004A242B" w:rsidP="000E387E">
      <w:pPr>
        <w:pStyle w:val="NoSpacing"/>
        <w:rPr>
          <w:rFonts w:asciiTheme="majorHAnsi" w:hAnsiTheme="majorHAnsi"/>
          <w:b/>
          <w:i/>
          <w:sz w:val="22"/>
          <w:szCs w:val="22"/>
        </w:rPr>
      </w:pPr>
      <w:r>
        <w:rPr>
          <w:rFonts w:asciiTheme="majorHAnsi" w:hAnsiTheme="majorHAnsi"/>
          <w:b/>
          <w:i/>
          <w:sz w:val="22"/>
        </w:rPr>
        <w:t>Determinación del número de asignación</w:t>
      </w:r>
    </w:p>
    <w:p w14:paraId="11A2E8BF" w14:textId="77777777" w:rsidR="004A242B" w:rsidRPr="000156BF" w:rsidRDefault="004A242B" w:rsidP="000156BF">
      <w:pPr>
        <w:pStyle w:val="SingleTxt"/>
        <w:spacing w:after="0" w:line="120" w:lineRule="exact"/>
        <w:ind w:right="0"/>
        <w:rPr>
          <w:rFonts w:asciiTheme="majorHAnsi" w:hAnsiTheme="majorHAnsi"/>
          <w:sz w:val="22"/>
          <w:szCs w:val="22"/>
        </w:rPr>
      </w:pPr>
    </w:p>
    <w:p w14:paraId="1BC54313" w14:textId="3FF5B8E2" w:rsidR="000E387E" w:rsidRPr="00C512EC" w:rsidRDefault="004A242B" w:rsidP="000E387E">
      <w:pPr>
        <w:pStyle w:val="SingleTxt"/>
        <w:numPr>
          <w:ilvl w:val="0"/>
          <w:numId w:val="6"/>
        </w:numPr>
        <w:ind w:right="0"/>
        <w:rPr>
          <w:rFonts w:asciiTheme="majorHAnsi" w:eastAsiaTheme="minorEastAsia" w:hAnsiTheme="majorHAnsi" w:cs="Arial"/>
          <w:spacing w:val="0"/>
          <w:w w:val="100"/>
          <w:kern w:val="0"/>
          <w:sz w:val="22"/>
          <w:szCs w:val="22"/>
        </w:rPr>
      </w:pPr>
      <w:r>
        <w:rPr>
          <w:rFonts w:asciiTheme="majorHAnsi" w:eastAsiaTheme="minorEastAsia" w:hAnsiTheme="majorHAnsi"/>
          <w:spacing w:val="0"/>
          <w:w w:val="100"/>
          <w:kern w:val="0"/>
          <w:sz w:val="22"/>
        </w:rPr>
        <w:t xml:space="preserve">Para fines de esta política, el término «asignación», cuando determina el número de asignación del miembro del personal, deberá comprenderse que significa ya sea el nombramiento inicial de un miembro del personal a un lugar de destino o la reasignación durante un período de un año o más de un miembro del personal a un nuevo lugar de destino </w:t>
      </w:r>
      <w:r>
        <w:rPr>
          <w:rFonts w:asciiTheme="majorHAnsi" w:eastAsiaTheme="minorEastAsia" w:hAnsiTheme="majorHAnsi"/>
          <w:spacing w:val="0"/>
          <w:w w:val="100"/>
          <w:kern w:val="0"/>
          <w:sz w:val="22"/>
        </w:rPr>
        <w:lastRenderedPageBreak/>
        <w:t xml:space="preserve">más allá de la distancia al lugar de trabajo, incluidos los lugares de destino clasificados como lugares de destino en los que hay sedes. </w:t>
      </w:r>
    </w:p>
    <w:p w14:paraId="2A203E51" w14:textId="2FE609BF" w:rsidR="000E387E" w:rsidRPr="00C512EC" w:rsidRDefault="004A242B" w:rsidP="000E387E">
      <w:pPr>
        <w:pStyle w:val="SingleTxt"/>
        <w:numPr>
          <w:ilvl w:val="0"/>
          <w:numId w:val="6"/>
        </w:numPr>
        <w:ind w:right="0"/>
        <w:rPr>
          <w:rFonts w:asciiTheme="majorHAnsi" w:eastAsiaTheme="minorEastAsia" w:hAnsiTheme="majorHAnsi" w:cs="Arial"/>
          <w:spacing w:val="0"/>
          <w:w w:val="100"/>
          <w:kern w:val="0"/>
          <w:sz w:val="22"/>
          <w:szCs w:val="22"/>
        </w:rPr>
      </w:pPr>
      <w:r>
        <w:rPr>
          <w:rFonts w:asciiTheme="majorHAnsi" w:eastAsiaTheme="minorEastAsia" w:hAnsiTheme="majorHAnsi"/>
          <w:spacing w:val="0"/>
          <w:w w:val="100"/>
          <w:kern w:val="0"/>
          <w:sz w:val="22"/>
        </w:rPr>
        <w:t>Los nombramientos iniciales de un año o más y las asignaciones de un año o más que implican un cambio de lugar de destino deberán contarse cada uno como una asignación, siempre que el miembro del personal complete un mínimo de un año de período de servicio en cada uno de los lugares de destino relevantes.</w:t>
      </w:r>
    </w:p>
    <w:p w14:paraId="2203F07C" w14:textId="277D57CA" w:rsidR="000E387E" w:rsidRPr="00C512EC" w:rsidRDefault="004A242B" w:rsidP="000E387E">
      <w:pPr>
        <w:pStyle w:val="SingleTxt"/>
        <w:numPr>
          <w:ilvl w:val="0"/>
          <w:numId w:val="6"/>
        </w:numPr>
        <w:ind w:right="0"/>
        <w:rPr>
          <w:rFonts w:asciiTheme="majorHAnsi" w:eastAsiaTheme="minorEastAsia" w:hAnsiTheme="majorHAnsi" w:cs="Arial"/>
          <w:spacing w:val="0"/>
          <w:w w:val="100"/>
          <w:kern w:val="0"/>
          <w:sz w:val="22"/>
          <w:szCs w:val="22"/>
        </w:rPr>
      </w:pPr>
      <w:r>
        <w:rPr>
          <w:rFonts w:asciiTheme="majorHAnsi" w:eastAsiaTheme="minorEastAsia" w:hAnsiTheme="majorHAnsi"/>
          <w:spacing w:val="0"/>
          <w:w w:val="100"/>
          <w:kern w:val="0"/>
          <w:sz w:val="22"/>
        </w:rPr>
        <w:t>Si un miembro del personal se asigna a un lugar de destino por un período de un año o más y dicho período se reduce posteriormente por iniciativa de la Organización a menos de un año, dicho servicio puede contarse como una asignación en forma excepcional.</w:t>
      </w:r>
    </w:p>
    <w:p w14:paraId="2436495F" w14:textId="36E53303" w:rsidR="000E387E" w:rsidRPr="00C512EC" w:rsidRDefault="004A242B" w:rsidP="000E387E">
      <w:pPr>
        <w:pStyle w:val="SingleTxt"/>
        <w:numPr>
          <w:ilvl w:val="0"/>
          <w:numId w:val="6"/>
        </w:numPr>
        <w:ind w:right="0"/>
        <w:rPr>
          <w:rFonts w:asciiTheme="majorHAnsi" w:eastAsiaTheme="minorEastAsia" w:hAnsiTheme="majorHAnsi" w:cs="Arial"/>
          <w:spacing w:val="0"/>
          <w:w w:val="100"/>
          <w:kern w:val="0"/>
          <w:sz w:val="22"/>
          <w:szCs w:val="22"/>
        </w:rPr>
      </w:pPr>
      <w:r>
        <w:rPr>
          <w:rFonts w:asciiTheme="majorHAnsi" w:eastAsiaTheme="minorEastAsia" w:hAnsiTheme="majorHAnsi"/>
          <w:spacing w:val="0"/>
          <w:w w:val="100"/>
          <w:kern w:val="0"/>
          <w:sz w:val="22"/>
        </w:rPr>
        <w:t xml:space="preserve">En otros casos, el recuento de asignaciones deberá realizarse de la siguiente manera: </w:t>
      </w:r>
    </w:p>
    <w:p w14:paraId="19E07663" w14:textId="469F7C51" w:rsidR="000E387E" w:rsidRPr="00C512EC" w:rsidRDefault="004A242B" w:rsidP="00C512EC">
      <w:pPr>
        <w:pStyle w:val="SingleTxt"/>
        <w:numPr>
          <w:ilvl w:val="0"/>
          <w:numId w:val="15"/>
        </w:numPr>
        <w:ind w:right="0"/>
        <w:rPr>
          <w:rFonts w:asciiTheme="majorHAnsi" w:eastAsiaTheme="minorEastAsia" w:hAnsiTheme="majorHAnsi" w:cs="Arial"/>
          <w:spacing w:val="0"/>
          <w:w w:val="100"/>
          <w:kern w:val="0"/>
          <w:sz w:val="22"/>
          <w:szCs w:val="22"/>
        </w:rPr>
      </w:pPr>
      <w:r>
        <w:rPr>
          <w:rFonts w:asciiTheme="majorHAnsi" w:eastAsiaTheme="minorEastAsia" w:hAnsiTheme="majorHAnsi"/>
          <w:spacing w:val="0"/>
          <w:w w:val="100"/>
          <w:kern w:val="0"/>
          <w:sz w:val="22"/>
        </w:rPr>
        <w:t>Los períodos excepcionales de servicio bajo dieta por un período de un año o más en el mismo lugar de destino se cuentan como una asignación, pero solo luego de la reasignación a un nuevo lugar de destino principal.</w:t>
      </w:r>
    </w:p>
    <w:p w14:paraId="532A8603" w14:textId="15D7BC5C" w:rsidR="000E387E" w:rsidRPr="00C512EC" w:rsidRDefault="004A242B" w:rsidP="00C512EC">
      <w:pPr>
        <w:pStyle w:val="SingleTxt"/>
        <w:numPr>
          <w:ilvl w:val="0"/>
          <w:numId w:val="15"/>
        </w:numPr>
        <w:ind w:right="0"/>
        <w:rPr>
          <w:rFonts w:asciiTheme="majorHAnsi" w:eastAsiaTheme="minorEastAsia" w:hAnsiTheme="majorHAnsi" w:cs="Arial"/>
          <w:spacing w:val="0"/>
          <w:w w:val="100"/>
          <w:kern w:val="0"/>
          <w:sz w:val="22"/>
          <w:szCs w:val="22"/>
        </w:rPr>
      </w:pPr>
      <w:r>
        <w:rPr>
          <w:rFonts w:asciiTheme="majorHAnsi" w:eastAsiaTheme="minorEastAsia" w:hAnsiTheme="majorHAnsi"/>
          <w:spacing w:val="0"/>
          <w:w w:val="100"/>
          <w:kern w:val="0"/>
          <w:sz w:val="22"/>
        </w:rPr>
        <w:t xml:space="preserve">Todo el servicio en la categoría de Servicio General y Funcionario del Cuadro Orgánico de Contratación Nacional se cuenta como una asignación, independientemente de la cantidad de asignaciones en dichas categorías. </w:t>
      </w:r>
    </w:p>
    <w:p w14:paraId="73B2F6A8" w14:textId="233A64FB" w:rsidR="000E387E" w:rsidRPr="00C512EC" w:rsidRDefault="004A242B" w:rsidP="000E387E">
      <w:pPr>
        <w:pStyle w:val="SingleTxt"/>
        <w:numPr>
          <w:ilvl w:val="0"/>
          <w:numId w:val="15"/>
        </w:numPr>
        <w:ind w:right="0"/>
        <w:rPr>
          <w:rFonts w:asciiTheme="majorHAnsi" w:eastAsiaTheme="minorEastAsia" w:hAnsiTheme="majorHAnsi" w:cs="Arial"/>
          <w:spacing w:val="0"/>
          <w:w w:val="100"/>
          <w:kern w:val="0"/>
          <w:sz w:val="22"/>
          <w:szCs w:val="22"/>
        </w:rPr>
      </w:pPr>
      <w:r>
        <w:rPr>
          <w:rFonts w:asciiTheme="majorHAnsi" w:eastAsiaTheme="minorEastAsia" w:hAnsiTheme="majorHAnsi"/>
          <w:spacing w:val="0"/>
          <w:w w:val="100"/>
          <w:kern w:val="0"/>
          <w:sz w:val="22"/>
        </w:rPr>
        <w:t>Las transferencias, las adscripciones y los préstamos a otras organizaciones del régimen común de las Naciones Unidas deben contarse de la misma manera que los movimientos dentro de la Organización.</w:t>
      </w:r>
    </w:p>
    <w:p w14:paraId="2163F6F6" w14:textId="18C2B5AA" w:rsidR="000E387E" w:rsidRPr="00C512EC" w:rsidRDefault="004A242B" w:rsidP="00C512EC">
      <w:pPr>
        <w:pStyle w:val="SingleTxt"/>
        <w:numPr>
          <w:ilvl w:val="0"/>
          <w:numId w:val="15"/>
        </w:numPr>
        <w:ind w:right="0"/>
        <w:rPr>
          <w:rFonts w:asciiTheme="majorHAnsi" w:eastAsiaTheme="minorEastAsia" w:hAnsiTheme="majorHAnsi" w:cs="Arial"/>
          <w:spacing w:val="0"/>
          <w:w w:val="100"/>
          <w:kern w:val="0"/>
          <w:sz w:val="22"/>
          <w:szCs w:val="22"/>
        </w:rPr>
      </w:pPr>
      <w:r>
        <w:rPr>
          <w:rFonts w:asciiTheme="majorHAnsi" w:eastAsiaTheme="minorEastAsia" w:hAnsiTheme="majorHAnsi"/>
          <w:spacing w:val="0"/>
          <w:w w:val="100"/>
          <w:kern w:val="0"/>
          <w:sz w:val="22"/>
        </w:rPr>
        <w:t>Los períodos de servicio en un nombramiento de plazo fijo de un año o más como funcionario subalterno deben contarse de la misma manera que otros miembros del personal de contratación internacional.  Los períodos de servicio como Voluntario de las Naciones Unidas no se cuentan.</w:t>
      </w:r>
    </w:p>
    <w:p w14:paraId="711FA6D1" w14:textId="688BE269" w:rsidR="004A242B" w:rsidRPr="000E387E" w:rsidRDefault="004A242B" w:rsidP="000E387E">
      <w:pPr>
        <w:pStyle w:val="SingleTxt"/>
        <w:numPr>
          <w:ilvl w:val="0"/>
          <w:numId w:val="15"/>
        </w:numPr>
        <w:ind w:right="0"/>
        <w:rPr>
          <w:rFonts w:asciiTheme="majorHAnsi" w:eastAsiaTheme="minorEastAsia" w:hAnsiTheme="majorHAnsi" w:cs="Arial"/>
          <w:spacing w:val="0"/>
          <w:w w:val="100"/>
          <w:kern w:val="0"/>
          <w:sz w:val="22"/>
          <w:szCs w:val="22"/>
        </w:rPr>
      </w:pPr>
      <w:r>
        <w:rPr>
          <w:rFonts w:asciiTheme="majorHAnsi" w:eastAsiaTheme="minorEastAsia" w:hAnsiTheme="majorHAnsi"/>
          <w:spacing w:val="0"/>
          <w:w w:val="100"/>
          <w:kern w:val="0"/>
          <w:sz w:val="22"/>
        </w:rPr>
        <w:t>Los períodos de servicio en un nombramiento temporal no se cuentan.</w:t>
      </w:r>
    </w:p>
    <w:p w14:paraId="0015EF9E" w14:textId="0BA4ED63" w:rsidR="005D302B" w:rsidRDefault="005D302B" w:rsidP="006A0601">
      <w:pPr>
        <w:pStyle w:val="H4"/>
        <w:ind w:left="0" w:right="0" w:firstLine="0"/>
        <w:rPr>
          <w:rFonts w:asciiTheme="majorHAnsi" w:hAnsiTheme="majorHAnsi"/>
          <w:b/>
          <w:sz w:val="22"/>
          <w:szCs w:val="22"/>
        </w:rPr>
      </w:pPr>
    </w:p>
    <w:p w14:paraId="16E46D91" w14:textId="50985C33" w:rsidR="004A242B" w:rsidRDefault="004A242B" w:rsidP="000156BF">
      <w:pPr>
        <w:pStyle w:val="H4"/>
        <w:ind w:right="0"/>
        <w:rPr>
          <w:rFonts w:asciiTheme="majorHAnsi" w:hAnsiTheme="majorHAnsi"/>
          <w:b/>
          <w:sz w:val="22"/>
          <w:szCs w:val="22"/>
        </w:rPr>
      </w:pPr>
      <w:r>
        <w:rPr>
          <w:rFonts w:asciiTheme="majorHAnsi" w:hAnsiTheme="majorHAnsi"/>
          <w:b/>
          <w:sz w:val="22"/>
        </w:rPr>
        <w:t>Duración</w:t>
      </w:r>
    </w:p>
    <w:p w14:paraId="544C13F7" w14:textId="77777777" w:rsidR="004A242B" w:rsidRPr="000156BF" w:rsidRDefault="004A242B" w:rsidP="000156BF">
      <w:pPr>
        <w:pStyle w:val="SingleTxt"/>
        <w:spacing w:after="0" w:line="120" w:lineRule="exact"/>
        <w:ind w:right="0"/>
        <w:rPr>
          <w:rFonts w:asciiTheme="majorHAnsi" w:hAnsiTheme="majorHAnsi"/>
          <w:sz w:val="22"/>
          <w:szCs w:val="22"/>
        </w:rPr>
      </w:pPr>
    </w:p>
    <w:p w14:paraId="5CA9372D" w14:textId="1E0115B9" w:rsidR="000E387E" w:rsidRPr="00C512EC" w:rsidRDefault="004A242B" w:rsidP="000E387E">
      <w:pPr>
        <w:pStyle w:val="SingleTxt"/>
        <w:numPr>
          <w:ilvl w:val="0"/>
          <w:numId w:val="6"/>
        </w:numPr>
        <w:ind w:right="0"/>
        <w:rPr>
          <w:rFonts w:asciiTheme="majorHAnsi" w:eastAsiaTheme="minorEastAsia" w:hAnsiTheme="majorHAnsi" w:cs="Arial"/>
          <w:spacing w:val="0"/>
          <w:w w:val="100"/>
          <w:kern w:val="0"/>
          <w:sz w:val="22"/>
          <w:szCs w:val="22"/>
        </w:rPr>
      </w:pPr>
      <w:r>
        <w:rPr>
          <w:rFonts w:asciiTheme="majorHAnsi" w:eastAsiaTheme="minorEastAsia" w:hAnsiTheme="majorHAnsi"/>
          <w:spacing w:val="0"/>
          <w:w w:val="100"/>
          <w:kern w:val="0"/>
          <w:sz w:val="22"/>
        </w:rPr>
        <w:t>Después de cinco años consecutivos en un lugar de destino, cesará el pago del incentivo por movilidad. El conteo hacia los cinco años comienza a partir de la fecha del nombramiento o asignación al lugar de destino. Los períodos de servicio fuera del lugar de destino principal en situación de asignación o de viaje no deberán suspender el conteo de cinco años. Los meses completos de licencia especial sin sueldo deberán suspender el conteo de cinco años, y el conteo deberá reanudarse al regresar al servicio.</w:t>
      </w:r>
    </w:p>
    <w:p w14:paraId="68EFB0CC" w14:textId="77777777" w:rsidR="004A242B" w:rsidRPr="000E387E" w:rsidRDefault="004A242B" w:rsidP="000156BF">
      <w:pPr>
        <w:pStyle w:val="SingleTxt"/>
        <w:numPr>
          <w:ilvl w:val="0"/>
          <w:numId w:val="6"/>
        </w:numPr>
        <w:ind w:right="0"/>
        <w:rPr>
          <w:rFonts w:asciiTheme="majorHAnsi" w:eastAsiaTheme="minorEastAsia" w:hAnsiTheme="majorHAnsi" w:cs="Arial"/>
          <w:spacing w:val="0"/>
          <w:w w:val="100"/>
          <w:kern w:val="0"/>
          <w:sz w:val="22"/>
          <w:szCs w:val="22"/>
        </w:rPr>
      </w:pPr>
      <w:r>
        <w:rPr>
          <w:rFonts w:asciiTheme="majorHAnsi" w:eastAsiaTheme="minorEastAsia" w:hAnsiTheme="majorHAnsi"/>
          <w:spacing w:val="0"/>
          <w:w w:val="100"/>
          <w:kern w:val="0"/>
          <w:sz w:val="22"/>
        </w:rPr>
        <w:t>En el caso excepcional de los miembros del personal que permanecen en el mismo lugar de destino a pedido explícito de la Organización o por motivos humanitarios imperiosos, el pago del incentivo por movilidad podrá continuar por un período máximo de un año adicional, por un total de seis años consecutivos en un lugar de destino.</w:t>
      </w:r>
    </w:p>
    <w:p w14:paraId="4E5E6A09" w14:textId="77777777" w:rsidR="004A242B" w:rsidRPr="000156BF" w:rsidRDefault="004A242B" w:rsidP="000156BF">
      <w:pPr>
        <w:pStyle w:val="SingleTxt"/>
        <w:spacing w:after="0" w:line="120" w:lineRule="exact"/>
        <w:ind w:right="0"/>
        <w:rPr>
          <w:rFonts w:asciiTheme="majorHAnsi" w:hAnsiTheme="majorHAnsi"/>
          <w:sz w:val="22"/>
          <w:szCs w:val="22"/>
        </w:rPr>
      </w:pPr>
    </w:p>
    <w:p w14:paraId="1716B2A4" w14:textId="77777777" w:rsidR="004A242B" w:rsidRPr="000156BF" w:rsidRDefault="004A242B" w:rsidP="000156BF">
      <w:pPr>
        <w:pStyle w:val="SingleTxt"/>
        <w:spacing w:after="0" w:line="120" w:lineRule="exact"/>
        <w:ind w:right="0"/>
        <w:rPr>
          <w:rFonts w:asciiTheme="majorHAnsi" w:hAnsiTheme="majorHAnsi"/>
          <w:sz w:val="22"/>
          <w:szCs w:val="22"/>
        </w:rPr>
      </w:pPr>
    </w:p>
    <w:p w14:paraId="5CCFE91C" w14:textId="76E35E2D" w:rsidR="004A242B" w:rsidRPr="00C512EC" w:rsidRDefault="00BA1EA5">
      <w:pPr>
        <w:pStyle w:val="H1"/>
        <w:ind w:right="0"/>
        <w:rPr>
          <w:rFonts w:asciiTheme="majorHAnsi" w:hAnsiTheme="majorHAnsi"/>
          <w:sz w:val="22"/>
          <w:szCs w:val="22"/>
        </w:rPr>
      </w:pPr>
      <w:r w:rsidRPr="009A6A1A">
        <w:rPr>
          <w:rFonts w:asciiTheme="majorHAnsi" w:hAnsiTheme="majorHAnsi"/>
          <w:sz w:val="22"/>
          <w:szCs w:val="22"/>
        </w:rPr>
        <w:t xml:space="preserve">Subsidio </w:t>
      </w:r>
      <w:r w:rsidR="004A242B" w:rsidRPr="009A6A1A">
        <w:rPr>
          <w:rFonts w:asciiTheme="majorHAnsi" w:hAnsiTheme="majorHAnsi"/>
          <w:sz w:val="22"/>
          <w:szCs w:val="22"/>
        </w:rPr>
        <w:t>por condiciones de vida difíciles</w:t>
      </w:r>
    </w:p>
    <w:p w14:paraId="2F2EC578" w14:textId="77777777" w:rsidR="004A242B" w:rsidRPr="000156BF" w:rsidRDefault="004A242B" w:rsidP="000156BF">
      <w:pPr>
        <w:pStyle w:val="SingleTxt"/>
        <w:spacing w:after="0" w:line="120" w:lineRule="exact"/>
        <w:ind w:right="0"/>
        <w:rPr>
          <w:rFonts w:asciiTheme="majorHAnsi" w:hAnsiTheme="majorHAnsi"/>
          <w:sz w:val="22"/>
          <w:szCs w:val="22"/>
        </w:rPr>
      </w:pPr>
    </w:p>
    <w:p w14:paraId="305A4E75" w14:textId="77777777" w:rsidR="004A242B" w:rsidRPr="000156BF" w:rsidRDefault="004A242B" w:rsidP="000156BF">
      <w:pPr>
        <w:pStyle w:val="SingleTxt"/>
        <w:spacing w:after="0" w:line="120" w:lineRule="exact"/>
        <w:ind w:right="0"/>
        <w:rPr>
          <w:rFonts w:asciiTheme="majorHAnsi" w:hAnsiTheme="majorHAnsi"/>
          <w:sz w:val="22"/>
          <w:szCs w:val="22"/>
        </w:rPr>
      </w:pPr>
    </w:p>
    <w:p w14:paraId="1380AB62" w14:textId="0BA0D678" w:rsidR="004A242B" w:rsidRPr="00C512EC" w:rsidRDefault="00BA1EA5">
      <w:pPr>
        <w:pStyle w:val="SingleTxt"/>
        <w:numPr>
          <w:ilvl w:val="0"/>
          <w:numId w:val="6"/>
        </w:numPr>
        <w:ind w:right="0"/>
        <w:rPr>
          <w:rFonts w:asciiTheme="majorHAnsi" w:eastAsiaTheme="minorEastAsia" w:hAnsiTheme="majorHAnsi" w:cs="Arial"/>
          <w:spacing w:val="0"/>
          <w:w w:val="100"/>
          <w:kern w:val="0"/>
          <w:sz w:val="22"/>
          <w:szCs w:val="22"/>
        </w:rPr>
      </w:pPr>
      <w:r w:rsidRPr="009A6A1A">
        <w:rPr>
          <w:rFonts w:asciiTheme="majorHAnsi" w:eastAsiaTheme="minorEastAsia" w:hAnsiTheme="majorHAnsi"/>
          <w:spacing w:val="0"/>
          <w:w w:val="100"/>
          <w:kern w:val="0"/>
          <w:sz w:val="22"/>
          <w:szCs w:val="22"/>
        </w:rPr>
        <w:t>El subsidio</w:t>
      </w:r>
      <w:r w:rsidR="00C52AAD" w:rsidRPr="009A6A1A">
        <w:rPr>
          <w:rFonts w:asciiTheme="majorHAnsi" w:eastAsiaTheme="minorEastAsia" w:hAnsiTheme="majorHAnsi"/>
          <w:spacing w:val="0"/>
          <w:w w:val="100"/>
          <w:kern w:val="0"/>
          <w:sz w:val="22"/>
          <w:szCs w:val="22"/>
        </w:rPr>
        <w:t xml:space="preserve"> por condiciones de vida difíciles se paga por asignaciones a lugares de destino clasificados en las categorías B, C, D y E, por la duración de cada asignación de acuerdo con el nivel aplicable de clasificación de dificultad de condiciones de vida del lugar de</w:t>
      </w:r>
      <w:r w:rsidR="00C52AAD" w:rsidRPr="00C512EC">
        <w:rPr>
          <w:rFonts w:asciiTheme="majorHAnsi" w:eastAsiaTheme="minorEastAsia" w:hAnsiTheme="majorHAnsi"/>
          <w:spacing w:val="0"/>
          <w:w w:val="100"/>
          <w:kern w:val="0"/>
          <w:sz w:val="22"/>
          <w:szCs w:val="22"/>
        </w:rPr>
        <w:t xml:space="preserve"> destino. </w:t>
      </w:r>
    </w:p>
    <w:p w14:paraId="4A3B9003" w14:textId="77777777" w:rsidR="004A242B" w:rsidRPr="000156BF" w:rsidRDefault="004A242B" w:rsidP="000156BF">
      <w:pPr>
        <w:pStyle w:val="SingleTxt"/>
        <w:spacing w:after="0" w:line="120" w:lineRule="exact"/>
        <w:ind w:right="0"/>
        <w:rPr>
          <w:rFonts w:asciiTheme="majorHAnsi" w:hAnsiTheme="majorHAnsi"/>
          <w:sz w:val="22"/>
          <w:szCs w:val="22"/>
        </w:rPr>
      </w:pPr>
    </w:p>
    <w:p w14:paraId="6A10B2E1" w14:textId="77777777" w:rsidR="004A242B" w:rsidRPr="000156BF" w:rsidRDefault="004A242B" w:rsidP="000156BF">
      <w:pPr>
        <w:pStyle w:val="SingleTxt"/>
        <w:spacing w:after="0" w:line="120" w:lineRule="exact"/>
        <w:ind w:right="0"/>
        <w:rPr>
          <w:rFonts w:asciiTheme="majorHAnsi" w:hAnsiTheme="majorHAnsi"/>
          <w:sz w:val="22"/>
          <w:szCs w:val="22"/>
        </w:rPr>
      </w:pPr>
    </w:p>
    <w:p w14:paraId="36CA98EE" w14:textId="34505F49" w:rsidR="004A242B" w:rsidRPr="00C512EC" w:rsidRDefault="001606C7">
      <w:pPr>
        <w:pStyle w:val="H1"/>
        <w:ind w:left="0" w:right="0" w:firstLine="0"/>
        <w:rPr>
          <w:rFonts w:asciiTheme="majorHAnsi" w:hAnsiTheme="majorHAnsi"/>
          <w:sz w:val="22"/>
          <w:szCs w:val="22"/>
        </w:rPr>
      </w:pPr>
      <w:r w:rsidRPr="009A6A1A">
        <w:rPr>
          <w:rFonts w:asciiTheme="majorHAnsi" w:hAnsiTheme="majorHAnsi"/>
          <w:sz w:val="22"/>
          <w:szCs w:val="22"/>
        </w:rPr>
        <w:t xml:space="preserve">Subsidio </w:t>
      </w:r>
      <w:r w:rsidR="004A242B" w:rsidRPr="009A6A1A">
        <w:rPr>
          <w:rFonts w:asciiTheme="majorHAnsi" w:hAnsiTheme="majorHAnsi"/>
          <w:sz w:val="22"/>
          <w:szCs w:val="22"/>
        </w:rPr>
        <w:t>por servicio en lugares de destino no aptos para familias</w:t>
      </w:r>
    </w:p>
    <w:p w14:paraId="211989FF" w14:textId="77777777" w:rsidR="000E387E" w:rsidRPr="000E387E" w:rsidRDefault="000E387E" w:rsidP="000E387E">
      <w:pPr>
        <w:pStyle w:val="SingleTxt"/>
      </w:pPr>
    </w:p>
    <w:p w14:paraId="61BBB4DE" w14:textId="25BC7B4E" w:rsidR="000E387E" w:rsidRPr="00C512EC" w:rsidRDefault="001606C7" w:rsidP="000E387E">
      <w:pPr>
        <w:pStyle w:val="SingleTxt"/>
        <w:keepNext/>
        <w:keepLines/>
        <w:numPr>
          <w:ilvl w:val="0"/>
          <w:numId w:val="6"/>
        </w:numPr>
        <w:ind w:right="0"/>
        <w:rPr>
          <w:rFonts w:asciiTheme="majorHAnsi" w:eastAsiaTheme="minorEastAsia" w:hAnsiTheme="majorHAnsi" w:cs="Arial"/>
          <w:spacing w:val="0"/>
          <w:w w:val="100"/>
          <w:kern w:val="0"/>
          <w:sz w:val="22"/>
          <w:szCs w:val="22"/>
        </w:rPr>
      </w:pPr>
      <w:r w:rsidRPr="009A6A1A">
        <w:rPr>
          <w:rFonts w:asciiTheme="majorHAnsi" w:eastAsiaTheme="minorEastAsia" w:hAnsiTheme="majorHAnsi"/>
          <w:spacing w:val="0"/>
          <w:w w:val="100"/>
          <w:kern w:val="0"/>
          <w:sz w:val="22"/>
          <w:szCs w:val="22"/>
        </w:rPr>
        <w:lastRenderedPageBreak/>
        <w:t xml:space="preserve">El subsidio </w:t>
      </w:r>
      <w:r w:rsidR="004A242B" w:rsidRPr="009A6A1A">
        <w:rPr>
          <w:rFonts w:asciiTheme="majorHAnsi" w:eastAsiaTheme="minorEastAsia" w:hAnsiTheme="majorHAnsi"/>
          <w:spacing w:val="0"/>
          <w:w w:val="100"/>
          <w:kern w:val="0"/>
          <w:sz w:val="22"/>
          <w:szCs w:val="22"/>
        </w:rPr>
        <w:t xml:space="preserve">por servicio en lugares de destino no aptos para familias se paga a los miembros del personal que reúnen las condiciones que se asignan a lugares de destino oficialmente designados como no aptos para familias. </w:t>
      </w:r>
      <w:r w:rsidRPr="009A6A1A">
        <w:rPr>
          <w:rFonts w:asciiTheme="majorHAnsi" w:eastAsiaTheme="minorEastAsia" w:hAnsiTheme="majorHAnsi"/>
          <w:spacing w:val="0"/>
          <w:w w:val="100"/>
          <w:kern w:val="0"/>
          <w:sz w:val="22"/>
          <w:szCs w:val="22"/>
        </w:rPr>
        <w:t xml:space="preserve">El subsidio </w:t>
      </w:r>
      <w:r w:rsidR="004A242B" w:rsidRPr="009A6A1A">
        <w:rPr>
          <w:rFonts w:asciiTheme="majorHAnsi" w:eastAsiaTheme="minorEastAsia" w:hAnsiTheme="majorHAnsi"/>
          <w:spacing w:val="0"/>
          <w:w w:val="100"/>
          <w:kern w:val="0"/>
          <w:sz w:val="22"/>
          <w:szCs w:val="22"/>
        </w:rPr>
        <w:t>no deberá pagarse cuando la presencia de un familiar es aprobada en forma excepcional por el funcionario designado independientemente de si otros familiares que reúnen las condiciones permanecen fuera del lugar de destino no apto para familias.</w:t>
      </w:r>
    </w:p>
    <w:p w14:paraId="5E7961B4" w14:textId="1D8C16CB" w:rsidR="000E387E" w:rsidRPr="00C512EC" w:rsidRDefault="004A242B" w:rsidP="000E387E">
      <w:pPr>
        <w:pStyle w:val="SingleTxt"/>
        <w:numPr>
          <w:ilvl w:val="0"/>
          <w:numId w:val="6"/>
        </w:numPr>
        <w:ind w:right="0"/>
        <w:rPr>
          <w:rFonts w:asciiTheme="majorHAnsi" w:eastAsiaTheme="minorEastAsia" w:hAnsiTheme="majorHAnsi" w:cs="Arial"/>
          <w:spacing w:val="0"/>
          <w:w w:val="100"/>
          <w:kern w:val="0"/>
          <w:sz w:val="22"/>
          <w:szCs w:val="22"/>
        </w:rPr>
      </w:pPr>
      <w:r w:rsidRPr="009A6A1A">
        <w:rPr>
          <w:rFonts w:asciiTheme="majorHAnsi" w:eastAsiaTheme="minorEastAsia" w:hAnsiTheme="majorHAnsi"/>
          <w:spacing w:val="0"/>
          <w:w w:val="100"/>
          <w:kern w:val="0"/>
          <w:sz w:val="22"/>
          <w:szCs w:val="22"/>
        </w:rPr>
        <w:t xml:space="preserve">Si hay un cambio en la designación del lugar de destino de estado apto para familias a estado no apto para familias durante el transcurso del nombramiento o la asignación de un miembro del personal al lugar de destino, </w:t>
      </w:r>
      <w:r w:rsidR="002562E0" w:rsidRPr="009A6A1A">
        <w:rPr>
          <w:rFonts w:asciiTheme="majorHAnsi" w:eastAsiaTheme="minorEastAsia" w:hAnsiTheme="majorHAnsi"/>
          <w:spacing w:val="0"/>
          <w:w w:val="100"/>
          <w:kern w:val="0"/>
          <w:sz w:val="22"/>
          <w:szCs w:val="22"/>
        </w:rPr>
        <w:t>el subsidio</w:t>
      </w:r>
      <w:r w:rsidRPr="009A6A1A">
        <w:rPr>
          <w:rFonts w:asciiTheme="majorHAnsi" w:eastAsiaTheme="minorEastAsia" w:hAnsiTheme="majorHAnsi"/>
          <w:spacing w:val="0"/>
          <w:w w:val="100"/>
          <w:kern w:val="0"/>
          <w:sz w:val="22"/>
          <w:szCs w:val="22"/>
        </w:rPr>
        <w:t xml:space="preserve"> por servicio en lugares de destino no aptos para familias deberá pagarse a partir de la fecha de entrada en vigor del cambio en la designación del lugar de destino.</w:t>
      </w:r>
    </w:p>
    <w:p w14:paraId="4F7E7141" w14:textId="4984CC7F" w:rsidR="004A242B" w:rsidRPr="00C512EC" w:rsidRDefault="004A242B">
      <w:pPr>
        <w:pStyle w:val="SingleTxt"/>
        <w:numPr>
          <w:ilvl w:val="0"/>
          <w:numId w:val="6"/>
        </w:numPr>
        <w:ind w:right="0"/>
        <w:rPr>
          <w:rFonts w:asciiTheme="majorHAnsi" w:eastAsiaTheme="minorEastAsia" w:hAnsiTheme="majorHAnsi" w:cs="Arial"/>
          <w:spacing w:val="0"/>
          <w:w w:val="100"/>
          <w:kern w:val="0"/>
          <w:sz w:val="22"/>
          <w:szCs w:val="22"/>
        </w:rPr>
      </w:pPr>
      <w:r w:rsidRPr="009A6A1A">
        <w:rPr>
          <w:rFonts w:asciiTheme="majorHAnsi" w:eastAsiaTheme="minorEastAsia" w:hAnsiTheme="majorHAnsi"/>
          <w:spacing w:val="0"/>
          <w:w w:val="100"/>
          <w:kern w:val="0"/>
          <w:sz w:val="22"/>
          <w:szCs w:val="22"/>
        </w:rPr>
        <w:t>Si hay un cambio en la designación del lugar de destino de estado no apto para familias a estado familiar durante el transcurso de</w:t>
      </w:r>
      <w:r w:rsidRPr="00C512EC">
        <w:rPr>
          <w:rFonts w:asciiTheme="majorHAnsi" w:eastAsiaTheme="minorEastAsia" w:hAnsiTheme="majorHAnsi"/>
          <w:spacing w:val="0"/>
          <w:w w:val="100"/>
          <w:kern w:val="0"/>
          <w:sz w:val="22"/>
          <w:szCs w:val="22"/>
        </w:rPr>
        <w:t xml:space="preserve">l nombramiento o la asignación de un miembro del personal al lugar de destino, </w:t>
      </w:r>
      <w:r w:rsidR="008A0223" w:rsidRPr="009A6A1A">
        <w:rPr>
          <w:rFonts w:asciiTheme="majorHAnsi" w:eastAsiaTheme="minorEastAsia" w:hAnsiTheme="majorHAnsi"/>
          <w:spacing w:val="0"/>
          <w:w w:val="100"/>
          <w:kern w:val="0"/>
          <w:sz w:val="22"/>
          <w:szCs w:val="22"/>
        </w:rPr>
        <w:t>el subsidio</w:t>
      </w:r>
      <w:r w:rsidRPr="009A6A1A">
        <w:rPr>
          <w:rFonts w:asciiTheme="majorHAnsi" w:eastAsiaTheme="minorEastAsia" w:hAnsiTheme="majorHAnsi"/>
          <w:spacing w:val="0"/>
          <w:w w:val="100"/>
          <w:kern w:val="0"/>
          <w:sz w:val="22"/>
          <w:szCs w:val="22"/>
        </w:rPr>
        <w:t xml:space="preserve"> deberá discontinuarse luego de un período de transición:</w:t>
      </w:r>
    </w:p>
    <w:p w14:paraId="4AEAD087" w14:textId="2246C472" w:rsidR="000E387E" w:rsidRPr="00C512EC" w:rsidRDefault="004A242B" w:rsidP="000E387E">
      <w:pPr>
        <w:pStyle w:val="SingleTxt"/>
        <w:numPr>
          <w:ilvl w:val="0"/>
          <w:numId w:val="16"/>
        </w:numPr>
        <w:ind w:right="0"/>
        <w:rPr>
          <w:rFonts w:asciiTheme="majorHAnsi" w:eastAsiaTheme="minorEastAsia" w:hAnsiTheme="majorHAnsi" w:cs="Arial"/>
          <w:spacing w:val="0"/>
          <w:w w:val="100"/>
          <w:kern w:val="0"/>
          <w:sz w:val="22"/>
          <w:szCs w:val="22"/>
        </w:rPr>
      </w:pPr>
      <w:r w:rsidRPr="009A6A1A">
        <w:rPr>
          <w:rFonts w:asciiTheme="majorHAnsi" w:eastAsiaTheme="minorEastAsia" w:hAnsiTheme="majorHAnsi"/>
          <w:spacing w:val="0"/>
          <w:w w:val="100"/>
          <w:kern w:val="0"/>
          <w:sz w:val="22"/>
          <w:szCs w:val="22"/>
        </w:rPr>
        <w:t xml:space="preserve">Para miembros del personal sin familiares a cargo, </w:t>
      </w:r>
      <w:r w:rsidR="008A0223" w:rsidRPr="009A6A1A">
        <w:rPr>
          <w:rFonts w:asciiTheme="majorHAnsi" w:eastAsiaTheme="minorEastAsia" w:hAnsiTheme="majorHAnsi"/>
          <w:spacing w:val="0"/>
          <w:w w:val="100"/>
          <w:kern w:val="0"/>
          <w:sz w:val="22"/>
          <w:szCs w:val="22"/>
        </w:rPr>
        <w:t xml:space="preserve">el subsidio </w:t>
      </w:r>
      <w:r w:rsidRPr="009A6A1A">
        <w:rPr>
          <w:rFonts w:asciiTheme="majorHAnsi" w:eastAsiaTheme="minorEastAsia" w:hAnsiTheme="majorHAnsi"/>
          <w:spacing w:val="0"/>
          <w:w w:val="100"/>
          <w:kern w:val="0"/>
          <w:sz w:val="22"/>
          <w:szCs w:val="22"/>
        </w:rPr>
        <w:t>deberá discontinuarse tres meses después de la fecha de entrada en vigor del cambio en la designación del lugar de destino.</w:t>
      </w:r>
    </w:p>
    <w:p w14:paraId="5E6E1373" w14:textId="2BBC3296" w:rsidR="004A242B" w:rsidRPr="00C512EC" w:rsidRDefault="004A242B">
      <w:pPr>
        <w:pStyle w:val="SingleTxt"/>
        <w:numPr>
          <w:ilvl w:val="0"/>
          <w:numId w:val="16"/>
        </w:numPr>
        <w:ind w:right="0"/>
        <w:rPr>
          <w:rFonts w:asciiTheme="majorHAnsi" w:eastAsiaTheme="minorEastAsia" w:hAnsiTheme="majorHAnsi" w:cs="Arial"/>
          <w:spacing w:val="0"/>
          <w:w w:val="100"/>
          <w:kern w:val="0"/>
          <w:sz w:val="22"/>
          <w:szCs w:val="22"/>
        </w:rPr>
      </w:pPr>
      <w:r w:rsidRPr="009A6A1A">
        <w:rPr>
          <w:rFonts w:asciiTheme="majorHAnsi" w:eastAsiaTheme="minorEastAsia" w:hAnsiTheme="majorHAnsi"/>
          <w:spacing w:val="0"/>
          <w:w w:val="100"/>
          <w:kern w:val="0"/>
          <w:sz w:val="22"/>
          <w:szCs w:val="22"/>
        </w:rPr>
        <w:t xml:space="preserve">Para miembros del personal con familiares a cargo, </w:t>
      </w:r>
      <w:r w:rsidR="008A0223" w:rsidRPr="009A6A1A">
        <w:rPr>
          <w:rFonts w:asciiTheme="majorHAnsi" w:eastAsiaTheme="minorEastAsia" w:hAnsiTheme="majorHAnsi"/>
          <w:spacing w:val="0"/>
          <w:w w:val="100"/>
          <w:kern w:val="0"/>
          <w:sz w:val="22"/>
          <w:szCs w:val="22"/>
        </w:rPr>
        <w:t xml:space="preserve">el subsidio </w:t>
      </w:r>
      <w:r w:rsidRPr="009A6A1A">
        <w:rPr>
          <w:rFonts w:asciiTheme="majorHAnsi" w:eastAsiaTheme="minorEastAsia" w:hAnsiTheme="majorHAnsi"/>
          <w:spacing w:val="0"/>
          <w:w w:val="100"/>
          <w:kern w:val="0"/>
          <w:sz w:val="22"/>
          <w:szCs w:val="22"/>
        </w:rPr>
        <w:t>podrá pagarse hasta seis meses después de la fecha de entrada</w:t>
      </w:r>
      <w:r w:rsidRPr="00C512EC">
        <w:rPr>
          <w:rFonts w:asciiTheme="majorHAnsi" w:eastAsiaTheme="minorEastAsia" w:hAnsiTheme="majorHAnsi"/>
          <w:spacing w:val="0"/>
          <w:w w:val="100"/>
          <w:kern w:val="0"/>
          <w:sz w:val="22"/>
          <w:szCs w:val="22"/>
        </w:rPr>
        <w:t xml:space="preserve"> en vigor del cambio en la designación del lugar de destino o hasta que un familiar que reúne las condiciones se una al miembro del personal en el lugar de destino, lo que ocurra primero.</w:t>
      </w:r>
    </w:p>
    <w:p w14:paraId="06FCC229" w14:textId="77777777" w:rsidR="004A242B" w:rsidRPr="000156BF" w:rsidRDefault="004A242B" w:rsidP="000156BF">
      <w:pPr>
        <w:pStyle w:val="SingleTxt"/>
        <w:spacing w:after="0" w:line="120" w:lineRule="exact"/>
        <w:ind w:right="0"/>
        <w:rPr>
          <w:rFonts w:asciiTheme="majorHAnsi" w:hAnsiTheme="majorHAnsi"/>
          <w:sz w:val="22"/>
          <w:szCs w:val="22"/>
        </w:rPr>
      </w:pPr>
    </w:p>
    <w:p w14:paraId="29B16182" w14:textId="77777777" w:rsidR="004A242B" w:rsidRPr="000156BF" w:rsidRDefault="004A242B" w:rsidP="000156BF">
      <w:pPr>
        <w:pStyle w:val="SingleTxt"/>
        <w:spacing w:after="0" w:line="120" w:lineRule="exact"/>
        <w:ind w:right="0"/>
        <w:rPr>
          <w:rFonts w:asciiTheme="majorHAnsi" w:hAnsiTheme="majorHAnsi"/>
          <w:sz w:val="22"/>
          <w:szCs w:val="22"/>
        </w:rPr>
      </w:pPr>
    </w:p>
    <w:p w14:paraId="14F67E10" w14:textId="472361F2" w:rsidR="004A242B" w:rsidRPr="00C512EC" w:rsidRDefault="004A242B">
      <w:pPr>
        <w:pStyle w:val="H1"/>
        <w:ind w:right="0"/>
        <w:rPr>
          <w:rFonts w:asciiTheme="majorHAnsi" w:hAnsiTheme="majorHAnsi"/>
          <w:sz w:val="22"/>
          <w:szCs w:val="22"/>
        </w:rPr>
      </w:pPr>
      <w:r w:rsidRPr="009A6A1A">
        <w:rPr>
          <w:rFonts w:asciiTheme="majorHAnsi" w:hAnsiTheme="majorHAnsi"/>
          <w:sz w:val="22"/>
          <w:szCs w:val="22"/>
        </w:rPr>
        <w:t>Relación con otr</w:t>
      </w:r>
      <w:r w:rsidR="008A5AD2" w:rsidRPr="009A6A1A">
        <w:rPr>
          <w:rFonts w:asciiTheme="majorHAnsi" w:hAnsiTheme="majorHAnsi"/>
          <w:sz w:val="22"/>
          <w:szCs w:val="22"/>
        </w:rPr>
        <w:t>o</w:t>
      </w:r>
      <w:r w:rsidRPr="009A6A1A">
        <w:rPr>
          <w:rFonts w:asciiTheme="majorHAnsi" w:hAnsiTheme="majorHAnsi"/>
          <w:sz w:val="22"/>
          <w:szCs w:val="22"/>
        </w:rPr>
        <w:t xml:space="preserve">s </w:t>
      </w:r>
      <w:r w:rsidR="008A5AD2" w:rsidRPr="009A6A1A">
        <w:rPr>
          <w:rFonts w:asciiTheme="majorHAnsi" w:hAnsiTheme="majorHAnsi"/>
          <w:sz w:val="22"/>
          <w:szCs w:val="22"/>
        </w:rPr>
        <w:t>subsidios</w:t>
      </w:r>
      <w:r w:rsidRPr="009A6A1A">
        <w:rPr>
          <w:rFonts w:asciiTheme="majorHAnsi" w:hAnsiTheme="majorHAnsi"/>
          <w:sz w:val="22"/>
          <w:szCs w:val="22"/>
        </w:rPr>
        <w:t xml:space="preserve"> y derechos</w:t>
      </w:r>
    </w:p>
    <w:p w14:paraId="4F4EEA61" w14:textId="77777777" w:rsidR="004A242B" w:rsidRPr="000156BF" w:rsidRDefault="004A242B" w:rsidP="000156BF">
      <w:pPr>
        <w:pStyle w:val="SingleTxt"/>
        <w:spacing w:after="0" w:line="120" w:lineRule="exact"/>
        <w:ind w:right="0"/>
        <w:rPr>
          <w:rFonts w:asciiTheme="majorHAnsi" w:hAnsiTheme="majorHAnsi"/>
          <w:sz w:val="22"/>
          <w:szCs w:val="22"/>
        </w:rPr>
      </w:pPr>
    </w:p>
    <w:p w14:paraId="2182586B" w14:textId="77777777" w:rsidR="004A242B" w:rsidRPr="000156BF" w:rsidRDefault="004A242B" w:rsidP="000156BF">
      <w:pPr>
        <w:pStyle w:val="SingleTxt"/>
        <w:spacing w:after="0" w:line="120" w:lineRule="exact"/>
        <w:ind w:right="0"/>
        <w:rPr>
          <w:rFonts w:asciiTheme="majorHAnsi" w:hAnsiTheme="majorHAnsi"/>
          <w:sz w:val="22"/>
          <w:szCs w:val="22"/>
        </w:rPr>
      </w:pPr>
    </w:p>
    <w:p w14:paraId="1F5A1904" w14:textId="23CD12AD" w:rsidR="005C7AE2" w:rsidRPr="00C512EC" w:rsidRDefault="004A242B" w:rsidP="00C5354F">
      <w:pPr>
        <w:pStyle w:val="SingleTxt"/>
        <w:numPr>
          <w:ilvl w:val="0"/>
          <w:numId w:val="6"/>
        </w:numPr>
        <w:ind w:right="0"/>
        <w:rPr>
          <w:rFonts w:asciiTheme="majorHAnsi" w:eastAsiaTheme="minorEastAsia" w:hAnsiTheme="majorHAnsi" w:cs="Arial"/>
          <w:spacing w:val="0"/>
          <w:w w:val="100"/>
          <w:kern w:val="0"/>
          <w:sz w:val="22"/>
          <w:szCs w:val="22"/>
        </w:rPr>
      </w:pPr>
      <w:r w:rsidRPr="009A6A1A">
        <w:rPr>
          <w:rFonts w:asciiTheme="majorHAnsi" w:eastAsiaTheme="minorEastAsia" w:hAnsiTheme="majorHAnsi"/>
          <w:spacing w:val="0"/>
          <w:w w:val="100"/>
          <w:kern w:val="0"/>
          <w:sz w:val="22"/>
          <w:szCs w:val="22"/>
        </w:rPr>
        <w:t xml:space="preserve">Los montos pagados debido al plan de </w:t>
      </w:r>
      <w:r w:rsidR="007B118C" w:rsidRPr="009A6A1A">
        <w:rPr>
          <w:rFonts w:asciiTheme="majorHAnsi" w:eastAsiaTheme="minorEastAsia" w:hAnsiTheme="majorHAnsi"/>
          <w:spacing w:val="0"/>
          <w:w w:val="100"/>
          <w:kern w:val="0"/>
          <w:sz w:val="22"/>
          <w:szCs w:val="22"/>
        </w:rPr>
        <w:t xml:space="preserve">subsidio </w:t>
      </w:r>
      <w:r w:rsidRPr="009A6A1A">
        <w:rPr>
          <w:rFonts w:asciiTheme="majorHAnsi" w:eastAsiaTheme="minorEastAsia" w:hAnsiTheme="majorHAnsi"/>
          <w:spacing w:val="0"/>
          <w:w w:val="100"/>
          <w:kern w:val="0"/>
          <w:sz w:val="22"/>
          <w:szCs w:val="22"/>
        </w:rPr>
        <w:t xml:space="preserve">por movilidad y condiciones de vida difíciles no deberán tenerse en cuenta en el cálculo del subsidio de alquiler al que pueden tener derecho los miembros del personal. </w:t>
      </w:r>
    </w:p>
    <w:p w14:paraId="3419FAD2" w14:textId="113965EA" w:rsidR="005C7AE2" w:rsidRPr="00C512EC" w:rsidRDefault="00A13914" w:rsidP="00C5354F">
      <w:pPr>
        <w:pStyle w:val="SingleTxt"/>
        <w:numPr>
          <w:ilvl w:val="0"/>
          <w:numId w:val="6"/>
        </w:numPr>
        <w:ind w:right="0"/>
        <w:rPr>
          <w:rFonts w:asciiTheme="majorHAnsi" w:eastAsiaTheme="minorEastAsia" w:hAnsiTheme="majorHAnsi" w:cs="Arial"/>
          <w:spacing w:val="0"/>
          <w:w w:val="100"/>
          <w:kern w:val="0"/>
          <w:sz w:val="22"/>
          <w:szCs w:val="22"/>
        </w:rPr>
      </w:pPr>
      <w:r w:rsidRPr="009A6A1A">
        <w:rPr>
          <w:rFonts w:asciiTheme="majorHAnsi" w:eastAsiaTheme="minorEastAsia" w:hAnsiTheme="majorHAnsi"/>
          <w:spacing w:val="0"/>
          <w:w w:val="100"/>
          <w:kern w:val="0"/>
          <w:sz w:val="22"/>
          <w:szCs w:val="22"/>
        </w:rPr>
        <w:t xml:space="preserve">Un miembro del personal no reúne las condiciones para </w:t>
      </w:r>
      <w:r w:rsidR="00FF051D" w:rsidRPr="009A6A1A">
        <w:rPr>
          <w:rFonts w:asciiTheme="majorHAnsi" w:eastAsiaTheme="minorEastAsia" w:hAnsiTheme="majorHAnsi"/>
          <w:spacing w:val="0"/>
          <w:w w:val="100"/>
          <w:kern w:val="0"/>
          <w:sz w:val="22"/>
          <w:szCs w:val="22"/>
        </w:rPr>
        <w:t>e</w:t>
      </w:r>
      <w:r w:rsidRPr="009A6A1A">
        <w:rPr>
          <w:rFonts w:asciiTheme="majorHAnsi" w:eastAsiaTheme="minorEastAsia" w:hAnsiTheme="majorHAnsi"/>
          <w:spacing w:val="0"/>
          <w:w w:val="100"/>
          <w:kern w:val="0"/>
          <w:sz w:val="22"/>
          <w:szCs w:val="22"/>
        </w:rPr>
        <w:t xml:space="preserve">l </w:t>
      </w:r>
      <w:r w:rsidR="00FF051D" w:rsidRPr="009A6A1A">
        <w:rPr>
          <w:rFonts w:asciiTheme="majorHAnsi" w:eastAsiaTheme="minorEastAsia" w:hAnsiTheme="majorHAnsi"/>
          <w:spacing w:val="0"/>
          <w:w w:val="100"/>
          <w:kern w:val="0"/>
          <w:sz w:val="22"/>
          <w:szCs w:val="22"/>
        </w:rPr>
        <w:t>subsidio</w:t>
      </w:r>
      <w:r w:rsidRPr="009A6A1A">
        <w:rPr>
          <w:rFonts w:asciiTheme="majorHAnsi" w:eastAsiaTheme="minorEastAsia" w:hAnsiTheme="majorHAnsi"/>
          <w:spacing w:val="0"/>
          <w:w w:val="100"/>
          <w:kern w:val="0"/>
          <w:sz w:val="22"/>
          <w:szCs w:val="22"/>
        </w:rPr>
        <w:t xml:space="preserve"> por servicio en lugares de destino no aptos para familias cuando recibe simultáneamente el subsidio de evacuación por motivos de seguridad (SEA) para familiares que reúnen las con</w:t>
      </w:r>
      <w:r w:rsidRPr="00C512EC">
        <w:rPr>
          <w:rFonts w:asciiTheme="majorHAnsi" w:eastAsiaTheme="minorEastAsia" w:hAnsiTheme="majorHAnsi"/>
          <w:spacing w:val="0"/>
          <w:w w:val="100"/>
          <w:kern w:val="0"/>
          <w:sz w:val="22"/>
          <w:szCs w:val="22"/>
        </w:rPr>
        <w:t>diciones. En consecuencia, el pago del subsidio de evacuación por motivos de seguridad deberá cesar al momento del pago de</w:t>
      </w:r>
      <w:r w:rsidRPr="009A6A1A">
        <w:rPr>
          <w:rFonts w:asciiTheme="majorHAnsi" w:eastAsiaTheme="minorEastAsia" w:hAnsiTheme="majorHAnsi"/>
          <w:spacing w:val="0"/>
          <w:w w:val="100"/>
          <w:kern w:val="0"/>
          <w:sz w:val="22"/>
          <w:szCs w:val="22"/>
        </w:rPr>
        <w:t xml:space="preserve">l </w:t>
      </w:r>
      <w:r w:rsidR="002768C5" w:rsidRPr="009A6A1A">
        <w:rPr>
          <w:rFonts w:asciiTheme="majorHAnsi" w:eastAsiaTheme="minorEastAsia" w:hAnsiTheme="majorHAnsi"/>
          <w:spacing w:val="0"/>
          <w:w w:val="100"/>
          <w:kern w:val="0"/>
          <w:sz w:val="22"/>
          <w:szCs w:val="22"/>
        </w:rPr>
        <w:t>subsidio</w:t>
      </w:r>
      <w:r w:rsidRPr="009A6A1A">
        <w:rPr>
          <w:rFonts w:asciiTheme="majorHAnsi" w:eastAsiaTheme="minorEastAsia" w:hAnsiTheme="majorHAnsi"/>
          <w:spacing w:val="0"/>
          <w:w w:val="100"/>
          <w:kern w:val="0"/>
          <w:sz w:val="22"/>
          <w:szCs w:val="22"/>
        </w:rPr>
        <w:t xml:space="preserve"> por servicio en lugares de destino no aptos para familias.</w:t>
      </w:r>
    </w:p>
    <w:p w14:paraId="6ECBE2B9" w14:textId="1930E53D" w:rsidR="004A242B" w:rsidRPr="00C512EC" w:rsidRDefault="004A242B">
      <w:pPr>
        <w:pStyle w:val="SingleTxt"/>
        <w:numPr>
          <w:ilvl w:val="0"/>
          <w:numId w:val="6"/>
        </w:numPr>
        <w:ind w:right="0"/>
        <w:rPr>
          <w:rFonts w:asciiTheme="majorHAnsi" w:eastAsiaTheme="minorEastAsia" w:hAnsiTheme="majorHAnsi" w:cs="Arial"/>
          <w:spacing w:val="0"/>
          <w:w w:val="100"/>
          <w:kern w:val="0"/>
          <w:sz w:val="22"/>
          <w:szCs w:val="22"/>
        </w:rPr>
      </w:pPr>
      <w:r w:rsidRPr="009A6A1A">
        <w:rPr>
          <w:rFonts w:asciiTheme="majorHAnsi" w:eastAsiaTheme="minorEastAsia" w:hAnsiTheme="majorHAnsi"/>
          <w:spacing w:val="0"/>
          <w:w w:val="100"/>
          <w:kern w:val="0"/>
          <w:sz w:val="22"/>
          <w:szCs w:val="22"/>
        </w:rPr>
        <w:t xml:space="preserve">Un miembro del personal que esté recibiendo </w:t>
      </w:r>
      <w:r w:rsidR="00360EAB" w:rsidRPr="009A6A1A">
        <w:rPr>
          <w:rFonts w:asciiTheme="majorHAnsi" w:eastAsiaTheme="minorEastAsia" w:hAnsiTheme="majorHAnsi"/>
          <w:spacing w:val="0"/>
          <w:w w:val="100"/>
          <w:kern w:val="0"/>
          <w:sz w:val="22"/>
          <w:szCs w:val="22"/>
        </w:rPr>
        <w:t>e</w:t>
      </w:r>
      <w:r w:rsidRPr="009A6A1A">
        <w:rPr>
          <w:rFonts w:asciiTheme="majorHAnsi" w:eastAsiaTheme="minorEastAsia" w:hAnsiTheme="majorHAnsi"/>
          <w:spacing w:val="0"/>
          <w:w w:val="100"/>
          <w:kern w:val="0"/>
          <w:sz w:val="22"/>
          <w:szCs w:val="22"/>
        </w:rPr>
        <w:t xml:space="preserve">l </w:t>
      </w:r>
      <w:r w:rsidR="00360EAB" w:rsidRPr="009A6A1A">
        <w:rPr>
          <w:rFonts w:asciiTheme="majorHAnsi" w:eastAsiaTheme="minorEastAsia" w:hAnsiTheme="majorHAnsi"/>
          <w:spacing w:val="0"/>
          <w:w w:val="100"/>
          <w:kern w:val="0"/>
          <w:sz w:val="22"/>
          <w:szCs w:val="22"/>
        </w:rPr>
        <w:t>subsidio</w:t>
      </w:r>
      <w:r w:rsidRPr="009A6A1A">
        <w:rPr>
          <w:rFonts w:asciiTheme="majorHAnsi" w:eastAsiaTheme="minorEastAsia" w:hAnsiTheme="majorHAnsi"/>
          <w:spacing w:val="0"/>
          <w:w w:val="100"/>
          <w:kern w:val="0"/>
          <w:sz w:val="22"/>
          <w:szCs w:val="22"/>
        </w:rPr>
        <w:t xml:space="preserve"> por servicio en lugares de destino no aptos para familias que es temporalmente reubicado o evacuado de un lugar de destino no apto para familias continuará reuniendo las condiciones para el pago del subsidio de evacuación por motivos de </w:t>
      </w:r>
      <w:r w:rsidRPr="00C512EC">
        <w:rPr>
          <w:rFonts w:asciiTheme="majorHAnsi" w:eastAsiaTheme="minorEastAsia" w:hAnsiTheme="majorHAnsi"/>
          <w:spacing w:val="0"/>
          <w:w w:val="100"/>
          <w:kern w:val="0"/>
          <w:sz w:val="22"/>
          <w:szCs w:val="22"/>
        </w:rPr>
        <w:t>seguridad para él/ella mismo/a siempre que permanezca asignado al lugar de destino no apto para familias.</w:t>
      </w:r>
    </w:p>
    <w:p w14:paraId="2166ED48" w14:textId="77777777" w:rsidR="004A242B" w:rsidRPr="000156BF" w:rsidRDefault="004A242B" w:rsidP="000156BF">
      <w:pPr>
        <w:pStyle w:val="SingleTxt"/>
        <w:keepNext/>
        <w:spacing w:after="0" w:line="240" w:lineRule="auto"/>
        <w:ind w:right="0"/>
        <w:rPr>
          <w:rFonts w:asciiTheme="majorHAnsi" w:hAnsiTheme="majorHAnsi"/>
          <w:b/>
          <w:sz w:val="22"/>
          <w:szCs w:val="22"/>
        </w:rPr>
      </w:pPr>
    </w:p>
    <w:p w14:paraId="04A996DC" w14:textId="77777777" w:rsidR="004A242B" w:rsidRPr="000156BF" w:rsidRDefault="004A242B" w:rsidP="000156BF">
      <w:pPr>
        <w:pStyle w:val="SingleTxt"/>
        <w:keepNext/>
        <w:spacing w:after="0" w:line="240" w:lineRule="auto"/>
        <w:ind w:left="0" w:right="0"/>
        <w:rPr>
          <w:rFonts w:asciiTheme="majorHAnsi" w:hAnsiTheme="majorHAnsi"/>
          <w:b/>
          <w:sz w:val="22"/>
          <w:szCs w:val="22"/>
        </w:rPr>
      </w:pPr>
      <w:r>
        <w:rPr>
          <w:rFonts w:asciiTheme="majorHAnsi" w:hAnsiTheme="majorHAnsi"/>
          <w:b/>
          <w:sz w:val="22"/>
        </w:rPr>
        <w:t>Medidas transitorias</w:t>
      </w:r>
    </w:p>
    <w:p w14:paraId="790D3622" w14:textId="77777777" w:rsidR="004A242B" w:rsidRPr="000156BF" w:rsidRDefault="004A242B" w:rsidP="000156BF">
      <w:pPr>
        <w:pStyle w:val="SingleTxt"/>
        <w:keepNext/>
        <w:spacing w:after="0" w:line="240" w:lineRule="auto"/>
        <w:ind w:right="0"/>
        <w:rPr>
          <w:rFonts w:asciiTheme="majorHAnsi" w:hAnsiTheme="majorHAnsi"/>
          <w:sz w:val="22"/>
          <w:szCs w:val="22"/>
        </w:rPr>
      </w:pPr>
    </w:p>
    <w:p w14:paraId="0AE2A9BF" w14:textId="6EE59F2E" w:rsidR="004A242B" w:rsidRPr="00C512EC" w:rsidRDefault="004A242B" w:rsidP="00C512EC">
      <w:pPr>
        <w:pStyle w:val="SingleTxt"/>
        <w:keepNext/>
        <w:numPr>
          <w:ilvl w:val="0"/>
          <w:numId w:val="6"/>
        </w:numPr>
        <w:spacing w:after="0" w:line="240" w:lineRule="auto"/>
        <w:ind w:right="0"/>
        <w:rPr>
          <w:rFonts w:asciiTheme="majorHAnsi" w:eastAsiaTheme="minorEastAsia" w:hAnsiTheme="majorHAnsi" w:cs="Arial"/>
          <w:spacing w:val="0"/>
          <w:w w:val="100"/>
          <w:kern w:val="0"/>
          <w:sz w:val="22"/>
          <w:szCs w:val="22"/>
        </w:rPr>
      </w:pPr>
      <w:r w:rsidRPr="009A6A1A">
        <w:rPr>
          <w:rFonts w:asciiTheme="majorHAnsi" w:eastAsiaTheme="minorEastAsia" w:hAnsiTheme="majorHAnsi"/>
          <w:spacing w:val="0"/>
          <w:w w:val="100"/>
          <w:kern w:val="0"/>
          <w:sz w:val="22"/>
          <w:szCs w:val="22"/>
        </w:rPr>
        <w:t xml:space="preserve">Como medida transitoria, los miembros del personal que estén recibiendo </w:t>
      </w:r>
      <w:r w:rsidR="00B55571" w:rsidRPr="009A6A1A">
        <w:rPr>
          <w:rFonts w:asciiTheme="majorHAnsi" w:eastAsiaTheme="minorEastAsia" w:hAnsiTheme="majorHAnsi"/>
          <w:spacing w:val="0"/>
          <w:w w:val="100"/>
          <w:kern w:val="0"/>
          <w:sz w:val="22"/>
          <w:szCs w:val="22"/>
        </w:rPr>
        <w:t>e</w:t>
      </w:r>
      <w:r w:rsidRPr="009A6A1A">
        <w:rPr>
          <w:rFonts w:asciiTheme="majorHAnsi" w:eastAsiaTheme="minorEastAsia" w:hAnsiTheme="majorHAnsi"/>
          <w:spacing w:val="0"/>
          <w:w w:val="100"/>
          <w:kern w:val="0"/>
          <w:sz w:val="22"/>
          <w:szCs w:val="22"/>
        </w:rPr>
        <w:t xml:space="preserve">l anterior </w:t>
      </w:r>
      <w:r w:rsidR="00B55571" w:rsidRPr="009A6A1A">
        <w:rPr>
          <w:rFonts w:asciiTheme="majorHAnsi" w:eastAsiaTheme="minorEastAsia" w:hAnsiTheme="majorHAnsi"/>
          <w:spacing w:val="0"/>
          <w:w w:val="100"/>
          <w:kern w:val="0"/>
          <w:sz w:val="22"/>
          <w:szCs w:val="22"/>
        </w:rPr>
        <w:t>subsidio</w:t>
      </w:r>
      <w:r w:rsidRPr="009A6A1A">
        <w:rPr>
          <w:rFonts w:asciiTheme="majorHAnsi" w:eastAsiaTheme="minorEastAsia" w:hAnsiTheme="majorHAnsi"/>
          <w:spacing w:val="0"/>
          <w:w w:val="100"/>
          <w:kern w:val="0"/>
          <w:sz w:val="22"/>
          <w:szCs w:val="22"/>
        </w:rPr>
        <w:t xml:space="preserve"> por no reembolso de gastos de mudanza el 30 de junio de 2016 deberán continuar recibiendo </w:t>
      </w:r>
      <w:r w:rsidRPr="009A6A1A">
        <w:rPr>
          <w:rFonts w:asciiTheme="majorHAnsi" w:eastAsiaTheme="minorEastAsia" w:hAnsiTheme="majorHAnsi"/>
          <w:spacing w:val="0"/>
          <w:w w:val="100"/>
          <w:kern w:val="0"/>
          <w:sz w:val="22"/>
          <w:szCs w:val="22"/>
        </w:rPr>
        <w:lastRenderedPageBreak/>
        <w:t xml:space="preserve">el pago de la prestación durante hasta cinco años en el mismo lugar de destino o hasta que el miembro del personal se cambie a otro lugar de destino, lo que ocurra primero.  </w:t>
      </w:r>
    </w:p>
    <w:p w14:paraId="63EDF217" w14:textId="77777777" w:rsidR="00C5354F" w:rsidRPr="00C5354F" w:rsidRDefault="00C5354F" w:rsidP="00C5354F">
      <w:pPr>
        <w:pStyle w:val="SingleTxt"/>
        <w:keepNext/>
        <w:spacing w:after="0" w:line="240" w:lineRule="auto"/>
        <w:ind w:left="360" w:right="0"/>
        <w:rPr>
          <w:rFonts w:asciiTheme="majorHAnsi" w:eastAsiaTheme="minorEastAsia" w:hAnsiTheme="majorHAnsi" w:cs="Arial"/>
          <w:spacing w:val="0"/>
          <w:w w:val="100"/>
          <w:kern w:val="0"/>
          <w:sz w:val="22"/>
          <w:szCs w:val="22"/>
        </w:rPr>
      </w:pPr>
    </w:p>
    <w:p w14:paraId="164A29B4" w14:textId="1CE7E629" w:rsidR="005A4678" w:rsidRPr="008D29E4" w:rsidRDefault="004A242B" w:rsidP="000156BF">
      <w:pPr>
        <w:pStyle w:val="SingleTxt"/>
        <w:keepNext/>
        <w:numPr>
          <w:ilvl w:val="0"/>
          <w:numId w:val="6"/>
        </w:numPr>
        <w:spacing w:after="0" w:line="240" w:lineRule="auto"/>
        <w:ind w:left="0" w:right="0"/>
        <w:rPr>
          <w:rFonts w:asciiTheme="majorHAnsi" w:hAnsiTheme="majorHAnsi"/>
          <w:sz w:val="22"/>
          <w:szCs w:val="22"/>
        </w:rPr>
      </w:pPr>
      <w:r w:rsidRPr="008D29E4">
        <w:rPr>
          <w:rFonts w:asciiTheme="majorHAnsi" w:eastAsiaTheme="minorEastAsia" w:hAnsiTheme="majorHAnsi"/>
          <w:spacing w:val="0"/>
          <w:w w:val="100"/>
          <w:kern w:val="0"/>
          <w:sz w:val="22"/>
          <w:szCs w:val="22"/>
        </w:rPr>
        <w:t xml:space="preserve">Los miembros del personal que reúnen las condiciones que se cambiaron a su nueva asignación antes del 1 de julio de 2016 deberán continuar recibiendo los montos actuales del </w:t>
      </w:r>
      <w:r w:rsidR="00454418" w:rsidRPr="008D29E4">
        <w:rPr>
          <w:rFonts w:asciiTheme="majorHAnsi" w:eastAsiaTheme="minorEastAsia" w:hAnsiTheme="majorHAnsi"/>
          <w:spacing w:val="0"/>
          <w:w w:val="100"/>
          <w:kern w:val="0"/>
          <w:sz w:val="22"/>
          <w:szCs w:val="22"/>
        </w:rPr>
        <w:t>subsidio</w:t>
      </w:r>
      <w:r w:rsidRPr="008D29E4">
        <w:rPr>
          <w:rFonts w:asciiTheme="majorHAnsi" w:eastAsiaTheme="minorEastAsia" w:hAnsiTheme="majorHAnsi"/>
          <w:spacing w:val="0"/>
          <w:w w:val="100"/>
          <w:kern w:val="0"/>
          <w:sz w:val="22"/>
          <w:szCs w:val="22"/>
        </w:rPr>
        <w:t xml:space="preserve"> por movilidad hasta 5 años en el mismo lugar de destino, o hasta que sean reasignados a otro lugar de destino, lo que ocurra primero.</w:t>
      </w:r>
    </w:p>
    <w:p w14:paraId="3933E1B4" w14:textId="05F3BED6" w:rsidR="009F2A40" w:rsidRPr="000156BF" w:rsidRDefault="009F2A40" w:rsidP="000156BF">
      <w:pPr>
        <w:rPr>
          <w:rFonts w:asciiTheme="majorHAnsi" w:hAnsiTheme="majorHAnsi"/>
          <w:b/>
          <w:sz w:val="22"/>
          <w:szCs w:val="22"/>
        </w:rPr>
      </w:pPr>
      <w:r>
        <w:br w:type="page"/>
      </w:r>
      <w:r>
        <w:rPr>
          <w:rFonts w:asciiTheme="majorHAnsi" w:hAnsiTheme="majorHAnsi"/>
          <w:b/>
          <w:sz w:val="22"/>
        </w:rPr>
        <w:lastRenderedPageBreak/>
        <w:t>Anexo 1</w:t>
      </w:r>
    </w:p>
    <w:p w14:paraId="16667735" w14:textId="77777777" w:rsidR="009F2A40" w:rsidRPr="000156BF" w:rsidRDefault="009F2A40" w:rsidP="000156BF">
      <w:pPr>
        <w:rPr>
          <w:rFonts w:asciiTheme="majorHAnsi" w:hAnsiTheme="majorHAnsi"/>
          <w:sz w:val="22"/>
          <w:szCs w:val="22"/>
        </w:rPr>
      </w:pPr>
    </w:p>
    <w:p w14:paraId="73F7E44C" w14:textId="77777777" w:rsidR="009F2A40" w:rsidRPr="000156BF" w:rsidRDefault="009F2A40" w:rsidP="000156BF">
      <w:pPr>
        <w:rPr>
          <w:rFonts w:asciiTheme="majorHAnsi" w:hAnsiTheme="majorHAnsi"/>
          <w:b/>
          <w:sz w:val="22"/>
          <w:szCs w:val="22"/>
        </w:rPr>
      </w:pPr>
      <w:r>
        <w:rPr>
          <w:rFonts w:asciiTheme="majorHAnsi" w:hAnsiTheme="majorHAnsi"/>
          <w:b/>
          <w:sz w:val="22"/>
        </w:rPr>
        <w:t>Incentivos por movilidad</w:t>
      </w:r>
    </w:p>
    <w:p w14:paraId="07FE32B8" w14:textId="77777777" w:rsidR="009F2A40" w:rsidRPr="000156BF" w:rsidRDefault="009F2A40" w:rsidP="000156BF">
      <w:pPr>
        <w:rPr>
          <w:rFonts w:asciiTheme="majorHAnsi" w:hAnsiTheme="majorHAnsi"/>
          <w:b/>
          <w:sz w:val="22"/>
          <w:szCs w:val="22"/>
        </w:rPr>
      </w:pPr>
    </w:p>
    <w:p w14:paraId="3DEC811B" w14:textId="40028D9C" w:rsidR="009F2A40" w:rsidRPr="00C5354F" w:rsidRDefault="009F2A40" w:rsidP="000156BF">
      <w:pPr>
        <w:rPr>
          <w:rFonts w:asciiTheme="majorHAnsi" w:hAnsiTheme="majorHAnsi" w:cs="Arial"/>
          <w:sz w:val="22"/>
          <w:szCs w:val="22"/>
        </w:rPr>
      </w:pPr>
      <w:r>
        <w:rPr>
          <w:rFonts w:asciiTheme="majorHAnsi" w:hAnsiTheme="majorHAnsi"/>
          <w:sz w:val="22"/>
        </w:rPr>
        <w:t>NOTA: El incentivo por movilidad no se paga para las asignaciones a los lugares de destino de categoría H, y rige solo para las asignaciones de un año o más a lugares de destino de categorías A a</w:t>
      </w:r>
      <w:r w:rsidR="00DD1318">
        <w:rPr>
          <w:rFonts w:asciiTheme="majorHAnsi" w:hAnsiTheme="majorHAnsi"/>
          <w:sz w:val="22"/>
        </w:rPr>
        <w:t xml:space="preserve"> la</w:t>
      </w:r>
      <w:r>
        <w:rPr>
          <w:rFonts w:asciiTheme="majorHAnsi" w:hAnsiTheme="majorHAnsi"/>
          <w:sz w:val="22"/>
        </w:rPr>
        <w:t xml:space="preserve"> E.</w:t>
      </w:r>
    </w:p>
    <w:p w14:paraId="3521AE7E" w14:textId="77777777" w:rsidR="009F2A40" w:rsidRPr="000156BF" w:rsidRDefault="009F2A40" w:rsidP="000156BF">
      <w:pPr>
        <w:rPr>
          <w:rFonts w:asciiTheme="majorHAnsi" w:hAnsiTheme="majorHAnsi"/>
          <w:sz w:val="22"/>
          <w:szCs w:val="22"/>
        </w:rPr>
      </w:pPr>
    </w:p>
    <w:p w14:paraId="11E7AAA0" w14:textId="62077662" w:rsidR="009F2A40" w:rsidRPr="000156BF" w:rsidRDefault="009F2A40" w:rsidP="000156BF">
      <w:pPr>
        <w:rPr>
          <w:rFonts w:asciiTheme="majorHAnsi" w:hAnsiTheme="majorHAnsi"/>
          <w:i/>
          <w:sz w:val="22"/>
          <w:szCs w:val="22"/>
        </w:rPr>
      </w:pPr>
      <w:r>
        <w:rPr>
          <w:rFonts w:asciiTheme="majorHAnsi" w:hAnsiTheme="majorHAnsi"/>
          <w:i/>
          <w:sz w:val="22"/>
        </w:rPr>
        <w:t>Montos anuales en dólares estadounidenses</w:t>
      </w:r>
    </w:p>
    <w:p w14:paraId="7F89724B" w14:textId="77777777" w:rsidR="009F2A40" w:rsidRPr="000156BF" w:rsidRDefault="009F2A40" w:rsidP="000156BF">
      <w:pPr>
        <w:rPr>
          <w:rFonts w:asciiTheme="majorHAnsi" w:hAnsiTheme="majorHAnsi"/>
          <w:i/>
          <w:sz w:val="22"/>
          <w:szCs w:val="22"/>
        </w:rPr>
      </w:pPr>
    </w:p>
    <w:tbl>
      <w:tblPr>
        <w:tblStyle w:val="TableGrid"/>
        <w:tblW w:w="0" w:type="auto"/>
        <w:tblLook w:val="04A0" w:firstRow="1" w:lastRow="0" w:firstColumn="1" w:lastColumn="0" w:noHBand="0" w:noVBand="1"/>
      </w:tblPr>
      <w:tblGrid>
        <w:gridCol w:w="1818"/>
        <w:gridCol w:w="1644"/>
        <w:gridCol w:w="1721"/>
        <w:gridCol w:w="1721"/>
        <w:gridCol w:w="1726"/>
      </w:tblGrid>
      <w:tr w:rsidR="009F2A40" w:rsidRPr="000156BF" w14:paraId="37EEC301" w14:textId="77777777" w:rsidTr="004839E2">
        <w:trPr>
          <w:trHeight w:val="283"/>
        </w:trPr>
        <w:tc>
          <w:tcPr>
            <w:tcW w:w="10186" w:type="dxa"/>
            <w:gridSpan w:val="5"/>
          </w:tcPr>
          <w:p w14:paraId="56F2B3F6" w14:textId="77777777" w:rsidR="009F2A40" w:rsidRPr="000156BF" w:rsidRDefault="009F2A40" w:rsidP="000156BF">
            <w:pPr>
              <w:rPr>
                <w:rFonts w:asciiTheme="majorHAnsi" w:hAnsiTheme="majorHAnsi"/>
                <w:b/>
                <w:sz w:val="22"/>
                <w:szCs w:val="22"/>
              </w:rPr>
            </w:pPr>
            <w:r>
              <w:rPr>
                <w:rFonts w:asciiTheme="majorHAnsi" w:hAnsiTheme="majorHAnsi"/>
                <w:b/>
                <w:sz w:val="22"/>
              </w:rPr>
              <w:t>P-1 a P-3 y FS-1 a FS6</w:t>
            </w:r>
          </w:p>
        </w:tc>
      </w:tr>
      <w:tr w:rsidR="009F2A40" w:rsidRPr="000156BF" w14:paraId="0733679E" w14:textId="77777777" w:rsidTr="004839E2">
        <w:trPr>
          <w:trHeight w:val="304"/>
        </w:trPr>
        <w:tc>
          <w:tcPr>
            <w:tcW w:w="2036" w:type="dxa"/>
            <w:vMerge w:val="restart"/>
          </w:tcPr>
          <w:p w14:paraId="5DBBC0A6" w14:textId="77777777" w:rsidR="009F2A40" w:rsidRPr="000156BF" w:rsidRDefault="009F2A40" w:rsidP="000156BF">
            <w:pPr>
              <w:jc w:val="center"/>
              <w:rPr>
                <w:rFonts w:asciiTheme="majorHAnsi" w:hAnsiTheme="majorHAnsi"/>
                <w:i/>
                <w:sz w:val="22"/>
                <w:szCs w:val="22"/>
              </w:rPr>
            </w:pPr>
            <w:r>
              <w:rPr>
                <w:rFonts w:asciiTheme="majorHAnsi" w:hAnsiTheme="majorHAnsi"/>
                <w:i/>
                <w:sz w:val="22"/>
              </w:rPr>
              <w:t>Categoría de lugar de destino</w:t>
            </w:r>
          </w:p>
        </w:tc>
        <w:tc>
          <w:tcPr>
            <w:tcW w:w="8150" w:type="dxa"/>
            <w:gridSpan w:val="4"/>
          </w:tcPr>
          <w:p w14:paraId="06DA7E7E" w14:textId="77777777" w:rsidR="009F2A40" w:rsidRPr="000156BF" w:rsidRDefault="009F2A40" w:rsidP="000156BF">
            <w:pPr>
              <w:jc w:val="center"/>
              <w:rPr>
                <w:rFonts w:asciiTheme="majorHAnsi" w:hAnsiTheme="majorHAnsi"/>
                <w:i/>
                <w:sz w:val="22"/>
                <w:szCs w:val="22"/>
              </w:rPr>
            </w:pPr>
            <w:r>
              <w:rPr>
                <w:rFonts w:asciiTheme="majorHAnsi" w:hAnsiTheme="majorHAnsi"/>
                <w:i/>
                <w:sz w:val="22"/>
              </w:rPr>
              <w:t>Número de asignaciones</w:t>
            </w:r>
          </w:p>
        </w:tc>
      </w:tr>
      <w:tr w:rsidR="009F2A40" w:rsidRPr="000156BF" w14:paraId="569ACB0E" w14:textId="77777777" w:rsidTr="004839E2">
        <w:trPr>
          <w:trHeight w:val="158"/>
        </w:trPr>
        <w:tc>
          <w:tcPr>
            <w:tcW w:w="2036" w:type="dxa"/>
            <w:vMerge/>
          </w:tcPr>
          <w:p w14:paraId="5A1AC295" w14:textId="77777777" w:rsidR="009F2A40" w:rsidRPr="000156BF" w:rsidRDefault="009F2A40" w:rsidP="000156BF">
            <w:pPr>
              <w:jc w:val="center"/>
              <w:rPr>
                <w:rFonts w:asciiTheme="majorHAnsi" w:hAnsiTheme="majorHAnsi"/>
                <w:sz w:val="22"/>
                <w:szCs w:val="22"/>
              </w:rPr>
            </w:pPr>
          </w:p>
        </w:tc>
        <w:tc>
          <w:tcPr>
            <w:tcW w:w="2036" w:type="dxa"/>
          </w:tcPr>
          <w:p w14:paraId="4FA7B215" w14:textId="77777777" w:rsidR="009F2A40" w:rsidRPr="000156BF" w:rsidRDefault="009F2A40" w:rsidP="000156BF">
            <w:pPr>
              <w:jc w:val="center"/>
              <w:rPr>
                <w:rFonts w:asciiTheme="majorHAnsi" w:hAnsiTheme="majorHAnsi"/>
                <w:sz w:val="22"/>
                <w:szCs w:val="22"/>
              </w:rPr>
            </w:pPr>
            <w:r>
              <w:rPr>
                <w:rFonts w:asciiTheme="majorHAnsi" w:hAnsiTheme="majorHAnsi"/>
                <w:sz w:val="22"/>
              </w:rPr>
              <w:t>1</w:t>
            </w:r>
          </w:p>
        </w:tc>
        <w:tc>
          <w:tcPr>
            <w:tcW w:w="2036" w:type="dxa"/>
          </w:tcPr>
          <w:p w14:paraId="6F67B54E" w14:textId="77777777" w:rsidR="009F2A40" w:rsidRPr="000156BF" w:rsidRDefault="009F2A40" w:rsidP="000156BF">
            <w:pPr>
              <w:jc w:val="center"/>
              <w:rPr>
                <w:rFonts w:asciiTheme="majorHAnsi" w:hAnsiTheme="majorHAnsi"/>
                <w:sz w:val="22"/>
                <w:szCs w:val="22"/>
              </w:rPr>
            </w:pPr>
            <w:r>
              <w:rPr>
                <w:rFonts w:asciiTheme="majorHAnsi" w:hAnsiTheme="majorHAnsi"/>
                <w:sz w:val="22"/>
              </w:rPr>
              <w:t>2-3</w:t>
            </w:r>
          </w:p>
        </w:tc>
        <w:tc>
          <w:tcPr>
            <w:tcW w:w="2036" w:type="dxa"/>
          </w:tcPr>
          <w:p w14:paraId="78A35DD4" w14:textId="77777777" w:rsidR="009F2A40" w:rsidRPr="000156BF" w:rsidRDefault="009F2A40" w:rsidP="000156BF">
            <w:pPr>
              <w:jc w:val="center"/>
              <w:rPr>
                <w:rFonts w:asciiTheme="majorHAnsi" w:hAnsiTheme="majorHAnsi"/>
                <w:sz w:val="22"/>
                <w:szCs w:val="22"/>
              </w:rPr>
            </w:pPr>
            <w:r>
              <w:rPr>
                <w:rFonts w:asciiTheme="majorHAnsi" w:hAnsiTheme="majorHAnsi"/>
                <w:sz w:val="22"/>
              </w:rPr>
              <w:t>4-6</w:t>
            </w:r>
          </w:p>
        </w:tc>
        <w:tc>
          <w:tcPr>
            <w:tcW w:w="2042" w:type="dxa"/>
          </w:tcPr>
          <w:p w14:paraId="2E538ED2" w14:textId="77777777" w:rsidR="009F2A40" w:rsidRPr="000156BF" w:rsidRDefault="009F2A40" w:rsidP="000156BF">
            <w:pPr>
              <w:jc w:val="center"/>
              <w:rPr>
                <w:rFonts w:asciiTheme="majorHAnsi" w:hAnsiTheme="majorHAnsi"/>
                <w:sz w:val="22"/>
                <w:szCs w:val="22"/>
              </w:rPr>
            </w:pPr>
            <w:r>
              <w:rPr>
                <w:rFonts w:asciiTheme="majorHAnsi" w:hAnsiTheme="majorHAnsi"/>
                <w:sz w:val="22"/>
              </w:rPr>
              <w:t>Más de 7</w:t>
            </w:r>
          </w:p>
        </w:tc>
      </w:tr>
      <w:tr w:rsidR="009F2A40" w:rsidRPr="000156BF" w14:paraId="57432769" w14:textId="77777777" w:rsidTr="004839E2">
        <w:trPr>
          <w:trHeight w:val="304"/>
        </w:trPr>
        <w:tc>
          <w:tcPr>
            <w:tcW w:w="2036" w:type="dxa"/>
          </w:tcPr>
          <w:p w14:paraId="0B6CBDD8" w14:textId="77777777" w:rsidR="009F2A40" w:rsidRPr="000156BF" w:rsidRDefault="009F2A40" w:rsidP="000156BF">
            <w:pPr>
              <w:jc w:val="center"/>
              <w:rPr>
                <w:rFonts w:asciiTheme="majorHAnsi" w:hAnsiTheme="majorHAnsi"/>
                <w:sz w:val="22"/>
                <w:szCs w:val="22"/>
              </w:rPr>
            </w:pPr>
            <w:r>
              <w:rPr>
                <w:rFonts w:asciiTheme="majorHAnsi" w:hAnsiTheme="majorHAnsi"/>
                <w:sz w:val="22"/>
              </w:rPr>
              <w:t>A-E</w:t>
            </w:r>
          </w:p>
        </w:tc>
        <w:tc>
          <w:tcPr>
            <w:tcW w:w="2036" w:type="dxa"/>
          </w:tcPr>
          <w:p w14:paraId="65BBAE34" w14:textId="77777777" w:rsidR="009F2A40" w:rsidRPr="000156BF" w:rsidRDefault="009F2A40" w:rsidP="000156BF">
            <w:pPr>
              <w:jc w:val="center"/>
              <w:rPr>
                <w:rFonts w:asciiTheme="majorHAnsi" w:hAnsiTheme="majorHAnsi"/>
                <w:sz w:val="22"/>
                <w:szCs w:val="22"/>
              </w:rPr>
            </w:pPr>
            <w:r>
              <w:rPr>
                <w:rFonts w:asciiTheme="majorHAnsi" w:hAnsiTheme="majorHAnsi"/>
                <w:sz w:val="22"/>
              </w:rPr>
              <w:t>0</w:t>
            </w:r>
          </w:p>
        </w:tc>
        <w:tc>
          <w:tcPr>
            <w:tcW w:w="2036" w:type="dxa"/>
          </w:tcPr>
          <w:p w14:paraId="6C16FD92" w14:textId="77777777" w:rsidR="009F2A40" w:rsidRPr="000156BF" w:rsidRDefault="009F2A40" w:rsidP="000156BF">
            <w:pPr>
              <w:jc w:val="center"/>
              <w:rPr>
                <w:rFonts w:asciiTheme="majorHAnsi" w:hAnsiTheme="majorHAnsi"/>
                <w:b/>
                <w:sz w:val="22"/>
                <w:szCs w:val="22"/>
              </w:rPr>
            </w:pPr>
            <w:r>
              <w:rPr>
                <w:rFonts w:asciiTheme="majorHAnsi" w:hAnsiTheme="majorHAnsi"/>
                <w:b/>
                <w:sz w:val="22"/>
              </w:rPr>
              <w:t>6500</w:t>
            </w:r>
          </w:p>
        </w:tc>
        <w:tc>
          <w:tcPr>
            <w:tcW w:w="2036" w:type="dxa"/>
          </w:tcPr>
          <w:p w14:paraId="490AAD78" w14:textId="77777777" w:rsidR="009F2A40" w:rsidRPr="000156BF" w:rsidRDefault="009F2A40" w:rsidP="000156BF">
            <w:pPr>
              <w:jc w:val="center"/>
              <w:rPr>
                <w:rFonts w:asciiTheme="majorHAnsi" w:hAnsiTheme="majorHAnsi"/>
                <w:b/>
                <w:sz w:val="22"/>
                <w:szCs w:val="22"/>
              </w:rPr>
            </w:pPr>
            <w:r>
              <w:rPr>
                <w:rFonts w:asciiTheme="majorHAnsi" w:hAnsiTheme="majorHAnsi"/>
                <w:b/>
                <w:sz w:val="22"/>
              </w:rPr>
              <w:t>8125</w:t>
            </w:r>
          </w:p>
        </w:tc>
        <w:tc>
          <w:tcPr>
            <w:tcW w:w="2042" w:type="dxa"/>
          </w:tcPr>
          <w:p w14:paraId="39ADAFEF" w14:textId="77777777" w:rsidR="009F2A40" w:rsidRPr="000156BF" w:rsidRDefault="009F2A40" w:rsidP="000156BF">
            <w:pPr>
              <w:jc w:val="center"/>
              <w:rPr>
                <w:rFonts w:asciiTheme="majorHAnsi" w:hAnsiTheme="majorHAnsi"/>
                <w:b/>
                <w:sz w:val="22"/>
                <w:szCs w:val="22"/>
              </w:rPr>
            </w:pPr>
            <w:r>
              <w:rPr>
                <w:rFonts w:asciiTheme="majorHAnsi" w:hAnsiTheme="majorHAnsi"/>
                <w:b/>
                <w:sz w:val="22"/>
              </w:rPr>
              <w:t>9750</w:t>
            </w:r>
          </w:p>
        </w:tc>
      </w:tr>
    </w:tbl>
    <w:p w14:paraId="464BBAD7" w14:textId="77777777" w:rsidR="009F2A40" w:rsidRPr="000156BF" w:rsidRDefault="009F2A40" w:rsidP="000156BF">
      <w:pPr>
        <w:rPr>
          <w:rFonts w:asciiTheme="majorHAnsi" w:hAnsiTheme="majorHAnsi"/>
          <w:sz w:val="22"/>
          <w:szCs w:val="22"/>
        </w:rPr>
      </w:pPr>
    </w:p>
    <w:tbl>
      <w:tblPr>
        <w:tblStyle w:val="TableGrid"/>
        <w:tblW w:w="0" w:type="auto"/>
        <w:tblLook w:val="04A0" w:firstRow="1" w:lastRow="0" w:firstColumn="1" w:lastColumn="0" w:noHBand="0" w:noVBand="1"/>
      </w:tblPr>
      <w:tblGrid>
        <w:gridCol w:w="1811"/>
        <w:gridCol w:w="1632"/>
        <w:gridCol w:w="1711"/>
        <w:gridCol w:w="1737"/>
        <w:gridCol w:w="1739"/>
      </w:tblGrid>
      <w:tr w:rsidR="009F2A40" w:rsidRPr="000156BF" w14:paraId="0A3F33B4" w14:textId="77777777" w:rsidTr="004839E2">
        <w:trPr>
          <w:trHeight w:val="297"/>
        </w:trPr>
        <w:tc>
          <w:tcPr>
            <w:tcW w:w="10182" w:type="dxa"/>
            <w:gridSpan w:val="5"/>
          </w:tcPr>
          <w:p w14:paraId="624B9FD2" w14:textId="77777777" w:rsidR="009F2A40" w:rsidRPr="000156BF" w:rsidRDefault="009F2A40" w:rsidP="000156BF">
            <w:pPr>
              <w:rPr>
                <w:rFonts w:asciiTheme="majorHAnsi" w:hAnsiTheme="majorHAnsi"/>
                <w:b/>
                <w:sz w:val="22"/>
                <w:szCs w:val="22"/>
              </w:rPr>
            </w:pPr>
            <w:r>
              <w:rPr>
                <w:rFonts w:asciiTheme="majorHAnsi" w:hAnsiTheme="majorHAnsi"/>
                <w:b/>
                <w:sz w:val="22"/>
              </w:rPr>
              <w:t>P-4 a P-5 y FS 7</w:t>
            </w:r>
          </w:p>
        </w:tc>
      </w:tr>
      <w:tr w:rsidR="009F2A40" w:rsidRPr="000156BF" w14:paraId="09BD3FFA" w14:textId="77777777" w:rsidTr="004839E2">
        <w:trPr>
          <w:trHeight w:val="297"/>
        </w:trPr>
        <w:tc>
          <w:tcPr>
            <w:tcW w:w="2036" w:type="dxa"/>
            <w:vMerge w:val="restart"/>
          </w:tcPr>
          <w:p w14:paraId="35AF2FE5" w14:textId="77777777" w:rsidR="009F2A40" w:rsidRPr="000156BF" w:rsidRDefault="009F2A40" w:rsidP="000156BF">
            <w:pPr>
              <w:jc w:val="center"/>
              <w:rPr>
                <w:rFonts w:asciiTheme="majorHAnsi" w:hAnsiTheme="majorHAnsi"/>
                <w:i/>
                <w:sz w:val="22"/>
                <w:szCs w:val="22"/>
              </w:rPr>
            </w:pPr>
            <w:r>
              <w:rPr>
                <w:rFonts w:asciiTheme="majorHAnsi" w:hAnsiTheme="majorHAnsi"/>
                <w:i/>
                <w:sz w:val="22"/>
              </w:rPr>
              <w:t>Categoría de lugar de destino</w:t>
            </w:r>
          </w:p>
        </w:tc>
        <w:tc>
          <w:tcPr>
            <w:tcW w:w="8146" w:type="dxa"/>
            <w:gridSpan w:val="4"/>
          </w:tcPr>
          <w:p w14:paraId="1CCD442D" w14:textId="77777777" w:rsidR="009F2A40" w:rsidRPr="000156BF" w:rsidRDefault="009F2A40" w:rsidP="000156BF">
            <w:pPr>
              <w:jc w:val="center"/>
              <w:rPr>
                <w:rFonts w:asciiTheme="majorHAnsi" w:hAnsiTheme="majorHAnsi"/>
                <w:i/>
                <w:sz w:val="22"/>
                <w:szCs w:val="22"/>
              </w:rPr>
            </w:pPr>
            <w:r>
              <w:rPr>
                <w:rFonts w:asciiTheme="majorHAnsi" w:hAnsiTheme="majorHAnsi"/>
                <w:i/>
                <w:sz w:val="22"/>
              </w:rPr>
              <w:t>Número de asignaciones</w:t>
            </w:r>
          </w:p>
        </w:tc>
      </w:tr>
      <w:tr w:rsidR="009F2A40" w:rsidRPr="000156BF" w14:paraId="63F01FC1" w14:textId="77777777" w:rsidTr="004839E2">
        <w:trPr>
          <w:trHeight w:val="155"/>
        </w:trPr>
        <w:tc>
          <w:tcPr>
            <w:tcW w:w="2036" w:type="dxa"/>
            <w:vMerge/>
          </w:tcPr>
          <w:p w14:paraId="3C4C1431" w14:textId="77777777" w:rsidR="009F2A40" w:rsidRPr="000156BF" w:rsidRDefault="009F2A40" w:rsidP="000156BF">
            <w:pPr>
              <w:jc w:val="center"/>
              <w:rPr>
                <w:rFonts w:asciiTheme="majorHAnsi" w:hAnsiTheme="majorHAnsi"/>
                <w:sz w:val="22"/>
                <w:szCs w:val="22"/>
              </w:rPr>
            </w:pPr>
          </w:p>
        </w:tc>
        <w:tc>
          <w:tcPr>
            <w:tcW w:w="2036" w:type="dxa"/>
          </w:tcPr>
          <w:p w14:paraId="4DAF6262" w14:textId="77777777" w:rsidR="009F2A40" w:rsidRPr="000156BF" w:rsidRDefault="009F2A40" w:rsidP="000156BF">
            <w:pPr>
              <w:jc w:val="center"/>
              <w:rPr>
                <w:rFonts w:asciiTheme="majorHAnsi" w:hAnsiTheme="majorHAnsi"/>
                <w:sz w:val="22"/>
                <w:szCs w:val="22"/>
              </w:rPr>
            </w:pPr>
            <w:r>
              <w:rPr>
                <w:rFonts w:asciiTheme="majorHAnsi" w:hAnsiTheme="majorHAnsi"/>
                <w:sz w:val="22"/>
              </w:rPr>
              <w:t>1</w:t>
            </w:r>
          </w:p>
        </w:tc>
        <w:tc>
          <w:tcPr>
            <w:tcW w:w="2036" w:type="dxa"/>
          </w:tcPr>
          <w:p w14:paraId="5C5E277C" w14:textId="77777777" w:rsidR="009F2A40" w:rsidRPr="000156BF" w:rsidRDefault="009F2A40" w:rsidP="000156BF">
            <w:pPr>
              <w:jc w:val="center"/>
              <w:rPr>
                <w:rFonts w:asciiTheme="majorHAnsi" w:hAnsiTheme="majorHAnsi"/>
                <w:sz w:val="22"/>
                <w:szCs w:val="22"/>
              </w:rPr>
            </w:pPr>
            <w:r>
              <w:rPr>
                <w:rFonts w:asciiTheme="majorHAnsi" w:hAnsiTheme="majorHAnsi"/>
                <w:sz w:val="22"/>
              </w:rPr>
              <w:t>2-3</w:t>
            </w:r>
          </w:p>
        </w:tc>
        <w:tc>
          <w:tcPr>
            <w:tcW w:w="2036" w:type="dxa"/>
          </w:tcPr>
          <w:p w14:paraId="231DB0BE" w14:textId="77777777" w:rsidR="009F2A40" w:rsidRPr="000156BF" w:rsidRDefault="009F2A40" w:rsidP="000156BF">
            <w:pPr>
              <w:jc w:val="center"/>
              <w:rPr>
                <w:rFonts w:asciiTheme="majorHAnsi" w:hAnsiTheme="majorHAnsi"/>
                <w:sz w:val="22"/>
                <w:szCs w:val="22"/>
              </w:rPr>
            </w:pPr>
            <w:r>
              <w:rPr>
                <w:rFonts w:asciiTheme="majorHAnsi" w:hAnsiTheme="majorHAnsi"/>
                <w:sz w:val="22"/>
              </w:rPr>
              <w:t>4-6</w:t>
            </w:r>
          </w:p>
        </w:tc>
        <w:tc>
          <w:tcPr>
            <w:tcW w:w="2038" w:type="dxa"/>
          </w:tcPr>
          <w:p w14:paraId="451223B1" w14:textId="77777777" w:rsidR="009F2A40" w:rsidRPr="000156BF" w:rsidRDefault="009F2A40" w:rsidP="000156BF">
            <w:pPr>
              <w:jc w:val="center"/>
              <w:rPr>
                <w:rFonts w:asciiTheme="majorHAnsi" w:hAnsiTheme="majorHAnsi"/>
                <w:sz w:val="22"/>
                <w:szCs w:val="22"/>
              </w:rPr>
            </w:pPr>
            <w:r>
              <w:rPr>
                <w:rFonts w:asciiTheme="majorHAnsi" w:hAnsiTheme="majorHAnsi"/>
                <w:sz w:val="22"/>
              </w:rPr>
              <w:t>Más de 7</w:t>
            </w:r>
          </w:p>
        </w:tc>
      </w:tr>
      <w:tr w:rsidR="009F2A40" w:rsidRPr="000156BF" w14:paraId="0118DC87" w14:textId="77777777" w:rsidTr="004839E2">
        <w:trPr>
          <w:trHeight w:val="297"/>
        </w:trPr>
        <w:tc>
          <w:tcPr>
            <w:tcW w:w="2036" w:type="dxa"/>
          </w:tcPr>
          <w:p w14:paraId="0DFF22E2" w14:textId="77777777" w:rsidR="009F2A40" w:rsidRPr="000156BF" w:rsidRDefault="009F2A40" w:rsidP="000156BF">
            <w:pPr>
              <w:jc w:val="center"/>
              <w:rPr>
                <w:rFonts w:asciiTheme="majorHAnsi" w:hAnsiTheme="majorHAnsi"/>
                <w:sz w:val="22"/>
                <w:szCs w:val="22"/>
              </w:rPr>
            </w:pPr>
            <w:r>
              <w:rPr>
                <w:rFonts w:asciiTheme="majorHAnsi" w:hAnsiTheme="majorHAnsi"/>
                <w:sz w:val="22"/>
              </w:rPr>
              <w:t>A-E</w:t>
            </w:r>
          </w:p>
        </w:tc>
        <w:tc>
          <w:tcPr>
            <w:tcW w:w="2036" w:type="dxa"/>
          </w:tcPr>
          <w:p w14:paraId="0FE9DD92" w14:textId="77777777" w:rsidR="009F2A40" w:rsidRPr="000156BF" w:rsidRDefault="009F2A40" w:rsidP="000156BF">
            <w:pPr>
              <w:jc w:val="center"/>
              <w:rPr>
                <w:rFonts w:asciiTheme="majorHAnsi" w:hAnsiTheme="majorHAnsi"/>
                <w:sz w:val="22"/>
                <w:szCs w:val="22"/>
              </w:rPr>
            </w:pPr>
            <w:r>
              <w:rPr>
                <w:rFonts w:asciiTheme="majorHAnsi" w:hAnsiTheme="majorHAnsi"/>
                <w:sz w:val="22"/>
              </w:rPr>
              <w:t>0</w:t>
            </w:r>
          </w:p>
        </w:tc>
        <w:tc>
          <w:tcPr>
            <w:tcW w:w="2036" w:type="dxa"/>
          </w:tcPr>
          <w:p w14:paraId="19E5D6A0" w14:textId="77777777" w:rsidR="009F2A40" w:rsidRPr="000156BF" w:rsidRDefault="009F2A40" w:rsidP="000156BF">
            <w:pPr>
              <w:jc w:val="center"/>
              <w:rPr>
                <w:rFonts w:asciiTheme="majorHAnsi" w:hAnsiTheme="majorHAnsi"/>
                <w:b/>
                <w:sz w:val="22"/>
                <w:szCs w:val="22"/>
              </w:rPr>
            </w:pPr>
            <w:r>
              <w:rPr>
                <w:rFonts w:asciiTheme="majorHAnsi" w:hAnsiTheme="majorHAnsi"/>
                <w:b/>
                <w:sz w:val="22"/>
              </w:rPr>
              <w:t>8125</w:t>
            </w:r>
          </w:p>
        </w:tc>
        <w:tc>
          <w:tcPr>
            <w:tcW w:w="2036" w:type="dxa"/>
          </w:tcPr>
          <w:p w14:paraId="21676E86" w14:textId="2BAF2979" w:rsidR="009F2A40" w:rsidRPr="000156BF" w:rsidRDefault="009F2A40" w:rsidP="000156BF">
            <w:pPr>
              <w:jc w:val="center"/>
              <w:rPr>
                <w:rFonts w:asciiTheme="majorHAnsi" w:hAnsiTheme="majorHAnsi"/>
                <w:b/>
                <w:sz w:val="22"/>
                <w:szCs w:val="22"/>
              </w:rPr>
            </w:pPr>
            <w:r>
              <w:rPr>
                <w:rFonts w:asciiTheme="majorHAnsi" w:hAnsiTheme="majorHAnsi"/>
                <w:b/>
                <w:sz w:val="22"/>
              </w:rPr>
              <w:t>10156</w:t>
            </w:r>
          </w:p>
        </w:tc>
        <w:tc>
          <w:tcPr>
            <w:tcW w:w="2038" w:type="dxa"/>
          </w:tcPr>
          <w:p w14:paraId="1807DF94" w14:textId="79D6DF5F" w:rsidR="009F2A40" w:rsidRPr="000156BF" w:rsidRDefault="009F2A40" w:rsidP="000156BF">
            <w:pPr>
              <w:jc w:val="center"/>
              <w:rPr>
                <w:rFonts w:asciiTheme="majorHAnsi" w:hAnsiTheme="majorHAnsi"/>
                <w:b/>
                <w:sz w:val="22"/>
                <w:szCs w:val="22"/>
              </w:rPr>
            </w:pPr>
            <w:r>
              <w:rPr>
                <w:rFonts w:asciiTheme="majorHAnsi" w:hAnsiTheme="majorHAnsi"/>
                <w:b/>
                <w:sz w:val="22"/>
              </w:rPr>
              <w:t>12188</w:t>
            </w:r>
          </w:p>
        </w:tc>
      </w:tr>
    </w:tbl>
    <w:p w14:paraId="31D0DD84" w14:textId="77777777" w:rsidR="009F2A40" w:rsidRPr="000156BF" w:rsidRDefault="009F2A40" w:rsidP="000156BF">
      <w:pPr>
        <w:rPr>
          <w:rFonts w:asciiTheme="majorHAnsi" w:hAnsiTheme="majorHAnsi"/>
          <w:sz w:val="22"/>
          <w:szCs w:val="22"/>
        </w:rPr>
      </w:pPr>
    </w:p>
    <w:tbl>
      <w:tblPr>
        <w:tblStyle w:val="TableGrid"/>
        <w:tblW w:w="0" w:type="auto"/>
        <w:tblLook w:val="04A0" w:firstRow="1" w:lastRow="0" w:firstColumn="1" w:lastColumn="0" w:noHBand="0" w:noVBand="1"/>
      </w:tblPr>
      <w:tblGrid>
        <w:gridCol w:w="1811"/>
        <w:gridCol w:w="1631"/>
        <w:gridCol w:w="1711"/>
        <w:gridCol w:w="1737"/>
        <w:gridCol w:w="1740"/>
      </w:tblGrid>
      <w:tr w:rsidR="009F2A40" w:rsidRPr="000156BF" w14:paraId="015FE76F" w14:textId="77777777" w:rsidTr="004839E2">
        <w:trPr>
          <w:trHeight w:val="473"/>
        </w:trPr>
        <w:tc>
          <w:tcPr>
            <w:tcW w:w="10184" w:type="dxa"/>
            <w:gridSpan w:val="5"/>
          </w:tcPr>
          <w:p w14:paraId="34CEECD1" w14:textId="77777777" w:rsidR="009F2A40" w:rsidRPr="000156BF" w:rsidRDefault="009F2A40" w:rsidP="000156BF">
            <w:pPr>
              <w:rPr>
                <w:rFonts w:asciiTheme="majorHAnsi" w:hAnsiTheme="majorHAnsi"/>
                <w:b/>
                <w:sz w:val="22"/>
                <w:szCs w:val="22"/>
              </w:rPr>
            </w:pPr>
            <w:r>
              <w:rPr>
                <w:rFonts w:asciiTheme="majorHAnsi" w:hAnsiTheme="majorHAnsi"/>
                <w:b/>
                <w:sz w:val="22"/>
              </w:rPr>
              <w:t>D-1 y superiores</w:t>
            </w:r>
          </w:p>
        </w:tc>
      </w:tr>
      <w:tr w:rsidR="009F2A40" w:rsidRPr="000156BF" w14:paraId="31D28505" w14:textId="77777777" w:rsidTr="004839E2">
        <w:trPr>
          <w:trHeight w:val="473"/>
        </w:trPr>
        <w:tc>
          <w:tcPr>
            <w:tcW w:w="2036" w:type="dxa"/>
            <w:vMerge w:val="restart"/>
          </w:tcPr>
          <w:p w14:paraId="573E2C75" w14:textId="77777777" w:rsidR="009F2A40" w:rsidRPr="000156BF" w:rsidRDefault="009F2A40" w:rsidP="000156BF">
            <w:pPr>
              <w:jc w:val="center"/>
              <w:rPr>
                <w:rFonts w:asciiTheme="majorHAnsi" w:hAnsiTheme="majorHAnsi"/>
                <w:i/>
                <w:sz w:val="22"/>
                <w:szCs w:val="22"/>
              </w:rPr>
            </w:pPr>
            <w:r>
              <w:rPr>
                <w:rFonts w:asciiTheme="majorHAnsi" w:hAnsiTheme="majorHAnsi"/>
                <w:i/>
                <w:sz w:val="22"/>
              </w:rPr>
              <w:t>Categoría de lugar de destino</w:t>
            </w:r>
          </w:p>
        </w:tc>
        <w:tc>
          <w:tcPr>
            <w:tcW w:w="8148" w:type="dxa"/>
            <w:gridSpan w:val="4"/>
          </w:tcPr>
          <w:p w14:paraId="073C5D43" w14:textId="77777777" w:rsidR="009F2A40" w:rsidRPr="000156BF" w:rsidRDefault="009F2A40" w:rsidP="000156BF">
            <w:pPr>
              <w:jc w:val="center"/>
              <w:rPr>
                <w:rFonts w:asciiTheme="majorHAnsi" w:hAnsiTheme="majorHAnsi"/>
                <w:i/>
                <w:sz w:val="22"/>
                <w:szCs w:val="22"/>
              </w:rPr>
            </w:pPr>
            <w:r>
              <w:rPr>
                <w:rFonts w:asciiTheme="majorHAnsi" w:hAnsiTheme="majorHAnsi"/>
                <w:i/>
                <w:sz w:val="22"/>
              </w:rPr>
              <w:t>Número de asignaciones</w:t>
            </w:r>
          </w:p>
        </w:tc>
      </w:tr>
      <w:tr w:rsidR="009F2A40" w:rsidRPr="000156BF" w14:paraId="26DB4F27" w14:textId="77777777" w:rsidTr="004839E2">
        <w:trPr>
          <w:trHeight w:val="247"/>
        </w:trPr>
        <w:tc>
          <w:tcPr>
            <w:tcW w:w="2036" w:type="dxa"/>
            <w:vMerge/>
          </w:tcPr>
          <w:p w14:paraId="7445D4B3" w14:textId="77777777" w:rsidR="009F2A40" w:rsidRPr="000156BF" w:rsidRDefault="009F2A40" w:rsidP="000156BF">
            <w:pPr>
              <w:jc w:val="center"/>
              <w:rPr>
                <w:rFonts w:asciiTheme="majorHAnsi" w:hAnsiTheme="majorHAnsi"/>
                <w:sz w:val="22"/>
                <w:szCs w:val="22"/>
              </w:rPr>
            </w:pPr>
          </w:p>
        </w:tc>
        <w:tc>
          <w:tcPr>
            <w:tcW w:w="2036" w:type="dxa"/>
          </w:tcPr>
          <w:p w14:paraId="35FDC699" w14:textId="77777777" w:rsidR="009F2A40" w:rsidRPr="000156BF" w:rsidRDefault="009F2A40" w:rsidP="000156BF">
            <w:pPr>
              <w:jc w:val="center"/>
              <w:rPr>
                <w:rFonts w:asciiTheme="majorHAnsi" w:hAnsiTheme="majorHAnsi"/>
                <w:sz w:val="22"/>
                <w:szCs w:val="22"/>
              </w:rPr>
            </w:pPr>
            <w:r>
              <w:rPr>
                <w:rFonts w:asciiTheme="majorHAnsi" w:hAnsiTheme="majorHAnsi"/>
                <w:sz w:val="22"/>
              </w:rPr>
              <w:t>1</w:t>
            </w:r>
          </w:p>
        </w:tc>
        <w:tc>
          <w:tcPr>
            <w:tcW w:w="2036" w:type="dxa"/>
          </w:tcPr>
          <w:p w14:paraId="63B8A0E4" w14:textId="77777777" w:rsidR="009F2A40" w:rsidRPr="000156BF" w:rsidRDefault="009F2A40" w:rsidP="000156BF">
            <w:pPr>
              <w:jc w:val="center"/>
              <w:rPr>
                <w:rFonts w:asciiTheme="majorHAnsi" w:hAnsiTheme="majorHAnsi"/>
                <w:sz w:val="22"/>
                <w:szCs w:val="22"/>
              </w:rPr>
            </w:pPr>
            <w:r>
              <w:rPr>
                <w:rFonts w:asciiTheme="majorHAnsi" w:hAnsiTheme="majorHAnsi"/>
                <w:sz w:val="22"/>
              </w:rPr>
              <w:t>2-3</w:t>
            </w:r>
          </w:p>
        </w:tc>
        <w:tc>
          <w:tcPr>
            <w:tcW w:w="2036" w:type="dxa"/>
          </w:tcPr>
          <w:p w14:paraId="3D012558" w14:textId="77777777" w:rsidR="009F2A40" w:rsidRPr="000156BF" w:rsidRDefault="009F2A40" w:rsidP="000156BF">
            <w:pPr>
              <w:jc w:val="center"/>
              <w:rPr>
                <w:rFonts w:asciiTheme="majorHAnsi" w:hAnsiTheme="majorHAnsi"/>
                <w:sz w:val="22"/>
                <w:szCs w:val="22"/>
              </w:rPr>
            </w:pPr>
            <w:r>
              <w:rPr>
                <w:rFonts w:asciiTheme="majorHAnsi" w:hAnsiTheme="majorHAnsi"/>
                <w:sz w:val="22"/>
              </w:rPr>
              <w:t>4-6</w:t>
            </w:r>
          </w:p>
        </w:tc>
        <w:tc>
          <w:tcPr>
            <w:tcW w:w="2040" w:type="dxa"/>
          </w:tcPr>
          <w:p w14:paraId="700264A0" w14:textId="77777777" w:rsidR="009F2A40" w:rsidRPr="000156BF" w:rsidRDefault="009F2A40" w:rsidP="000156BF">
            <w:pPr>
              <w:jc w:val="center"/>
              <w:rPr>
                <w:rFonts w:asciiTheme="majorHAnsi" w:hAnsiTheme="majorHAnsi"/>
                <w:sz w:val="22"/>
                <w:szCs w:val="22"/>
              </w:rPr>
            </w:pPr>
            <w:r>
              <w:rPr>
                <w:rFonts w:asciiTheme="majorHAnsi" w:hAnsiTheme="majorHAnsi"/>
                <w:sz w:val="22"/>
              </w:rPr>
              <w:t>Más de 7</w:t>
            </w:r>
          </w:p>
        </w:tc>
      </w:tr>
      <w:tr w:rsidR="009F2A40" w:rsidRPr="000156BF" w14:paraId="2336B5F6" w14:textId="77777777" w:rsidTr="004839E2">
        <w:trPr>
          <w:trHeight w:val="473"/>
        </w:trPr>
        <w:tc>
          <w:tcPr>
            <w:tcW w:w="2036" w:type="dxa"/>
          </w:tcPr>
          <w:p w14:paraId="46785CEA" w14:textId="77777777" w:rsidR="009F2A40" w:rsidRPr="000156BF" w:rsidRDefault="009F2A40" w:rsidP="000156BF">
            <w:pPr>
              <w:jc w:val="center"/>
              <w:rPr>
                <w:rFonts w:asciiTheme="majorHAnsi" w:hAnsiTheme="majorHAnsi"/>
                <w:sz w:val="22"/>
                <w:szCs w:val="22"/>
              </w:rPr>
            </w:pPr>
            <w:r>
              <w:rPr>
                <w:rFonts w:asciiTheme="majorHAnsi" w:hAnsiTheme="majorHAnsi"/>
                <w:sz w:val="22"/>
              </w:rPr>
              <w:t>A-E</w:t>
            </w:r>
          </w:p>
        </w:tc>
        <w:tc>
          <w:tcPr>
            <w:tcW w:w="2036" w:type="dxa"/>
          </w:tcPr>
          <w:p w14:paraId="12915D5E" w14:textId="77777777" w:rsidR="009F2A40" w:rsidRPr="000156BF" w:rsidRDefault="009F2A40" w:rsidP="000156BF">
            <w:pPr>
              <w:jc w:val="center"/>
              <w:rPr>
                <w:rFonts w:asciiTheme="majorHAnsi" w:hAnsiTheme="majorHAnsi"/>
                <w:sz w:val="22"/>
                <w:szCs w:val="22"/>
              </w:rPr>
            </w:pPr>
            <w:r>
              <w:rPr>
                <w:rFonts w:asciiTheme="majorHAnsi" w:hAnsiTheme="majorHAnsi"/>
                <w:sz w:val="22"/>
              </w:rPr>
              <w:t>0</w:t>
            </w:r>
          </w:p>
        </w:tc>
        <w:tc>
          <w:tcPr>
            <w:tcW w:w="2036" w:type="dxa"/>
          </w:tcPr>
          <w:p w14:paraId="6DB7A940" w14:textId="77777777" w:rsidR="009F2A40" w:rsidRPr="000156BF" w:rsidRDefault="009F2A40" w:rsidP="000156BF">
            <w:pPr>
              <w:jc w:val="center"/>
              <w:rPr>
                <w:rFonts w:asciiTheme="majorHAnsi" w:hAnsiTheme="majorHAnsi"/>
                <w:b/>
                <w:sz w:val="22"/>
                <w:szCs w:val="22"/>
              </w:rPr>
            </w:pPr>
            <w:r>
              <w:rPr>
                <w:rFonts w:asciiTheme="majorHAnsi" w:hAnsiTheme="majorHAnsi"/>
                <w:b/>
                <w:sz w:val="22"/>
              </w:rPr>
              <w:t>9750</w:t>
            </w:r>
          </w:p>
        </w:tc>
        <w:tc>
          <w:tcPr>
            <w:tcW w:w="2036" w:type="dxa"/>
          </w:tcPr>
          <w:p w14:paraId="39E4EEBE" w14:textId="4344263D" w:rsidR="009F2A40" w:rsidRPr="000156BF" w:rsidRDefault="009F2A40" w:rsidP="000156BF">
            <w:pPr>
              <w:jc w:val="center"/>
              <w:rPr>
                <w:rFonts w:asciiTheme="majorHAnsi" w:hAnsiTheme="majorHAnsi"/>
                <w:b/>
                <w:sz w:val="22"/>
                <w:szCs w:val="22"/>
              </w:rPr>
            </w:pPr>
            <w:r>
              <w:rPr>
                <w:rFonts w:asciiTheme="majorHAnsi" w:hAnsiTheme="majorHAnsi"/>
                <w:b/>
                <w:sz w:val="22"/>
              </w:rPr>
              <w:t>12188</w:t>
            </w:r>
          </w:p>
        </w:tc>
        <w:tc>
          <w:tcPr>
            <w:tcW w:w="2040" w:type="dxa"/>
          </w:tcPr>
          <w:p w14:paraId="1EA7B77B" w14:textId="287BCD33" w:rsidR="009F2A40" w:rsidRPr="000156BF" w:rsidRDefault="009F2A40" w:rsidP="000156BF">
            <w:pPr>
              <w:jc w:val="center"/>
              <w:rPr>
                <w:rFonts w:asciiTheme="majorHAnsi" w:hAnsiTheme="majorHAnsi"/>
                <w:b/>
                <w:sz w:val="22"/>
                <w:szCs w:val="22"/>
              </w:rPr>
            </w:pPr>
            <w:r>
              <w:rPr>
                <w:rFonts w:asciiTheme="majorHAnsi" w:hAnsiTheme="majorHAnsi"/>
                <w:b/>
                <w:sz w:val="22"/>
              </w:rPr>
              <w:t>14625</w:t>
            </w:r>
          </w:p>
        </w:tc>
      </w:tr>
    </w:tbl>
    <w:p w14:paraId="04EF74C3" w14:textId="77777777" w:rsidR="009F2A40" w:rsidRPr="000156BF" w:rsidRDefault="009F2A40" w:rsidP="000156BF">
      <w:pPr>
        <w:rPr>
          <w:rFonts w:asciiTheme="majorHAnsi" w:hAnsiTheme="majorHAnsi"/>
          <w:sz w:val="22"/>
          <w:szCs w:val="22"/>
        </w:rPr>
      </w:pPr>
    </w:p>
    <w:p w14:paraId="697D0884" w14:textId="77777777" w:rsidR="009F2A40" w:rsidRPr="000156BF" w:rsidRDefault="009F2A40" w:rsidP="000156BF">
      <w:pPr>
        <w:rPr>
          <w:rFonts w:asciiTheme="majorHAnsi" w:hAnsiTheme="majorHAnsi"/>
          <w:b/>
          <w:sz w:val="22"/>
          <w:szCs w:val="22"/>
        </w:rPr>
      </w:pPr>
      <w:r>
        <w:rPr>
          <w:rFonts w:asciiTheme="majorHAnsi" w:hAnsiTheme="majorHAnsi"/>
          <w:b/>
          <w:sz w:val="22"/>
        </w:rPr>
        <w:t>Prestaciones por condiciones de vida difíciles</w:t>
      </w:r>
    </w:p>
    <w:p w14:paraId="7CBC9361" w14:textId="77777777" w:rsidR="009F2A40" w:rsidRPr="000156BF" w:rsidRDefault="009F2A40" w:rsidP="000156BF">
      <w:pPr>
        <w:rPr>
          <w:rFonts w:asciiTheme="majorHAnsi" w:hAnsiTheme="majorHAnsi"/>
          <w:b/>
          <w:sz w:val="22"/>
          <w:szCs w:val="22"/>
        </w:rPr>
      </w:pPr>
    </w:p>
    <w:p w14:paraId="696EF1DD" w14:textId="77777777" w:rsidR="009F2A40" w:rsidRPr="00C5354F" w:rsidRDefault="009F2A40" w:rsidP="000156BF">
      <w:pPr>
        <w:rPr>
          <w:rFonts w:asciiTheme="majorHAnsi" w:hAnsiTheme="majorHAnsi" w:cs="Arial"/>
          <w:sz w:val="22"/>
          <w:szCs w:val="22"/>
        </w:rPr>
      </w:pPr>
      <w:r>
        <w:rPr>
          <w:rFonts w:asciiTheme="majorHAnsi" w:hAnsiTheme="majorHAnsi"/>
          <w:sz w:val="22"/>
        </w:rPr>
        <w:t>NOTA: Las prestaciones por condiciones de vida difíciles no rigen para las asignaciones a las categorías H y A, y solo rigen para las asignaciones a lugares de destino en las categorías B a E.</w:t>
      </w:r>
    </w:p>
    <w:p w14:paraId="60418E6A" w14:textId="77777777" w:rsidR="009F2A40" w:rsidRPr="000156BF" w:rsidRDefault="009F2A40" w:rsidP="000156BF">
      <w:pPr>
        <w:rPr>
          <w:rFonts w:asciiTheme="majorHAnsi" w:hAnsiTheme="majorHAnsi"/>
          <w:sz w:val="22"/>
          <w:szCs w:val="22"/>
        </w:rPr>
      </w:pPr>
    </w:p>
    <w:p w14:paraId="2589FD71" w14:textId="77777777" w:rsidR="009F2A40" w:rsidRPr="000156BF" w:rsidRDefault="009F2A40" w:rsidP="000156BF">
      <w:pPr>
        <w:rPr>
          <w:rFonts w:asciiTheme="majorHAnsi" w:hAnsiTheme="majorHAnsi"/>
          <w:i/>
          <w:sz w:val="22"/>
          <w:szCs w:val="22"/>
        </w:rPr>
      </w:pPr>
      <w:r>
        <w:rPr>
          <w:rFonts w:asciiTheme="majorHAnsi" w:hAnsiTheme="majorHAnsi"/>
          <w:i/>
          <w:sz w:val="22"/>
        </w:rPr>
        <w:t>Montos anuales en dólares estadounidenses</w:t>
      </w:r>
    </w:p>
    <w:p w14:paraId="39CCAE5E" w14:textId="77777777" w:rsidR="009F2A40" w:rsidRPr="000156BF" w:rsidRDefault="009F2A40" w:rsidP="000156BF">
      <w:pPr>
        <w:rPr>
          <w:rFonts w:asciiTheme="majorHAnsi" w:hAnsiTheme="majorHAnsi"/>
          <w:i/>
          <w:sz w:val="22"/>
          <w:szCs w:val="22"/>
        </w:rPr>
      </w:pPr>
    </w:p>
    <w:tbl>
      <w:tblPr>
        <w:tblStyle w:val="TableGrid"/>
        <w:tblW w:w="0" w:type="auto"/>
        <w:tblLook w:val="04A0" w:firstRow="1" w:lastRow="0" w:firstColumn="1" w:lastColumn="0" w:noHBand="0" w:noVBand="1"/>
      </w:tblPr>
      <w:tblGrid>
        <w:gridCol w:w="1927"/>
        <w:gridCol w:w="2032"/>
        <w:gridCol w:w="2265"/>
        <w:gridCol w:w="2406"/>
      </w:tblGrid>
      <w:tr w:rsidR="009F2A40" w:rsidRPr="000156BF" w14:paraId="7E012776" w14:textId="77777777" w:rsidTr="78316006">
        <w:trPr>
          <w:trHeight w:val="304"/>
        </w:trPr>
        <w:tc>
          <w:tcPr>
            <w:tcW w:w="2201" w:type="dxa"/>
          </w:tcPr>
          <w:p w14:paraId="7C4A2F93" w14:textId="77777777" w:rsidR="009F2A40" w:rsidRPr="000156BF" w:rsidRDefault="009F2A40" w:rsidP="000156BF">
            <w:pPr>
              <w:jc w:val="center"/>
              <w:rPr>
                <w:rFonts w:asciiTheme="majorHAnsi" w:hAnsiTheme="majorHAnsi"/>
                <w:sz w:val="22"/>
                <w:szCs w:val="22"/>
              </w:rPr>
            </w:pPr>
            <w:r>
              <w:rPr>
                <w:rFonts w:asciiTheme="majorHAnsi" w:hAnsiTheme="majorHAnsi"/>
                <w:sz w:val="22"/>
              </w:rPr>
              <w:t>Categoría de lugar de destino</w:t>
            </w:r>
          </w:p>
        </w:tc>
        <w:tc>
          <w:tcPr>
            <w:tcW w:w="2438" w:type="dxa"/>
          </w:tcPr>
          <w:p w14:paraId="45101C07" w14:textId="77777777" w:rsidR="009F2A40" w:rsidRPr="000156BF" w:rsidRDefault="009F2A40" w:rsidP="000156BF">
            <w:pPr>
              <w:jc w:val="center"/>
              <w:rPr>
                <w:rFonts w:asciiTheme="majorHAnsi" w:hAnsiTheme="majorHAnsi"/>
                <w:sz w:val="22"/>
                <w:szCs w:val="22"/>
              </w:rPr>
            </w:pPr>
            <w:r>
              <w:rPr>
                <w:rFonts w:asciiTheme="majorHAnsi" w:hAnsiTheme="majorHAnsi"/>
                <w:sz w:val="22"/>
              </w:rPr>
              <w:t>P-1 a P-3</w:t>
            </w:r>
          </w:p>
          <w:p w14:paraId="16101BAD" w14:textId="77777777" w:rsidR="009F2A40" w:rsidRPr="000156BF" w:rsidRDefault="009F2A40" w:rsidP="000156BF">
            <w:pPr>
              <w:jc w:val="center"/>
              <w:rPr>
                <w:rFonts w:asciiTheme="majorHAnsi" w:hAnsiTheme="majorHAnsi"/>
                <w:sz w:val="22"/>
                <w:szCs w:val="22"/>
              </w:rPr>
            </w:pPr>
            <w:r>
              <w:rPr>
                <w:rFonts w:asciiTheme="majorHAnsi" w:hAnsiTheme="majorHAnsi"/>
                <w:sz w:val="22"/>
              </w:rPr>
              <w:t>y FS1 a FS6</w:t>
            </w:r>
          </w:p>
        </w:tc>
        <w:tc>
          <w:tcPr>
            <w:tcW w:w="2746" w:type="dxa"/>
          </w:tcPr>
          <w:p w14:paraId="03027B3E" w14:textId="77777777" w:rsidR="009F2A40" w:rsidRPr="000156BF" w:rsidRDefault="009F2A40" w:rsidP="000156BF">
            <w:pPr>
              <w:jc w:val="center"/>
              <w:rPr>
                <w:rFonts w:asciiTheme="majorHAnsi" w:hAnsiTheme="majorHAnsi"/>
                <w:sz w:val="22"/>
                <w:szCs w:val="22"/>
              </w:rPr>
            </w:pPr>
            <w:r>
              <w:rPr>
                <w:rFonts w:asciiTheme="majorHAnsi" w:hAnsiTheme="majorHAnsi"/>
                <w:sz w:val="22"/>
              </w:rPr>
              <w:t>P-4 a P-5</w:t>
            </w:r>
          </w:p>
          <w:p w14:paraId="113EA044" w14:textId="77777777" w:rsidR="009F2A40" w:rsidRPr="000156BF" w:rsidRDefault="009F2A40" w:rsidP="000156BF">
            <w:pPr>
              <w:jc w:val="center"/>
              <w:rPr>
                <w:rFonts w:asciiTheme="majorHAnsi" w:hAnsiTheme="majorHAnsi"/>
                <w:sz w:val="22"/>
                <w:szCs w:val="22"/>
              </w:rPr>
            </w:pPr>
            <w:r>
              <w:rPr>
                <w:rFonts w:asciiTheme="majorHAnsi" w:hAnsiTheme="majorHAnsi"/>
                <w:sz w:val="22"/>
              </w:rPr>
              <w:t>y FS-7</w:t>
            </w:r>
          </w:p>
        </w:tc>
        <w:tc>
          <w:tcPr>
            <w:tcW w:w="2808" w:type="dxa"/>
          </w:tcPr>
          <w:p w14:paraId="2A9700A9" w14:textId="77777777" w:rsidR="009F2A40" w:rsidRPr="000156BF" w:rsidRDefault="009F2A40" w:rsidP="000156BF">
            <w:pPr>
              <w:jc w:val="center"/>
              <w:rPr>
                <w:rFonts w:asciiTheme="majorHAnsi" w:hAnsiTheme="majorHAnsi"/>
                <w:sz w:val="22"/>
                <w:szCs w:val="22"/>
              </w:rPr>
            </w:pPr>
            <w:r>
              <w:rPr>
                <w:rFonts w:asciiTheme="majorHAnsi" w:hAnsiTheme="majorHAnsi"/>
                <w:sz w:val="22"/>
              </w:rPr>
              <w:t>D-1 y superiores</w:t>
            </w:r>
          </w:p>
        </w:tc>
      </w:tr>
      <w:tr w:rsidR="009F2A40" w:rsidRPr="000156BF" w14:paraId="18FD15F6" w14:textId="77777777" w:rsidTr="78316006">
        <w:trPr>
          <w:trHeight w:val="304"/>
        </w:trPr>
        <w:tc>
          <w:tcPr>
            <w:tcW w:w="2201" w:type="dxa"/>
          </w:tcPr>
          <w:p w14:paraId="0D53D26E" w14:textId="77777777" w:rsidR="009F2A40" w:rsidRPr="000156BF" w:rsidRDefault="009F2A40" w:rsidP="000156BF">
            <w:pPr>
              <w:jc w:val="center"/>
              <w:rPr>
                <w:rFonts w:asciiTheme="majorHAnsi" w:hAnsiTheme="majorHAnsi"/>
                <w:sz w:val="22"/>
                <w:szCs w:val="22"/>
              </w:rPr>
            </w:pPr>
            <w:r>
              <w:rPr>
                <w:rFonts w:asciiTheme="majorHAnsi" w:hAnsiTheme="majorHAnsi"/>
                <w:sz w:val="22"/>
              </w:rPr>
              <w:t>B</w:t>
            </w:r>
          </w:p>
        </w:tc>
        <w:tc>
          <w:tcPr>
            <w:tcW w:w="2438" w:type="dxa"/>
          </w:tcPr>
          <w:p w14:paraId="63BC837A" w14:textId="77777777" w:rsidR="009F2A40" w:rsidRPr="000156BF" w:rsidRDefault="009F2A40" w:rsidP="000156BF">
            <w:pPr>
              <w:jc w:val="center"/>
              <w:rPr>
                <w:rFonts w:asciiTheme="majorHAnsi" w:hAnsiTheme="majorHAnsi"/>
                <w:b/>
                <w:sz w:val="22"/>
                <w:szCs w:val="22"/>
              </w:rPr>
            </w:pPr>
            <w:r>
              <w:rPr>
                <w:rFonts w:asciiTheme="majorHAnsi" w:hAnsiTheme="majorHAnsi"/>
                <w:b/>
                <w:sz w:val="22"/>
              </w:rPr>
              <w:t>5810</w:t>
            </w:r>
          </w:p>
        </w:tc>
        <w:tc>
          <w:tcPr>
            <w:tcW w:w="2746" w:type="dxa"/>
          </w:tcPr>
          <w:p w14:paraId="520CBE07" w14:textId="77777777" w:rsidR="009F2A40" w:rsidRPr="000156BF" w:rsidRDefault="009F2A40" w:rsidP="000156BF">
            <w:pPr>
              <w:jc w:val="center"/>
              <w:rPr>
                <w:rFonts w:asciiTheme="majorHAnsi" w:hAnsiTheme="majorHAnsi"/>
                <w:b/>
                <w:sz w:val="22"/>
                <w:szCs w:val="22"/>
              </w:rPr>
            </w:pPr>
            <w:r>
              <w:rPr>
                <w:rFonts w:asciiTheme="majorHAnsi" w:hAnsiTheme="majorHAnsi"/>
                <w:b/>
                <w:sz w:val="22"/>
              </w:rPr>
              <w:t xml:space="preserve">6970 </w:t>
            </w:r>
          </w:p>
        </w:tc>
        <w:tc>
          <w:tcPr>
            <w:tcW w:w="2808" w:type="dxa"/>
          </w:tcPr>
          <w:p w14:paraId="4DE30329" w14:textId="77777777" w:rsidR="009F2A40" w:rsidRPr="000156BF" w:rsidRDefault="009F2A40" w:rsidP="000156BF">
            <w:pPr>
              <w:jc w:val="center"/>
              <w:rPr>
                <w:rFonts w:asciiTheme="majorHAnsi" w:hAnsiTheme="majorHAnsi"/>
                <w:b/>
                <w:sz w:val="22"/>
                <w:szCs w:val="22"/>
              </w:rPr>
            </w:pPr>
            <w:r>
              <w:rPr>
                <w:rFonts w:asciiTheme="majorHAnsi" w:hAnsiTheme="majorHAnsi"/>
                <w:b/>
                <w:sz w:val="22"/>
              </w:rPr>
              <w:t>8140</w:t>
            </w:r>
          </w:p>
        </w:tc>
      </w:tr>
      <w:tr w:rsidR="009F2A40" w:rsidRPr="000156BF" w14:paraId="369CCCA4" w14:textId="77777777" w:rsidTr="78316006">
        <w:trPr>
          <w:trHeight w:val="304"/>
        </w:trPr>
        <w:tc>
          <w:tcPr>
            <w:tcW w:w="2201" w:type="dxa"/>
          </w:tcPr>
          <w:p w14:paraId="40403E95" w14:textId="77777777" w:rsidR="009F2A40" w:rsidRPr="000156BF" w:rsidRDefault="009F2A40" w:rsidP="000156BF">
            <w:pPr>
              <w:jc w:val="center"/>
              <w:rPr>
                <w:rFonts w:asciiTheme="majorHAnsi" w:hAnsiTheme="majorHAnsi"/>
                <w:sz w:val="22"/>
                <w:szCs w:val="22"/>
              </w:rPr>
            </w:pPr>
            <w:r>
              <w:rPr>
                <w:rFonts w:asciiTheme="majorHAnsi" w:hAnsiTheme="majorHAnsi"/>
                <w:sz w:val="22"/>
              </w:rPr>
              <w:t>C</w:t>
            </w:r>
          </w:p>
        </w:tc>
        <w:tc>
          <w:tcPr>
            <w:tcW w:w="2438" w:type="dxa"/>
          </w:tcPr>
          <w:p w14:paraId="7BADA727" w14:textId="77777777" w:rsidR="009F2A40" w:rsidRPr="00C512EC" w:rsidRDefault="009F2A40">
            <w:pPr>
              <w:jc w:val="center"/>
              <w:rPr>
                <w:rFonts w:asciiTheme="majorHAnsi" w:hAnsiTheme="majorHAnsi"/>
                <w:b/>
                <w:bCs/>
                <w:sz w:val="22"/>
                <w:szCs w:val="22"/>
              </w:rPr>
            </w:pPr>
            <w:r w:rsidRPr="009A6A1A">
              <w:rPr>
                <w:rFonts w:asciiTheme="majorHAnsi" w:hAnsiTheme="majorHAnsi"/>
                <w:b/>
                <w:bCs/>
                <w:sz w:val="22"/>
                <w:szCs w:val="22"/>
              </w:rPr>
              <w:t>10470</w:t>
            </w:r>
          </w:p>
        </w:tc>
        <w:tc>
          <w:tcPr>
            <w:tcW w:w="2746" w:type="dxa"/>
          </w:tcPr>
          <w:p w14:paraId="4FF278E1" w14:textId="77777777" w:rsidR="009F2A40" w:rsidRPr="00C512EC" w:rsidRDefault="009F2A40">
            <w:pPr>
              <w:jc w:val="center"/>
              <w:rPr>
                <w:rFonts w:asciiTheme="majorHAnsi" w:hAnsiTheme="majorHAnsi"/>
                <w:b/>
                <w:bCs/>
                <w:sz w:val="22"/>
                <w:szCs w:val="22"/>
              </w:rPr>
            </w:pPr>
            <w:r w:rsidRPr="009A6A1A">
              <w:rPr>
                <w:rFonts w:asciiTheme="majorHAnsi" w:hAnsiTheme="majorHAnsi"/>
                <w:b/>
                <w:bCs/>
                <w:sz w:val="22"/>
                <w:szCs w:val="22"/>
              </w:rPr>
              <w:t>12780</w:t>
            </w:r>
          </w:p>
        </w:tc>
        <w:tc>
          <w:tcPr>
            <w:tcW w:w="2808" w:type="dxa"/>
          </w:tcPr>
          <w:p w14:paraId="2414375E" w14:textId="77777777" w:rsidR="009F2A40" w:rsidRPr="00C512EC" w:rsidRDefault="009F2A40">
            <w:pPr>
              <w:jc w:val="center"/>
              <w:rPr>
                <w:rFonts w:asciiTheme="majorHAnsi" w:hAnsiTheme="majorHAnsi"/>
                <w:b/>
                <w:bCs/>
                <w:sz w:val="22"/>
                <w:szCs w:val="22"/>
              </w:rPr>
            </w:pPr>
            <w:r w:rsidRPr="009A6A1A">
              <w:rPr>
                <w:rFonts w:asciiTheme="majorHAnsi" w:hAnsiTheme="majorHAnsi"/>
                <w:b/>
                <w:bCs/>
                <w:sz w:val="22"/>
                <w:szCs w:val="22"/>
              </w:rPr>
              <w:t>15110</w:t>
            </w:r>
          </w:p>
        </w:tc>
      </w:tr>
      <w:tr w:rsidR="009F2A40" w:rsidRPr="000156BF" w14:paraId="1461741F" w14:textId="77777777" w:rsidTr="78316006">
        <w:trPr>
          <w:trHeight w:val="304"/>
        </w:trPr>
        <w:tc>
          <w:tcPr>
            <w:tcW w:w="2201" w:type="dxa"/>
          </w:tcPr>
          <w:p w14:paraId="386391F6" w14:textId="77777777" w:rsidR="009F2A40" w:rsidRPr="000156BF" w:rsidRDefault="009F2A40" w:rsidP="000156BF">
            <w:pPr>
              <w:jc w:val="center"/>
              <w:rPr>
                <w:rFonts w:asciiTheme="majorHAnsi" w:hAnsiTheme="majorHAnsi"/>
                <w:sz w:val="22"/>
                <w:szCs w:val="22"/>
              </w:rPr>
            </w:pPr>
            <w:r>
              <w:rPr>
                <w:rFonts w:asciiTheme="majorHAnsi" w:hAnsiTheme="majorHAnsi"/>
                <w:sz w:val="22"/>
              </w:rPr>
              <w:t>D</w:t>
            </w:r>
          </w:p>
        </w:tc>
        <w:tc>
          <w:tcPr>
            <w:tcW w:w="2438" w:type="dxa"/>
          </w:tcPr>
          <w:p w14:paraId="5EE350CC" w14:textId="77777777" w:rsidR="009F2A40" w:rsidRPr="00C512EC" w:rsidRDefault="009F2A40">
            <w:pPr>
              <w:jc w:val="center"/>
              <w:rPr>
                <w:rFonts w:asciiTheme="majorHAnsi" w:hAnsiTheme="majorHAnsi"/>
                <w:b/>
                <w:bCs/>
                <w:sz w:val="22"/>
                <w:szCs w:val="22"/>
              </w:rPr>
            </w:pPr>
            <w:r w:rsidRPr="009A6A1A">
              <w:rPr>
                <w:rFonts w:asciiTheme="majorHAnsi" w:hAnsiTheme="majorHAnsi"/>
                <w:b/>
                <w:bCs/>
                <w:sz w:val="22"/>
                <w:szCs w:val="22"/>
              </w:rPr>
              <w:t>13950</w:t>
            </w:r>
          </w:p>
        </w:tc>
        <w:tc>
          <w:tcPr>
            <w:tcW w:w="2746" w:type="dxa"/>
          </w:tcPr>
          <w:p w14:paraId="519F986C" w14:textId="77777777" w:rsidR="009F2A40" w:rsidRPr="00C512EC" w:rsidRDefault="009F2A40">
            <w:pPr>
              <w:jc w:val="center"/>
              <w:rPr>
                <w:rFonts w:asciiTheme="majorHAnsi" w:hAnsiTheme="majorHAnsi"/>
                <w:b/>
                <w:bCs/>
                <w:sz w:val="22"/>
                <w:szCs w:val="22"/>
              </w:rPr>
            </w:pPr>
            <w:r w:rsidRPr="009A6A1A">
              <w:rPr>
                <w:rFonts w:asciiTheme="majorHAnsi" w:hAnsiTheme="majorHAnsi"/>
                <w:b/>
                <w:bCs/>
                <w:sz w:val="22"/>
                <w:szCs w:val="22"/>
              </w:rPr>
              <w:t>16280</w:t>
            </w:r>
          </w:p>
        </w:tc>
        <w:tc>
          <w:tcPr>
            <w:tcW w:w="2808" w:type="dxa"/>
          </w:tcPr>
          <w:p w14:paraId="72A739CD" w14:textId="77777777" w:rsidR="009F2A40" w:rsidRPr="00C512EC" w:rsidRDefault="009F2A40">
            <w:pPr>
              <w:jc w:val="center"/>
              <w:rPr>
                <w:rFonts w:asciiTheme="majorHAnsi" w:hAnsiTheme="majorHAnsi"/>
                <w:b/>
                <w:bCs/>
                <w:sz w:val="22"/>
                <w:szCs w:val="22"/>
              </w:rPr>
            </w:pPr>
            <w:r w:rsidRPr="009A6A1A">
              <w:rPr>
                <w:rFonts w:asciiTheme="majorHAnsi" w:hAnsiTheme="majorHAnsi"/>
                <w:b/>
                <w:bCs/>
                <w:sz w:val="22"/>
                <w:szCs w:val="22"/>
              </w:rPr>
              <w:t>18590</w:t>
            </w:r>
          </w:p>
        </w:tc>
      </w:tr>
      <w:tr w:rsidR="009F2A40" w:rsidRPr="000156BF" w14:paraId="19AADB7E" w14:textId="77777777" w:rsidTr="78316006">
        <w:trPr>
          <w:trHeight w:val="304"/>
        </w:trPr>
        <w:tc>
          <w:tcPr>
            <w:tcW w:w="2201" w:type="dxa"/>
          </w:tcPr>
          <w:p w14:paraId="79B08C78" w14:textId="77777777" w:rsidR="009F2A40" w:rsidRPr="000156BF" w:rsidRDefault="009F2A40" w:rsidP="000156BF">
            <w:pPr>
              <w:jc w:val="center"/>
              <w:rPr>
                <w:rFonts w:asciiTheme="majorHAnsi" w:hAnsiTheme="majorHAnsi"/>
                <w:sz w:val="22"/>
                <w:szCs w:val="22"/>
              </w:rPr>
            </w:pPr>
            <w:r>
              <w:rPr>
                <w:rFonts w:asciiTheme="majorHAnsi" w:hAnsiTheme="majorHAnsi"/>
                <w:sz w:val="22"/>
              </w:rPr>
              <w:t>E</w:t>
            </w:r>
          </w:p>
        </w:tc>
        <w:tc>
          <w:tcPr>
            <w:tcW w:w="2438" w:type="dxa"/>
          </w:tcPr>
          <w:p w14:paraId="0509D52D" w14:textId="77777777" w:rsidR="009F2A40" w:rsidRPr="00C512EC" w:rsidRDefault="009F2A40">
            <w:pPr>
              <w:jc w:val="center"/>
              <w:rPr>
                <w:rFonts w:asciiTheme="majorHAnsi" w:hAnsiTheme="majorHAnsi"/>
                <w:b/>
                <w:bCs/>
                <w:sz w:val="22"/>
                <w:szCs w:val="22"/>
              </w:rPr>
            </w:pPr>
            <w:r w:rsidRPr="009A6A1A">
              <w:rPr>
                <w:rFonts w:asciiTheme="majorHAnsi" w:hAnsiTheme="majorHAnsi"/>
                <w:b/>
                <w:bCs/>
                <w:sz w:val="22"/>
                <w:szCs w:val="22"/>
              </w:rPr>
              <w:t>17440</w:t>
            </w:r>
          </w:p>
        </w:tc>
        <w:tc>
          <w:tcPr>
            <w:tcW w:w="2746" w:type="dxa"/>
          </w:tcPr>
          <w:p w14:paraId="6543E34E" w14:textId="77777777" w:rsidR="009F2A40" w:rsidRPr="00C512EC" w:rsidRDefault="009F2A40">
            <w:pPr>
              <w:jc w:val="center"/>
              <w:rPr>
                <w:rFonts w:asciiTheme="majorHAnsi" w:hAnsiTheme="majorHAnsi"/>
                <w:b/>
                <w:bCs/>
                <w:sz w:val="22"/>
                <w:szCs w:val="22"/>
              </w:rPr>
            </w:pPr>
            <w:r w:rsidRPr="009A6A1A">
              <w:rPr>
                <w:rFonts w:asciiTheme="majorHAnsi" w:hAnsiTheme="majorHAnsi"/>
                <w:b/>
                <w:bCs/>
                <w:sz w:val="22"/>
                <w:szCs w:val="22"/>
              </w:rPr>
              <w:t>20920</w:t>
            </w:r>
          </w:p>
        </w:tc>
        <w:tc>
          <w:tcPr>
            <w:tcW w:w="2808" w:type="dxa"/>
          </w:tcPr>
          <w:p w14:paraId="78741DDF" w14:textId="77777777" w:rsidR="009F2A40" w:rsidRPr="00C512EC" w:rsidRDefault="009F2A40">
            <w:pPr>
              <w:jc w:val="center"/>
              <w:rPr>
                <w:rFonts w:asciiTheme="majorHAnsi" w:hAnsiTheme="majorHAnsi"/>
                <w:b/>
                <w:bCs/>
                <w:sz w:val="22"/>
                <w:szCs w:val="22"/>
              </w:rPr>
            </w:pPr>
            <w:r w:rsidRPr="009A6A1A">
              <w:rPr>
                <w:rFonts w:asciiTheme="majorHAnsi" w:hAnsiTheme="majorHAnsi"/>
                <w:b/>
                <w:bCs/>
                <w:sz w:val="22"/>
                <w:szCs w:val="22"/>
              </w:rPr>
              <w:t>23250</w:t>
            </w:r>
          </w:p>
        </w:tc>
      </w:tr>
    </w:tbl>
    <w:p w14:paraId="4AB31E68" w14:textId="77777777" w:rsidR="009F2A40" w:rsidRPr="000156BF" w:rsidRDefault="009F2A40" w:rsidP="000156BF">
      <w:pPr>
        <w:rPr>
          <w:rFonts w:asciiTheme="majorHAnsi" w:hAnsiTheme="majorHAnsi"/>
          <w:b/>
          <w:sz w:val="22"/>
          <w:szCs w:val="22"/>
        </w:rPr>
      </w:pPr>
    </w:p>
    <w:p w14:paraId="54A24702" w14:textId="77777777" w:rsidR="009F2A40" w:rsidRPr="000156BF" w:rsidRDefault="009F2A40" w:rsidP="000156BF">
      <w:pPr>
        <w:rPr>
          <w:rFonts w:asciiTheme="majorHAnsi" w:hAnsiTheme="majorHAnsi"/>
          <w:b/>
          <w:sz w:val="22"/>
          <w:szCs w:val="22"/>
        </w:rPr>
      </w:pPr>
    </w:p>
    <w:p w14:paraId="708AFFA6" w14:textId="77777777" w:rsidR="009F2A40" w:rsidRPr="000156BF" w:rsidRDefault="009F2A40" w:rsidP="000156BF">
      <w:pPr>
        <w:rPr>
          <w:rFonts w:asciiTheme="majorHAnsi" w:hAnsiTheme="majorHAnsi"/>
          <w:b/>
          <w:sz w:val="22"/>
          <w:szCs w:val="22"/>
        </w:rPr>
      </w:pPr>
    </w:p>
    <w:p w14:paraId="1F7E8109" w14:textId="77777777" w:rsidR="009F2A40" w:rsidRPr="000156BF" w:rsidRDefault="009F2A40" w:rsidP="000156BF">
      <w:pPr>
        <w:rPr>
          <w:rFonts w:asciiTheme="majorHAnsi" w:hAnsiTheme="majorHAnsi"/>
          <w:b/>
          <w:sz w:val="22"/>
          <w:szCs w:val="22"/>
        </w:rPr>
      </w:pPr>
      <w:r>
        <w:rPr>
          <w:rFonts w:asciiTheme="majorHAnsi" w:hAnsiTheme="majorHAnsi"/>
          <w:b/>
          <w:sz w:val="22"/>
        </w:rPr>
        <w:lastRenderedPageBreak/>
        <w:t>Prestaciones por servicio en lugares de destino no aptos para familias</w:t>
      </w:r>
      <w:r>
        <w:rPr>
          <w:rStyle w:val="FootnoteReference"/>
          <w:rFonts w:asciiTheme="majorHAnsi" w:hAnsiTheme="majorHAnsi"/>
          <w:b/>
          <w:sz w:val="22"/>
        </w:rPr>
        <w:footnoteReference w:id="1"/>
      </w:r>
    </w:p>
    <w:p w14:paraId="53290851" w14:textId="77777777" w:rsidR="009F2A40" w:rsidRPr="000156BF" w:rsidRDefault="009F2A40" w:rsidP="000156BF">
      <w:pPr>
        <w:rPr>
          <w:rFonts w:asciiTheme="majorHAnsi" w:hAnsiTheme="majorHAnsi"/>
          <w:b/>
          <w:sz w:val="22"/>
          <w:szCs w:val="22"/>
        </w:rPr>
      </w:pPr>
    </w:p>
    <w:p w14:paraId="6830E14B" w14:textId="77777777" w:rsidR="009F2A40" w:rsidRPr="000156BF" w:rsidRDefault="009F2A40" w:rsidP="000156BF">
      <w:pPr>
        <w:rPr>
          <w:rFonts w:asciiTheme="majorHAnsi" w:hAnsiTheme="majorHAnsi"/>
          <w:i/>
          <w:sz w:val="22"/>
          <w:szCs w:val="22"/>
        </w:rPr>
      </w:pPr>
      <w:r>
        <w:rPr>
          <w:rFonts w:asciiTheme="majorHAnsi" w:hAnsiTheme="majorHAnsi"/>
          <w:i/>
          <w:sz w:val="22"/>
        </w:rPr>
        <w:t>Pagaderas a los miembros del personal asignados a lugares de destino designados por la CAPI como no aptos para familias</w:t>
      </w:r>
    </w:p>
    <w:p w14:paraId="363FDA3B" w14:textId="77777777" w:rsidR="009F2A40" w:rsidRPr="000156BF" w:rsidRDefault="009F2A40" w:rsidP="000156BF">
      <w:pPr>
        <w:rPr>
          <w:rFonts w:asciiTheme="majorHAnsi" w:hAnsiTheme="majorHAnsi"/>
          <w:i/>
          <w:sz w:val="22"/>
          <w:szCs w:val="22"/>
        </w:rPr>
      </w:pPr>
    </w:p>
    <w:p w14:paraId="4AA3D70F" w14:textId="77777777" w:rsidR="009F2A40" w:rsidRPr="000156BF" w:rsidRDefault="009F2A40" w:rsidP="000156BF">
      <w:pPr>
        <w:rPr>
          <w:rFonts w:asciiTheme="majorHAnsi" w:hAnsiTheme="majorHAnsi"/>
          <w:i/>
          <w:sz w:val="22"/>
          <w:szCs w:val="22"/>
        </w:rPr>
      </w:pPr>
      <w:r>
        <w:rPr>
          <w:rFonts w:asciiTheme="majorHAnsi" w:hAnsiTheme="majorHAnsi"/>
          <w:i/>
          <w:sz w:val="22"/>
        </w:rPr>
        <w:t>Montos mensuales en dólares estadounidenses</w:t>
      </w:r>
    </w:p>
    <w:p w14:paraId="27B140A9" w14:textId="77777777" w:rsidR="009F2A40" w:rsidRPr="000156BF" w:rsidRDefault="009F2A40" w:rsidP="000156BF">
      <w:pPr>
        <w:rPr>
          <w:rFonts w:asciiTheme="majorHAnsi" w:hAnsiTheme="majorHAnsi"/>
          <w:i/>
          <w:sz w:val="22"/>
          <w:szCs w:val="22"/>
        </w:rPr>
      </w:pPr>
    </w:p>
    <w:tbl>
      <w:tblPr>
        <w:tblStyle w:val="TableGrid"/>
        <w:tblW w:w="0" w:type="auto"/>
        <w:tblLook w:val="04A0" w:firstRow="1" w:lastRow="0" w:firstColumn="1" w:lastColumn="0" w:noHBand="0" w:noVBand="1"/>
      </w:tblPr>
      <w:tblGrid>
        <w:gridCol w:w="4315"/>
        <w:gridCol w:w="4315"/>
      </w:tblGrid>
      <w:tr w:rsidR="009F2A40" w:rsidRPr="000156BF" w14:paraId="78742B0E" w14:textId="77777777" w:rsidTr="004839E2">
        <w:trPr>
          <w:trHeight w:val="323"/>
        </w:trPr>
        <w:tc>
          <w:tcPr>
            <w:tcW w:w="5091" w:type="dxa"/>
          </w:tcPr>
          <w:p w14:paraId="560A4AEA" w14:textId="77777777" w:rsidR="009F2A40" w:rsidRPr="000156BF" w:rsidRDefault="009F2A40" w:rsidP="000156BF">
            <w:pPr>
              <w:jc w:val="center"/>
              <w:rPr>
                <w:rFonts w:asciiTheme="majorHAnsi" w:hAnsiTheme="majorHAnsi"/>
                <w:sz w:val="22"/>
                <w:szCs w:val="22"/>
              </w:rPr>
            </w:pPr>
            <w:r>
              <w:rPr>
                <w:rFonts w:asciiTheme="majorHAnsi" w:hAnsiTheme="majorHAnsi"/>
                <w:sz w:val="22"/>
              </w:rPr>
              <w:t>Miembros del personal con un familiar a cargo</w:t>
            </w:r>
          </w:p>
        </w:tc>
        <w:tc>
          <w:tcPr>
            <w:tcW w:w="5091" w:type="dxa"/>
          </w:tcPr>
          <w:p w14:paraId="63E8E3B3" w14:textId="77777777" w:rsidR="009F2A40" w:rsidRPr="000156BF" w:rsidRDefault="009F2A40" w:rsidP="000156BF">
            <w:pPr>
              <w:jc w:val="center"/>
              <w:rPr>
                <w:rFonts w:asciiTheme="majorHAnsi" w:hAnsiTheme="majorHAnsi"/>
                <w:sz w:val="22"/>
                <w:szCs w:val="22"/>
              </w:rPr>
            </w:pPr>
            <w:r>
              <w:rPr>
                <w:rFonts w:asciiTheme="majorHAnsi" w:hAnsiTheme="majorHAnsi"/>
                <w:sz w:val="22"/>
              </w:rPr>
              <w:t>Miembros del personal sin un familiar a cargo</w:t>
            </w:r>
          </w:p>
        </w:tc>
      </w:tr>
      <w:tr w:rsidR="009F2A40" w:rsidRPr="000156BF" w14:paraId="21153225" w14:textId="77777777" w:rsidTr="004839E2">
        <w:trPr>
          <w:trHeight w:val="257"/>
        </w:trPr>
        <w:tc>
          <w:tcPr>
            <w:tcW w:w="5091" w:type="dxa"/>
          </w:tcPr>
          <w:p w14:paraId="1BA4C0E8" w14:textId="77777777" w:rsidR="009F2A40" w:rsidRPr="000156BF" w:rsidRDefault="009F2A40" w:rsidP="000156BF">
            <w:pPr>
              <w:jc w:val="center"/>
              <w:rPr>
                <w:rFonts w:asciiTheme="majorHAnsi" w:hAnsiTheme="majorHAnsi"/>
                <w:b/>
                <w:sz w:val="22"/>
                <w:szCs w:val="22"/>
              </w:rPr>
            </w:pPr>
            <w:r>
              <w:rPr>
                <w:rFonts w:asciiTheme="majorHAnsi" w:hAnsiTheme="majorHAnsi"/>
                <w:b/>
                <w:sz w:val="22"/>
              </w:rPr>
              <w:t>1650</w:t>
            </w:r>
          </w:p>
        </w:tc>
        <w:tc>
          <w:tcPr>
            <w:tcW w:w="5091" w:type="dxa"/>
          </w:tcPr>
          <w:p w14:paraId="1A8951D6" w14:textId="77777777" w:rsidR="009F2A40" w:rsidRPr="000156BF" w:rsidRDefault="009F2A40" w:rsidP="000156BF">
            <w:pPr>
              <w:jc w:val="center"/>
              <w:rPr>
                <w:rFonts w:asciiTheme="majorHAnsi" w:hAnsiTheme="majorHAnsi"/>
                <w:b/>
                <w:sz w:val="22"/>
                <w:szCs w:val="22"/>
              </w:rPr>
            </w:pPr>
            <w:r>
              <w:rPr>
                <w:rFonts w:asciiTheme="majorHAnsi" w:hAnsiTheme="majorHAnsi"/>
                <w:b/>
                <w:sz w:val="22"/>
              </w:rPr>
              <w:t>625</w:t>
            </w:r>
          </w:p>
        </w:tc>
      </w:tr>
    </w:tbl>
    <w:p w14:paraId="45318025" w14:textId="77777777" w:rsidR="009F2A40" w:rsidRPr="000156BF" w:rsidRDefault="009F2A40" w:rsidP="000156BF">
      <w:pPr>
        <w:rPr>
          <w:rFonts w:asciiTheme="majorHAnsi" w:hAnsiTheme="majorHAnsi"/>
          <w:sz w:val="22"/>
          <w:szCs w:val="22"/>
        </w:rPr>
      </w:pPr>
    </w:p>
    <w:p w14:paraId="170DE8F4" w14:textId="77777777" w:rsidR="009F2A40" w:rsidRPr="000156BF" w:rsidRDefault="009F2A40" w:rsidP="000156BF">
      <w:pPr>
        <w:rPr>
          <w:rFonts w:asciiTheme="majorHAnsi" w:hAnsiTheme="majorHAnsi"/>
          <w:sz w:val="22"/>
          <w:szCs w:val="22"/>
        </w:rPr>
      </w:pPr>
    </w:p>
    <w:p w14:paraId="2A52FF54" w14:textId="77777777" w:rsidR="00C512EC" w:rsidRDefault="00C512EC" w:rsidP="00C512EC">
      <w:pPr>
        <w:pStyle w:val="NormalWeb"/>
        <w:shd w:val="clear" w:color="auto" w:fill="FFFFFF"/>
        <w:spacing w:before="0" w:beforeAutospacing="0" w:after="0" w:afterAutospacing="0"/>
        <w:jc w:val="center"/>
        <w:rPr>
          <w:rFonts w:ascii="Calibri" w:hAnsi="Calibri"/>
          <w:color w:val="000000"/>
        </w:rPr>
      </w:pPr>
      <w:r>
        <w:rPr>
          <w:rFonts w:ascii="Calibri" w:hAnsi="Calibri"/>
          <w:i/>
          <w:iCs/>
          <w:color w:val="212121"/>
        </w:rPr>
        <w:t>Disclaimer: This document was translated from English into Spanish. In the event of any discrepancy between this translation and the original English document, the original English document shall prevail.</w:t>
      </w:r>
    </w:p>
    <w:p w14:paraId="4D19F7C8" w14:textId="77777777" w:rsidR="00C512EC" w:rsidRDefault="00C512EC" w:rsidP="00C512EC">
      <w:pPr>
        <w:pStyle w:val="NormalWeb"/>
        <w:shd w:val="clear" w:color="auto" w:fill="FFFFFF"/>
        <w:spacing w:before="0" w:beforeAutospacing="0" w:after="0" w:afterAutospacing="0"/>
        <w:jc w:val="center"/>
        <w:rPr>
          <w:rFonts w:ascii="Calibri" w:hAnsi="Calibri"/>
          <w:color w:val="000000"/>
        </w:rPr>
      </w:pPr>
      <w:r>
        <w:rPr>
          <w:rFonts w:ascii="Calibri" w:hAnsi="Calibri"/>
          <w:i/>
          <w:iCs/>
          <w:color w:val="212121"/>
        </w:rPr>
        <w:t> </w:t>
      </w:r>
    </w:p>
    <w:p w14:paraId="78438B52" w14:textId="77777777" w:rsidR="00C512EC" w:rsidRPr="00F834A0" w:rsidRDefault="00C512EC" w:rsidP="00C512EC">
      <w:pPr>
        <w:pStyle w:val="NormalWeb"/>
        <w:shd w:val="clear" w:color="auto" w:fill="FFFFFF"/>
        <w:spacing w:before="0" w:beforeAutospacing="0" w:after="0" w:afterAutospacing="0"/>
        <w:jc w:val="center"/>
        <w:rPr>
          <w:rFonts w:ascii="Calibri" w:hAnsi="Calibri"/>
          <w:color w:val="000000"/>
          <w:lang w:val="es-ES_tradnl"/>
        </w:rPr>
      </w:pPr>
      <w:r w:rsidRPr="00F834A0">
        <w:rPr>
          <w:rFonts w:ascii="Calibri" w:hAnsi="Calibri"/>
          <w:i/>
          <w:iCs/>
          <w:color w:val="212121"/>
          <w:shd w:val="clear" w:color="auto" w:fill="FFFFFF"/>
          <w:lang w:val="es-ES_tradnl"/>
        </w:rPr>
        <w:t>Descargo de responsabilidad: esta es una traducción de un documento original en Inglés. </w:t>
      </w:r>
      <w:r>
        <w:rPr>
          <w:rFonts w:ascii="Calibri" w:hAnsi="Calibri"/>
          <w:i/>
          <w:iCs/>
          <w:color w:val="212121"/>
          <w:shd w:val="clear" w:color="auto" w:fill="FFFFFF"/>
          <w:lang w:val="es-UY"/>
        </w:rPr>
        <w:t>En caso de discrepancias entre esta traducción y el documento original en inglés, prevalecerá el documento original en inglés.</w:t>
      </w:r>
    </w:p>
    <w:p w14:paraId="0BAEA67F" w14:textId="77777777" w:rsidR="009F2A40" w:rsidRPr="00C512EC" w:rsidRDefault="009F2A40" w:rsidP="000156BF">
      <w:pPr>
        <w:pStyle w:val="SingleTxt"/>
        <w:ind w:left="0" w:right="0"/>
        <w:rPr>
          <w:rFonts w:asciiTheme="majorHAnsi" w:hAnsiTheme="majorHAnsi"/>
          <w:sz w:val="22"/>
          <w:szCs w:val="22"/>
          <w:lang w:val="es-ES_tradnl"/>
        </w:rPr>
      </w:pPr>
    </w:p>
    <w:p w14:paraId="4635FF0C" w14:textId="77777777" w:rsidR="009F2A40" w:rsidRPr="000156BF" w:rsidRDefault="009F2A40" w:rsidP="000156BF">
      <w:pPr>
        <w:pStyle w:val="SingleTxt"/>
        <w:tabs>
          <w:tab w:val="left" w:pos="7830"/>
        </w:tabs>
        <w:ind w:left="0" w:right="0"/>
        <w:rPr>
          <w:rFonts w:asciiTheme="majorHAnsi" w:hAnsiTheme="majorHAnsi"/>
          <w:sz w:val="22"/>
          <w:szCs w:val="22"/>
        </w:rPr>
      </w:pPr>
    </w:p>
    <w:p w14:paraId="20864FF2" w14:textId="77777777" w:rsidR="009F2A40" w:rsidRPr="000156BF" w:rsidRDefault="009F2A40" w:rsidP="000156BF">
      <w:pPr>
        <w:rPr>
          <w:rFonts w:asciiTheme="majorHAnsi" w:hAnsiTheme="majorHAnsi"/>
          <w:sz w:val="22"/>
          <w:szCs w:val="22"/>
        </w:rPr>
      </w:pPr>
    </w:p>
    <w:p w14:paraId="5BB5AF8F" w14:textId="77777777" w:rsidR="00471AFA" w:rsidRPr="000156BF" w:rsidRDefault="00471AFA" w:rsidP="000156BF">
      <w:pPr>
        <w:rPr>
          <w:rFonts w:asciiTheme="majorHAnsi" w:hAnsiTheme="majorHAnsi"/>
          <w:sz w:val="22"/>
          <w:szCs w:val="22"/>
        </w:rPr>
      </w:pPr>
    </w:p>
    <w:sectPr w:rsidR="00471AFA" w:rsidRPr="000156BF" w:rsidSect="009A6A1A">
      <w:headerReference w:type="even" r:id="rId14"/>
      <w:headerReference w:type="default" r:id="rId15"/>
      <w:footerReference w:type="even" r:id="rId16"/>
      <w:footerReference w:type="default" r:id="rId17"/>
      <w:headerReference w:type="first" r:id="rId18"/>
      <w:footerReference w:type="first" r:id="rId1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62498F" w14:textId="77777777" w:rsidR="00254EF7" w:rsidRDefault="00254EF7" w:rsidP="009F2A40">
      <w:r>
        <w:separator/>
      </w:r>
    </w:p>
  </w:endnote>
  <w:endnote w:type="continuationSeparator" w:id="0">
    <w:p w14:paraId="5352F1D8" w14:textId="77777777" w:rsidR="00254EF7" w:rsidRDefault="00254EF7" w:rsidP="009F2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55B6E4" w14:textId="77777777" w:rsidR="009F2A40" w:rsidRDefault="009F2A40" w:rsidP="00D1297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3560C1D" w14:textId="77777777" w:rsidR="009F2A40" w:rsidRDefault="009F2A40" w:rsidP="009F2A4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2833E9" w14:textId="18A61CF5" w:rsidR="009F2A40" w:rsidRPr="005D302B" w:rsidRDefault="00000000" w:rsidP="005D302B">
    <w:pPr>
      <w:pStyle w:val="Footer"/>
      <w:rPr>
        <w:rFonts w:ascii="Calibri" w:hAnsi="Calibri"/>
        <w:sz w:val="22"/>
      </w:rPr>
    </w:pPr>
    <w:sdt>
      <w:sdtPr>
        <w:rPr>
          <w:rFonts w:ascii="Calibri" w:hAnsi="Calibri"/>
          <w:sz w:val="22"/>
        </w:rPr>
        <w:id w:val="-1705238520"/>
        <w:docPartObj>
          <w:docPartGallery w:val="Page Numbers (Top of Page)"/>
          <w:docPartUnique/>
        </w:docPartObj>
      </w:sdtPr>
      <w:sdtContent>
        <w:r w:rsidR="00486785">
          <w:rPr>
            <w:rFonts w:ascii="Calibri" w:hAnsi="Calibri"/>
            <w:sz w:val="22"/>
          </w:rPr>
          <w:t xml:space="preserve">Página </w:t>
        </w:r>
        <w:r w:rsidR="005D302B" w:rsidRPr="005D302B">
          <w:rPr>
            <w:rFonts w:ascii="Calibri" w:hAnsi="Calibri"/>
            <w:b/>
            <w:bCs/>
            <w:sz w:val="22"/>
          </w:rPr>
          <w:fldChar w:fldCharType="begin"/>
        </w:r>
        <w:r w:rsidR="005D302B" w:rsidRPr="005D302B">
          <w:rPr>
            <w:rFonts w:ascii="Calibri" w:hAnsi="Calibri"/>
            <w:b/>
            <w:bCs/>
            <w:sz w:val="22"/>
          </w:rPr>
          <w:instrText xml:space="preserve"> PAGE </w:instrText>
        </w:r>
        <w:r w:rsidR="005D302B" w:rsidRPr="005D302B">
          <w:rPr>
            <w:rFonts w:ascii="Calibri" w:hAnsi="Calibri"/>
            <w:b/>
            <w:bCs/>
            <w:sz w:val="22"/>
          </w:rPr>
          <w:fldChar w:fldCharType="separate"/>
        </w:r>
        <w:r w:rsidR="00432F44">
          <w:rPr>
            <w:rFonts w:ascii="Calibri" w:hAnsi="Calibri"/>
            <w:b/>
            <w:bCs/>
            <w:noProof/>
            <w:sz w:val="22"/>
          </w:rPr>
          <w:t>7</w:t>
        </w:r>
        <w:r w:rsidR="005D302B" w:rsidRPr="005D302B">
          <w:rPr>
            <w:rFonts w:ascii="Calibri" w:hAnsi="Calibri"/>
            <w:b/>
            <w:bCs/>
            <w:sz w:val="22"/>
          </w:rPr>
          <w:fldChar w:fldCharType="end"/>
        </w:r>
        <w:r w:rsidR="00486785">
          <w:rPr>
            <w:rFonts w:ascii="Calibri" w:hAnsi="Calibri"/>
            <w:sz w:val="22"/>
          </w:rPr>
          <w:t xml:space="preserve"> de </w:t>
        </w:r>
        <w:r w:rsidR="005D302B" w:rsidRPr="005D302B">
          <w:rPr>
            <w:rFonts w:ascii="Calibri" w:hAnsi="Calibri"/>
            <w:b/>
            <w:bCs/>
            <w:sz w:val="22"/>
          </w:rPr>
          <w:fldChar w:fldCharType="begin"/>
        </w:r>
        <w:r w:rsidR="005D302B" w:rsidRPr="005D302B">
          <w:rPr>
            <w:rFonts w:ascii="Calibri" w:hAnsi="Calibri"/>
            <w:b/>
            <w:bCs/>
            <w:sz w:val="22"/>
          </w:rPr>
          <w:instrText xml:space="preserve"> NUMPAGES  </w:instrText>
        </w:r>
        <w:r w:rsidR="005D302B" w:rsidRPr="005D302B">
          <w:rPr>
            <w:rFonts w:ascii="Calibri" w:hAnsi="Calibri"/>
            <w:b/>
            <w:bCs/>
            <w:sz w:val="22"/>
          </w:rPr>
          <w:fldChar w:fldCharType="separate"/>
        </w:r>
        <w:r w:rsidR="00432F44">
          <w:rPr>
            <w:rFonts w:ascii="Calibri" w:hAnsi="Calibri"/>
            <w:b/>
            <w:bCs/>
            <w:noProof/>
            <w:sz w:val="22"/>
          </w:rPr>
          <w:t>7</w:t>
        </w:r>
        <w:r w:rsidR="005D302B" w:rsidRPr="005D302B">
          <w:rPr>
            <w:rFonts w:ascii="Calibri" w:hAnsi="Calibri"/>
            <w:b/>
            <w:bCs/>
            <w:sz w:val="22"/>
          </w:rPr>
          <w:fldChar w:fldCharType="end"/>
        </w:r>
        <w:r w:rsidR="00486785">
          <w:tab/>
        </w:r>
        <w:r w:rsidR="00486785">
          <w:rPr>
            <w:rFonts w:ascii="Calibri" w:hAnsi="Calibri"/>
            <w:sz w:val="22"/>
          </w:rPr>
          <w:t xml:space="preserve">               Fecha de entrada en vigor: </w:t>
        </w:r>
        <w:r w:rsidR="00A54B35">
          <w:rPr>
            <w:rFonts w:ascii="Calibri" w:hAnsi="Calibri"/>
            <w:sz w:val="22"/>
          </w:rPr>
          <w:t>01/07/2016</w:t>
        </w:r>
      </w:sdtContent>
    </w:sdt>
    <w:r w:rsidR="00486785">
      <w:tab/>
    </w:r>
    <w:r w:rsidR="00486785">
      <w:rPr>
        <w:rFonts w:ascii="Calibri" w:hAnsi="Calibri"/>
        <w:sz w:val="22"/>
      </w:rPr>
      <w:t>Versión n.°:</w:t>
    </w:r>
    <w:sdt>
      <w:sdtPr>
        <w:rPr>
          <w:rFonts w:ascii="Calibri" w:hAnsi="Calibri"/>
          <w:sz w:val="22"/>
        </w:rPr>
        <w:alias w:val="POPPRefItemVersion"/>
        <w:tag w:val="UNDP_POPP_REFITEM_VERSION"/>
        <w:id w:val="1031069668"/>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7307EF1E-DE7D-41A2-9D27-B3B2C20392B7}"/>
        <w:text/>
      </w:sdtPr>
      <w:sdtContent>
        <w:r w:rsidR="00486785">
          <w:rPr>
            <w:rFonts w:ascii="Calibri" w:hAnsi="Calibri"/>
            <w:sz w:val="22"/>
          </w:rPr>
          <w:t>2</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A6558D" w14:textId="77777777" w:rsidR="00774E68" w:rsidRDefault="00774E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AFF57D" w14:textId="77777777" w:rsidR="00254EF7" w:rsidRDefault="00254EF7" w:rsidP="009F2A40">
      <w:r>
        <w:separator/>
      </w:r>
    </w:p>
  </w:footnote>
  <w:footnote w:type="continuationSeparator" w:id="0">
    <w:p w14:paraId="35185091" w14:textId="77777777" w:rsidR="00254EF7" w:rsidRDefault="00254EF7" w:rsidP="009F2A40">
      <w:r>
        <w:continuationSeparator/>
      </w:r>
    </w:p>
  </w:footnote>
  <w:footnote w:id="1">
    <w:p w14:paraId="6BC57894" w14:textId="5355662A" w:rsidR="009F2A40" w:rsidRPr="00C512EC" w:rsidRDefault="009F2A40" w:rsidP="00C512EC">
      <w:pPr>
        <w:pStyle w:val="SingleTxt"/>
        <w:tabs>
          <w:tab w:val="left" w:pos="7830"/>
        </w:tabs>
        <w:ind w:left="0" w:right="0"/>
        <w:rPr>
          <w:rFonts w:asciiTheme="majorHAnsi" w:eastAsiaTheme="minorEastAsia" w:hAnsiTheme="majorHAnsi" w:cs="Arial"/>
          <w:spacing w:val="0"/>
          <w:w w:val="100"/>
          <w:kern w:val="0"/>
          <w:sz w:val="22"/>
          <w:szCs w:val="22"/>
          <w:lang w:val="es-AR"/>
        </w:rPr>
      </w:pPr>
      <w:r>
        <w:rPr>
          <w:rStyle w:val="FootnoteReference"/>
          <w:rFonts w:asciiTheme="majorHAnsi" w:hAnsiTheme="majorHAnsi"/>
          <w:sz w:val="22"/>
        </w:rPr>
        <w:footnoteRef/>
      </w:r>
      <w:r>
        <w:rPr>
          <w:rFonts w:asciiTheme="majorHAnsi" w:hAnsiTheme="majorHAnsi"/>
          <w:sz w:val="22"/>
        </w:rPr>
        <w:t xml:space="preserve"> Cuando dos miembros del personal están casados y cada uno tiene derecho a recibir la prestación por servicio en lugares de destino no aptos para familias, se deberá pagar a cada uno a la tarifa aplicable a un miembro del personal sin familiares a cargo. Si hay uno o más hijos a cargo, la prestación por servicio en lugares de destino no aptos para familias deberá pagarse a la tarifa aplicable a un miembro del personal con un familiar a cargo al miembro del personal a cuyo cargo se reconoce que está(n) el hijo o los hijos. La misma disposición deberá aplicarse cuando uno de los cónyuges es un miembro del personal de otra organización del régimen común de las Naciones Unidas.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F1E0CA" w14:textId="77777777" w:rsidR="00774E68" w:rsidRDefault="00774E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624A32" w14:textId="0703CFDB" w:rsidR="000156BF" w:rsidRDefault="00774E68" w:rsidP="000156BF">
    <w:pPr>
      <w:pStyle w:val="Header"/>
      <w:jc w:val="right"/>
    </w:pPr>
    <w:r>
      <w:rPr>
        <w:noProof/>
      </w:rPr>
      <w:drawing>
        <wp:inline distT="0" distB="0" distL="0" distR="0" wp14:anchorId="3849AC45" wp14:editId="7D62B73E">
          <wp:extent cx="294640" cy="589280"/>
          <wp:effectExtent l="0" t="0" r="0" b="127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pic:cNvPicPr>
                </pic:nvPicPr>
                <pic:blipFill rotWithShape="1">
                  <a:blip r:embed="rId1">
                    <a:extLst>
                      <a:ext uri="{28A0092B-C50C-407E-A947-70E740481C1C}">
                        <a14:useLocalDpi xmlns:a14="http://schemas.microsoft.com/office/drawing/2010/main" val="0"/>
                      </a:ext>
                    </a:extLst>
                  </a:blip>
                  <a:srcRect r="3247" b="16111"/>
                  <a:stretch/>
                </pic:blipFill>
                <pic:spPr bwMode="auto">
                  <a:xfrm>
                    <a:off x="0" y="0"/>
                    <a:ext cx="294640" cy="589280"/>
                  </a:xfrm>
                  <a:prstGeom prst="rect">
                    <a:avLst/>
                  </a:prstGeom>
                  <a:ln>
                    <a:noFill/>
                  </a:ln>
                  <a:extLst>
                    <a:ext uri="{53640926-AAD7-44D8-BBD7-CCE9431645EC}">
                      <a14:shadowObscured xmlns:a14="http://schemas.microsoft.com/office/drawing/2010/main"/>
                    </a:ext>
                  </a:extLst>
                </pic:spPr>
              </pic:pic>
            </a:graphicData>
          </a:graphic>
        </wp:inline>
      </w:drawing>
    </w:r>
  </w:p>
  <w:p w14:paraId="7BCAD348" w14:textId="77777777" w:rsidR="000156BF" w:rsidRDefault="000156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0F6384" w14:textId="77777777" w:rsidR="00774E68" w:rsidRDefault="00774E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C05EA"/>
    <w:multiLevelType w:val="hybridMultilevel"/>
    <w:tmpl w:val="DF14AB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2755C5"/>
    <w:multiLevelType w:val="hybridMultilevel"/>
    <w:tmpl w:val="51DCC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1B6AB2"/>
    <w:multiLevelType w:val="hybridMultilevel"/>
    <w:tmpl w:val="1A12730C"/>
    <w:lvl w:ilvl="0" w:tplc="04090017">
      <w:start w:val="1"/>
      <w:numFmt w:val="lowerLetter"/>
      <w:lvlText w:val="%1)"/>
      <w:lvlJc w:val="left"/>
      <w:pPr>
        <w:ind w:left="1080" w:hanging="360"/>
      </w:pPr>
    </w:lvl>
    <w:lvl w:ilvl="1" w:tplc="04090017">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9CF4CB5"/>
    <w:multiLevelType w:val="hybridMultilevel"/>
    <w:tmpl w:val="74DA4D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F730FB"/>
    <w:multiLevelType w:val="hybridMultilevel"/>
    <w:tmpl w:val="8B469FB4"/>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F07647B"/>
    <w:multiLevelType w:val="hybridMultilevel"/>
    <w:tmpl w:val="08227CA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F8B04F6"/>
    <w:multiLevelType w:val="multilevel"/>
    <w:tmpl w:val="3BC41A32"/>
    <w:lvl w:ilvl="0">
      <w:start w:val="1"/>
      <w:numFmt w:val="decimal"/>
      <w:lvlText w:val="%1."/>
      <w:lvlJc w:val="left"/>
      <w:pPr>
        <w:ind w:left="81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1244261"/>
    <w:multiLevelType w:val="hybridMultilevel"/>
    <w:tmpl w:val="8564E3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9662AB"/>
    <w:multiLevelType w:val="hybridMultilevel"/>
    <w:tmpl w:val="658C2838"/>
    <w:lvl w:ilvl="0" w:tplc="E188A796">
      <w:start w:val="1"/>
      <w:numFmt w:val="decimal"/>
      <w:lvlText w:val="%1."/>
      <w:lvlJc w:val="left"/>
      <w:pPr>
        <w:ind w:left="360" w:hanging="360"/>
      </w:pPr>
      <w:rPr>
        <w:b w:val="0"/>
        <w:color w:val="auto"/>
      </w:rPr>
    </w:lvl>
    <w:lvl w:ilvl="1" w:tplc="04090017">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2CC4991"/>
    <w:multiLevelType w:val="hybridMultilevel"/>
    <w:tmpl w:val="216A61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3B4645"/>
    <w:multiLevelType w:val="hybridMultilevel"/>
    <w:tmpl w:val="FBFC8E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107B9E"/>
    <w:multiLevelType w:val="hybridMultilevel"/>
    <w:tmpl w:val="3E5E10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105D18"/>
    <w:multiLevelType w:val="hybridMultilevel"/>
    <w:tmpl w:val="328CA7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257788"/>
    <w:multiLevelType w:val="hybridMultilevel"/>
    <w:tmpl w:val="DE0E71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9762093"/>
    <w:multiLevelType w:val="hybridMultilevel"/>
    <w:tmpl w:val="A06856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A621A2"/>
    <w:multiLevelType w:val="hybridMultilevel"/>
    <w:tmpl w:val="052CE5A6"/>
    <w:lvl w:ilvl="0" w:tplc="0409000F">
      <w:start w:val="1"/>
      <w:numFmt w:val="decimal"/>
      <w:lvlText w:val="%1."/>
      <w:lvlJc w:val="left"/>
      <w:pPr>
        <w:ind w:left="81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2781382">
    <w:abstractNumId w:val="15"/>
  </w:num>
  <w:num w:numId="2" w16cid:durableId="1602369287">
    <w:abstractNumId w:val="1"/>
  </w:num>
  <w:num w:numId="3" w16cid:durableId="201792820">
    <w:abstractNumId w:val="6"/>
  </w:num>
  <w:num w:numId="4" w16cid:durableId="726146095">
    <w:abstractNumId w:val="3"/>
  </w:num>
  <w:num w:numId="5" w16cid:durableId="1891725790">
    <w:abstractNumId w:val="12"/>
  </w:num>
  <w:num w:numId="6" w16cid:durableId="589195954">
    <w:abstractNumId w:val="8"/>
  </w:num>
  <w:num w:numId="7" w16cid:durableId="197083630">
    <w:abstractNumId w:val="10"/>
  </w:num>
  <w:num w:numId="8" w16cid:durableId="655308546">
    <w:abstractNumId w:val="9"/>
  </w:num>
  <w:num w:numId="9" w16cid:durableId="273950447">
    <w:abstractNumId w:val="7"/>
  </w:num>
  <w:num w:numId="10" w16cid:durableId="2080592309">
    <w:abstractNumId w:val="0"/>
  </w:num>
  <w:num w:numId="11" w16cid:durableId="1694258833">
    <w:abstractNumId w:val="11"/>
  </w:num>
  <w:num w:numId="12" w16cid:durableId="1739354041">
    <w:abstractNumId w:val="14"/>
  </w:num>
  <w:num w:numId="13" w16cid:durableId="455025829">
    <w:abstractNumId w:val="4"/>
  </w:num>
  <w:num w:numId="14" w16cid:durableId="497812736">
    <w:abstractNumId w:val="2"/>
  </w:num>
  <w:num w:numId="15" w16cid:durableId="746925670">
    <w:abstractNumId w:val="13"/>
  </w:num>
  <w:num w:numId="16" w16cid:durableId="6089003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AFA"/>
    <w:rsid w:val="000156BF"/>
    <w:rsid w:val="00070FC6"/>
    <w:rsid w:val="00091CD7"/>
    <w:rsid w:val="00092005"/>
    <w:rsid w:val="000A155C"/>
    <w:rsid w:val="000E387E"/>
    <w:rsid w:val="001020BC"/>
    <w:rsid w:val="001173F6"/>
    <w:rsid w:val="0011748C"/>
    <w:rsid w:val="00117BD4"/>
    <w:rsid w:val="001265C9"/>
    <w:rsid w:val="001606C7"/>
    <w:rsid w:val="00193E01"/>
    <w:rsid w:val="00196919"/>
    <w:rsid w:val="001C1B99"/>
    <w:rsid w:val="001F53AE"/>
    <w:rsid w:val="002214E1"/>
    <w:rsid w:val="00236DF3"/>
    <w:rsid w:val="00254EF7"/>
    <w:rsid w:val="002562E0"/>
    <w:rsid w:val="002666D3"/>
    <w:rsid w:val="00270D3A"/>
    <w:rsid w:val="002768C5"/>
    <w:rsid w:val="0028514F"/>
    <w:rsid w:val="002E3874"/>
    <w:rsid w:val="00340949"/>
    <w:rsid w:val="00345A8F"/>
    <w:rsid w:val="00360EAB"/>
    <w:rsid w:val="0039692E"/>
    <w:rsid w:val="003B0775"/>
    <w:rsid w:val="003C776B"/>
    <w:rsid w:val="00425209"/>
    <w:rsid w:val="00432F44"/>
    <w:rsid w:val="00454418"/>
    <w:rsid w:val="0046765D"/>
    <w:rsid w:val="00471AFA"/>
    <w:rsid w:val="00481A74"/>
    <w:rsid w:val="00486785"/>
    <w:rsid w:val="00491F63"/>
    <w:rsid w:val="00494848"/>
    <w:rsid w:val="004A242B"/>
    <w:rsid w:val="004B535E"/>
    <w:rsid w:val="00506A02"/>
    <w:rsid w:val="00532DD4"/>
    <w:rsid w:val="0056774F"/>
    <w:rsid w:val="00574E9A"/>
    <w:rsid w:val="005A4678"/>
    <w:rsid w:val="005A79F6"/>
    <w:rsid w:val="005B7007"/>
    <w:rsid w:val="005C7AE2"/>
    <w:rsid w:val="005D302B"/>
    <w:rsid w:val="006A0601"/>
    <w:rsid w:val="007221A9"/>
    <w:rsid w:val="00774E68"/>
    <w:rsid w:val="007B118C"/>
    <w:rsid w:val="007B7077"/>
    <w:rsid w:val="00800609"/>
    <w:rsid w:val="00803EF5"/>
    <w:rsid w:val="008106EF"/>
    <w:rsid w:val="0085411B"/>
    <w:rsid w:val="008A0223"/>
    <w:rsid w:val="008A5AD2"/>
    <w:rsid w:val="008D29E4"/>
    <w:rsid w:val="00997D97"/>
    <w:rsid w:val="009A193C"/>
    <w:rsid w:val="009A6A1A"/>
    <w:rsid w:val="009F2A40"/>
    <w:rsid w:val="00A13914"/>
    <w:rsid w:val="00A15633"/>
    <w:rsid w:val="00A54B35"/>
    <w:rsid w:val="00A84C08"/>
    <w:rsid w:val="00AB5199"/>
    <w:rsid w:val="00B20539"/>
    <w:rsid w:val="00B256F4"/>
    <w:rsid w:val="00B54925"/>
    <w:rsid w:val="00B55571"/>
    <w:rsid w:val="00B74D9C"/>
    <w:rsid w:val="00BA1EA5"/>
    <w:rsid w:val="00BA531D"/>
    <w:rsid w:val="00BC730D"/>
    <w:rsid w:val="00BD4D9C"/>
    <w:rsid w:val="00BE3046"/>
    <w:rsid w:val="00C512EC"/>
    <w:rsid w:val="00C52AAD"/>
    <w:rsid w:val="00C5354F"/>
    <w:rsid w:val="00C550E5"/>
    <w:rsid w:val="00CA0D5D"/>
    <w:rsid w:val="00CA46EF"/>
    <w:rsid w:val="00CF05EC"/>
    <w:rsid w:val="00CF3B61"/>
    <w:rsid w:val="00D0306C"/>
    <w:rsid w:val="00D215D2"/>
    <w:rsid w:val="00D65D61"/>
    <w:rsid w:val="00DB3664"/>
    <w:rsid w:val="00DD1318"/>
    <w:rsid w:val="00E231AD"/>
    <w:rsid w:val="00E340B5"/>
    <w:rsid w:val="00E6251A"/>
    <w:rsid w:val="00E81F8E"/>
    <w:rsid w:val="00E95A4B"/>
    <w:rsid w:val="00EE6F6F"/>
    <w:rsid w:val="00F77329"/>
    <w:rsid w:val="00FD2019"/>
    <w:rsid w:val="00FF051D"/>
    <w:rsid w:val="00FF0601"/>
    <w:rsid w:val="14E8DA92"/>
    <w:rsid w:val="6675D0A5"/>
    <w:rsid w:val="783160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0DECDD"/>
  <w14:defaultImageDpi w14:val="300"/>
  <w15:docId w15:val="{A7CC71FE-0A30-4C18-844B-16F9D2084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s-ES" w:eastAsia="es-ES" w:bidi="es-ES"/>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SingleTxt"/>
    <w:rsid w:val="00471AFA"/>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270" w:lineRule="exact"/>
      <w:ind w:left="1267" w:right="1267" w:hanging="1267"/>
      <w:outlineLvl w:val="0"/>
    </w:pPr>
    <w:rPr>
      <w:rFonts w:ascii="Times New Roman" w:eastAsia="Times New Roman" w:hAnsi="Times New Roman" w:cs="Times New Roman"/>
      <w:b/>
      <w:spacing w:val="4"/>
      <w:w w:val="103"/>
      <w:kern w:val="14"/>
      <w:szCs w:val="20"/>
    </w:rPr>
  </w:style>
  <w:style w:type="paragraph" w:customStyle="1" w:styleId="H4">
    <w:name w:val="_ H_4"/>
    <w:basedOn w:val="Normal"/>
    <w:next w:val="SingleTxt"/>
    <w:rsid w:val="00471AFA"/>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240" w:lineRule="exact"/>
      <w:ind w:left="1267" w:right="1267" w:hanging="1267"/>
      <w:outlineLvl w:val="3"/>
    </w:pPr>
    <w:rPr>
      <w:rFonts w:ascii="Times New Roman" w:eastAsia="Times New Roman" w:hAnsi="Times New Roman" w:cs="Times New Roman"/>
      <w:i/>
      <w:spacing w:val="3"/>
      <w:w w:val="103"/>
      <w:kern w:val="14"/>
      <w:sz w:val="20"/>
      <w:szCs w:val="20"/>
    </w:rPr>
  </w:style>
  <w:style w:type="paragraph" w:customStyle="1" w:styleId="SingleTxt">
    <w:name w:val="__Single Txt"/>
    <w:basedOn w:val="Normal"/>
    <w:rsid w:val="00471AFA"/>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ascii="Times New Roman" w:eastAsia="Times New Roman" w:hAnsi="Times New Roman" w:cs="Times New Roman"/>
      <w:spacing w:val="4"/>
      <w:w w:val="103"/>
      <w:kern w:val="14"/>
      <w:sz w:val="20"/>
      <w:szCs w:val="20"/>
    </w:rPr>
  </w:style>
  <w:style w:type="character" w:styleId="CommentReference">
    <w:name w:val="annotation reference"/>
    <w:semiHidden/>
    <w:rsid w:val="00471AFA"/>
    <w:rPr>
      <w:sz w:val="6"/>
    </w:rPr>
  </w:style>
  <w:style w:type="paragraph" w:styleId="CommentText">
    <w:name w:val="annotation text"/>
    <w:basedOn w:val="Normal"/>
    <w:link w:val="CommentTextChar"/>
    <w:semiHidden/>
    <w:rsid w:val="00471AFA"/>
    <w:pPr>
      <w:suppressAutoHyphens/>
      <w:spacing w:line="240" w:lineRule="exact"/>
    </w:pPr>
    <w:rPr>
      <w:rFonts w:ascii="Times New Roman" w:eastAsia="Times New Roman" w:hAnsi="Times New Roman" w:cs="Times New Roman"/>
      <w:spacing w:val="4"/>
      <w:w w:val="103"/>
      <w:kern w:val="14"/>
      <w:sz w:val="20"/>
      <w:szCs w:val="20"/>
    </w:rPr>
  </w:style>
  <w:style w:type="character" w:customStyle="1" w:styleId="CommentTextChar">
    <w:name w:val="Comment Text Char"/>
    <w:basedOn w:val="DefaultParagraphFont"/>
    <w:link w:val="CommentText"/>
    <w:semiHidden/>
    <w:rsid w:val="00471AFA"/>
    <w:rPr>
      <w:rFonts w:ascii="Times New Roman" w:eastAsia="Times New Roman" w:hAnsi="Times New Roman" w:cs="Times New Roman"/>
      <w:spacing w:val="4"/>
      <w:w w:val="103"/>
      <w:kern w:val="14"/>
      <w:sz w:val="20"/>
      <w:szCs w:val="20"/>
      <w:lang w:val="es-ES"/>
    </w:rPr>
  </w:style>
  <w:style w:type="paragraph" w:styleId="BalloonText">
    <w:name w:val="Balloon Text"/>
    <w:basedOn w:val="Normal"/>
    <w:link w:val="BalloonTextChar"/>
    <w:uiPriority w:val="99"/>
    <w:semiHidden/>
    <w:unhideWhenUsed/>
    <w:rsid w:val="00471AF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71AFA"/>
    <w:rPr>
      <w:rFonts w:ascii="Lucida Grande" w:hAnsi="Lucida Grande" w:cs="Lucida Grande"/>
      <w:sz w:val="18"/>
      <w:szCs w:val="18"/>
    </w:rPr>
  </w:style>
  <w:style w:type="paragraph" w:styleId="CommentSubject">
    <w:name w:val="annotation subject"/>
    <w:basedOn w:val="CommentText"/>
    <w:next w:val="CommentText"/>
    <w:link w:val="CommentSubjectChar"/>
    <w:uiPriority w:val="99"/>
    <w:semiHidden/>
    <w:unhideWhenUsed/>
    <w:rsid w:val="005A4678"/>
    <w:pPr>
      <w:suppressAutoHyphens w:val="0"/>
      <w:spacing w:line="240" w:lineRule="auto"/>
    </w:pPr>
    <w:rPr>
      <w:rFonts w:asciiTheme="minorHAnsi" w:eastAsiaTheme="minorEastAsia" w:hAnsiTheme="minorHAnsi" w:cstheme="minorBidi"/>
      <w:b/>
      <w:bCs/>
      <w:spacing w:val="0"/>
      <w:w w:val="100"/>
      <w:kern w:val="0"/>
    </w:rPr>
  </w:style>
  <w:style w:type="character" w:customStyle="1" w:styleId="CommentSubjectChar">
    <w:name w:val="Comment Subject Char"/>
    <w:basedOn w:val="CommentTextChar"/>
    <w:link w:val="CommentSubject"/>
    <w:uiPriority w:val="99"/>
    <w:semiHidden/>
    <w:rsid w:val="005A4678"/>
    <w:rPr>
      <w:rFonts w:ascii="Times New Roman" w:eastAsia="Times New Roman" w:hAnsi="Times New Roman" w:cs="Times New Roman"/>
      <w:b/>
      <w:bCs/>
      <w:spacing w:val="4"/>
      <w:w w:val="103"/>
      <w:kern w:val="14"/>
      <w:sz w:val="20"/>
      <w:szCs w:val="20"/>
      <w:lang w:val="es-ES"/>
    </w:rPr>
  </w:style>
  <w:style w:type="table" w:styleId="TableGrid">
    <w:name w:val="Table Grid"/>
    <w:basedOn w:val="TableNormal"/>
    <w:uiPriority w:val="59"/>
    <w:rsid w:val="009F2A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9F2A40"/>
  </w:style>
  <w:style w:type="character" w:customStyle="1" w:styleId="FootnoteTextChar">
    <w:name w:val="Footnote Text Char"/>
    <w:basedOn w:val="DefaultParagraphFont"/>
    <w:link w:val="FootnoteText"/>
    <w:uiPriority w:val="99"/>
    <w:rsid w:val="009F2A40"/>
  </w:style>
  <w:style w:type="character" w:styleId="FootnoteReference">
    <w:name w:val="footnote reference"/>
    <w:basedOn w:val="DefaultParagraphFont"/>
    <w:uiPriority w:val="99"/>
    <w:unhideWhenUsed/>
    <w:rsid w:val="009F2A40"/>
    <w:rPr>
      <w:vertAlign w:val="superscript"/>
    </w:rPr>
  </w:style>
  <w:style w:type="paragraph" w:styleId="Footer">
    <w:name w:val="footer"/>
    <w:basedOn w:val="Normal"/>
    <w:link w:val="FooterChar"/>
    <w:uiPriority w:val="99"/>
    <w:unhideWhenUsed/>
    <w:rsid w:val="009F2A40"/>
    <w:pPr>
      <w:tabs>
        <w:tab w:val="center" w:pos="4320"/>
        <w:tab w:val="right" w:pos="8640"/>
      </w:tabs>
    </w:pPr>
  </w:style>
  <w:style w:type="character" w:customStyle="1" w:styleId="FooterChar">
    <w:name w:val="Footer Char"/>
    <w:basedOn w:val="DefaultParagraphFont"/>
    <w:link w:val="Footer"/>
    <w:uiPriority w:val="99"/>
    <w:rsid w:val="009F2A40"/>
  </w:style>
  <w:style w:type="character" w:styleId="PageNumber">
    <w:name w:val="page number"/>
    <w:basedOn w:val="DefaultParagraphFont"/>
    <w:uiPriority w:val="99"/>
    <w:semiHidden/>
    <w:unhideWhenUsed/>
    <w:rsid w:val="009F2A40"/>
  </w:style>
  <w:style w:type="character" w:styleId="Hyperlink">
    <w:name w:val="Hyperlink"/>
    <w:basedOn w:val="DefaultParagraphFont"/>
    <w:uiPriority w:val="99"/>
    <w:unhideWhenUsed/>
    <w:rsid w:val="0028514F"/>
    <w:rPr>
      <w:color w:val="0000FF" w:themeColor="hyperlink"/>
      <w:u w:val="single"/>
    </w:rPr>
  </w:style>
  <w:style w:type="paragraph" w:styleId="NoSpacing">
    <w:name w:val="No Spacing"/>
    <w:uiPriority w:val="1"/>
    <w:qFormat/>
    <w:rsid w:val="000156BF"/>
  </w:style>
  <w:style w:type="paragraph" w:styleId="Header">
    <w:name w:val="header"/>
    <w:basedOn w:val="Normal"/>
    <w:link w:val="HeaderChar"/>
    <w:uiPriority w:val="99"/>
    <w:unhideWhenUsed/>
    <w:rsid w:val="000156BF"/>
    <w:pPr>
      <w:tabs>
        <w:tab w:val="center" w:pos="4680"/>
        <w:tab w:val="right" w:pos="9360"/>
      </w:tabs>
    </w:pPr>
  </w:style>
  <w:style w:type="character" w:customStyle="1" w:styleId="HeaderChar">
    <w:name w:val="Header Char"/>
    <w:basedOn w:val="DefaultParagraphFont"/>
    <w:link w:val="Header"/>
    <w:uiPriority w:val="99"/>
    <w:rsid w:val="000156BF"/>
  </w:style>
  <w:style w:type="paragraph" w:styleId="ListParagraph">
    <w:name w:val="List Paragraph"/>
    <w:basedOn w:val="Normal"/>
    <w:uiPriority w:val="34"/>
    <w:qFormat/>
    <w:rsid w:val="000156BF"/>
    <w:pPr>
      <w:ind w:left="720"/>
      <w:contextualSpacing/>
    </w:pPr>
  </w:style>
  <w:style w:type="character" w:styleId="FollowedHyperlink">
    <w:name w:val="FollowedHyperlink"/>
    <w:basedOn w:val="DefaultParagraphFont"/>
    <w:uiPriority w:val="99"/>
    <w:semiHidden/>
    <w:unhideWhenUsed/>
    <w:rsid w:val="000E387E"/>
    <w:rPr>
      <w:color w:val="800080" w:themeColor="followedHyperlink"/>
      <w:u w:val="single"/>
    </w:rPr>
  </w:style>
  <w:style w:type="character" w:styleId="PlaceholderText">
    <w:name w:val="Placeholder Text"/>
    <w:basedOn w:val="DefaultParagraphFont"/>
    <w:uiPriority w:val="99"/>
    <w:semiHidden/>
    <w:rsid w:val="005D302B"/>
    <w:rPr>
      <w:color w:val="808080"/>
    </w:rPr>
  </w:style>
  <w:style w:type="paragraph" w:styleId="NormalWeb">
    <w:name w:val="Normal (Web)"/>
    <w:basedOn w:val="Normal"/>
    <w:uiPriority w:val="99"/>
    <w:semiHidden/>
    <w:unhideWhenUsed/>
    <w:rsid w:val="00C512EC"/>
    <w:pPr>
      <w:spacing w:before="100" w:beforeAutospacing="1" w:after="100" w:afterAutospacing="1"/>
    </w:pPr>
    <w:rPr>
      <w:rFonts w:ascii="Times New Roman" w:eastAsia="Times New Roman" w:hAnsi="Times New Roman" w:cs="Times New Roman"/>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hr.un.org/handbook/staff-rule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_dlc_DocId xmlns="8264c5cc-ec60-4b56-8111-ce635d3d139a">UNITBMS-1904581467-162</_dlc_DocId>
    <UNDP_POPP_DOCUMENT_TYPE xmlns="8264c5cc-ec60-4b56-8111-ce635d3d139a">Policy</UNDP_POPP_DOCUMENT_TYPE>
    <UNDP_POPP_DOCUMENT_TEMPLATE xmlns="8264c5cc-ec60-4b56-8111-ce635d3d139a" xsi:nil="true"/>
    <Location xmlns="e560140e-7b2f-4392-90df-e7567e3021a3" xsi:nil="true"/>
    <TaxCatchAll xmlns="8264c5cc-ec60-4b56-8111-ce635d3d139a">
      <Value>349</Value>
    </TaxCatchAll>
    <UNDP_POPP_VERSION_COMMENTS xmlns="8264c5cc-ec60-4b56-8111-ce635d3d139a" xsi:nil="true"/>
    <UNDP_POPP_DOCUMENT_LANGUAGE xmlns="8264c5cc-ec60-4b56-8111-ce635d3d139a">Spanish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Human Resources Management</TermName>
          <TermId xmlns="http://schemas.microsoft.com/office/infopath/2007/PartnerControls">1f57ad6b-760b-4b5a-be19-36e6fe76fd85</TermId>
        </TermInfo>
      </Terms>
    </l0e6ef0c43e74560bd7f3acd1f5e8571>
    <UNDP_POPP_PLANNED_REVIEWDATE xmlns="8264c5cc-ec60-4b56-8111-ce635d3d139a" xsi:nil="true"/>
    <UNDP_POPP_LASTMODIFIED xmlns="8264c5cc-ec60-4b56-8111-ce635d3d139a" xsi:nil="true"/>
    <UNDP_POPP_REJECT_COMMENTS xmlns="8264c5cc-ec60-4b56-8111-ce635d3d139a" xsi:nil="true"/>
    <DLCPolicyLabelValue xmlns="e560140e-7b2f-4392-90df-e7567e3021a3">Effective Date: {Effective Date}                                                Version #: 2</DLCPolicyLabelValue>
    <UNDP_POPP_EFFECTIVEDATE xmlns="8264c5cc-ec60-4b56-8111-ce635d3d139a" xsi:nil="true"/>
    <UNDP_POPP_FILEVERSION xmlns="8264c5cc-ec60-4b56-8111-ce635d3d139a">1024</UNDP_POPP_FILEVERSION>
    <UNDP_POPP_REFITEM_VERSION xmlns="8264c5cc-ec60-4b56-8111-ce635d3d139a">2</UNDP_POPP_REFITEM_VERSION>
    <UNDP_POPP_ISACTIVE xmlns="8264c5cc-ec60-4b56-8111-ce635d3d139a">true</UNDP_POPP_ISACTIVE>
    <UNDP_POPP_TITLE_EN xmlns="8264c5cc-ec60-4b56-8111-ce635d3d139a">Prestación por peligrosidad</UNDP_POPP_TITLE_EN>
    <_dlc_DocIdUrl xmlns="8264c5cc-ec60-4b56-8111-ce635d3d139a">
      <Url>https://intranet.undp.org/unit/bms/dir/internal/init_popp/_layouts/15/DocIdRedir.aspx?ID=UNITBMS-1904581467-162</Url>
      <Description>UNITBMS-1904581467-162</Description>
    </_dlc_DocIdUrl>
    <DLCPolicyLabelLock xmlns="e560140e-7b2f-4392-90df-e7567e3021a3" xsi:nil="true"/>
    <DLCPolicyLabelClientValue xmlns="e560140e-7b2f-4392-90df-e7567e3021a3" xsi:nil="true"/>
    <UNDP_POPP_BUSINESSUNITID_HIDDEN xmlns="8264c5cc-ec60-4b56-8111-ce635d3d139a"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07EF1E-DE7D-41A2-9D27-B3B2C20392B7}">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2.xml><?xml version="1.0" encoding="utf-8"?>
<ds:datastoreItem xmlns:ds="http://schemas.openxmlformats.org/officeDocument/2006/customXml" ds:itemID="{AC25E25C-A8FE-4710-93DE-78F8B530454B}">
  <ds:schemaRefs>
    <ds:schemaRef ds:uri="http://schemas.openxmlformats.org/officeDocument/2006/bibliography"/>
  </ds:schemaRefs>
</ds:datastoreItem>
</file>

<file path=customXml/itemProps3.xml><?xml version="1.0" encoding="utf-8"?>
<ds:datastoreItem xmlns:ds="http://schemas.openxmlformats.org/officeDocument/2006/customXml" ds:itemID="{82DC0E1F-963A-4FE6-8D5D-C6EE1093C304}">
  <ds:schemaRefs>
    <ds:schemaRef ds:uri="http://schemas.microsoft.com/sharepoint/events"/>
  </ds:schemaRefs>
</ds:datastoreItem>
</file>

<file path=customXml/itemProps4.xml><?xml version="1.0" encoding="utf-8"?>
<ds:datastoreItem xmlns:ds="http://schemas.openxmlformats.org/officeDocument/2006/customXml" ds:itemID="{FCD4F6DE-DEC0-47B6-BBC0-9781B3D7D4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3A2642-7891-4559-A145-A5DFF4EAD0C0}">
  <ds:schemaRefs>
    <ds:schemaRef ds:uri="office.server.policy"/>
  </ds:schemaRefs>
</ds:datastoreItem>
</file>

<file path=customXml/itemProps6.xml><?xml version="1.0" encoding="utf-8"?>
<ds:datastoreItem xmlns:ds="http://schemas.openxmlformats.org/officeDocument/2006/customXml" ds:itemID="{7AD8CA80-29A7-430F-AAD3-013539857E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2178</Words>
  <Characters>12416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Duncan</dc:creator>
  <cp:keywords/>
  <dc:description/>
  <cp:lastModifiedBy>Pablo Morete</cp:lastModifiedBy>
  <cp:revision>7</cp:revision>
  <cp:lastPrinted>2016-06-22T10:22:00Z</cp:lastPrinted>
  <dcterms:created xsi:type="dcterms:W3CDTF">2019-04-29T15:31:00Z</dcterms:created>
  <dcterms:modified xsi:type="dcterms:W3CDTF">2024-08-09T10:49:00Z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POPPBusinessProcess">
    <vt:lpwstr/>
  </property>
  <property fmtid="{D5CDD505-2E9C-101B-9397-08002B2CF9AE}" pid="4" name="_dlc_DocIdItemGuid">
    <vt:lpwstr>d30bdd3c-b8b3-4c9f-a28b-301217cd275d</vt:lpwstr>
  </property>
  <property fmtid="{D5CDD505-2E9C-101B-9397-08002B2CF9AE}" pid="5" name="UNDP_POPP_BUSINESSUNIT">
    <vt:lpwstr>349;#Human Resources Management|1f57ad6b-760b-4b5a-be19-36e6fe76fd85</vt:lpwstr>
  </property>
  <property fmtid="{D5CDD505-2E9C-101B-9397-08002B2CF9AE}" pid="6" name="UNDPCountry">
    <vt:lpwstr/>
  </property>
  <property fmtid="{D5CDD505-2E9C-101B-9397-08002B2CF9AE}" pid="7" name="UndpDocTypeMM">
    <vt:lpwstr/>
  </property>
  <property fmtid="{D5CDD505-2E9C-101B-9397-08002B2CF9AE}" pid="8" name="UNDPDocumentCategory">
    <vt:lpwstr/>
  </property>
  <property fmtid="{D5CDD505-2E9C-101B-9397-08002B2CF9AE}" pid="9" name="UNDPFocusAreas">
    <vt:lpwstr/>
  </property>
  <property fmtid="{D5CDD505-2E9C-101B-9397-08002B2CF9AE}" pid="10" name="UN Languages">
    <vt:lpwstr/>
  </property>
  <property fmtid="{D5CDD505-2E9C-101B-9397-08002B2CF9AE}" pid="11" name="UndpUnitMM">
    <vt:lpwstr/>
  </property>
  <property fmtid="{D5CDD505-2E9C-101B-9397-08002B2CF9AE}" pid="12" name="eRegFilingCodeMM">
    <vt:lpwstr/>
  </property>
  <property fmtid="{D5CDD505-2E9C-101B-9397-08002B2CF9AE}" pid="13" name="UNDP_POPP_BUSINESSPROCESS_HIDDEN">
    <vt:lpwstr/>
  </property>
  <property fmtid="{D5CDD505-2E9C-101B-9397-08002B2CF9AE}" pid="14" name="l0e6ef0c43e74560bd7f3acd1f5e8571">
    <vt:lpwstr>Human Resources Management|1f57ad6b-760b-4b5a-be19-36e6fe76fd85</vt:lpwstr>
  </property>
  <property fmtid="{D5CDD505-2E9C-101B-9397-08002B2CF9AE}" pid="15" name="DLCPolicyLabelValue">
    <vt:lpwstr>Effective Date: {Effective Date}                                                Version #: 1</vt:lpwstr>
  </property>
  <property fmtid="{D5CDD505-2E9C-101B-9397-08002B2CF9AE}" pid="16" name="UNDP_POPP_DOCUMENT_TYPE">
    <vt:lpwstr>Policy</vt:lpwstr>
  </property>
  <property fmtid="{D5CDD505-2E9C-101B-9397-08002B2CF9AE}" pid="17" name="UNDP_POPP_VERSION_COMMENTS">
    <vt:lpwstr/>
  </property>
  <property fmtid="{D5CDD505-2E9C-101B-9397-08002B2CF9AE}" pid="18" name="UNDP_POPP_DOCUMENT_LANGUAGE">
    <vt:lpwstr>Spanish</vt:lpwstr>
  </property>
  <property fmtid="{D5CDD505-2E9C-101B-9397-08002B2CF9AE}" pid="19" name="UNDP_POPP_FILEVERSION">
    <vt:r8>1024</vt:r8>
  </property>
  <property fmtid="{D5CDD505-2E9C-101B-9397-08002B2CF9AE}" pid="20" name="UNDP_POPP_REFITEM_VERSION">
    <vt:r8>2</vt:r8>
  </property>
  <property fmtid="{D5CDD505-2E9C-101B-9397-08002B2CF9AE}" pid="21" name="UndpDocStatus">
    <vt:lpwstr>Draft</vt:lpwstr>
  </property>
  <property fmtid="{D5CDD505-2E9C-101B-9397-08002B2CF9AE}" pid="22" name="UndpClassificationLevel">
    <vt:lpwstr>Internal Use Only</vt:lpwstr>
  </property>
  <property fmtid="{D5CDD505-2E9C-101B-9397-08002B2CF9AE}" pid="23" name="UndpIsTemplate">
    <vt:lpwstr>No</vt:lpwstr>
  </property>
</Properties>
</file>