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EF54" w14:textId="77777777" w:rsidR="006B0237" w:rsidRPr="00E56343" w:rsidRDefault="006B0237" w:rsidP="006B0237">
      <w:pPr>
        <w:tabs>
          <w:tab w:val="left" w:pos="3510"/>
        </w:tabs>
        <w:ind w:right="270"/>
        <w:rPr>
          <w:rFonts w:eastAsia="Times New Roman" w:cs="Arial"/>
          <w:sz w:val="22"/>
          <w:szCs w:val="22"/>
        </w:rPr>
      </w:pPr>
      <w:r w:rsidRPr="00E56343">
        <w:rPr>
          <w:b/>
          <w:sz w:val="28"/>
        </w:rPr>
        <w:t>Prima de instalación</w:t>
      </w:r>
    </w:p>
    <w:p w14:paraId="748533D8" w14:textId="77777777" w:rsidR="006B0237" w:rsidRPr="0078673F" w:rsidRDefault="006B0237" w:rsidP="006B0237">
      <w:pPr>
        <w:jc w:val="both"/>
        <w:rPr>
          <w:rFonts w:asciiTheme="majorHAnsi" w:hAnsiTheme="majorHAnsi" w:cs="Arial"/>
          <w:b/>
          <w:sz w:val="22"/>
          <w:szCs w:val="22"/>
        </w:rPr>
      </w:pPr>
    </w:p>
    <w:p w14:paraId="2BE2DEEB" w14:textId="0B6222FB" w:rsidR="00ED4884" w:rsidRDefault="006B0237" w:rsidP="00ED4884">
      <w:pPr>
        <w:pStyle w:val="H4"/>
        <w:numPr>
          <w:ilvl w:val="0"/>
          <w:numId w:val="7"/>
        </w:numPr>
        <w:tabs>
          <w:tab w:val="clear" w:pos="1022"/>
          <w:tab w:val="clear" w:pos="1267"/>
          <w:tab w:val="clear" w:pos="1742"/>
        </w:tabs>
        <w:spacing w:line="240" w:lineRule="auto"/>
        <w:ind w:right="0"/>
        <w:jc w:val="both"/>
        <w:outlineLvl w:val="9"/>
        <w:rPr>
          <w:rFonts w:asciiTheme="minorHAnsi" w:eastAsiaTheme="minorEastAsia" w:hAnsiTheme="minorHAnsi"/>
          <w:i w:val="0"/>
          <w:spacing w:val="0"/>
          <w:w w:val="100"/>
          <w:kern w:val="0"/>
          <w:sz w:val="22"/>
          <w:szCs w:val="22"/>
        </w:rPr>
      </w:pPr>
      <w:r w:rsidRPr="00ED4884">
        <w:rPr>
          <w:rFonts w:asciiTheme="minorHAnsi" w:eastAsiaTheme="minorEastAsia" w:hAnsiTheme="minorHAnsi"/>
          <w:i w:val="0"/>
          <w:spacing w:val="0"/>
          <w:w w:val="100"/>
          <w:kern w:val="0"/>
          <w:sz w:val="22"/>
          <w:szCs w:val="22"/>
        </w:rPr>
        <w:t xml:space="preserve">El propósito de la prima de instalación es proporcionar a los miembros del personal que reúnen las condiciones ayuda financiera razonable para reubicarse en el nombramiento inicial o en la reasignación a un nuevo lugar de destino. Es la compensación total pagadera por la Organización por los costos incurridos por los miembros del personal que reúnen las condiciones y sus familiares como consecuencia de un nombramiento o una reasignación que implica la reubicación, además de cualquier gasto previo a la partida en el que pueda incurrir como resultado de esto el miembro del personal. </w:t>
      </w:r>
    </w:p>
    <w:p w14:paraId="4EE4BDB1" w14:textId="77777777" w:rsidR="00ED4884" w:rsidRPr="00ED4884" w:rsidRDefault="00ED4884" w:rsidP="00ED4884">
      <w:pPr>
        <w:pStyle w:val="SingleTxt"/>
        <w:rPr>
          <w:rFonts w:eastAsiaTheme="minorEastAsia"/>
        </w:rPr>
      </w:pPr>
    </w:p>
    <w:p w14:paraId="15298695" w14:textId="77C06B57" w:rsidR="006B0237" w:rsidRPr="00ED4884" w:rsidRDefault="006B0237" w:rsidP="00ED4884">
      <w:pPr>
        <w:pStyle w:val="H4"/>
        <w:numPr>
          <w:ilvl w:val="0"/>
          <w:numId w:val="7"/>
        </w:numPr>
        <w:tabs>
          <w:tab w:val="clear" w:pos="1022"/>
          <w:tab w:val="clear" w:pos="1267"/>
          <w:tab w:val="clear" w:pos="1742"/>
        </w:tabs>
        <w:spacing w:line="240" w:lineRule="auto"/>
        <w:ind w:right="0"/>
        <w:jc w:val="both"/>
        <w:outlineLvl w:val="9"/>
        <w:rPr>
          <w:rFonts w:asciiTheme="minorHAnsi" w:eastAsiaTheme="minorEastAsia" w:hAnsiTheme="minorHAnsi" w:cs="Arial"/>
          <w:i w:val="0"/>
          <w:spacing w:val="0"/>
          <w:w w:val="100"/>
          <w:kern w:val="0"/>
          <w:sz w:val="22"/>
          <w:szCs w:val="22"/>
        </w:rPr>
      </w:pPr>
      <w:r w:rsidRPr="00ED4884">
        <w:rPr>
          <w:rFonts w:asciiTheme="minorHAnsi" w:eastAsiaTheme="minorEastAsia" w:hAnsiTheme="minorHAnsi"/>
          <w:i w:val="0"/>
          <w:spacing w:val="0"/>
          <w:w w:val="100"/>
          <w:kern w:val="0"/>
          <w:sz w:val="22"/>
          <w:szCs w:val="22"/>
        </w:rPr>
        <w:t>La prima de instalación entra en vigor el 1.° de julio de 2016, y reemplaza a la anterior Prima por Asignación que es discontinuada a partir de esa fecha.</w:t>
      </w:r>
    </w:p>
    <w:p w14:paraId="751CC5A3"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6BD6F14D" w14:textId="77777777" w:rsidR="006B0237" w:rsidRPr="00E56343" w:rsidRDefault="006B0237" w:rsidP="00ED4884">
      <w:pPr>
        <w:pStyle w:val="SingleTxt"/>
        <w:spacing w:after="0" w:line="240" w:lineRule="auto"/>
        <w:ind w:left="0" w:right="0"/>
        <w:rPr>
          <w:rFonts w:asciiTheme="minorHAnsi" w:hAnsiTheme="minorHAnsi" w:cs="Arial"/>
          <w:b/>
          <w:sz w:val="22"/>
          <w:szCs w:val="22"/>
        </w:rPr>
      </w:pPr>
      <w:r w:rsidRPr="00E56343">
        <w:rPr>
          <w:rFonts w:asciiTheme="minorHAnsi" w:hAnsiTheme="minorHAnsi"/>
          <w:b/>
          <w:sz w:val="22"/>
          <w:szCs w:val="22"/>
        </w:rPr>
        <w:t>Elementos de la Prima</w:t>
      </w:r>
    </w:p>
    <w:p w14:paraId="2FF4172D" w14:textId="77777777" w:rsidR="006B0237" w:rsidRPr="00E56343" w:rsidRDefault="006B0237" w:rsidP="00ED4884">
      <w:pPr>
        <w:pStyle w:val="SingleTxt"/>
        <w:spacing w:after="0" w:line="240" w:lineRule="auto"/>
        <w:ind w:left="0" w:right="0"/>
        <w:rPr>
          <w:rFonts w:asciiTheme="minorHAnsi" w:hAnsiTheme="minorHAnsi" w:cs="Arial"/>
          <w:b/>
          <w:sz w:val="22"/>
          <w:szCs w:val="22"/>
        </w:rPr>
      </w:pPr>
    </w:p>
    <w:p w14:paraId="3BC92F74" w14:textId="77777777" w:rsidR="00ED4884" w:rsidRDefault="006B0237" w:rsidP="00ED4884">
      <w:pPr>
        <w:pStyle w:val="SingleTxt"/>
        <w:numPr>
          <w:ilvl w:val="0"/>
          <w:numId w:val="7"/>
        </w:numPr>
        <w:spacing w:after="0" w:line="240" w:lineRule="auto"/>
        <w:ind w:right="0"/>
        <w:rPr>
          <w:rFonts w:asciiTheme="minorHAnsi" w:hAnsiTheme="minorHAnsi" w:cs="Arial"/>
          <w:spacing w:val="3"/>
          <w:sz w:val="22"/>
          <w:szCs w:val="22"/>
        </w:rPr>
      </w:pPr>
      <w:r w:rsidRPr="00E56343">
        <w:rPr>
          <w:rFonts w:asciiTheme="minorHAnsi" w:hAnsiTheme="minorHAnsi"/>
          <w:spacing w:val="3"/>
          <w:sz w:val="22"/>
          <w:szCs w:val="22"/>
        </w:rPr>
        <w:t>La prima consiste en dos elementos:</w:t>
      </w:r>
    </w:p>
    <w:p w14:paraId="15317E5F" w14:textId="77777777" w:rsidR="00ED4884" w:rsidRDefault="006B0237" w:rsidP="00ED4884">
      <w:pPr>
        <w:pStyle w:val="SingleTxt"/>
        <w:numPr>
          <w:ilvl w:val="0"/>
          <w:numId w:val="10"/>
        </w:numPr>
        <w:spacing w:after="0" w:line="240" w:lineRule="auto"/>
        <w:ind w:right="0"/>
        <w:rPr>
          <w:rFonts w:asciiTheme="minorHAnsi" w:hAnsiTheme="minorHAnsi" w:cs="Arial"/>
          <w:spacing w:val="3"/>
          <w:sz w:val="22"/>
          <w:szCs w:val="22"/>
        </w:rPr>
      </w:pPr>
      <w:r w:rsidRPr="00ED4884">
        <w:rPr>
          <w:rFonts w:asciiTheme="minorHAnsi" w:hAnsiTheme="minorHAnsi"/>
          <w:spacing w:val="3"/>
          <w:sz w:val="22"/>
          <w:szCs w:val="22"/>
        </w:rPr>
        <w:t>una parte de dieta (DSA)</w:t>
      </w:r>
    </w:p>
    <w:p w14:paraId="37914D09" w14:textId="26C9CBDE" w:rsidR="006B0237" w:rsidRPr="00E56343" w:rsidRDefault="006B0237" w:rsidP="00ED4884">
      <w:pPr>
        <w:pStyle w:val="SingleTxt"/>
        <w:numPr>
          <w:ilvl w:val="0"/>
          <w:numId w:val="10"/>
        </w:numPr>
        <w:spacing w:after="0" w:line="240" w:lineRule="auto"/>
        <w:ind w:right="0"/>
        <w:rPr>
          <w:rFonts w:asciiTheme="minorHAnsi" w:hAnsiTheme="minorHAnsi" w:cs="Arial"/>
          <w:spacing w:val="3"/>
          <w:sz w:val="22"/>
          <w:szCs w:val="22"/>
        </w:rPr>
      </w:pPr>
      <w:r w:rsidRPr="00E56343">
        <w:rPr>
          <w:rFonts w:asciiTheme="minorHAnsi" w:hAnsiTheme="minorHAnsi"/>
          <w:spacing w:val="3"/>
          <w:sz w:val="22"/>
          <w:szCs w:val="22"/>
        </w:rPr>
        <w:t>una parte de suma fija</w:t>
      </w:r>
    </w:p>
    <w:p w14:paraId="5C451E8C"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62B1B740" w14:textId="77777777" w:rsidR="006B0237" w:rsidRPr="00E56343" w:rsidRDefault="006B0237" w:rsidP="00ED4884">
      <w:pPr>
        <w:pStyle w:val="SingleTxt"/>
        <w:spacing w:after="0" w:line="240" w:lineRule="auto"/>
        <w:ind w:left="0" w:right="0"/>
        <w:rPr>
          <w:rFonts w:asciiTheme="minorHAnsi" w:hAnsiTheme="minorHAnsi" w:cs="Arial"/>
          <w:b/>
          <w:sz w:val="22"/>
          <w:szCs w:val="22"/>
        </w:rPr>
      </w:pPr>
      <w:r w:rsidRPr="00E56343">
        <w:rPr>
          <w:rFonts w:asciiTheme="minorHAnsi" w:hAnsiTheme="minorHAnsi"/>
          <w:b/>
          <w:sz w:val="22"/>
          <w:szCs w:val="22"/>
        </w:rPr>
        <w:t>Admisibilidad</w:t>
      </w:r>
    </w:p>
    <w:p w14:paraId="25360EB2" w14:textId="77777777" w:rsidR="00ED4884" w:rsidRDefault="00ED4884" w:rsidP="00ED4884">
      <w:pPr>
        <w:pStyle w:val="SingleTxt"/>
        <w:spacing w:after="0" w:line="240" w:lineRule="auto"/>
        <w:ind w:left="720" w:right="0"/>
        <w:rPr>
          <w:rFonts w:asciiTheme="minorHAnsi" w:hAnsiTheme="minorHAnsi" w:cs="Arial"/>
          <w:b/>
          <w:sz w:val="22"/>
          <w:szCs w:val="22"/>
        </w:rPr>
      </w:pPr>
    </w:p>
    <w:p w14:paraId="78444AA1" w14:textId="77777777" w:rsidR="00ED4884" w:rsidRPr="00ED4884" w:rsidRDefault="006B0237" w:rsidP="00ED4884">
      <w:pPr>
        <w:pStyle w:val="SingleTxt"/>
        <w:numPr>
          <w:ilvl w:val="0"/>
          <w:numId w:val="7"/>
        </w:numPr>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Los miembros del personal de contratación internacional reúnen las condiciones para la prima de instalación, siempre que cumplan los requisitos específicos establecidos en esta política.</w:t>
      </w:r>
    </w:p>
    <w:p w14:paraId="09D7A44A" w14:textId="77777777" w:rsidR="00ED4884" w:rsidRDefault="00ED4884" w:rsidP="00ED4884">
      <w:pPr>
        <w:pStyle w:val="SingleTxt"/>
        <w:spacing w:after="0" w:line="240" w:lineRule="auto"/>
        <w:ind w:left="360" w:right="0"/>
        <w:rPr>
          <w:rFonts w:asciiTheme="minorHAnsi" w:eastAsiaTheme="minorEastAsia" w:hAnsiTheme="minorHAnsi" w:cs="Arial"/>
          <w:spacing w:val="0"/>
          <w:w w:val="100"/>
          <w:kern w:val="0"/>
          <w:sz w:val="22"/>
          <w:szCs w:val="22"/>
        </w:rPr>
      </w:pPr>
    </w:p>
    <w:p w14:paraId="53D5D40E" w14:textId="77777777" w:rsidR="00ED4884" w:rsidRPr="00ED4884" w:rsidRDefault="006B0237" w:rsidP="00ED4884">
      <w:pPr>
        <w:pStyle w:val="SingleTxt"/>
        <w:numPr>
          <w:ilvl w:val="0"/>
          <w:numId w:val="7"/>
        </w:numPr>
        <w:spacing w:after="0" w:line="240" w:lineRule="auto"/>
        <w:ind w:right="0"/>
        <w:rPr>
          <w:rFonts w:asciiTheme="minorHAnsi" w:eastAsiaTheme="minorEastAsia" w:hAnsiTheme="minorHAnsi" w:cs="Arial"/>
          <w:spacing w:val="0"/>
          <w:w w:val="100"/>
          <w:kern w:val="0"/>
          <w:sz w:val="22"/>
          <w:szCs w:val="22"/>
        </w:rPr>
      </w:pPr>
      <w:r w:rsidRPr="00ED4884">
        <w:rPr>
          <w:rFonts w:asciiTheme="minorHAnsi" w:eastAsiaTheme="minorEastAsia" w:hAnsiTheme="minorHAnsi"/>
          <w:spacing w:val="0"/>
          <w:w w:val="100"/>
          <w:kern w:val="0"/>
          <w:sz w:val="22"/>
          <w:szCs w:val="22"/>
        </w:rPr>
        <w:t>Un miembro del personal que reúne las condiciones tiene derecho a recibir el pago de la prima cuando ha sido autorizado a viajar y esto implica la reubicación en el nombramiento inicial o la reasignación a un nuevo lugar de destino. Para reunir las condiciones, un traslado debe ser a una distancia superior a la distancia al lugar de trabajo desde el lugar de contratación (para el nombramiento inicial) o el lugar de destino previo (para el personal existente), y debe implicar un cambio de alojamiento. En este sentido, los traslados internacionales y dentro del país, de un lugar de destino a otro, se tratan de igual manera.</w:t>
      </w:r>
    </w:p>
    <w:p w14:paraId="03D7D4F0" w14:textId="77777777" w:rsidR="00ED4884" w:rsidRDefault="00ED4884" w:rsidP="00ED4884">
      <w:pPr>
        <w:pStyle w:val="SingleTxt"/>
        <w:spacing w:after="0" w:line="240" w:lineRule="auto"/>
        <w:ind w:left="360" w:right="0"/>
        <w:rPr>
          <w:rFonts w:asciiTheme="minorHAnsi" w:eastAsiaTheme="minorEastAsia" w:hAnsiTheme="minorHAnsi" w:cs="Arial"/>
          <w:spacing w:val="0"/>
          <w:w w:val="100"/>
          <w:kern w:val="0"/>
          <w:sz w:val="22"/>
          <w:szCs w:val="22"/>
        </w:rPr>
      </w:pPr>
    </w:p>
    <w:p w14:paraId="52D0A8A0" w14:textId="4F6E7D8A" w:rsidR="006B0237" w:rsidRPr="00ED4884" w:rsidRDefault="006B0237" w:rsidP="00ED4884">
      <w:pPr>
        <w:pStyle w:val="SingleTxt"/>
        <w:numPr>
          <w:ilvl w:val="0"/>
          <w:numId w:val="7"/>
        </w:numPr>
        <w:spacing w:after="0" w:line="240" w:lineRule="auto"/>
        <w:ind w:right="0"/>
        <w:rPr>
          <w:rFonts w:asciiTheme="minorHAnsi" w:eastAsiaTheme="minorEastAsia" w:hAnsiTheme="minorHAnsi" w:cs="Arial"/>
          <w:spacing w:val="0"/>
          <w:w w:val="100"/>
          <w:kern w:val="0"/>
          <w:sz w:val="22"/>
          <w:szCs w:val="22"/>
        </w:rPr>
      </w:pPr>
      <w:r w:rsidRPr="00ED4884">
        <w:rPr>
          <w:rFonts w:asciiTheme="minorHAnsi" w:eastAsiaTheme="minorEastAsia" w:hAnsiTheme="minorHAnsi"/>
          <w:spacing w:val="0"/>
          <w:w w:val="100"/>
          <w:kern w:val="0"/>
          <w:sz w:val="22"/>
          <w:szCs w:val="22"/>
        </w:rPr>
        <w:t>La prima no se paga a un miembro del personal contratado desde el área dentro de la distancia al lugar de trabajo del lugar de destino a menos que demuestre que fue necesario cambiar de alojamiento como consecuencia directa del nombramiento con el PNUD (Programa de las Naciones Unidas para el Desarrollo), por ejemplo, después de mudarse de una casa provista anteriormente sin cargo por su empleador anterior. Otros cambios de alojamiento dentro del área de la distancia al lugar de trabajo, y el ascenso o el reclutamiento a la categoría de Cuadro Orgánico de un miembro del personal que anteriormente prestaba servicios en otra categoría en el mismo lugar de destino no deberán dar lugar al pago de la prima.</w:t>
      </w:r>
    </w:p>
    <w:p w14:paraId="29E1EC4D" w14:textId="77777777" w:rsidR="006B0237" w:rsidRPr="00E56343" w:rsidRDefault="006B0237" w:rsidP="00ED4884">
      <w:pPr>
        <w:pStyle w:val="SingleTxt"/>
        <w:spacing w:after="0" w:line="240" w:lineRule="auto"/>
        <w:ind w:left="0" w:right="0"/>
        <w:rPr>
          <w:rFonts w:asciiTheme="minorHAnsi" w:hAnsiTheme="minorHAnsi" w:cs="Arial"/>
          <w:b/>
          <w:sz w:val="22"/>
          <w:szCs w:val="22"/>
        </w:rPr>
      </w:pPr>
    </w:p>
    <w:p w14:paraId="5B330835" w14:textId="77777777" w:rsidR="006B0237" w:rsidRPr="00E56343" w:rsidRDefault="006B0237" w:rsidP="00ED4884">
      <w:pPr>
        <w:pStyle w:val="SingleTxt"/>
        <w:spacing w:after="0" w:line="240" w:lineRule="auto"/>
        <w:ind w:left="0" w:right="0"/>
        <w:rPr>
          <w:rFonts w:asciiTheme="minorHAnsi" w:hAnsiTheme="minorHAnsi" w:cs="Arial"/>
          <w:b/>
          <w:sz w:val="22"/>
          <w:szCs w:val="22"/>
        </w:rPr>
      </w:pPr>
    </w:p>
    <w:p w14:paraId="4FCEC8F9" w14:textId="77777777" w:rsidR="006B0237" w:rsidRPr="00E56343" w:rsidRDefault="006B0237" w:rsidP="00ED4884">
      <w:pPr>
        <w:pStyle w:val="SingleTxt"/>
        <w:spacing w:after="0" w:line="240" w:lineRule="auto"/>
        <w:ind w:left="0" w:right="0"/>
        <w:rPr>
          <w:rFonts w:asciiTheme="minorHAnsi" w:hAnsiTheme="minorHAnsi" w:cs="Arial"/>
          <w:b/>
          <w:sz w:val="22"/>
          <w:szCs w:val="22"/>
        </w:rPr>
      </w:pPr>
      <w:r w:rsidRPr="00E56343">
        <w:rPr>
          <w:rFonts w:asciiTheme="minorHAnsi" w:hAnsiTheme="minorHAnsi"/>
          <w:b/>
          <w:sz w:val="22"/>
          <w:szCs w:val="22"/>
        </w:rPr>
        <w:t>Parte de dieta (DSA)</w:t>
      </w:r>
    </w:p>
    <w:p w14:paraId="4B00CBA1"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7890AACA" w14:textId="77777777" w:rsidR="006B0237" w:rsidRPr="00E56343" w:rsidRDefault="006B0237" w:rsidP="00ED4884">
      <w:pPr>
        <w:pStyle w:val="SingleTxt"/>
        <w:numPr>
          <w:ilvl w:val="0"/>
          <w:numId w:val="7"/>
        </w:numPr>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lastRenderedPageBreak/>
        <w:t>La parte de DSA consiste en un período de subsidio de subsistencia a la tarifa del nuevo lugar de destino en la fecha del pago, y se paga en dólares estadounidenses.</w:t>
      </w:r>
    </w:p>
    <w:p w14:paraId="60F4F646"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3098D50A" w14:textId="77777777" w:rsidR="006B0237" w:rsidRPr="00E56343" w:rsidRDefault="006B0237" w:rsidP="00ED4884">
      <w:pPr>
        <w:pStyle w:val="SingleTxt"/>
        <w:spacing w:after="0" w:line="240" w:lineRule="auto"/>
        <w:ind w:left="0" w:right="0"/>
        <w:rPr>
          <w:rFonts w:asciiTheme="minorHAnsi" w:hAnsiTheme="minorHAnsi" w:cs="Arial"/>
          <w:i/>
          <w:sz w:val="22"/>
          <w:szCs w:val="22"/>
        </w:rPr>
      </w:pPr>
      <w:r w:rsidRPr="00E56343">
        <w:rPr>
          <w:rFonts w:asciiTheme="minorHAnsi" w:hAnsiTheme="minorHAnsi"/>
          <w:i/>
          <w:sz w:val="22"/>
          <w:szCs w:val="22"/>
        </w:rPr>
        <w:t>Con respecto al miembro del personal:</w:t>
      </w:r>
    </w:p>
    <w:p w14:paraId="7231B2E7" w14:textId="77777777" w:rsidR="006B0237" w:rsidRPr="00E56343" w:rsidRDefault="006B0237" w:rsidP="00ED4884">
      <w:pPr>
        <w:pStyle w:val="SingleTxt"/>
        <w:spacing w:after="0" w:line="240" w:lineRule="auto"/>
        <w:ind w:left="0" w:right="0"/>
        <w:rPr>
          <w:rFonts w:asciiTheme="minorHAnsi" w:hAnsiTheme="minorHAnsi" w:cs="Arial"/>
          <w:i/>
          <w:sz w:val="22"/>
          <w:szCs w:val="22"/>
        </w:rPr>
      </w:pPr>
    </w:p>
    <w:p w14:paraId="77A932B0" w14:textId="77777777" w:rsidR="006B0237" w:rsidRPr="00E56343" w:rsidRDefault="006B0237" w:rsidP="00ED4884">
      <w:pPr>
        <w:pStyle w:val="SingleTxt"/>
        <w:numPr>
          <w:ilvl w:val="0"/>
          <w:numId w:val="14"/>
        </w:numPr>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30 días de DSA</w:t>
      </w:r>
    </w:p>
    <w:p w14:paraId="310A83FF"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7B76A36D" w14:textId="77777777" w:rsidR="006B0237" w:rsidRPr="00E56343" w:rsidRDefault="006B0237" w:rsidP="00ED4884">
      <w:pPr>
        <w:pStyle w:val="SingleTxt"/>
        <w:spacing w:after="0" w:line="240" w:lineRule="auto"/>
        <w:ind w:left="0" w:right="0"/>
        <w:rPr>
          <w:rFonts w:asciiTheme="minorHAnsi" w:hAnsiTheme="minorHAnsi" w:cs="Arial"/>
          <w:i/>
          <w:sz w:val="22"/>
          <w:szCs w:val="22"/>
        </w:rPr>
      </w:pPr>
      <w:r w:rsidRPr="00E56343">
        <w:rPr>
          <w:rFonts w:asciiTheme="minorHAnsi" w:hAnsiTheme="minorHAnsi"/>
          <w:i/>
          <w:sz w:val="22"/>
          <w:szCs w:val="22"/>
        </w:rPr>
        <w:t>Con respecto a los familiares que reúnen las condiciones:</w:t>
      </w:r>
    </w:p>
    <w:p w14:paraId="11688BFB" w14:textId="77777777" w:rsidR="006B0237" w:rsidRPr="00E56343" w:rsidRDefault="006B0237" w:rsidP="00ED4884">
      <w:pPr>
        <w:pStyle w:val="SingleTxt"/>
        <w:spacing w:after="0" w:line="240" w:lineRule="auto"/>
        <w:ind w:left="0" w:right="0"/>
        <w:rPr>
          <w:rFonts w:asciiTheme="minorHAnsi" w:hAnsiTheme="minorHAnsi" w:cs="Arial"/>
          <w:i/>
          <w:sz w:val="22"/>
          <w:szCs w:val="22"/>
        </w:rPr>
      </w:pPr>
    </w:p>
    <w:p w14:paraId="72CEC790" w14:textId="77777777" w:rsidR="006B0237" w:rsidRPr="00E56343" w:rsidRDefault="006B0237" w:rsidP="00ED4884">
      <w:pPr>
        <w:pStyle w:val="SingleTxt"/>
        <w:numPr>
          <w:ilvl w:val="0"/>
          <w:numId w:val="14"/>
        </w:numPr>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15 días de DSA para cada familiar que reúne las condiciones para quien el PNUD haya pagado los gastos de viaje al mismo lugar de destino, siempre que la familia llegue al lugar de destino como mínimo seis meses antes de la fecha en que deba finalizar el servicio del miembro del personal en el lugar de destino (si bien este requisito puede eximirse con respecto a los hijos a cargo que asisten a una institución educativa fuera del lugar de destino y para quienes se pagan los gastos de internado).</w:t>
      </w:r>
    </w:p>
    <w:p w14:paraId="01CAE60A"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5FE7B186" w14:textId="77777777" w:rsidR="006B0237" w:rsidRPr="00E56343" w:rsidRDefault="006B0237" w:rsidP="00ED4884">
      <w:pPr>
        <w:pStyle w:val="SingleTxt"/>
        <w:numPr>
          <w:ilvl w:val="0"/>
          <w:numId w:val="15"/>
        </w:numPr>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En casos en que la asignación a un nuevo lugar de destino es por menos de un año, la parte de DSA de la prima debe, no obstante, pagarse por completo.</w:t>
      </w:r>
    </w:p>
    <w:p w14:paraId="56923BBF"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430AE59A" w14:textId="77777777" w:rsidR="006B0237" w:rsidRPr="00E56343" w:rsidRDefault="006B0237" w:rsidP="00ED4884">
      <w:pPr>
        <w:pStyle w:val="SingleTxt"/>
        <w:spacing w:after="0" w:line="240" w:lineRule="auto"/>
        <w:ind w:left="0" w:right="0"/>
        <w:rPr>
          <w:rFonts w:asciiTheme="minorHAnsi" w:hAnsiTheme="minorHAnsi" w:cs="Arial"/>
          <w:b/>
          <w:sz w:val="22"/>
          <w:szCs w:val="22"/>
        </w:rPr>
      </w:pPr>
      <w:r w:rsidRPr="00E56343">
        <w:rPr>
          <w:rFonts w:asciiTheme="minorHAnsi" w:hAnsiTheme="minorHAnsi"/>
          <w:b/>
          <w:sz w:val="22"/>
          <w:szCs w:val="22"/>
        </w:rPr>
        <w:t>Parte de suma fija</w:t>
      </w:r>
    </w:p>
    <w:p w14:paraId="14172F46" w14:textId="77777777" w:rsidR="006B0237" w:rsidRPr="00E56343" w:rsidRDefault="006B0237" w:rsidP="00ED4884">
      <w:pPr>
        <w:pStyle w:val="SingleTxt"/>
        <w:spacing w:after="0" w:line="240" w:lineRule="auto"/>
        <w:ind w:left="0" w:right="0"/>
        <w:rPr>
          <w:rFonts w:asciiTheme="minorHAnsi" w:hAnsiTheme="minorHAnsi" w:cs="Arial"/>
          <w:sz w:val="22"/>
          <w:szCs w:val="22"/>
        </w:rPr>
      </w:pPr>
    </w:p>
    <w:p w14:paraId="3A679B93" w14:textId="77777777" w:rsidR="00ED4884" w:rsidRPr="00ED4884" w:rsidRDefault="006B0237" w:rsidP="00ED4884">
      <w:pPr>
        <w:pStyle w:val="SingleTxt"/>
        <w:numPr>
          <w:ilvl w:val="0"/>
          <w:numId w:val="15"/>
        </w:numPr>
        <w:tabs>
          <w:tab w:val="left" w:pos="8640"/>
        </w:tabs>
        <w:spacing w:after="0" w:line="240" w:lineRule="auto"/>
        <w:ind w:right="0"/>
        <w:rPr>
          <w:rFonts w:asciiTheme="minorHAnsi" w:eastAsiaTheme="minorEastAsia" w:hAnsiTheme="minorHAnsi" w:cs="Arial"/>
          <w:sz w:val="22"/>
          <w:szCs w:val="22"/>
        </w:rPr>
      </w:pPr>
      <w:r w:rsidRPr="00E56343">
        <w:rPr>
          <w:rFonts w:asciiTheme="minorHAnsi" w:eastAsiaTheme="minorEastAsia" w:hAnsiTheme="minorHAnsi"/>
          <w:spacing w:val="0"/>
          <w:w w:val="100"/>
          <w:kern w:val="0"/>
          <w:sz w:val="22"/>
          <w:szCs w:val="22"/>
        </w:rPr>
        <w:t>Un miembro del personal que es nombrado o reasignado a un lugar de destino durante un año o más debe recibir un pago de suma fija de sueldo básico neto de un mes más el ajuste por lugar de destino de asignación.</w:t>
      </w:r>
    </w:p>
    <w:p w14:paraId="214E9371" w14:textId="77777777" w:rsidR="00ED4884" w:rsidRDefault="00ED4884" w:rsidP="00ED4884">
      <w:pPr>
        <w:pStyle w:val="SingleTxt"/>
        <w:tabs>
          <w:tab w:val="left" w:pos="8640"/>
        </w:tabs>
        <w:spacing w:after="0" w:line="240" w:lineRule="auto"/>
        <w:ind w:left="360" w:right="0"/>
        <w:rPr>
          <w:rFonts w:asciiTheme="minorHAnsi" w:eastAsiaTheme="minorEastAsia" w:hAnsiTheme="minorHAnsi" w:cs="Arial"/>
          <w:sz w:val="22"/>
          <w:szCs w:val="22"/>
        </w:rPr>
      </w:pPr>
    </w:p>
    <w:p w14:paraId="6BEDCA22" w14:textId="33C82C0C" w:rsidR="006B0237" w:rsidRPr="00ED4884" w:rsidRDefault="006B0237" w:rsidP="00ED4884">
      <w:pPr>
        <w:pStyle w:val="SingleTxt"/>
        <w:numPr>
          <w:ilvl w:val="0"/>
          <w:numId w:val="15"/>
        </w:numPr>
        <w:tabs>
          <w:tab w:val="left" w:pos="8640"/>
        </w:tabs>
        <w:spacing w:after="0" w:line="240" w:lineRule="auto"/>
        <w:ind w:right="0"/>
        <w:rPr>
          <w:rFonts w:asciiTheme="minorHAnsi" w:eastAsiaTheme="minorEastAsia" w:hAnsiTheme="minorHAnsi" w:cs="Arial"/>
          <w:sz w:val="22"/>
          <w:szCs w:val="22"/>
        </w:rPr>
      </w:pPr>
      <w:r w:rsidRPr="00ED4884">
        <w:rPr>
          <w:rFonts w:asciiTheme="minorHAnsi" w:eastAsiaTheme="minorEastAsia" w:hAnsiTheme="minorHAnsi"/>
          <w:spacing w:val="0"/>
          <w:w w:val="100"/>
          <w:kern w:val="0"/>
          <w:sz w:val="22"/>
          <w:szCs w:val="22"/>
        </w:rPr>
        <w:t>En casos en los que la asignación es por menos de un año, un miembro del personal deberá recibir solo la parte de la dieta de la prima de instalación. En caso de que el nombramiento o la asignación se extendieran posteriormente a un año o más en el mismo lugar de destino, el miembro del personal deberá recibir el saldo de la prima de instalación, es decir, la parte de suma fija.</w:t>
      </w:r>
    </w:p>
    <w:p w14:paraId="1C7064FA" w14:textId="77777777" w:rsidR="006B0237" w:rsidRPr="00E56343" w:rsidRDefault="006B0237" w:rsidP="00ED4884">
      <w:pPr>
        <w:jc w:val="both"/>
        <w:rPr>
          <w:rFonts w:cs="Arial"/>
          <w:b/>
          <w:sz w:val="22"/>
          <w:szCs w:val="22"/>
          <w:u w:val="single"/>
        </w:rPr>
      </w:pPr>
    </w:p>
    <w:p w14:paraId="1EDE9095" w14:textId="77777777" w:rsidR="006B0237" w:rsidRPr="00E56343" w:rsidRDefault="006B0237" w:rsidP="00ED4884">
      <w:pPr>
        <w:pStyle w:val="SingleTxt"/>
        <w:spacing w:after="0" w:line="240" w:lineRule="auto"/>
        <w:ind w:left="0" w:right="0"/>
        <w:rPr>
          <w:rFonts w:asciiTheme="minorHAnsi" w:hAnsiTheme="minorHAnsi" w:cs="Arial"/>
          <w:b/>
          <w:sz w:val="22"/>
          <w:szCs w:val="22"/>
        </w:rPr>
      </w:pPr>
      <w:r w:rsidRPr="00E56343">
        <w:rPr>
          <w:rFonts w:asciiTheme="minorHAnsi" w:hAnsiTheme="minorHAnsi"/>
          <w:b/>
          <w:sz w:val="22"/>
          <w:szCs w:val="22"/>
        </w:rPr>
        <w:t>Cuando ambos cónyuges son miembros del personal de las Naciones Unidas</w:t>
      </w:r>
    </w:p>
    <w:p w14:paraId="5B5D5BB9" w14:textId="77777777" w:rsidR="006B0237" w:rsidRPr="00E56343" w:rsidRDefault="006B0237" w:rsidP="00ED4884">
      <w:pPr>
        <w:pStyle w:val="SingleTxt"/>
        <w:tabs>
          <w:tab w:val="clear" w:pos="1267"/>
          <w:tab w:val="left" w:pos="8550"/>
        </w:tabs>
        <w:spacing w:after="0" w:line="240" w:lineRule="auto"/>
        <w:ind w:left="0" w:right="0"/>
        <w:rPr>
          <w:rFonts w:asciiTheme="minorHAnsi" w:eastAsiaTheme="minorEastAsia" w:hAnsiTheme="minorHAnsi" w:cs="Arial"/>
          <w:spacing w:val="0"/>
          <w:w w:val="100"/>
          <w:kern w:val="0"/>
          <w:sz w:val="22"/>
          <w:szCs w:val="22"/>
        </w:rPr>
      </w:pPr>
    </w:p>
    <w:p w14:paraId="0BAE96F3" w14:textId="66361443" w:rsidR="00ED4884" w:rsidRPr="00ED4884" w:rsidRDefault="006B0237" w:rsidP="00ED4884">
      <w:pPr>
        <w:pStyle w:val="SingleTxt"/>
        <w:numPr>
          <w:ilvl w:val="0"/>
          <w:numId w:val="16"/>
        </w:numPr>
        <w:tabs>
          <w:tab w:val="clear" w:pos="1267"/>
          <w:tab w:val="left" w:pos="8550"/>
        </w:tabs>
        <w:spacing w:after="0" w:line="240" w:lineRule="auto"/>
        <w:ind w:right="0"/>
        <w:rPr>
          <w:rFonts w:asciiTheme="minorHAnsi" w:hAnsiTheme="minorHAnsi" w:cs="Arial"/>
          <w:sz w:val="22"/>
          <w:szCs w:val="22"/>
        </w:rPr>
      </w:pPr>
      <w:r w:rsidRPr="00E56343">
        <w:rPr>
          <w:rFonts w:asciiTheme="minorHAnsi" w:eastAsiaTheme="minorEastAsia" w:hAnsiTheme="minorHAnsi"/>
          <w:spacing w:val="0"/>
          <w:w w:val="100"/>
          <w:kern w:val="0"/>
          <w:sz w:val="22"/>
          <w:szCs w:val="22"/>
        </w:rPr>
        <w:t>Cuando un miembro del personal está casado con otro miembro del personal o con un miembro del personal de otra organización del régimen común de las Naciones Unidas y cada cónyuge viaja por un nombramiento o una reasignación por cuenta de la Organización al mismo lugar de destino:</w:t>
      </w:r>
    </w:p>
    <w:p w14:paraId="3666C9A4" w14:textId="77777777" w:rsidR="00ED4884" w:rsidRPr="00ED4884" w:rsidRDefault="00ED4884" w:rsidP="00ED4884">
      <w:pPr>
        <w:pStyle w:val="SingleTxt"/>
        <w:tabs>
          <w:tab w:val="clear" w:pos="1267"/>
          <w:tab w:val="left" w:pos="8550"/>
        </w:tabs>
        <w:spacing w:after="0" w:line="240" w:lineRule="auto"/>
        <w:ind w:left="360" w:right="0"/>
        <w:rPr>
          <w:rFonts w:asciiTheme="minorHAnsi" w:hAnsiTheme="minorHAnsi" w:cs="Arial"/>
          <w:sz w:val="22"/>
          <w:szCs w:val="22"/>
        </w:rPr>
      </w:pPr>
    </w:p>
    <w:p w14:paraId="399744C8" w14:textId="0396D64D" w:rsidR="006B0237" w:rsidRPr="00ED4884" w:rsidRDefault="006B0237" w:rsidP="00ED4884">
      <w:pPr>
        <w:pStyle w:val="SingleTxt"/>
        <w:numPr>
          <w:ilvl w:val="0"/>
          <w:numId w:val="17"/>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Cada miembro del personal debe recibir la parte de DSA de la prima para sí mismo.</w:t>
      </w:r>
    </w:p>
    <w:p w14:paraId="20525858" w14:textId="77777777" w:rsidR="00ED4884" w:rsidRPr="00E56343" w:rsidRDefault="00ED4884" w:rsidP="00ED4884">
      <w:pPr>
        <w:pStyle w:val="SingleTxt"/>
        <w:tabs>
          <w:tab w:val="clear" w:pos="1267"/>
          <w:tab w:val="left" w:pos="8550"/>
        </w:tabs>
        <w:spacing w:after="0" w:line="240" w:lineRule="auto"/>
        <w:ind w:left="720" w:right="0"/>
        <w:rPr>
          <w:rFonts w:asciiTheme="minorHAnsi" w:eastAsiaTheme="minorEastAsia" w:hAnsiTheme="minorHAnsi" w:cs="Arial"/>
          <w:spacing w:val="0"/>
          <w:w w:val="100"/>
          <w:kern w:val="0"/>
          <w:sz w:val="22"/>
          <w:szCs w:val="22"/>
        </w:rPr>
      </w:pPr>
    </w:p>
    <w:p w14:paraId="7B367688" w14:textId="77777777" w:rsidR="006B0237" w:rsidRPr="00ED4884" w:rsidRDefault="006B0237" w:rsidP="00ED4884">
      <w:pPr>
        <w:pStyle w:val="SingleTxt"/>
        <w:numPr>
          <w:ilvl w:val="0"/>
          <w:numId w:val="17"/>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La parte de DSA con respecto a los hijos a cargo que viajan al lugar de destino debe pagarse al miembro del personal del cual se reconoce que están a cargo.</w:t>
      </w:r>
    </w:p>
    <w:p w14:paraId="1213F18D" w14:textId="77777777" w:rsidR="00ED4884" w:rsidRPr="00E56343" w:rsidRDefault="00ED4884" w:rsidP="00ED4884">
      <w:pPr>
        <w:pStyle w:val="SingleTxt"/>
        <w:tabs>
          <w:tab w:val="clear" w:pos="1267"/>
          <w:tab w:val="left" w:pos="8550"/>
        </w:tabs>
        <w:spacing w:after="0" w:line="240" w:lineRule="auto"/>
        <w:ind w:left="720" w:right="0"/>
        <w:rPr>
          <w:rFonts w:asciiTheme="minorHAnsi" w:eastAsiaTheme="minorEastAsia" w:hAnsiTheme="minorHAnsi" w:cs="Arial"/>
          <w:spacing w:val="0"/>
          <w:w w:val="100"/>
          <w:kern w:val="0"/>
          <w:sz w:val="22"/>
          <w:szCs w:val="22"/>
        </w:rPr>
      </w:pPr>
    </w:p>
    <w:p w14:paraId="736E435A" w14:textId="77777777" w:rsidR="006B0237" w:rsidRPr="00E56343" w:rsidRDefault="006B0237" w:rsidP="00ED4884">
      <w:pPr>
        <w:pStyle w:val="SingleTxt"/>
        <w:numPr>
          <w:ilvl w:val="0"/>
          <w:numId w:val="17"/>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Deberá pagarse solo una suma fija, normalmente al cónyuge de grado superior y sobre la base de sus honorarios.</w:t>
      </w:r>
    </w:p>
    <w:p w14:paraId="681ACEF3" w14:textId="77777777" w:rsidR="006B0237" w:rsidRPr="00E56343" w:rsidRDefault="006B0237" w:rsidP="00ED4884">
      <w:pPr>
        <w:pStyle w:val="SingleTxt"/>
        <w:tabs>
          <w:tab w:val="clear" w:pos="1267"/>
          <w:tab w:val="left" w:pos="8550"/>
        </w:tabs>
        <w:spacing w:after="0" w:line="240" w:lineRule="auto"/>
        <w:ind w:left="0" w:right="0"/>
        <w:rPr>
          <w:rFonts w:asciiTheme="minorHAnsi" w:hAnsiTheme="minorHAnsi" w:cs="Arial"/>
          <w:sz w:val="22"/>
          <w:szCs w:val="22"/>
        </w:rPr>
      </w:pPr>
    </w:p>
    <w:p w14:paraId="678238D6" w14:textId="77777777" w:rsidR="006B0237" w:rsidRPr="00E56343" w:rsidRDefault="006B0237" w:rsidP="000D7503">
      <w:pPr>
        <w:pStyle w:val="SingleTxt"/>
        <w:numPr>
          <w:ilvl w:val="0"/>
          <w:numId w:val="26"/>
        </w:numPr>
        <w:tabs>
          <w:tab w:val="clear" w:pos="1267"/>
          <w:tab w:val="left" w:pos="8550"/>
        </w:tabs>
        <w:spacing w:after="0" w:line="240" w:lineRule="auto"/>
        <w:ind w:right="0"/>
        <w:rPr>
          <w:rFonts w:asciiTheme="minorHAnsi" w:hAnsiTheme="minorHAnsi" w:cs="Arial"/>
          <w:sz w:val="22"/>
          <w:szCs w:val="22"/>
        </w:rPr>
      </w:pPr>
      <w:r w:rsidRPr="00E56343">
        <w:rPr>
          <w:rFonts w:asciiTheme="minorHAnsi" w:eastAsiaTheme="minorEastAsia" w:hAnsiTheme="minorHAnsi"/>
          <w:spacing w:val="0"/>
          <w:w w:val="100"/>
          <w:kern w:val="0"/>
          <w:sz w:val="22"/>
          <w:szCs w:val="22"/>
        </w:rPr>
        <w:lastRenderedPageBreak/>
        <w:t>Cuando ambos cónyuges viajan por un nombramiento o una reasignación por cuenta de la Organización a diferentes lugares de destino:</w:t>
      </w:r>
    </w:p>
    <w:p w14:paraId="09CB4D8D" w14:textId="77777777" w:rsidR="006B0237" w:rsidRPr="00E56343" w:rsidRDefault="006B0237" w:rsidP="00ED4884">
      <w:pPr>
        <w:pStyle w:val="SingleTxt"/>
        <w:tabs>
          <w:tab w:val="clear" w:pos="1267"/>
          <w:tab w:val="left" w:pos="8550"/>
        </w:tabs>
        <w:spacing w:after="0" w:line="240" w:lineRule="auto"/>
        <w:ind w:left="0" w:right="0"/>
        <w:rPr>
          <w:rFonts w:asciiTheme="minorHAnsi" w:hAnsiTheme="minorHAnsi" w:cs="Arial"/>
          <w:sz w:val="22"/>
          <w:szCs w:val="22"/>
        </w:rPr>
      </w:pPr>
    </w:p>
    <w:p w14:paraId="576ACB99" w14:textId="77777777" w:rsidR="006B0237" w:rsidRPr="00E56343" w:rsidRDefault="006B0237" w:rsidP="00ED4884">
      <w:pPr>
        <w:pStyle w:val="SingleTxt"/>
        <w:numPr>
          <w:ilvl w:val="0"/>
          <w:numId w:val="19"/>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Cada miembro del personal debe recibir la parte de DSA de la prima para sí mismo.</w:t>
      </w:r>
    </w:p>
    <w:p w14:paraId="3711A152" w14:textId="77777777" w:rsidR="006B0237" w:rsidRPr="00E56343" w:rsidRDefault="006B0237" w:rsidP="00ED4884">
      <w:pPr>
        <w:pStyle w:val="SingleTxt"/>
        <w:tabs>
          <w:tab w:val="clear" w:pos="1267"/>
          <w:tab w:val="left" w:pos="8550"/>
        </w:tabs>
        <w:spacing w:after="0" w:line="240" w:lineRule="auto"/>
        <w:ind w:left="0" w:right="0"/>
        <w:rPr>
          <w:rFonts w:asciiTheme="minorHAnsi" w:eastAsiaTheme="minorEastAsia" w:hAnsiTheme="minorHAnsi" w:cs="Arial"/>
          <w:spacing w:val="0"/>
          <w:w w:val="100"/>
          <w:kern w:val="0"/>
          <w:sz w:val="22"/>
          <w:szCs w:val="22"/>
        </w:rPr>
      </w:pPr>
    </w:p>
    <w:p w14:paraId="3A66A07B" w14:textId="77777777" w:rsidR="006B0237" w:rsidRPr="00E56343" w:rsidRDefault="006B0237" w:rsidP="00ED4884">
      <w:pPr>
        <w:pStyle w:val="SingleTxt"/>
        <w:numPr>
          <w:ilvl w:val="0"/>
          <w:numId w:val="19"/>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La parte de DSA con respecto a los hijos a cargo que viajan a uno de los lugares de destino a los que son asignados sus padres normalmente debe pagarse al padre del cual se reconoce que están a cargo, a menos que el hijo acompañe al otro padre y ambos miembros del personal soliciten que la parte de DSA se pague a ese otro padre.</w:t>
      </w:r>
    </w:p>
    <w:p w14:paraId="0E27526C" w14:textId="77777777" w:rsidR="006B0237" w:rsidRPr="00E56343" w:rsidRDefault="006B0237" w:rsidP="00ED4884">
      <w:pPr>
        <w:pStyle w:val="ListParagraph"/>
        <w:ind w:left="0"/>
        <w:jc w:val="both"/>
        <w:rPr>
          <w:rFonts w:cs="Arial"/>
          <w:sz w:val="22"/>
          <w:szCs w:val="22"/>
        </w:rPr>
      </w:pPr>
    </w:p>
    <w:p w14:paraId="1591B481" w14:textId="77777777" w:rsidR="006B0237" w:rsidRPr="00E56343" w:rsidRDefault="006B0237" w:rsidP="00ED4884">
      <w:pPr>
        <w:pStyle w:val="SingleTxt"/>
        <w:numPr>
          <w:ilvl w:val="0"/>
          <w:numId w:val="19"/>
        </w:numPr>
        <w:tabs>
          <w:tab w:val="clear" w:pos="1267"/>
          <w:tab w:val="left" w:pos="8550"/>
        </w:tabs>
        <w:spacing w:after="0" w:line="240" w:lineRule="auto"/>
        <w:ind w:right="0"/>
        <w:rPr>
          <w:rFonts w:asciiTheme="minorHAnsi" w:hAnsiTheme="minorHAnsi" w:cs="Arial"/>
          <w:sz w:val="22"/>
          <w:szCs w:val="22"/>
        </w:rPr>
      </w:pPr>
      <w:r w:rsidRPr="00E56343">
        <w:rPr>
          <w:rFonts w:asciiTheme="minorHAnsi" w:eastAsiaTheme="minorEastAsia" w:hAnsiTheme="minorHAnsi"/>
          <w:spacing w:val="0"/>
          <w:w w:val="100"/>
          <w:kern w:val="0"/>
          <w:sz w:val="22"/>
          <w:szCs w:val="22"/>
        </w:rPr>
        <w:t>Cada miembro del personal debe recibir la parte de suma fija aplicable a su situación.</w:t>
      </w:r>
    </w:p>
    <w:p w14:paraId="11C68658" w14:textId="77777777" w:rsidR="006B0237" w:rsidRPr="00E56343" w:rsidRDefault="006B0237" w:rsidP="00ED4884">
      <w:pPr>
        <w:pStyle w:val="SingleTxt"/>
        <w:tabs>
          <w:tab w:val="clear" w:pos="1267"/>
          <w:tab w:val="left" w:pos="8550"/>
        </w:tabs>
        <w:spacing w:after="0" w:line="240" w:lineRule="auto"/>
        <w:ind w:left="0" w:right="0"/>
        <w:rPr>
          <w:rFonts w:asciiTheme="minorHAnsi" w:hAnsiTheme="minorHAnsi"/>
          <w:sz w:val="22"/>
          <w:szCs w:val="22"/>
        </w:rPr>
      </w:pPr>
    </w:p>
    <w:p w14:paraId="081C8A68" w14:textId="77777777" w:rsidR="006B0237" w:rsidRPr="00E56343" w:rsidRDefault="006B0237" w:rsidP="00ED4884">
      <w:pPr>
        <w:pStyle w:val="SingleTxt"/>
        <w:tabs>
          <w:tab w:val="clear" w:pos="1267"/>
          <w:tab w:val="left" w:pos="8550"/>
        </w:tabs>
        <w:spacing w:after="0" w:line="240" w:lineRule="auto"/>
        <w:ind w:left="0" w:right="0"/>
        <w:rPr>
          <w:rFonts w:asciiTheme="minorHAnsi" w:hAnsiTheme="minorHAnsi" w:cs="Arial"/>
          <w:b/>
          <w:sz w:val="22"/>
          <w:szCs w:val="22"/>
        </w:rPr>
      </w:pPr>
      <w:r w:rsidRPr="00E56343">
        <w:rPr>
          <w:rFonts w:asciiTheme="minorHAnsi" w:hAnsiTheme="minorHAnsi"/>
          <w:b/>
          <w:sz w:val="22"/>
          <w:szCs w:val="22"/>
        </w:rPr>
        <w:t>Anticipos de la suma fija y la parte de DSA</w:t>
      </w:r>
    </w:p>
    <w:p w14:paraId="49F6603E" w14:textId="77777777" w:rsidR="006B0237" w:rsidRPr="00E56343" w:rsidRDefault="006B0237" w:rsidP="00ED4884">
      <w:pPr>
        <w:pStyle w:val="SingleTxt"/>
        <w:tabs>
          <w:tab w:val="clear" w:pos="1267"/>
          <w:tab w:val="left" w:pos="8550"/>
        </w:tabs>
        <w:spacing w:after="0" w:line="240" w:lineRule="auto"/>
        <w:ind w:left="0" w:right="0"/>
        <w:rPr>
          <w:rFonts w:asciiTheme="minorHAnsi" w:hAnsiTheme="minorHAnsi"/>
          <w:sz w:val="22"/>
          <w:szCs w:val="22"/>
        </w:rPr>
      </w:pPr>
    </w:p>
    <w:p w14:paraId="31EDE3B6" w14:textId="77777777" w:rsidR="00ED4884" w:rsidRPr="00ED4884" w:rsidRDefault="006B0237" w:rsidP="000D7503">
      <w:pPr>
        <w:pStyle w:val="SingleTxt"/>
        <w:numPr>
          <w:ilvl w:val="0"/>
          <w:numId w:val="27"/>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Puede pagarse un anticipo del 100 % de la parte de suma fija de la prima, según lo calculado en el momento en que se realiza el pago anticipado, hasta tres meses con anticipación al viaje de un miembro del personal asignado o transferido a un nuevo lugar de destino.</w:t>
      </w:r>
    </w:p>
    <w:p w14:paraId="1CAC1E79" w14:textId="77777777" w:rsidR="00ED4884" w:rsidRDefault="00ED4884" w:rsidP="00ED4884">
      <w:pPr>
        <w:pStyle w:val="SingleTxt"/>
        <w:tabs>
          <w:tab w:val="clear" w:pos="1267"/>
          <w:tab w:val="left" w:pos="8550"/>
        </w:tabs>
        <w:spacing w:after="0" w:line="240" w:lineRule="auto"/>
        <w:ind w:left="360" w:right="0"/>
        <w:rPr>
          <w:rFonts w:asciiTheme="minorHAnsi" w:eastAsiaTheme="minorEastAsia" w:hAnsiTheme="minorHAnsi" w:cs="Arial"/>
          <w:spacing w:val="0"/>
          <w:w w:val="100"/>
          <w:kern w:val="0"/>
          <w:sz w:val="22"/>
          <w:szCs w:val="22"/>
        </w:rPr>
      </w:pPr>
    </w:p>
    <w:p w14:paraId="42982194" w14:textId="77777777" w:rsidR="00ED4884" w:rsidRPr="00ED4884" w:rsidRDefault="006B0237" w:rsidP="000D7503">
      <w:pPr>
        <w:pStyle w:val="SingleTxt"/>
        <w:numPr>
          <w:ilvl w:val="0"/>
          <w:numId w:val="27"/>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D4884">
        <w:rPr>
          <w:rFonts w:asciiTheme="minorHAnsi" w:eastAsiaTheme="minorEastAsia" w:hAnsiTheme="minorHAnsi"/>
          <w:spacing w:val="0"/>
          <w:w w:val="100"/>
          <w:kern w:val="0"/>
          <w:sz w:val="22"/>
          <w:szCs w:val="22"/>
        </w:rPr>
        <w:t>No pueden realizarse anticipos de la parte de suma fija en el caso de nombramientos iniciales.</w:t>
      </w:r>
    </w:p>
    <w:p w14:paraId="60551B65" w14:textId="77777777" w:rsidR="00ED4884" w:rsidRDefault="00ED4884" w:rsidP="00ED4884">
      <w:pPr>
        <w:pStyle w:val="SingleTxt"/>
        <w:tabs>
          <w:tab w:val="clear" w:pos="1267"/>
          <w:tab w:val="left" w:pos="8550"/>
        </w:tabs>
        <w:spacing w:after="0" w:line="240" w:lineRule="auto"/>
        <w:ind w:left="360" w:right="0"/>
        <w:rPr>
          <w:rFonts w:asciiTheme="minorHAnsi" w:eastAsiaTheme="minorEastAsia" w:hAnsiTheme="minorHAnsi" w:cs="Arial"/>
          <w:spacing w:val="0"/>
          <w:w w:val="100"/>
          <w:kern w:val="0"/>
          <w:sz w:val="22"/>
          <w:szCs w:val="22"/>
        </w:rPr>
      </w:pPr>
    </w:p>
    <w:p w14:paraId="63654DDC" w14:textId="19ADB22B" w:rsidR="006B0237" w:rsidRPr="00ED4884" w:rsidRDefault="006B0237" w:rsidP="000D7503">
      <w:pPr>
        <w:pStyle w:val="SingleTxt"/>
        <w:numPr>
          <w:ilvl w:val="0"/>
          <w:numId w:val="27"/>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D4884">
        <w:rPr>
          <w:rFonts w:asciiTheme="minorHAnsi" w:eastAsiaTheme="minorEastAsia" w:hAnsiTheme="minorHAnsi"/>
          <w:spacing w:val="0"/>
          <w:w w:val="100"/>
          <w:kern w:val="0"/>
          <w:sz w:val="22"/>
          <w:szCs w:val="22"/>
        </w:rPr>
        <w:t xml:space="preserve">De acuerdo con la </w:t>
      </w:r>
      <w:hyperlink r:id="rId12" w:history="1">
        <w:r w:rsidRPr="0070022F">
          <w:rPr>
            <w:rStyle w:val="Hyperlink"/>
            <w:rFonts w:asciiTheme="minorHAnsi" w:eastAsiaTheme="minorEastAsia" w:hAnsiTheme="minorHAnsi"/>
            <w:sz w:val="22"/>
            <w:szCs w:val="22"/>
          </w:rPr>
          <w:t>regla del Reglamento del Personal de las Naciones Unidas 7.10</w:t>
        </w:r>
        <w:r w:rsidRPr="0070022F">
          <w:rPr>
            <w:rStyle w:val="Hyperlink"/>
            <w:rFonts w:asciiTheme="minorHAnsi" w:eastAsiaTheme="minorEastAsia" w:hAnsiTheme="minorHAnsi"/>
            <w:spacing w:val="0"/>
            <w:w w:val="100"/>
            <w:kern w:val="0"/>
            <w:sz w:val="22"/>
            <w:szCs w:val="22"/>
          </w:rPr>
          <w:t>,</w:t>
        </w:r>
      </w:hyperlink>
      <w:r w:rsidRPr="00ED4884">
        <w:rPr>
          <w:rFonts w:asciiTheme="minorHAnsi" w:eastAsiaTheme="minorEastAsia" w:hAnsiTheme="minorHAnsi"/>
          <w:spacing w:val="0"/>
          <w:w w:val="100"/>
          <w:kern w:val="0"/>
          <w:sz w:val="22"/>
          <w:szCs w:val="22"/>
        </w:rPr>
        <w:t xml:space="preserve"> los miembros del personal deben recibir una dieta apropiada por períodos de servicio fuera de su lugar de destino oficial, siempre que dicho período no exceda la duración máxima de seis meses conforme a la </w:t>
      </w:r>
      <w:hyperlink r:id="rId13" w:history="1">
        <w:r w:rsidRPr="0070022F">
          <w:rPr>
            <w:rStyle w:val="Hyperlink"/>
            <w:rFonts w:asciiTheme="minorHAnsi" w:eastAsiaTheme="minorEastAsia" w:hAnsiTheme="minorHAnsi"/>
            <w:sz w:val="22"/>
            <w:szCs w:val="22"/>
          </w:rPr>
          <w:t>regla del Reglamento del Personal de las Naciones Unidas 4.8</w:t>
        </w:r>
      </w:hyperlink>
      <w:r w:rsidRPr="00ED4884">
        <w:rPr>
          <w:rFonts w:asciiTheme="minorHAnsi" w:hAnsiTheme="minorHAnsi"/>
          <w:color w:val="333333"/>
          <w:sz w:val="22"/>
          <w:szCs w:val="22"/>
        </w:rPr>
        <w:t>.</w:t>
      </w:r>
      <w:r w:rsidRPr="00ED4884">
        <w:rPr>
          <w:rFonts w:asciiTheme="minorHAnsi" w:eastAsiaTheme="minorEastAsia" w:hAnsiTheme="minorHAnsi"/>
          <w:spacing w:val="0"/>
          <w:w w:val="100"/>
          <w:kern w:val="0"/>
          <w:sz w:val="22"/>
          <w:szCs w:val="22"/>
        </w:rPr>
        <w:t xml:space="preserve"> Cualquier extensión de dicha asignación, de conformidad con la </w:t>
      </w:r>
      <w:hyperlink r:id="rId14" w:history="1">
        <w:r w:rsidRPr="0070022F">
          <w:rPr>
            <w:rStyle w:val="Hyperlink"/>
            <w:rFonts w:asciiTheme="minorHAnsi" w:eastAsiaTheme="minorEastAsia" w:hAnsiTheme="minorHAnsi"/>
            <w:sz w:val="22"/>
            <w:szCs w:val="22"/>
          </w:rPr>
          <w:t>regla del Reglamento del Personal de las Naciones Unidas 4.8</w:t>
        </w:r>
      </w:hyperlink>
      <w:r w:rsidRPr="00ED4884">
        <w:rPr>
          <w:rFonts w:asciiTheme="minorHAnsi" w:eastAsiaTheme="minorEastAsia" w:hAnsiTheme="minorHAnsi"/>
          <w:spacing w:val="0"/>
          <w:w w:val="100"/>
          <w:kern w:val="0"/>
          <w:sz w:val="22"/>
          <w:szCs w:val="22"/>
        </w:rPr>
        <w:t xml:space="preserve">, dará como resultado un cambio de lugar </w:t>
      </w:r>
      <w:r w:rsidR="00E56343" w:rsidRPr="00ED4884">
        <w:rPr>
          <w:rFonts w:asciiTheme="minorHAnsi" w:eastAsiaTheme="minorEastAsia" w:hAnsiTheme="minorHAnsi"/>
          <w:spacing w:val="0"/>
          <w:w w:val="100"/>
          <w:kern w:val="0"/>
          <w:sz w:val="22"/>
          <w:szCs w:val="22"/>
        </w:rPr>
        <w:t>de destino y el pago del ajuste</w:t>
      </w:r>
      <w:r w:rsidRPr="00ED4884">
        <w:rPr>
          <w:rFonts w:asciiTheme="minorHAnsi" w:eastAsiaTheme="minorEastAsia" w:hAnsiTheme="minorHAnsi"/>
          <w:spacing w:val="0"/>
          <w:w w:val="100"/>
          <w:kern w:val="0"/>
          <w:sz w:val="22"/>
          <w:szCs w:val="22"/>
        </w:rPr>
        <w:t xml:space="preserve"> por lugar de destino y los derechos relacionados, independientemente de la </w:t>
      </w:r>
      <w:hyperlink r:id="rId15" w:history="1">
        <w:r w:rsidRPr="0070022F">
          <w:rPr>
            <w:rStyle w:val="Hyperlink"/>
            <w:rFonts w:asciiTheme="minorHAnsi" w:eastAsiaTheme="minorEastAsia" w:hAnsiTheme="minorHAnsi"/>
            <w:sz w:val="22"/>
            <w:szCs w:val="22"/>
          </w:rPr>
          <w:t>regla del Reglamento del Personal de las Naciones Unidas 3.7 (c)</w:t>
        </w:r>
      </w:hyperlink>
      <w:r w:rsidRPr="00ED4884">
        <w:rPr>
          <w:rFonts w:asciiTheme="minorHAnsi" w:eastAsiaTheme="minorEastAsia" w:hAnsiTheme="minorHAnsi"/>
          <w:spacing w:val="0"/>
          <w:w w:val="100"/>
          <w:kern w:val="0"/>
          <w:sz w:val="22"/>
          <w:szCs w:val="22"/>
        </w:rPr>
        <w:t>. El cambio de lugar de destino también puede dar como resultado el pago de una prima de instalación (tanto la DSA como la parte de suma fija, cuando corresponda), siempre que se cumplan las siguientes condiciones:</w:t>
      </w:r>
    </w:p>
    <w:p w14:paraId="4068CAFC" w14:textId="77777777" w:rsidR="006B0237" w:rsidRPr="00E56343" w:rsidRDefault="006B0237" w:rsidP="00ED4884">
      <w:pPr>
        <w:pStyle w:val="SingleTxt"/>
        <w:tabs>
          <w:tab w:val="clear" w:pos="1267"/>
          <w:tab w:val="left" w:pos="1260"/>
          <w:tab w:val="left" w:pos="1620"/>
          <w:tab w:val="left" w:pos="8640"/>
          <w:tab w:val="left" w:pos="8730"/>
        </w:tabs>
        <w:spacing w:after="0" w:line="240" w:lineRule="auto"/>
        <w:ind w:left="0" w:right="0"/>
        <w:rPr>
          <w:rFonts w:asciiTheme="minorHAnsi" w:hAnsiTheme="minorHAnsi" w:cs="Arial"/>
          <w:sz w:val="22"/>
          <w:szCs w:val="22"/>
        </w:rPr>
      </w:pPr>
    </w:p>
    <w:p w14:paraId="0F400C21" w14:textId="77777777" w:rsidR="006B0237" w:rsidRPr="00E56343" w:rsidRDefault="006B0237" w:rsidP="00ED4884">
      <w:pPr>
        <w:pStyle w:val="SingleTxt"/>
        <w:numPr>
          <w:ilvl w:val="0"/>
          <w:numId w:val="22"/>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El período de servicio total esperado en el lugar de destino, incluido el período durante el cual el miembro del personal recibió el subsidio de subsistencia, es de al menos 12 meses.</w:t>
      </w:r>
    </w:p>
    <w:p w14:paraId="271DF4A7" w14:textId="77777777" w:rsidR="006B0237" w:rsidRPr="00E56343" w:rsidRDefault="006B0237" w:rsidP="00ED4884">
      <w:pPr>
        <w:pStyle w:val="SingleTxt"/>
        <w:tabs>
          <w:tab w:val="clear" w:pos="1267"/>
          <w:tab w:val="left" w:pos="8550"/>
        </w:tabs>
        <w:spacing w:after="0" w:line="240" w:lineRule="auto"/>
        <w:ind w:left="0" w:right="0"/>
        <w:rPr>
          <w:rFonts w:asciiTheme="minorHAnsi" w:eastAsiaTheme="minorEastAsia" w:hAnsiTheme="minorHAnsi" w:cs="Arial"/>
          <w:spacing w:val="0"/>
          <w:w w:val="100"/>
          <w:kern w:val="0"/>
          <w:sz w:val="22"/>
          <w:szCs w:val="22"/>
        </w:rPr>
      </w:pPr>
    </w:p>
    <w:p w14:paraId="433F7A04" w14:textId="77777777" w:rsidR="006B0237" w:rsidRPr="00E56343" w:rsidRDefault="006B0237" w:rsidP="00ED4884">
      <w:pPr>
        <w:pStyle w:val="SingleTxt"/>
        <w:numPr>
          <w:ilvl w:val="0"/>
          <w:numId w:val="22"/>
        </w:numPr>
        <w:tabs>
          <w:tab w:val="clear" w:pos="1267"/>
          <w:tab w:val="left" w:pos="855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La extensión ocurre al menos seis meses antes del final esperado del nombramiento o la asignación al lugar de destino.</w:t>
      </w:r>
    </w:p>
    <w:p w14:paraId="7538D300" w14:textId="77777777" w:rsidR="006B0237" w:rsidRPr="00E56343" w:rsidRDefault="006B0237" w:rsidP="00ED4884">
      <w:pPr>
        <w:pStyle w:val="SingleTxt"/>
        <w:tabs>
          <w:tab w:val="clear" w:pos="1267"/>
          <w:tab w:val="left" w:pos="8550"/>
        </w:tabs>
        <w:spacing w:after="0" w:line="240" w:lineRule="auto"/>
        <w:ind w:left="0" w:right="0"/>
        <w:rPr>
          <w:rFonts w:asciiTheme="minorHAnsi" w:eastAsiaTheme="minorEastAsia" w:hAnsiTheme="minorHAnsi" w:cs="Arial"/>
          <w:spacing w:val="0"/>
          <w:w w:val="100"/>
          <w:kern w:val="0"/>
          <w:sz w:val="22"/>
          <w:szCs w:val="22"/>
        </w:rPr>
      </w:pPr>
    </w:p>
    <w:p w14:paraId="2003A841" w14:textId="24DC02F6" w:rsidR="006B0237" w:rsidRPr="00E56343" w:rsidRDefault="006B0237" w:rsidP="000D7503">
      <w:pPr>
        <w:pStyle w:val="SingleTxt"/>
        <w:numPr>
          <w:ilvl w:val="0"/>
          <w:numId w:val="29"/>
        </w:numPr>
        <w:tabs>
          <w:tab w:val="clear" w:pos="1267"/>
          <w:tab w:val="left" w:pos="8550"/>
        </w:tabs>
        <w:spacing w:after="0" w:line="240" w:lineRule="auto"/>
        <w:ind w:right="0"/>
        <w:rPr>
          <w:rFonts w:asciiTheme="minorHAnsi" w:eastAsiaTheme="minorEastAsia" w:hAnsiTheme="minorHAnsi" w:cs="Arial"/>
          <w:sz w:val="22"/>
          <w:szCs w:val="22"/>
        </w:rPr>
      </w:pPr>
      <w:r w:rsidRPr="00E56343">
        <w:rPr>
          <w:rFonts w:asciiTheme="minorHAnsi" w:eastAsiaTheme="minorEastAsia" w:hAnsiTheme="minorHAnsi"/>
          <w:spacing w:val="0"/>
          <w:w w:val="100"/>
          <w:kern w:val="0"/>
          <w:sz w:val="22"/>
          <w:szCs w:val="22"/>
        </w:rPr>
        <w:t>Sin embargo, cuando el subsidio de subsistencia se haya pagado durante un período que NO exceda la duración máxima conforme a la</w:t>
      </w:r>
      <w:r w:rsidRPr="00E56343">
        <w:rPr>
          <w:rFonts w:asciiTheme="minorHAnsi" w:hAnsiTheme="minorHAnsi"/>
          <w:sz w:val="22"/>
          <w:szCs w:val="22"/>
        </w:rPr>
        <w:t xml:space="preserve"> </w:t>
      </w:r>
      <w:hyperlink r:id="rId16" w:history="1">
        <w:r w:rsidRPr="0070022F">
          <w:rPr>
            <w:rStyle w:val="Hyperlink"/>
            <w:rFonts w:asciiTheme="minorHAnsi" w:eastAsiaTheme="minorEastAsia" w:hAnsiTheme="minorHAnsi"/>
            <w:sz w:val="22"/>
            <w:szCs w:val="22"/>
          </w:rPr>
          <w:t>regla del Reglamento del Personal de las Naciones Unidas 4.8</w:t>
        </w:r>
      </w:hyperlink>
      <w:r w:rsidRPr="00E56343">
        <w:rPr>
          <w:rFonts w:asciiTheme="minorHAnsi" w:hAnsiTheme="minorHAnsi"/>
          <w:sz w:val="22"/>
          <w:szCs w:val="22"/>
        </w:rPr>
        <w:t xml:space="preserve">, </w:t>
      </w:r>
      <w:r w:rsidRPr="00E56343">
        <w:rPr>
          <w:rFonts w:asciiTheme="minorHAnsi" w:eastAsiaTheme="minorEastAsia" w:hAnsiTheme="minorHAnsi"/>
          <w:spacing w:val="0"/>
          <w:w w:val="100"/>
          <w:kern w:val="0"/>
          <w:sz w:val="22"/>
          <w:szCs w:val="22"/>
        </w:rPr>
        <w:t>y la asignación se extienda para alcanzar un período total de 12 meses, incluido el período durante el cual el miembro del personal recibió el subsidio de subsistencia, el miembro del personal no tiene derecho a recibir la par</w:t>
      </w:r>
      <w:r w:rsidR="00D42488">
        <w:rPr>
          <w:rFonts w:asciiTheme="minorHAnsi" w:eastAsiaTheme="minorEastAsia" w:hAnsiTheme="minorHAnsi"/>
          <w:spacing w:val="0"/>
          <w:w w:val="100"/>
          <w:kern w:val="0"/>
          <w:sz w:val="22"/>
          <w:szCs w:val="22"/>
        </w:rPr>
        <w:t>te de DSA de la prima. Solamente</w:t>
      </w:r>
      <w:r w:rsidRPr="00E56343">
        <w:rPr>
          <w:rFonts w:asciiTheme="minorHAnsi" w:eastAsiaTheme="minorEastAsia" w:hAnsiTheme="minorHAnsi"/>
          <w:spacing w:val="0"/>
          <w:w w:val="100"/>
          <w:kern w:val="0"/>
          <w:sz w:val="22"/>
          <w:szCs w:val="22"/>
        </w:rPr>
        <w:t xml:space="preserve"> deberá pagarse la parte de la suma fija de la prima.</w:t>
      </w:r>
    </w:p>
    <w:p w14:paraId="475A85D4" w14:textId="77777777" w:rsidR="006B0237" w:rsidRPr="00E56343" w:rsidRDefault="006B0237" w:rsidP="00ED4884">
      <w:pPr>
        <w:tabs>
          <w:tab w:val="left" w:pos="8730"/>
        </w:tabs>
        <w:jc w:val="both"/>
        <w:rPr>
          <w:rFonts w:cs="Arial"/>
          <w:b/>
          <w:sz w:val="22"/>
          <w:szCs w:val="22"/>
          <w:u w:val="single"/>
        </w:rPr>
      </w:pPr>
    </w:p>
    <w:p w14:paraId="76CCE30A" w14:textId="77777777" w:rsidR="006B0237" w:rsidRPr="00E56343" w:rsidRDefault="006B0237" w:rsidP="00ED4884">
      <w:pPr>
        <w:pStyle w:val="H4"/>
        <w:tabs>
          <w:tab w:val="left" w:pos="8730"/>
        </w:tabs>
        <w:spacing w:line="240" w:lineRule="auto"/>
        <w:ind w:left="0" w:right="0" w:firstLine="0"/>
        <w:jc w:val="both"/>
        <w:outlineLvl w:val="9"/>
        <w:rPr>
          <w:rFonts w:asciiTheme="minorHAnsi" w:hAnsiTheme="minorHAnsi" w:cs="Arial"/>
          <w:b/>
          <w:i w:val="0"/>
          <w:sz w:val="22"/>
          <w:szCs w:val="22"/>
        </w:rPr>
      </w:pPr>
      <w:r w:rsidRPr="00E56343">
        <w:rPr>
          <w:rFonts w:asciiTheme="minorHAnsi" w:hAnsiTheme="minorHAnsi"/>
          <w:b/>
          <w:i w:val="0"/>
          <w:sz w:val="22"/>
          <w:szCs w:val="22"/>
        </w:rPr>
        <w:lastRenderedPageBreak/>
        <w:t>Reducción en el período de servicio en el lugar de destino</w:t>
      </w:r>
    </w:p>
    <w:p w14:paraId="2D2EEC59" w14:textId="77777777" w:rsidR="006B0237" w:rsidRPr="00E56343" w:rsidRDefault="006B0237" w:rsidP="00ED4884">
      <w:pPr>
        <w:pStyle w:val="SingleTxt"/>
        <w:tabs>
          <w:tab w:val="left" w:pos="8730"/>
        </w:tabs>
        <w:spacing w:after="0" w:line="240" w:lineRule="auto"/>
        <w:ind w:left="0" w:right="0"/>
        <w:rPr>
          <w:rFonts w:asciiTheme="minorHAnsi" w:hAnsiTheme="minorHAnsi" w:cs="Arial"/>
          <w:sz w:val="22"/>
          <w:szCs w:val="22"/>
        </w:rPr>
      </w:pPr>
    </w:p>
    <w:p w14:paraId="747F5592" w14:textId="77777777" w:rsidR="00ED4884" w:rsidRPr="00ED4884" w:rsidRDefault="006B0237" w:rsidP="000D7503">
      <w:pPr>
        <w:pStyle w:val="SingleTxt"/>
        <w:numPr>
          <w:ilvl w:val="0"/>
          <w:numId w:val="29"/>
        </w:numPr>
        <w:tabs>
          <w:tab w:val="clear" w:pos="1267"/>
          <w:tab w:val="left" w:pos="0"/>
          <w:tab w:val="left" w:pos="8730"/>
        </w:tabs>
        <w:spacing w:after="0" w:line="240" w:lineRule="auto"/>
        <w:ind w:right="0"/>
        <w:rPr>
          <w:rFonts w:asciiTheme="minorHAnsi" w:eastAsiaTheme="minorEastAsia" w:hAnsiTheme="minorHAnsi" w:cs="Arial"/>
          <w:spacing w:val="0"/>
          <w:w w:val="100"/>
          <w:kern w:val="0"/>
          <w:sz w:val="22"/>
          <w:szCs w:val="22"/>
        </w:rPr>
      </w:pPr>
      <w:r w:rsidRPr="00E56343">
        <w:rPr>
          <w:rFonts w:asciiTheme="minorHAnsi" w:eastAsiaTheme="minorEastAsia" w:hAnsiTheme="minorHAnsi"/>
          <w:spacing w:val="0"/>
          <w:w w:val="100"/>
          <w:kern w:val="0"/>
          <w:sz w:val="22"/>
          <w:szCs w:val="22"/>
        </w:rPr>
        <w:t>La parte de DSA de la prima pagada a la llegada al lugar de destino normalmente no es recuperable.</w:t>
      </w:r>
    </w:p>
    <w:p w14:paraId="06C62E96" w14:textId="77777777" w:rsidR="00ED4884" w:rsidRDefault="00ED4884" w:rsidP="00ED4884">
      <w:pPr>
        <w:pStyle w:val="SingleTxt"/>
        <w:tabs>
          <w:tab w:val="clear" w:pos="1267"/>
          <w:tab w:val="left" w:pos="0"/>
          <w:tab w:val="left" w:pos="8730"/>
        </w:tabs>
        <w:spacing w:after="0" w:line="240" w:lineRule="auto"/>
        <w:ind w:left="360" w:right="0"/>
        <w:rPr>
          <w:rFonts w:asciiTheme="minorHAnsi" w:eastAsiaTheme="minorEastAsia" w:hAnsiTheme="minorHAnsi" w:cs="Arial"/>
          <w:spacing w:val="0"/>
          <w:w w:val="100"/>
          <w:kern w:val="0"/>
          <w:sz w:val="22"/>
          <w:szCs w:val="22"/>
        </w:rPr>
      </w:pPr>
    </w:p>
    <w:p w14:paraId="03DBCB70" w14:textId="5402B427" w:rsidR="006B0237" w:rsidRPr="00ED4884" w:rsidRDefault="006B0237" w:rsidP="000D7503">
      <w:pPr>
        <w:pStyle w:val="SingleTxt"/>
        <w:numPr>
          <w:ilvl w:val="0"/>
          <w:numId w:val="29"/>
        </w:numPr>
        <w:tabs>
          <w:tab w:val="clear" w:pos="1267"/>
          <w:tab w:val="left" w:pos="0"/>
          <w:tab w:val="left" w:pos="8730"/>
        </w:tabs>
        <w:spacing w:after="0" w:line="240" w:lineRule="auto"/>
        <w:ind w:right="0"/>
        <w:rPr>
          <w:rFonts w:asciiTheme="minorHAnsi" w:eastAsiaTheme="minorEastAsia" w:hAnsiTheme="minorHAnsi" w:cs="Arial"/>
          <w:spacing w:val="0"/>
          <w:w w:val="100"/>
          <w:kern w:val="0"/>
          <w:sz w:val="22"/>
          <w:szCs w:val="22"/>
        </w:rPr>
      </w:pPr>
      <w:r w:rsidRPr="00ED4884">
        <w:rPr>
          <w:rFonts w:asciiTheme="minorHAnsi" w:eastAsiaTheme="minorEastAsia" w:hAnsiTheme="minorHAnsi"/>
          <w:spacing w:val="0"/>
          <w:w w:val="100"/>
          <w:kern w:val="0"/>
          <w:sz w:val="22"/>
          <w:szCs w:val="22"/>
        </w:rPr>
        <w:t xml:space="preserve">Cuando el miembro del personal no completó el período de servicio en el lugar de destino con respecto al cual se pagó la parte de suma fija de la prima de instalación, la parte de suma fija de la prima normalmente debe prorratearse y recuperarse o ajustarse en la proporción que el período de servicio en el lugar de destino tiene con respecto a un año. Sin embargo, el PNUD puede conceder una excepción por motivos imperiosos y/o compasivos (p. ej., salud, reducción de la duración de un nombramiento o una asignación a pedido de la Organización, es decir, debido al cierre o la reestructuración de un departamento u oficina, o por otros motivos fuera del control del miembro del personal). En dichos casos, no se realizará el prorrateo de ninguna parte de la prima. </w:t>
      </w:r>
    </w:p>
    <w:p w14:paraId="221835B2" w14:textId="77777777" w:rsidR="006B0237" w:rsidRPr="00E56343" w:rsidRDefault="006B0237" w:rsidP="006B0237">
      <w:pPr>
        <w:pStyle w:val="SingleTxt"/>
        <w:tabs>
          <w:tab w:val="clear" w:pos="1267"/>
          <w:tab w:val="left" w:pos="0"/>
          <w:tab w:val="left" w:pos="8640"/>
        </w:tabs>
        <w:ind w:left="360" w:right="-90"/>
        <w:rPr>
          <w:rFonts w:asciiTheme="minorHAnsi" w:hAnsiTheme="minorHAnsi" w:cs="Arial"/>
          <w:sz w:val="22"/>
          <w:szCs w:val="22"/>
        </w:rPr>
      </w:pPr>
    </w:p>
    <w:p w14:paraId="02CAD0D6" w14:textId="4AB83A2F" w:rsidR="006B0237" w:rsidRPr="00582BDC" w:rsidRDefault="006B0237" w:rsidP="006B0237">
      <w:pPr>
        <w:pStyle w:val="SingleTxt"/>
        <w:tabs>
          <w:tab w:val="clear" w:pos="1267"/>
          <w:tab w:val="left" w:pos="0"/>
          <w:tab w:val="left" w:pos="8640"/>
        </w:tabs>
        <w:ind w:left="360" w:right="-90" w:hanging="360"/>
        <w:rPr>
          <w:rFonts w:asciiTheme="minorHAnsi" w:hAnsiTheme="minorHAnsi" w:cs="Arial"/>
          <w:b/>
          <w:sz w:val="22"/>
          <w:szCs w:val="22"/>
        </w:rPr>
      </w:pPr>
      <w:r w:rsidRPr="00E56343">
        <w:rPr>
          <w:rFonts w:asciiTheme="minorHAnsi" w:hAnsiTheme="minorHAnsi"/>
          <w:b/>
          <w:sz w:val="22"/>
          <w:szCs w:val="22"/>
        </w:rPr>
        <w:t>Medida transitoria</w:t>
      </w:r>
    </w:p>
    <w:p w14:paraId="39BA549F" w14:textId="77777777" w:rsidR="006B0237" w:rsidRPr="00BB7CDB" w:rsidRDefault="006B0237" w:rsidP="000D7503">
      <w:pPr>
        <w:pStyle w:val="ListParagraph"/>
        <w:numPr>
          <w:ilvl w:val="0"/>
          <w:numId w:val="29"/>
        </w:numPr>
        <w:jc w:val="both"/>
        <w:rPr>
          <w:rFonts w:cs="Arial"/>
          <w:sz w:val="22"/>
          <w:szCs w:val="22"/>
        </w:rPr>
      </w:pPr>
      <w:r w:rsidRPr="00E56343">
        <w:rPr>
          <w:sz w:val="22"/>
          <w:szCs w:val="22"/>
        </w:rPr>
        <w:t>Los miembros del personal asignados a lugares de destino sobre el terreno antes del 1° de julio de 2016 seguirán reuniendo las condiciones para recibir la segunda suma fija del sueldo mensual ante la espera de que completarán un tercer año en el lugar de destino sobre el terreno de su asignación en curso.</w:t>
      </w:r>
    </w:p>
    <w:p w14:paraId="4198DD7A" w14:textId="77777777" w:rsidR="00BB7CDB" w:rsidRPr="00E56343" w:rsidRDefault="00BB7CDB" w:rsidP="00BB7CDB">
      <w:pPr>
        <w:pStyle w:val="ListParagraph"/>
        <w:ind w:left="360"/>
        <w:jc w:val="both"/>
        <w:rPr>
          <w:rFonts w:cs="Arial"/>
          <w:sz w:val="22"/>
          <w:szCs w:val="22"/>
        </w:rPr>
      </w:pPr>
    </w:p>
    <w:p w14:paraId="3C4D180E" w14:textId="77777777" w:rsidR="006B0237" w:rsidRDefault="006B0237" w:rsidP="006B0237">
      <w:pPr>
        <w:pStyle w:val="CommentText"/>
        <w:rPr>
          <w:rFonts w:asciiTheme="minorHAnsi" w:eastAsiaTheme="minorEastAsia" w:hAnsiTheme="minorHAnsi" w:cs="Arial"/>
          <w:spacing w:val="0"/>
          <w:w w:val="100"/>
          <w:kern w:val="0"/>
          <w:sz w:val="22"/>
          <w:szCs w:val="22"/>
        </w:rPr>
      </w:pPr>
    </w:p>
    <w:p w14:paraId="4644B900" w14:textId="77777777" w:rsidR="00ED4884" w:rsidRDefault="00ED4884" w:rsidP="00ED4884">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557A1761" w14:textId="77777777" w:rsidR="00ED4884" w:rsidRDefault="00ED4884" w:rsidP="00ED4884">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47DFD109" w14:textId="77777777" w:rsidR="00ED4884" w:rsidRPr="00ED4884" w:rsidRDefault="00ED4884" w:rsidP="00ED4884">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5B92B27" w14:textId="77777777" w:rsidR="00ED4884" w:rsidRPr="00ED4884" w:rsidRDefault="00ED4884" w:rsidP="006B0237">
      <w:pPr>
        <w:pStyle w:val="CommentText"/>
        <w:rPr>
          <w:rFonts w:asciiTheme="minorHAnsi" w:eastAsiaTheme="minorEastAsia" w:hAnsiTheme="minorHAnsi" w:cs="Arial"/>
          <w:spacing w:val="0"/>
          <w:w w:val="100"/>
          <w:kern w:val="0"/>
          <w:sz w:val="22"/>
          <w:szCs w:val="22"/>
          <w:lang w:val="es-ES_tradnl"/>
        </w:rPr>
      </w:pPr>
    </w:p>
    <w:p w14:paraId="74A095B8" w14:textId="77777777" w:rsidR="006B0237" w:rsidRPr="00E56343" w:rsidRDefault="006B0237" w:rsidP="006B0237">
      <w:pPr>
        <w:pStyle w:val="CommentText"/>
        <w:rPr>
          <w:rFonts w:asciiTheme="minorHAnsi" w:eastAsiaTheme="minorEastAsia" w:hAnsiTheme="minorHAnsi" w:cs="Arial"/>
          <w:spacing w:val="0"/>
          <w:w w:val="100"/>
          <w:kern w:val="0"/>
          <w:sz w:val="22"/>
          <w:szCs w:val="22"/>
        </w:rPr>
      </w:pPr>
    </w:p>
    <w:p w14:paraId="4F9C9C5E" w14:textId="77777777" w:rsidR="006B0237" w:rsidRPr="00E56343" w:rsidRDefault="006B0237" w:rsidP="006B0237">
      <w:pPr>
        <w:ind w:left="360" w:hanging="360"/>
        <w:jc w:val="both"/>
        <w:rPr>
          <w:rFonts w:cs="Arial"/>
          <w:b/>
          <w:i/>
          <w:sz w:val="22"/>
          <w:szCs w:val="22"/>
          <w:u w:val="single"/>
        </w:rPr>
      </w:pPr>
    </w:p>
    <w:p w14:paraId="4627AAF9" w14:textId="77777777" w:rsidR="00000000" w:rsidRPr="00E56343" w:rsidRDefault="00000000">
      <w:pPr>
        <w:rPr>
          <w:sz w:val="22"/>
          <w:szCs w:val="22"/>
        </w:rPr>
      </w:pPr>
    </w:p>
    <w:sectPr w:rsidR="00791F51" w:rsidRPr="00E56343" w:rsidSect="00277131">
      <w:headerReference w:type="even" r:id="rId17"/>
      <w:headerReference w:type="default" r:id="rId18"/>
      <w:footerReference w:type="even" r:id="rId19"/>
      <w:footerReference w:type="default" r:id="rId20"/>
      <w:headerReference w:type="first" r:id="rId21"/>
      <w:footerReference w:type="first" r:id="rId22"/>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F57C" w14:textId="77777777" w:rsidR="00D527E3" w:rsidRDefault="00D527E3">
      <w:r>
        <w:separator/>
      </w:r>
    </w:p>
  </w:endnote>
  <w:endnote w:type="continuationSeparator" w:id="0">
    <w:p w14:paraId="142B3053" w14:textId="77777777" w:rsidR="00D527E3" w:rsidRDefault="00D5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ECD3" w14:textId="77777777" w:rsidR="00000000" w:rsidRDefault="00BB7CDB"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4328C" w14:textId="77777777" w:rsidR="00000000" w:rsidRDefault="00000000" w:rsidP="009E0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8CCB" w14:textId="126EE930" w:rsidR="00000000" w:rsidRPr="008C6C4F" w:rsidRDefault="00000000" w:rsidP="008C6C4F">
    <w:pPr>
      <w:pStyle w:val="Footer"/>
      <w:tabs>
        <w:tab w:val="clear" w:pos="8640"/>
        <w:tab w:val="left" w:pos="6874"/>
      </w:tabs>
      <w:rPr>
        <w:rFonts w:asciiTheme="majorHAnsi" w:hAnsiTheme="majorHAnsi"/>
        <w:sz w:val="22"/>
        <w:szCs w:val="22"/>
      </w:rPr>
    </w:pPr>
    <w:sdt>
      <w:sdtPr>
        <w:rPr>
          <w:rFonts w:asciiTheme="majorHAnsi" w:hAnsiTheme="majorHAnsi"/>
          <w:sz w:val="22"/>
          <w:szCs w:val="22"/>
        </w:rPr>
        <w:id w:val="-1705238520"/>
        <w:docPartObj>
          <w:docPartGallery w:val="Page Numbers (Top of Page)"/>
          <w:docPartUnique/>
        </w:docPartObj>
      </w:sdtPr>
      <w:sdtContent>
        <w:r w:rsidR="00BB7CDB">
          <w:rPr>
            <w:rFonts w:asciiTheme="majorHAnsi" w:hAnsiTheme="majorHAnsi"/>
            <w:sz w:val="22"/>
          </w:rPr>
          <w:t xml:space="preserve">Página </w:t>
        </w:r>
        <w:r w:rsidR="00BB7CDB" w:rsidRPr="00D53871">
          <w:rPr>
            <w:rFonts w:asciiTheme="majorHAnsi" w:hAnsiTheme="majorHAnsi"/>
            <w:bCs/>
            <w:sz w:val="22"/>
            <w:szCs w:val="22"/>
          </w:rPr>
          <w:fldChar w:fldCharType="begin"/>
        </w:r>
        <w:r w:rsidR="00BB7CDB" w:rsidRPr="00D53871">
          <w:rPr>
            <w:rFonts w:asciiTheme="majorHAnsi" w:hAnsiTheme="majorHAnsi"/>
            <w:bCs/>
            <w:sz w:val="22"/>
            <w:szCs w:val="22"/>
          </w:rPr>
          <w:instrText xml:space="preserve"> PAGE </w:instrText>
        </w:r>
        <w:r w:rsidR="00BB7CDB" w:rsidRPr="00D53871">
          <w:rPr>
            <w:rFonts w:asciiTheme="majorHAnsi" w:hAnsiTheme="majorHAnsi"/>
            <w:bCs/>
            <w:sz w:val="22"/>
            <w:szCs w:val="22"/>
          </w:rPr>
          <w:fldChar w:fldCharType="separate"/>
        </w:r>
        <w:r w:rsidR="0070022F">
          <w:rPr>
            <w:rFonts w:asciiTheme="majorHAnsi" w:hAnsiTheme="majorHAnsi"/>
            <w:bCs/>
            <w:noProof/>
            <w:sz w:val="22"/>
            <w:szCs w:val="22"/>
          </w:rPr>
          <w:t>4</w:t>
        </w:r>
        <w:r w:rsidR="00BB7CDB" w:rsidRPr="00D53871">
          <w:rPr>
            <w:rFonts w:asciiTheme="majorHAnsi" w:hAnsiTheme="majorHAnsi"/>
            <w:bCs/>
            <w:sz w:val="22"/>
            <w:szCs w:val="22"/>
          </w:rPr>
          <w:fldChar w:fldCharType="end"/>
        </w:r>
        <w:r w:rsidR="00BB7CDB">
          <w:rPr>
            <w:rFonts w:asciiTheme="majorHAnsi" w:hAnsiTheme="majorHAnsi"/>
            <w:sz w:val="22"/>
          </w:rPr>
          <w:t xml:space="preserve"> de </w:t>
        </w:r>
        <w:r w:rsidR="00BB7CDB" w:rsidRPr="00D53871">
          <w:rPr>
            <w:rFonts w:asciiTheme="majorHAnsi" w:hAnsiTheme="majorHAnsi"/>
            <w:bCs/>
            <w:sz w:val="22"/>
            <w:szCs w:val="22"/>
          </w:rPr>
          <w:fldChar w:fldCharType="begin"/>
        </w:r>
        <w:r w:rsidR="00BB7CDB" w:rsidRPr="00D53871">
          <w:rPr>
            <w:rFonts w:asciiTheme="majorHAnsi" w:hAnsiTheme="majorHAnsi"/>
            <w:bCs/>
            <w:sz w:val="22"/>
            <w:szCs w:val="22"/>
          </w:rPr>
          <w:instrText xml:space="preserve"> NUMPAGES  </w:instrText>
        </w:r>
        <w:r w:rsidR="00BB7CDB" w:rsidRPr="00D53871">
          <w:rPr>
            <w:rFonts w:asciiTheme="majorHAnsi" w:hAnsiTheme="majorHAnsi"/>
            <w:bCs/>
            <w:sz w:val="22"/>
            <w:szCs w:val="22"/>
          </w:rPr>
          <w:fldChar w:fldCharType="separate"/>
        </w:r>
        <w:r w:rsidR="0070022F">
          <w:rPr>
            <w:rFonts w:asciiTheme="majorHAnsi" w:hAnsiTheme="majorHAnsi"/>
            <w:bCs/>
            <w:noProof/>
            <w:sz w:val="22"/>
            <w:szCs w:val="22"/>
          </w:rPr>
          <w:t>4</w:t>
        </w:r>
        <w:r w:rsidR="00BB7CDB" w:rsidRPr="00D53871">
          <w:rPr>
            <w:rFonts w:asciiTheme="majorHAnsi" w:hAnsiTheme="majorHAnsi"/>
            <w:bCs/>
            <w:sz w:val="22"/>
            <w:szCs w:val="22"/>
          </w:rPr>
          <w:fldChar w:fldCharType="end"/>
        </w:r>
        <w:r w:rsidR="00BB7CDB">
          <w:tab/>
        </w:r>
        <w:r w:rsidR="00BB7CDB">
          <w:rPr>
            <w:rFonts w:asciiTheme="majorHAnsi" w:hAnsiTheme="majorHAnsi"/>
            <w:sz w:val="22"/>
          </w:rPr>
          <w:t xml:space="preserve">Fecha de entrada en vigor: </w:t>
        </w:r>
        <w:r w:rsidR="008C6C4F">
          <w:rPr>
            <w:rFonts w:asciiTheme="majorHAnsi" w:hAnsiTheme="majorHAnsi"/>
            <w:sz w:val="22"/>
          </w:rPr>
          <w:t>01/07/2016</w:t>
        </w:r>
      </w:sdtContent>
    </w:sdt>
    <w:r w:rsidR="00BB7CDB">
      <w:tab/>
    </w:r>
    <w:r w:rsidR="00BB7CDB">
      <w:rPr>
        <w:rFonts w:asciiTheme="majorHAnsi" w:hAnsiTheme="majorHAnsi"/>
        <w:sz w:val="22"/>
      </w:rPr>
      <w:t xml:space="preserve">         Versión </w:t>
    </w:r>
    <w:proofErr w:type="spellStart"/>
    <w:r w:rsidR="00BB7CDB">
      <w:rPr>
        <w:rFonts w:asciiTheme="majorHAnsi" w:hAnsiTheme="majorHAnsi"/>
        <w:sz w:val="22"/>
      </w:rPr>
      <w:t>n.°</w:t>
    </w:r>
    <w:proofErr w:type="spellEnd"/>
    <w:r w:rsidR="00BB7CDB">
      <w:rPr>
        <w:rFonts w:asciiTheme="majorHAnsi" w:hAnsiTheme="majorHAnsi"/>
        <w:sz w:val="22"/>
      </w:rPr>
      <w:t xml:space="preserve">: </w:t>
    </w:r>
    <w:sdt>
      <w:sdtPr>
        <w:rPr>
          <w:rFonts w:asciiTheme="majorHAnsi" w:hAnsiTheme="majorHAnsi"/>
          <w:sz w:val="22"/>
          <w:szCs w:val="22"/>
        </w:rPr>
        <w:alias w:val="POPPRefItemVersion"/>
        <w:tag w:val="UNDP_POPP_REFITEM_VERSION"/>
        <w:id w:val="-781638412"/>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0A9B7FC-206F-4946-AD06-2B0361AD2E68}"/>
        <w:text/>
      </w:sdtPr>
      <w:sdtContent>
        <w:r w:rsidR="008C6C4F">
          <w:rPr>
            <w:rFonts w:asciiTheme="majorHAnsi" w:hAnsiTheme="majorHAnsi"/>
            <w:sz w:val="22"/>
            <w:szCs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7842" w14:textId="77777777" w:rsidR="00C35600" w:rsidRDefault="00C35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BC1C2" w14:textId="77777777" w:rsidR="00D527E3" w:rsidRDefault="00D527E3">
      <w:r>
        <w:separator/>
      </w:r>
    </w:p>
  </w:footnote>
  <w:footnote w:type="continuationSeparator" w:id="0">
    <w:p w14:paraId="644A7960" w14:textId="77777777" w:rsidR="00D527E3" w:rsidRDefault="00D5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167DD" w14:textId="77777777" w:rsidR="00C35600" w:rsidRDefault="00C35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3D07" w14:textId="35D21F5D" w:rsidR="00000000" w:rsidRDefault="00C35600" w:rsidP="005B66A0">
    <w:pPr>
      <w:pStyle w:val="Header"/>
      <w:jc w:val="right"/>
    </w:pPr>
    <w:r>
      <w:rPr>
        <w:noProof/>
      </w:rPr>
      <w:drawing>
        <wp:inline distT="0" distB="0" distL="0" distR="0" wp14:anchorId="590A0B59" wp14:editId="716249FE">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565418F9"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CD5F" w14:textId="77777777" w:rsidR="00C35600" w:rsidRDefault="00C3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196"/>
    <w:multiLevelType w:val="hybridMultilevel"/>
    <w:tmpl w:val="A6D4BC7E"/>
    <w:lvl w:ilvl="0" w:tplc="7DB63E5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90A8D"/>
    <w:multiLevelType w:val="hybridMultilevel"/>
    <w:tmpl w:val="DAF6C9FE"/>
    <w:lvl w:ilvl="0" w:tplc="40161954">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992D79"/>
    <w:multiLevelType w:val="hybridMultilevel"/>
    <w:tmpl w:val="4440A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E5C69"/>
    <w:multiLevelType w:val="hybridMultilevel"/>
    <w:tmpl w:val="41F27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97EA4"/>
    <w:multiLevelType w:val="hybridMultilevel"/>
    <w:tmpl w:val="715A0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5023E"/>
    <w:multiLevelType w:val="hybridMultilevel"/>
    <w:tmpl w:val="87B0FDA6"/>
    <w:lvl w:ilvl="0" w:tplc="AC34D3A6">
      <w:start w:val="14"/>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D00E6"/>
    <w:multiLevelType w:val="hybridMultilevel"/>
    <w:tmpl w:val="2DC2B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D14A5"/>
    <w:multiLevelType w:val="hybridMultilevel"/>
    <w:tmpl w:val="97EEFBFC"/>
    <w:lvl w:ilvl="0" w:tplc="2BF811D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714024"/>
    <w:multiLevelType w:val="hybridMultilevel"/>
    <w:tmpl w:val="19961246"/>
    <w:lvl w:ilvl="0" w:tplc="0C8476B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6443E8"/>
    <w:multiLevelType w:val="hybridMultilevel"/>
    <w:tmpl w:val="917A9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F03F9"/>
    <w:multiLevelType w:val="hybridMultilevel"/>
    <w:tmpl w:val="1D606E9C"/>
    <w:lvl w:ilvl="0" w:tplc="5D52947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908BD"/>
    <w:multiLevelType w:val="hybridMultilevel"/>
    <w:tmpl w:val="52585D66"/>
    <w:lvl w:ilvl="0" w:tplc="41E66E0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241429"/>
    <w:multiLevelType w:val="hybridMultilevel"/>
    <w:tmpl w:val="24C63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5857B5"/>
    <w:multiLevelType w:val="hybridMultilevel"/>
    <w:tmpl w:val="E0AA7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D223CC"/>
    <w:multiLevelType w:val="hybridMultilevel"/>
    <w:tmpl w:val="E950440C"/>
    <w:lvl w:ilvl="0" w:tplc="4490A4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A4C96"/>
    <w:multiLevelType w:val="hybridMultilevel"/>
    <w:tmpl w:val="F72A8874"/>
    <w:lvl w:ilvl="0" w:tplc="03AC1518">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6F128B"/>
    <w:multiLevelType w:val="hybridMultilevel"/>
    <w:tmpl w:val="33FA6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FA1EE3"/>
    <w:multiLevelType w:val="hybridMultilevel"/>
    <w:tmpl w:val="236C3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CC0097"/>
    <w:multiLevelType w:val="hybridMultilevel"/>
    <w:tmpl w:val="7C624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21433"/>
    <w:multiLevelType w:val="hybridMultilevel"/>
    <w:tmpl w:val="5D96C248"/>
    <w:lvl w:ilvl="0" w:tplc="6610F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6E45CB"/>
    <w:multiLevelType w:val="hybridMultilevel"/>
    <w:tmpl w:val="97064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B4421"/>
    <w:multiLevelType w:val="hybridMultilevel"/>
    <w:tmpl w:val="E8ACB74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95098E"/>
    <w:multiLevelType w:val="hybridMultilevel"/>
    <w:tmpl w:val="A162B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83210E"/>
    <w:multiLevelType w:val="hybridMultilevel"/>
    <w:tmpl w:val="7CC4F024"/>
    <w:lvl w:ilvl="0" w:tplc="31BC583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D35BC"/>
    <w:multiLevelType w:val="hybridMultilevel"/>
    <w:tmpl w:val="7E700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DF4371"/>
    <w:multiLevelType w:val="hybridMultilevel"/>
    <w:tmpl w:val="F1641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53C6D"/>
    <w:multiLevelType w:val="hybridMultilevel"/>
    <w:tmpl w:val="8B907D22"/>
    <w:lvl w:ilvl="0" w:tplc="937EEC7A">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9B0274"/>
    <w:multiLevelType w:val="hybridMultilevel"/>
    <w:tmpl w:val="D8605D9E"/>
    <w:lvl w:ilvl="0" w:tplc="4490A426">
      <w:start w:val="1"/>
      <w:numFmt w:val="decimal"/>
      <w:lvlText w:val="%1."/>
      <w:lvlJc w:val="left"/>
      <w:pPr>
        <w:ind w:left="360" w:hanging="360"/>
      </w:pPr>
      <w:rPr>
        <w:rFonts w:hint="default"/>
        <w:b w:val="0"/>
        <w:sz w:val="22"/>
        <w:szCs w:val="22"/>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FC033D"/>
    <w:multiLevelType w:val="hybridMultilevel"/>
    <w:tmpl w:val="C4E29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0456289">
    <w:abstractNumId w:val="28"/>
  </w:num>
  <w:num w:numId="2" w16cid:durableId="1608847517">
    <w:abstractNumId w:val="22"/>
  </w:num>
  <w:num w:numId="3" w16cid:durableId="577439985">
    <w:abstractNumId w:val="21"/>
  </w:num>
  <w:num w:numId="4" w16cid:durableId="1450007035">
    <w:abstractNumId w:val="25"/>
  </w:num>
  <w:num w:numId="5" w16cid:durableId="2108769699">
    <w:abstractNumId w:val="4"/>
  </w:num>
  <w:num w:numId="6" w16cid:durableId="551699534">
    <w:abstractNumId w:val="3"/>
  </w:num>
  <w:num w:numId="7" w16cid:durableId="1448112268">
    <w:abstractNumId w:val="27"/>
  </w:num>
  <w:num w:numId="8" w16cid:durableId="785275209">
    <w:abstractNumId w:val="20"/>
  </w:num>
  <w:num w:numId="9" w16cid:durableId="1337685867">
    <w:abstractNumId w:val="17"/>
  </w:num>
  <w:num w:numId="10" w16cid:durableId="1353612278">
    <w:abstractNumId w:val="13"/>
  </w:num>
  <w:num w:numId="11" w16cid:durableId="322006886">
    <w:abstractNumId w:val="18"/>
  </w:num>
  <w:num w:numId="12" w16cid:durableId="329603785">
    <w:abstractNumId w:val="24"/>
  </w:num>
  <w:num w:numId="13" w16cid:durableId="1655718008">
    <w:abstractNumId w:val="14"/>
  </w:num>
  <w:num w:numId="14" w16cid:durableId="1553225884">
    <w:abstractNumId w:val="9"/>
  </w:num>
  <w:num w:numId="15" w16cid:durableId="1883056805">
    <w:abstractNumId w:val="8"/>
  </w:num>
  <w:num w:numId="16" w16cid:durableId="1976522048">
    <w:abstractNumId w:val="7"/>
  </w:num>
  <w:num w:numId="17" w16cid:durableId="986471827">
    <w:abstractNumId w:val="12"/>
  </w:num>
  <w:num w:numId="18" w16cid:durableId="1424838469">
    <w:abstractNumId w:val="11"/>
  </w:num>
  <w:num w:numId="19" w16cid:durableId="332806624">
    <w:abstractNumId w:val="16"/>
  </w:num>
  <w:num w:numId="20" w16cid:durableId="478888884">
    <w:abstractNumId w:val="2"/>
  </w:num>
  <w:num w:numId="21" w16cid:durableId="821391797">
    <w:abstractNumId w:val="1"/>
  </w:num>
  <w:num w:numId="22" w16cid:durableId="239606378">
    <w:abstractNumId w:val="6"/>
  </w:num>
  <w:num w:numId="23" w16cid:durableId="1890608661">
    <w:abstractNumId w:val="26"/>
  </w:num>
  <w:num w:numId="24" w16cid:durableId="323626116">
    <w:abstractNumId w:val="10"/>
  </w:num>
  <w:num w:numId="25" w16cid:durableId="1940406258">
    <w:abstractNumId w:val="5"/>
  </w:num>
  <w:num w:numId="26" w16cid:durableId="486898956">
    <w:abstractNumId w:val="0"/>
  </w:num>
  <w:num w:numId="27" w16cid:durableId="23945156">
    <w:abstractNumId w:val="19"/>
  </w:num>
  <w:num w:numId="28" w16cid:durableId="64840491">
    <w:abstractNumId w:val="15"/>
  </w:num>
  <w:num w:numId="29" w16cid:durableId="9401845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37"/>
    <w:rsid w:val="000D7503"/>
    <w:rsid w:val="003573F6"/>
    <w:rsid w:val="00582BDC"/>
    <w:rsid w:val="006B0237"/>
    <w:rsid w:val="0070022F"/>
    <w:rsid w:val="007D7666"/>
    <w:rsid w:val="00821E6B"/>
    <w:rsid w:val="00894346"/>
    <w:rsid w:val="008A03FF"/>
    <w:rsid w:val="008C6C4F"/>
    <w:rsid w:val="00B30659"/>
    <w:rsid w:val="00BB7CDB"/>
    <w:rsid w:val="00C35600"/>
    <w:rsid w:val="00D42488"/>
    <w:rsid w:val="00D527E3"/>
    <w:rsid w:val="00E56343"/>
    <w:rsid w:val="00ED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25AA"/>
  <w15:chartTrackingRefBased/>
  <w15:docId w15:val="{5D68ED17-A647-4D97-9ADE-B509F072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237"/>
    <w:pPr>
      <w:spacing w:after="0" w:line="240" w:lineRule="auto"/>
    </w:pPr>
    <w:rPr>
      <w:rFonts w:eastAsiaTheme="minorEastAsia"/>
      <w:sz w:val="24"/>
      <w:szCs w:val="24"/>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37"/>
    <w:pPr>
      <w:ind w:left="720"/>
      <w:contextualSpacing/>
    </w:pPr>
  </w:style>
  <w:style w:type="paragraph" w:customStyle="1" w:styleId="H4">
    <w:name w:val="_ H_4"/>
    <w:basedOn w:val="Normal"/>
    <w:next w:val="SingleTxt"/>
    <w:rsid w:val="006B023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customStyle="1" w:styleId="SingleTxt">
    <w:name w:val="__Single Txt"/>
    <w:basedOn w:val="Normal"/>
    <w:rsid w:val="006B023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styleId="CommentReference">
    <w:name w:val="annotation reference"/>
    <w:semiHidden/>
    <w:rsid w:val="006B0237"/>
    <w:rPr>
      <w:sz w:val="6"/>
    </w:rPr>
  </w:style>
  <w:style w:type="paragraph" w:styleId="CommentText">
    <w:name w:val="annotation text"/>
    <w:basedOn w:val="Normal"/>
    <w:link w:val="CommentTextChar"/>
    <w:semiHidden/>
    <w:rsid w:val="006B0237"/>
    <w:pPr>
      <w:suppressAutoHyphens/>
      <w:spacing w:line="240" w:lineRule="exact"/>
    </w:pPr>
    <w:rPr>
      <w:rFonts w:ascii="Times New Roman" w:eastAsia="Times New Roman" w:hAnsi="Times New Roman" w:cs="Times New Roman"/>
      <w:spacing w:val="4"/>
      <w:w w:val="103"/>
      <w:kern w:val="14"/>
      <w:sz w:val="20"/>
      <w:szCs w:val="20"/>
    </w:rPr>
  </w:style>
  <w:style w:type="character" w:customStyle="1" w:styleId="CommentTextChar">
    <w:name w:val="Comment Text Char"/>
    <w:basedOn w:val="DefaultParagraphFont"/>
    <w:link w:val="CommentText"/>
    <w:semiHidden/>
    <w:rsid w:val="006B0237"/>
    <w:rPr>
      <w:rFonts w:ascii="Times New Roman" w:eastAsia="Times New Roman" w:hAnsi="Times New Roman" w:cs="Times New Roman"/>
      <w:spacing w:val="4"/>
      <w:w w:val="103"/>
      <w:kern w:val="14"/>
      <w:sz w:val="20"/>
      <w:szCs w:val="20"/>
      <w:lang w:val="es-ES" w:eastAsia="es-ES" w:bidi="es-ES"/>
    </w:rPr>
  </w:style>
  <w:style w:type="paragraph" w:styleId="Footer">
    <w:name w:val="footer"/>
    <w:basedOn w:val="Normal"/>
    <w:link w:val="FooterChar"/>
    <w:uiPriority w:val="99"/>
    <w:unhideWhenUsed/>
    <w:rsid w:val="006B0237"/>
    <w:pPr>
      <w:tabs>
        <w:tab w:val="center" w:pos="4320"/>
        <w:tab w:val="right" w:pos="8640"/>
      </w:tabs>
    </w:pPr>
  </w:style>
  <w:style w:type="character" w:customStyle="1" w:styleId="FooterChar">
    <w:name w:val="Footer Char"/>
    <w:basedOn w:val="DefaultParagraphFont"/>
    <w:link w:val="Footer"/>
    <w:uiPriority w:val="99"/>
    <w:rsid w:val="006B0237"/>
    <w:rPr>
      <w:rFonts w:eastAsiaTheme="minorEastAsia"/>
      <w:sz w:val="24"/>
      <w:szCs w:val="24"/>
      <w:lang w:val="es-ES" w:eastAsia="es-ES" w:bidi="es-ES"/>
    </w:rPr>
  </w:style>
  <w:style w:type="character" w:styleId="PageNumber">
    <w:name w:val="page number"/>
    <w:basedOn w:val="DefaultParagraphFont"/>
    <w:uiPriority w:val="99"/>
    <w:semiHidden/>
    <w:unhideWhenUsed/>
    <w:rsid w:val="006B0237"/>
  </w:style>
  <w:style w:type="character" w:styleId="Hyperlink">
    <w:name w:val="Hyperlink"/>
    <w:basedOn w:val="DefaultParagraphFont"/>
    <w:uiPriority w:val="99"/>
    <w:unhideWhenUsed/>
    <w:rsid w:val="006B0237"/>
    <w:rPr>
      <w:color w:val="0000FF"/>
      <w:u w:val="single"/>
    </w:rPr>
  </w:style>
  <w:style w:type="paragraph" w:styleId="Header">
    <w:name w:val="header"/>
    <w:basedOn w:val="Normal"/>
    <w:link w:val="HeaderChar"/>
    <w:uiPriority w:val="99"/>
    <w:unhideWhenUsed/>
    <w:rsid w:val="006B0237"/>
    <w:pPr>
      <w:tabs>
        <w:tab w:val="center" w:pos="4680"/>
        <w:tab w:val="right" w:pos="9360"/>
      </w:tabs>
    </w:pPr>
  </w:style>
  <w:style w:type="character" w:customStyle="1" w:styleId="HeaderChar">
    <w:name w:val="Header Char"/>
    <w:basedOn w:val="DefaultParagraphFont"/>
    <w:link w:val="Header"/>
    <w:uiPriority w:val="99"/>
    <w:rsid w:val="006B0237"/>
    <w:rPr>
      <w:rFonts w:eastAsiaTheme="minorEastAsia"/>
      <w:sz w:val="24"/>
      <w:szCs w:val="24"/>
      <w:lang w:val="es-ES" w:eastAsia="es-ES" w:bidi="es-ES"/>
    </w:rPr>
  </w:style>
  <w:style w:type="paragraph" w:styleId="BalloonText">
    <w:name w:val="Balloon Text"/>
    <w:basedOn w:val="Normal"/>
    <w:link w:val="BalloonTextChar"/>
    <w:uiPriority w:val="99"/>
    <w:semiHidden/>
    <w:unhideWhenUsed/>
    <w:rsid w:val="006B0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37"/>
    <w:rPr>
      <w:rFonts w:ascii="Segoe UI" w:eastAsiaTheme="minorEastAsia" w:hAnsi="Segoe UI" w:cs="Segoe UI"/>
      <w:sz w:val="18"/>
      <w:szCs w:val="18"/>
      <w:lang w:val="es-ES" w:eastAsia="es-ES" w:bidi="es-ES"/>
    </w:rPr>
  </w:style>
  <w:style w:type="paragraph" w:styleId="NormalWeb">
    <w:name w:val="Normal (Web)"/>
    <w:basedOn w:val="Normal"/>
    <w:uiPriority w:val="99"/>
    <w:semiHidden/>
    <w:unhideWhenUsed/>
    <w:rsid w:val="00ED4884"/>
    <w:pPr>
      <w:spacing w:before="100" w:beforeAutospacing="1" w:after="100" w:afterAutospacing="1"/>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6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r.un.org/handbook/staff-ru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hr.un.org/handbook/staff-rul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r.un.org/handbook/staff-ru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r.un.org/handbook/staff-rul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r.un.org/handbook/staff-rule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1024</UNDP_POPP_FILEVERSION>
    <UNDP_POPP_REFITEM_VERSION xmlns="8264c5cc-ec60-4b56-8111-ce635d3d139a">1</UNDP_POPP_REFITEM_VERSION>
    <UNDP_POPP_ISACTIVE xmlns="8264c5cc-ec60-4b56-8111-ce635d3d139a">true</UNDP_POPP_ISACTIVE>
    <UNDP_POPP_TITLE_EN xmlns="8264c5cc-ec60-4b56-8111-ce635d3d139a">Prima de instalación</UNDP_POPP_TITLE_EN>
    <_dlc_DocIdUrl xmlns="8264c5cc-ec60-4b56-8111-ce635d3d139a">
      <Url>https://intranet.undp.org/unit/bms/dir/internal/init_popp/_layouts/15/DocIdRedir.aspx?ID=UNITBMS-1904581467-163</Url>
      <Description>UNITBMS-1904581467-163</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B7FC-206F-4946-AD06-2B0361AD2E6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C5F5AE71-76DB-44E7-B74A-44363316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65DF9-CDAC-493D-A9D5-451CE07D84F6}">
  <ds:schemaRefs>
    <ds:schemaRef ds:uri="office.server.policy"/>
  </ds:schemaRefs>
</ds:datastoreItem>
</file>

<file path=customXml/itemProps4.xml><?xml version="1.0" encoding="utf-8"?>
<ds:datastoreItem xmlns:ds="http://schemas.openxmlformats.org/officeDocument/2006/customXml" ds:itemID="{43209275-6099-4DEB-AC6A-D374CF2BBA62}">
  <ds:schemaRefs>
    <ds:schemaRef ds:uri="http://schemas.microsoft.com/sharepoint/events"/>
  </ds:schemaRefs>
</ds:datastoreItem>
</file>

<file path=customXml/itemProps5.xml><?xml version="1.0" encoding="utf-8"?>
<ds:datastoreItem xmlns:ds="http://schemas.openxmlformats.org/officeDocument/2006/customXml" ds:itemID="{A7C4DF24-67A0-4D38-98E6-40745ADD3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10</cp:revision>
  <dcterms:created xsi:type="dcterms:W3CDTF">2020-04-08T14:03:00Z</dcterms:created>
  <dcterms:modified xsi:type="dcterms:W3CDTF">2024-08-12T10:38:00Z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_POPP_BUSINESSPROCESS_HIDDEN">
    <vt:lpwstr/>
  </property>
  <property fmtid="{D5CDD505-2E9C-101B-9397-08002B2CF9AE}" pid="4" name="UNDPDocumentCategory">
    <vt:lpwstr/>
  </property>
  <property fmtid="{D5CDD505-2E9C-101B-9397-08002B2CF9AE}" pid="5" name="ContentTypeId">
    <vt:lpwstr>0x01010061FF32BFFC2B4E50A3A86F4682D7D367007687F3382310C0489D2A99E053BA6D39</vt:lpwstr>
  </property>
  <property fmtid="{D5CDD505-2E9C-101B-9397-08002B2CF9AE}" pid="6" name="_dlc_DocId">
    <vt:lpwstr>UNITBMS-1904581467-163</vt:lpwstr>
  </property>
  <property fmtid="{D5CDD505-2E9C-101B-9397-08002B2CF9AE}" pid="7" name="Location">
    <vt:lpwstr>Public</vt:lpwstr>
  </property>
  <property fmtid="{D5CDD505-2E9C-101B-9397-08002B2CF9AE}" pid="8" name="UNDP_POPP_DOCUMENT_TYPE">
    <vt:lpwstr>Policy</vt:lpwstr>
  </property>
  <property fmtid="{D5CDD505-2E9C-101B-9397-08002B2CF9AE}" pid="9" name="POPPBusinessProcess">
    <vt:lpwstr/>
  </property>
  <property fmtid="{D5CDD505-2E9C-101B-9397-08002B2CF9AE}" pid="10" name="TaxCatchAll">
    <vt:lpwstr>349;#Human Resources Management|1f57ad6b-760b-4b5a-be19-36e6fe76fd85</vt:lpwstr>
  </property>
  <property fmtid="{D5CDD505-2E9C-101B-9397-08002B2CF9AE}" pid="11" name="UN Languages">
    <vt:lpwstr/>
  </property>
  <property fmtid="{D5CDD505-2E9C-101B-9397-08002B2CF9AE}" pid="12" name="UndpDocStatus">
    <vt:lpwstr>Draft</vt:lpwstr>
  </property>
  <property fmtid="{D5CDD505-2E9C-101B-9397-08002B2CF9AE}" pid="13" name="UNDP_POPP_VERSION_COMMENTS">
    <vt:lpwstr/>
  </property>
  <property fmtid="{D5CDD505-2E9C-101B-9397-08002B2CF9AE}" pid="14" name="UNDP_POPP_DOCUMENT_LANGUAGE">
    <vt:lpwstr>Spanish</vt:lpwstr>
  </property>
  <property fmtid="{D5CDD505-2E9C-101B-9397-08002B2CF9AE}" pid="15" name="_dlc_DocIdItemGuid">
    <vt:lpwstr>0ff77118-7f8e-48ec-bf5a-d2e9cbecb796</vt:lpwstr>
  </property>
  <property fmtid="{D5CDD505-2E9C-101B-9397-08002B2CF9AE}" pid="16" name="l0e6ef0c43e74560bd7f3acd1f5e8571">
    <vt:lpwstr>Human Resources Management|1f57ad6b-760b-4b5a-be19-36e6fe76fd85</vt:lpwstr>
  </property>
  <property fmtid="{D5CDD505-2E9C-101B-9397-08002B2CF9AE}" pid="17" name="UndpUnitMM">
    <vt:lpwstr/>
  </property>
  <property fmtid="{D5CDD505-2E9C-101B-9397-08002B2CF9AE}" pid="18" name="eRegFilingCodeMM">
    <vt:lpwstr/>
  </property>
  <property fmtid="{D5CDD505-2E9C-101B-9397-08002B2CF9AE}" pid="19" name="UndpClassificationLevel">
    <vt:lpwstr>Internal Use Only</vt:lpwstr>
  </property>
  <property fmtid="{D5CDD505-2E9C-101B-9397-08002B2CF9AE}" pid="20" name="UndpIsTemplate">
    <vt:lpwstr>No</vt:lpwstr>
  </property>
  <property fmtid="{D5CDD505-2E9C-101B-9397-08002B2CF9AE}" pid="21" name="UNDP_POPP_BUSINESSUNIT">
    <vt:lpwstr>349;#Human Resources Management|1f57ad6b-760b-4b5a-be19-36e6fe76fd85</vt:lpwstr>
  </property>
  <property fmtid="{D5CDD505-2E9C-101B-9397-08002B2CF9AE}" pid="22" name="UNDP_POPP_FILEVERSION">
    <vt:r8>1024</vt:r8>
  </property>
  <property fmtid="{D5CDD505-2E9C-101B-9397-08002B2CF9AE}" pid="23" name="UNDPFocusAreas">
    <vt:lpwstr/>
  </property>
  <property fmtid="{D5CDD505-2E9C-101B-9397-08002B2CF9AE}" pid="24" name="_dlc_DocIdUrl">
    <vt:lpwstr>https://intranet.undp.org/unit/bms/dir/internal/init_popp/_layouts/15/DocIdRedir.aspx?ID=UNITBMS-1904581467-163, UNITBMS-1904581467-163</vt:lpwstr>
  </property>
  <property fmtid="{D5CDD505-2E9C-101B-9397-08002B2CF9AE}" pid="25" name="UndpDocTypeMM">
    <vt:lpwstr/>
  </property>
  <property fmtid="{D5CDD505-2E9C-101B-9397-08002B2CF9AE}" pid="26" name="DLCPolicyLabelValue">
    <vt:lpwstr>Effective Date: {Effective Date}                                                Version #: 1</vt:lpwstr>
  </property>
  <property fmtid="{D5CDD505-2E9C-101B-9397-08002B2CF9AE}" pid="27" name="UNDP_POPP_REFITEM_VERSION">
    <vt:r8>2</vt:r8>
  </property>
</Properties>
</file>