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AE67" w14:textId="33E1C55E" w:rsidR="0039692E" w:rsidRPr="006939F0" w:rsidRDefault="008B7CF8" w:rsidP="006939F0">
      <w:pPr>
        <w:tabs>
          <w:tab w:val="left" w:pos="3510"/>
        </w:tabs>
        <w:ind w:right="270"/>
        <w:rPr>
          <w:rFonts w:ascii="Arial" w:eastAsia="Times New Roman" w:hAnsi="Arial" w:cs="Arial"/>
          <w:sz w:val="22"/>
          <w:szCs w:val="22"/>
        </w:rPr>
      </w:pPr>
      <w:r w:rsidRPr="0078673F">
        <w:rPr>
          <w:rFonts w:asciiTheme="majorHAnsi" w:hAnsiTheme="majorHAnsi" w:cs="Arial"/>
          <w:b/>
          <w:sz w:val="28"/>
          <w:szCs w:val="28"/>
        </w:rPr>
        <w:t>Settling In Grant</w:t>
      </w:r>
    </w:p>
    <w:p w14:paraId="3890A82B" w14:textId="77777777" w:rsidR="008B7CF8" w:rsidRPr="0078673F" w:rsidRDefault="008B7CF8" w:rsidP="00743701">
      <w:pPr>
        <w:jc w:val="both"/>
        <w:rPr>
          <w:rFonts w:asciiTheme="majorHAnsi" w:hAnsiTheme="majorHAnsi" w:cs="Arial"/>
          <w:b/>
          <w:sz w:val="22"/>
          <w:szCs w:val="22"/>
        </w:rPr>
      </w:pPr>
    </w:p>
    <w:p w14:paraId="5A938BFD" w14:textId="67721E35" w:rsidR="008B7CF8" w:rsidRPr="0078673F" w:rsidRDefault="008B7CF8" w:rsidP="00181375">
      <w:pPr>
        <w:pStyle w:val="H4"/>
        <w:numPr>
          <w:ilvl w:val="0"/>
          <w:numId w:val="7"/>
        </w:numPr>
        <w:tabs>
          <w:tab w:val="clear" w:pos="1022"/>
          <w:tab w:val="clear" w:pos="1267"/>
          <w:tab w:val="clear" w:pos="1742"/>
        </w:tabs>
        <w:ind w:right="0"/>
        <w:jc w:val="both"/>
        <w:rPr>
          <w:rFonts w:asciiTheme="majorHAnsi" w:eastAsiaTheme="minorEastAsia" w:hAnsiTheme="majorHAnsi" w:cs="Arial"/>
          <w:i w:val="0"/>
          <w:spacing w:val="0"/>
          <w:w w:val="100"/>
          <w:kern w:val="0"/>
          <w:sz w:val="22"/>
          <w:szCs w:val="22"/>
          <w:lang w:val="en-US"/>
        </w:rPr>
      </w:pPr>
      <w:r w:rsidRPr="0078673F">
        <w:rPr>
          <w:rFonts w:asciiTheme="majorHAnsi" w:eastAsiaTheme="minorEastAsia" w:hAnsiTheme="majorHAnsi" w:cs="Arial"/>
          <w:i w:val="0"/>
          <w:spacing w:val="0"/>
          <w:w w:val="100"/>
          <w:kern w:val="0"/>
          <w:sz w:val="22"/>
          <w:szCs w:val="22"/>
          <w:lang w:val="en-US"/>
        </w:rPr>
        <w:t xml:space="preserve">The purpose of the </w:t>
      </w:r>
      <w:r w:rsidR="00743701" w:rsidRPr="0078673F">
        <w:rPr>
          <w:rFonts w:asciiTheme="majorHAnsi" w:eastAsiaTheme="minorEastAsia" w:hAnsiTheme="majorHAnsi" w:cs="Arial"/>
          <w:i w:val="0"/>
          <w:spacing w:val="0"/>
          <w:w w:val="100"/>
          <w:kern w:val="0"/>
          <w:sz w:val="22"/>
          <w:szCs w:val="22"/>
          <w:lang w:val="en-US"/>
        </w:rPr>
        <w:t xml:space="preserve">settling-in grant </w:t>
      </w:r>
      <w:r w:rsidRPr="0078673F">
        <w:rPr>
          <w:rFonts w:asciiTheme="majorHAnsi" w:eastAsiaTheme="minorEastAsia" w:hAnsiTheme="majorHAnsi" w:cs="Arial"/>
          <w:i w:val="0"/>
          <w:spacing w:val="0"/>
          <w:w w:val="100"/>
          <w:kern w:val="0"/>
          <w:sz w:val="22"/>
          <w:szCs w:val="22"/>
          <w:lang w:val="en-US"/>
        </w:rPr>
        <w:t xml:space="preserve">is to provide eligible staff members </w:t>
      </w:r>
      <w:r w:rsidR="005B4693" w:rsidRPr="0078673F">
        <w:rPr>
          <w:rFonts w:asciiTheme="majorHAnsi" w:eastAsiaTheme="minorEastAsia" w:hAnsiTheme="majorHAnsi" w:cs="Arial"/>
          <w:i w:val="0"/>
          <w:spacing w:val="0"/>
          <w:w w:val="100"/>
          <w:kern w:val="0"/>
          <w:sz w:val="22"/>
          <w:szCs w:val="22"/>
          <w:lang w:val="en-US"/>
        </w:rPr>
        <w:t>reasonable financial support</w:t>
      </w:r>
      <w:r w:rsidRPr="0078673F">
        <w:rPr>
          <w:rFonts w:asciiTheme="majorHAnsi" w:eastAsiaTheme="minorEastAsia" w:hAnsiTheme="majorHAnsi" w:cs="Arial"/>
          <w:i w:val="0"/>
          <w:spacing w:val="0"/>
          <w:w w:val="100"/>
          <w:kern w:val="0"/>
          <w:sz w:val="22"/>
          <w:szCs w:val="22"/>
          <w:lang w:val="en-US"/>
        </w:rPr>
        <w:t xml:space="preserve"> for relocation on initial appointment</w:t>
      </w:r>
      <w:r w:rsidR="00EC1147" w:rsidRPr="0078673F">
        <w:rPr>
          <w:rFonts w:asciiTheme="majorHAnsi" w:eastAsiaTheme="minorEastAsia" w:hAnsiTheme="majorHAnsi" w:cs="Arial"/>
          <w:i w:val="0"/>
          <w:spacing w:val="0"/>
          <w:w w:val="100"/>
          <w:kern w:val="0"/>
          <w:sz w:val="22"/>
          <w:szCs w:val="22"/>
          <w:lang w:val="en-US"/>
        </w:rPr>
        <w:t xml:space="preserve"> or reassignment</w:t>
      </w:r>
      <w:r w:rsidRPr="0078673F">
        <w:rPr>
          <w:rFonts w:asciiTheme="majorHAnsi" w:eastAsiaTheme="minorEastAsia" w:hAnsiTheme="majorHAnsi" w:cs="Arial"/>
          <w:i w:val="0"/>
          <w:spacing w:val="0"/>
          <w:w w:val="100"/>
          <w:kern w:val="0"/>
          <w:sz w:val="22"/>
          <w:szCs w:val="22"/>
          <w:lang w:val="en-US"/>
        </w:rPr>
        <w:t xml:space="preserve"> to a </w:t>
      </w:r>
      <w:r w:rsidR="00EC1147" w:rsidRPr="0078673F">
        <w:rPr>
          <w:rFonts w:asciiTheme="majorHAnsi" w:eastAsiaTheme="minorEastAsia" w:hAnsiTheme="majorHAnsi" w:cs="Arial"/>
          <w:i w:val="0"/>
          <w:spacing w:val="0"/>
          <w:w w:val="100"/>
          <w:kern w:val="0"/>
          <w:sz w:val="22"/>
          <w:szCs w:val="22"/>
          <w:lang w:val="en-US"/>
        </w:rPr>
        <w:t xml:space="preserve">new </w:t>
      </w:r>
      <w:r w:rsidRPr="0078673F">
        <w:rPr>
          <w:rFonts w:asciiTheme="majorHAnsi" w:eastAsiaTheme="minorEastAsia" w:hAnsiTheme="majorHAnsi" w:cs="Arial"/>
          <w:i w:val="0"/>
          <w:spacing w:val="0"/>
          <w:w w:val="100"/>
          <w:kern w:val="0"/>
          <w:sz w:val="22"/>
          <w:szCs w:val="22"/>
          <w:lang w:val="en-US"/>
        </w:rPr>
        <w:t xml:space="preserve">duty station. It is the total compensation payable by the Organization </w:t>
      </w:r>
      <w:r w:rsidR="00EC1147" w:rsidRPr="0078673F">
        <w:rPr>
          <w:rFonts w:asciiTheme="majorHAnsi" w:eastAsiaTheme="minorEastAsia" w:hAnsiTheme="majorHAnsi" w:cs="Arial"/>
          <w:i w:val="0"/>
          <w:spacing w:val="0"/>
          <w:w w:val="100"/>
          <w:kern w:val="0"/>
          <w:sz w:val="22"/>
          <w:szCs w:val="22"/>
          <w:lang w:val="en-US"/>
        </w:rPr>
        <w:t xml:space="preserve">towards </w:t>
      </w:r>
      <w:r w:rsidRPr="0078673F">
        <w:rPr>
          <w:rFonts w:asciiTheme="majorHAnsi" w:eastAsiaTheme="minorEastAsia" w:hAnsiTheme="majorHAnsi" w:cs="Arial"/>
          <w:i w:val="0"/>
          <w:spacing w:val="0"/>
          <w:w w:val="100"/>
          <w:kern w:val="0"/>
          <w:sz w:val="22"/>
          <w:szCs w:val="22"/>
          <w:lang w:val="en-US"/>
        </w:rPr>
        <w:t>costs incurred by the eligible staff member and his or her family members as a result of an appointment</w:t>
      </w:r>
      <w:r w:rsidR="00EC1147" w:rsidRPr="0078673F">
        <w:rPr>
          <w:rFonts w:asciiTheme="majorHAnsi" w:eastAsiaTheme="minorEastAsia" w:hAnsiTheme="majorHAnsi" w:cs="Arial"/>
          <w:i w:val="0"/>
          <w:spacing w:val="0"/>
          <w:w w:val="100"/>
          <w:kern w:val="0"/>
          <w:sz w:val="22"/>
          <w:szCs w:val="22"/>
          <w:lang w:val="en-US"/>
        </w:rPr>
        <w:t xml:space="preserve"> or reassignment</w:t>
      </w:r>
      <w:r w:rsidRPr="0078673F">
        <w:rPr>
          <w:rFonts w:asciiTheme="majorHAnsi" w:eastAsiaTheme="minorEastAsia" w:hAnsiTheme="majorHAnsi" w:cs="Arial"/>
          <w:i w:val="0"/>
          <w:spacing w:val="0"/>
          <w:w w:val="100"/>
          <w:kern w:val="0"/>
          <w:sz w:val="22"/>
          <w:szCs w:val="22"/>
          <w:lang w:val="en-US"/>
        </w:rPr>
        <w:t xml:space="preserve"> involving relocation, as well as any pre-departure expenses that the staff member may incur as a result. </w:t>
      </w:r>
    </w:p>
    <w:p w14:paraId="696E4778" w14:textId="77777777" w:rsidR="008B7CF8" w:rsidRPr="0078673F" w:rsidRDefault="008B7CF8" w:rsidP="00743701">
      <w:pPr>
        <w:pStyle w:val="SingleTxt"/>
        <w:ind w:left="0"/>
        <w:rPr>
          <w:rFonts w:asciiTheme="majorHAnsi" w:eastAsiaTheme="minorEastAsia" w:hAnsiTheme="majorHAnsi" w:cs="Arial"/>
          <w:spacing w:val="0"/>
          <w:w w:val="100"/>
          <w:kern w:val="0"/>
          <w:sz w:val="22"/>
          <w:szCs w:val="22"/>
          <w:lang w:val="en-US"/>
        </w:rPr>
      </w:pPr>
    </w:p>
    <w:p w14:paraId="46B8A946" w14:textId="77777777" w:rsidR="008B7CF8" w:rsidRPr="0078673F" w:rsidRDefault="008B7CF8"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The settling-in grant enters into force on 1 July 2016, and replaces the</w:t>
      </w:r>
      <w:r w:rsidR="00743701" w:rsidRPr="0078673F">
        <w:rPr>
          <w:rFonts w:asciiTheme="majorHAnsi" w:eastAsiaTheme="minorEastAsia" w:hAnsiTheme="majorHAnsi" w:cs="Arial"/>
          <w:spacing w:val="0"/>
          <w:w w:val="100"/>
          <w:kern w:val="0"/>
          <w:sz w:val="22"/>
          <w:szCs w:val="22"/>
          <w:lang w:val="en-US"/>
        </w:rPr>
        <w:t xml:space="preserve"> former Assignment Grant which is</w:t>
      </w:r>
      <w:r w:rsidRPr="0078673F">
        <w:rPr>
          <w:rFonts w:asciiTheme="majorHAnsi" w:eastAsiaTheme="minorEastAsia" w:hAnsiTheme="majorHAnsi" w:cs="Arial"/>
          <w:spacing w:val="0"/>
          <w:w w:val="100"/>
          <w:kern w:val="0"/>
          <w:sz w:val="22"/>
          <w:szCs w:val="22"/>
          <w:lang w:val="en-US"/>
        </w:rPr>
        <w:t xml:space="preserve"> discontinued as of that date.</w:t>
      </w:r>
    </w:p>
    <w:p w14:paraId="3542C4BD" w14:textId="77777777" w:rsidR="00743701" w:rsidRPr="0078673F" w:rsidRDefault="00743701" w:rsidP="00622063">
      <w:pPr>
        <w:pStyle w:val="SingleTxt"/>
        <w:spacing w:line="220" w:lineRule="exact"/>
        <w:ind w:left="0" w:right="0"/>
        <w:rPr>
          <w:rFonts w:asciiTheme="majorHAnsi" w:hAnsiTheme="majorHAnsi" w:cs="Arial"/>
          <w:sz w:val="22"/>
          <w:szCs w:val="22"/>
        </w:rPr>
      </w:pPr>
    </w:p>
    <w:p w14:paraId="69C90DB1" w14:textId="5D7DE157" w:rsidR="00743701" w:rsidRPr="0078673F" w:rsidRDefault="00743701" w:rsidP="00622063">
      <w:pPr>
        <w:pStyle w:val="SingleTxt"/>
        <w:spacing w:line="220" w:lineRule="exact"/>
        <w:ind w:left="0" w:right="0"/>
        <w:rPr>
          <w:rFonts w:asciiTheme="majorHAnsi" w:hAnsiTheme="majorHAnsi" w:cs="Arial"/>
          <w:b/>
          <w:sz w:val="22"/>
          <w:szCs w:val="22"/>
        </w:rPr>
      </w:pPr>
      <w:r w:rsidRPr="0078673F">
        <w:rPr>
          <w:rFonts w:asciiTheme="majorHAnsi" w:hAnsiTheme="majorHAnsi" w:cs="Arial"/>
          <w:b/>
          <w:sz w:val="22"/>
          <w:szCs w:val="22"/>
        </w:rPr>
        <w:t>Elements of the Grant</w:t>
      </w:r>
    </w:p>
    <w:p w14:paraId="413A9FEC" w14:textId="77777777" w:rsidR="00622063" w:rsidRPr="0078673F" w:rsidRDefault="00622063" w:rsidP="00622063">
      <w:pPr>
        <w:pStyle w:val="SingleTxt"/>
        <w:spacing w:line="220" w:lineRule="exact"/>
        <w:ind w:left="0" w:right="0"/>
        <w:rPr>
          <w:rFonts w:asciiTheme="majorHAnsi" w:hAnsiTheme="majorHAnsi" w:cs="Arial"/>
          <w:b/>
          <w:sz w:val="22"/>
          <w:szCs w:val="22"/>
        </w:rPr>
      </w:pPr>
    </w:p>
    <w:p w14:paraId="611F37DC" w14:textId="73D723A8" w:rsidR="00743701" w:rsidRDefault="00743701" w:rsidP="00181375">
      <w:pPr>
        <w:pStyle w:val="SingleTxt"/>
        <w:numPr>
          <w:ilvl w:val="0"/>
          <w:numId w:val="7"/>
        </w:numPr>
        <w:spacing w:line="220" w:lineRule="exact"/>
        <w:ind w:right="0"/>
        <w:rPr>
          <w:rFonts w:asciiTheme="majorHAnsi" w:hAnsiTheme="majorHAnsi" w:cs="Arial"/>
          <w:spacing w:val="3"/>
          <w:sz w:val="22"/>
          <w:szCs w:val="22"/>
        </w:rPr>
      </w:pPr>
      <w:r w:rsidRPr="0078673F">
        <w:rPr>
          <w:rFonts w:asciiTheme="majorHAnsi" w:hAnsiTheme="majorHAnsi" w:cs="Arial"/>
          <w:spacing w:val="3"/>
          <w:sz w:val="22"/>
          <w:szCs w:val="22"/>
        </w:rPr>
        <w:t>The grant consist</w:t>
      </w:r>
      <w:r w:rsidR="00D53871">
        <w:rPr>
          <w:rFonts w:asciiTheme="majorHAnsi" w:hAnsiTheme="majorHAnsi" w:cs="Arial"/>
          <w:spacing w:val="3"/>
          <w:sz w:val="22"/>
          <w:szCs w:val="22"/>
        </w:rPr>
        <w:t>s</w:t>
      </w:r>
      <w:r w:rsidRPr="0078673F">
        <w:rPr>
          <w:rFonts w:asciiTheme="majorHAnsi" w:hAnsiTheme="majorHAnsi" w:cs="Arial"/>
          <w:spacing w:val="3"/>
          <w:sz w:val="22"/>
          <w:szCs w:val="22"/>
        </w:rPr>
        <w:t xml:space="preserve"> of two elements:</w:t>
      </w:r>
    </w:p>
    <w:p w14:paraId="51587DE4" w14:textId="77777777" w:rsidR="0078673F" w:rsidRPr="0078673F" w:rsidRDefault="0078673F" w:rsidP="0078673F">
      <w:pPr>
        <w:pStyle w:val="SingleTxt"/>
        <w:spacing w:line="220" w:lineRule="exact"/>
        <w:ind w:left="360" w:right="0"/>
        <w:rPr>
          <w:rFonts w:asciiTheme="majorHAnsi" w:hAnsiTheme="majorHAnsi" w:cs="Arial"/>
          <w:spacing w:val="3"/>
          <w:sz w:val="22"/>
          <w:szCs w:val="22"/>
        </w:rPr>
      </w:pPr>
    </w:p>
    <w:p w14:paraId="05AED6BB" w14:textId="79FF0404" w:rsidR="00743701" w:rsidRDefault="00743701" w:rsidP="00181375">
      <w:pPr>
        <w:pStyle w:val="SingleTxt"/>
        <w:numPr>
          <w:ilvl w:val="1"/>
          <w:numId w:val="3"/>
        </w:numPr>
        <w:spacing w:line="220" w:lineRule="exact"/>
        <w:ind w:right="0"/>
        <w:rPr>
          <w:rFonts w:asciiTheme="majorHAnsi" w:hAnsiTheme="majorHAnsi" w:cs="Arial"/>
          <w:spacing w:val="3"/>
          <w:sz w:val="22"/>
          <w:szCs w:val="22"/>
        </w:rPr>
      </w:pPr>
      <w:r w:rsidRPr="0078673F">
        <w:rPr>
          <w:rFonts w:asciiTheme="majorHAnsi" w:hAnsiTheme="majorHAnsi" w:cs="Arial"/>
          <w:spacing w:val="3"/>
          <w:sz w:val="22"/>
          <w:szCs w:val="22"/>
        </w:rPr>
        <w:t>a Daily Subsistence Allowance</w:t>
      </w:r>
      <w:r w:rsidR="002C639F" w:rsidRPr="0078673F">
        <w:rPr>
          <w:rFonts w:asciiTheme="majorHAnsi" w:hAnsiTheme="majorHAnsi" w:cs="Arial"/>
          <w:spacing w:val="3"/>
          <w:sz w:val="22"/>
          <w:szCs w:val="22"/>
        </w:rPr>
        <w:t xml:space="preserve"> (DSA)</w:t>
      </w:r>
      <w:r w:rsidRPr="0078673F">
        <w:rPr>
          <w:rFonts w:asciiTheme="majorHAnsi" w:hAnsiTheme="majorHAnsi" w:cs="Arial"/>
          <w:spacing w:val="3"/>
          <w:sz w:val="22"/>
          <w:szCs w:val="22"/>
        </w:rPr>
        <w:t xml:space="preserve"> portion</w:t>
      </w:r>
    </w:p>
    <w:p w14:paraId="4AE28053" w14:textId="77777777" w:rsidR="0078673F" w:rsidRPr="0078673F" w:rsidRDefault="0078673F" w:rsidP="0078673F">
      <w:pPr>
        <w:pStyle w:val="SingleTxt"/>
        <w:spacing w:line="220" w:lineRule="exact"/>
        <w:ind w:left="1080" w:right="0"/>
        <w:rPr>
          <w:rFonts w:asciiTheme="majorHAnsi" w:hAnsiTheme="majorHAnsi" w:cs="Arial"/>
          <w:spacing w:val="3"/>
          <w:sz w:val="22"/>
          <w:szCs w:val="22"/>
        </w:rPr>
      </w:pPr>
    </w:p>
    <w:p w14:paraId="1F707550" w14:textId="77777777" w:rsidR="00743701" w:rsidRPr="0078673F" w:rsidRDefault="00743701" w:rsidP="00181375">
      <w:pPr>
        <w:pStyle w:val="SingleTxt"/>
        <w:numPr>
          <w:ilvl w:val="1"/>
          <w:numId w:val="3"/>
        </w:numPr>
        <w:spacing w:line="220" w:lineRule="exact"/>
        <w:ind w:right="0"/>
        <w:rPr>
          <w:rFonts w:asciiTheme="majorHAnsi" w:hAnsiTheme="majorHAnsi" w:cs="Arial"/>
          <w:spacing w:val="3"/>
          <w:sz w:val="22"/>
          <w:szCs w:val="22"/>
        </w:rPr>
      </w:pPr>
      <w:r w:rsidRPr="0078673F">
        <w:rPr>
          <w:rFonts w:asciiTheme="majorHAnsi" w:hAnsiTheme="majorHAnsi" w:cs="Arial"/>
          <w:spacing w:val="3"/>
          <w:sz w:val="22"/>
          <w:szCs w:val="22"/>
        </w:rPr>
        <w:t>a lump-sum portion</w:t>
      </w:r>
    </w:p>
    <w:p w14:paraId="38514C70" w14:textId="77777777" w:rsidR="00743701" w:rsidRPr="0078673F" w:rsidRDefault="00743701" w:rsidP="00743701">
      <w:pPr>
        <w:pStyle w:val="SingleTxt"/>
        <w:ind w:left="1080" w:right="0"/>
        <w:rPr>
          <w:rFonts w:asciiTheme="majorHAnsi" w:hAnsiTheme="majorHAnsi" w:cs="Arial"/>
          <w:sz w:val="22"/>
          <w:szCs w:val="22"/>
        </w:rPr>
      </w:pPr>
    </w:p>
    <w:p w14:paraId="21EE3E61" w14:textId="77777777" w:rsidR="00743701" w:rsidRPr="0078673F" w:rsidRDefault="00743701" w:rsidP="00743701">
      <w:pPr>
        <w:pStyle w:val="SingleTxt"/>
        <w:ind w:left="0" w:right="0"/>
        <w:rPr>
          <w:rFonts w:asciiTheme="majorHAnsi" w:hAnsiTheme="majorHAnsi" w:cs="Arial"/>
          <w:b/>
          <w:sz w:val="22"/>
          <w:szCs w:val="22"/>
        </w:rPr>
      </w:pPr>
      <w:r w:rsidRPr="0078673F">
        <w:rPr>
          <w:rFonts w:asciiTheme="majorHAnsi" w:hAnsiTheme="majorHAnsi" w:cs="Arial"/>
          <w:b/>
          <w:sz w:val="22"/>
          <w:szCs w:val="22"/>
        </w:rPr>
        <w:t>Eligibility</w:t>
      </w:r>
    </w:p>
    <w:p w14:paraId="4BDBD2F9" w14:textId="77777777" w:rsidR="00743701" w:rsidRPr="0078673F" w:rsidRDefault="00743701" w:rsidP="00743701">
      <w:pPr>
        <w:pStyle w:val="SingleTxt"/>
        <w:ind w:left="0" w:right="0"/>
        <w:rPr>
          <w:rFonts w:asciiTheme="majorHAnsi" w:hAnsiTheme="majorHAnsi" w:cs="Arial"/>
          <w:b/>
          <w:sz w:val="22"/>
          <w:szCs w:val="22"/>
        </w:rPr>
      </w:pPr>
    </w:p>
    <w:p w14:paraId="4B397C17" w14:textId="2D9D96D9" w:rsidR="008027DC" w:rsidRPr="0078673F" w:rsidRDefault="008027DC"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 xml:space="preserve">Internationally recruited staff members are eligible for the settling-in grant, subject to meeting the </w:t>
      </w:r>
      <w:r w:rsidR="00B078C4" w:rsidRPr="0078673F">
        <w:rPr>
          <w:rFonts w:asciiTheme="majorHAnsi" w:eastAsiaTheme="minorEastAsia" w:hAnsiTheme="majorHAnsi" w:cs="Arial"/>
          <w:spacing w:val="0"/>
          <w:w w:val="100"/>
          <w:kern w:val="0"/>
          <w:sz w:val="22"/>
          <w:szCs w:val="22"/>
          <w:lang w:val="en-US"/>
        </w:rPr>
        <w:t xml:space="preserve">specific </w:t>
      </w:r>
      <w:r w:rsidRPr="0078673F">
        <w:rPr>
          <w:rFonts w:asciiTheme="majorHAnsi" w:eastAsiaTheme="minorEastAsia" w:hAnsiTheme="majorHAnsi" w:cs="Arial"/>
          <w:spacing w:val="0"/>
          <w:w w:val="100"/>
          <w:kern w:val="0"/>
          <w:sz w:val="22"/>
          <w:szCs w:val="22"/>
          <w:lang w:val="en-US"/>
        </w:rPr>
        <w:t xml:space="preserve">requirements </w:t>
      </w:r>
      <w:r w:rsidR="00B078C4" w:rsidRPr="0078673F">
        <w:rPr>
          <w:rFonts w:asciiTheme="majorHAnsi" w:eastAsiaTheme="minorEastAsia" w:hAnsiTheme="majorHAnsi" w:cs="Arial"/>
          <w:spacing w:val="0"/>
          <w:w w:val="100"/>
          <w:kern w:val="0"/>
          <w:sz w:val="22"/>
          <w:szCs w:val="22"/>
          <w:lang w:val="en-US"/>
        </w:rPr>
        <w:t>set out in this policy</w:t>
      </w:r>
      <w:r w:rsidRPr="0078673F">
        <w:rPr>
          <w:rFonts w:asciiTheme="majorHAnsi" w:eastAsiaTheme="minorEastAsia" w:hAnsiTheme="majorHAnsi" w:cs="Arial"/>
          <w:spacing w:val="0"/>
          <w:w w:val="100"/>
          <w:kern w:val="0"/>
          <w:sz w:val="22"/>
          <w:szCs w:val="22"/>
          <w:lang w:val="en-US"/>
        </w:rPr>
        <w:t>.</w:t>
      </w:r>
    </w:p>
    <w:p w14:paraId="79EE3162" w14:textId="77777777" w:rsidR="00225541" w:rsidRPr="0078673F" w:rsidRDefault="00225541" w:rsidP="00225541">
      <w:pPr>
        <w:pStyle w:val="SingleTxt"/>
        <w:ind w:left="360" w:right="0"/>
        <w:rPr>
          <w:rFonts w:asciiTheme="majorHAnsi" w:eastAsiaTheme="minorEastAsia" w:hAnsiTheme="majorHAnsi" w:cs="Arial"/>
          <w:spacing w:val="0"/>
          <w:w w:val="100"/>
          <w:kern w:val="0"/>
          <w:sz w:val="22"/>
          <w:szCs w:val="22"/>
          <w:lang w:val="en-US"/>
        </w:rPr>
      </w:pPr>
    </w:p>
    <w:p w14:paraId="5E1BFD2C" w14:textId="3358A5E7" w:rsidR="008027DC" w:rsidRPr="0078673F" w:rsidRDefault="00EC1147"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An e</w:t>
      </w:r>
      <w:r w:rsidR="00A61417" w:rsidRPr="0078673F">
        <w:rPr>
          <w:rFonts w:asciiTheme="majorHAnsi" w:eastAsiaTheme="minorEastAsia" w:hAnsiTheme="majorHAnsi" w:cs="Arial"/>
          <w:spacing w:val="0"/>
          <w:w w:val="100"/>
          <w:kern w:val="0"/>
          <w:sz w:val="22"/>
          <w:szCs w:val="22"/>
          <w:lang w:val="en-US"/>
        </w:rPr>
        <w:t>ligible staff</w:t>
      </w:r>
      <w:r w:rsidRPr="0078673F">
        <w:rPr>
          <w:rFonts w:asciiTheme="majorHAnsi" w:eastAsiaTheme="minorEastAsia" w:hAnsiTheme="majorHAnsi" w:cs="Arial"/>
          <w:spacing w:val="0"/>
          <w:w w:val="100"/>
          <w:kern w:val="0"/>
          <w:sz w:val="22"/>
          <w:szCs w:val="22"/>
          <w:lang w:val="en-US"/>
        </w:rPr>
        <w:t xml:space="preserve"> member</w:t>
      </w:r>
      <w:r w:rsidR="00A61417" w:rsidRPr="0078673F">
        <w:rPr>
          <w:rFonts w:asciiTheme="majorHAnsi" w:eastAsiaTheme="minorEastAsia" w:hAnsiTheme="majorHAnsi" w:cs="Arial"/>
          <w:spacing w:val="0"/>
          <w:w w:val="100"/>
          <w:kern w:val="0"/>
          <w:sz w:val="22"/>
          <w:szCs w:val="22"/>
          <w:lang w:val="en-US"/>
        </w:rPr>
        <w:t xml:space="preserve"> </w:t>
      </w:r>
      <w:r w:rsidRPr="0078673F">
        <w:rPr>
          <w:rFonts w:asciiTheme="majorHAnsi" w:eastAsiaTheme="minorEastAsia" w:hAnsiTheme="majorHAnsi" w:cs="Arial"/>
          <w:spacing w:val="0"/>
          <w:w w:val="100"/>
          <w:kern w:val="0"/>
          <w:sz w:val="22"/>
          <w:szCs w:val="22"/>
          <w:lang w:val="en-US"/>
        </w:rPr>
        <w:t>is</w:t>
      </w:r>
      <w:r w:rsidR="008027DC" w:rsidRPr="0078673F">
        <w:rPr>
          <w:rFonts w:asciiTheme="majorHAnsi" w:eastAsiaTheme="minorEastAsia" w:hAnsiTheme="majorHAnsi" w:cs="Arial"/>
          <w:spacing w:val="0"/>
          <w:w w:val="100"/>
          <w:kern w:val="0"/>
          <w:sz w:val="22"/>
          <w:szCs w:val="22"/>
          <w:lang w:val="en-US"/>
        </w:rPr>
        <w:t xml:space="preserve"> entitled to payment of the grant when he or she has been authorized to travel involving relocation on initial appointment</w:t>
      </w:r>
      <w:r w:rsidRPr="0078673F">
        <w:rPr>
          <w:rFonts w:asciiTheme="majorHAnsi" w:eastAsiaTheme="minorEastAsia" w:hAnsiTheme="majorHAnsi" w:cs="Arial"/>
          <w:spacing w:val="0"/>
          <w:w w:val="100"/>
          <w:kern w:val="0"/>
          <w:sz w:val="22"/>
          <w:szCs w:val="22"/>
          <w:lang w:val="en-US"/>
        </w:rPr>
        <w:t xml:space="preserve"> or reassignment to a new duty station</w:t>
      </w:r>
      <w:r w:rsidR="008027DC" w:rsidRPr="0078673F">
        <w:rPr>
          <w:rFonts w:asciiTheme="majorHAnsi" w:eastAsiaTheme="minorEastAsia" w:hAnsiTheme="majorHAnsi" w:cs="Arial"/>
          <w:spacing w:val="0"/>
          <w:w w:val="100"/>
          <w:kern w:val="0"/>
          <w:sz w:val="22"/>
          <w:szCs w:val="22"/>
          <w:lang w:val="en-US"/>
        </w:rPr>
        <w:t>.</w:t>
      </w:r>
      <w:r w:rsidR="00A61417" w:rsidRPr="0078673F">
        <w:rPr>
          <w:rFonts w:asciiTheme="majorHAnsi" w:eastAsiaTheme="minorEastAsia" w:hAnsiTheme="majorHAnsi" w:cs="Arial"/>
          <w:spacing w:val="0"/>
          <w:w w:val="100"/>
          <w:kern w:val="0"/>
          <w:sz w:val="22"/>
          <w:szCs w:val="22"/>
          <w:lang w:val="en-US"/>
        </w:rPr>
        <w:t xml:space="preserve"> To qualify, a move must be beyond commuting distance from place of recruitment (for initial appointment), or previous duty s</w:t>
      </w:r>
      <w:r w:rsidR="00B078C4" w:rsidRPr="0078673F">
        <w:rPr>
          <w:rFonts w:asciiTheme="majorHAnsi" w:eastAsiaTheme="minorEastAsia" w:hAnsiTheme="majorHAnsi" w:cs="Arial"/>
          <w:spacing w:val="0"/>
          <w:w w:val="100"/>
          <w:kern w:val="0"/>
          <w:sz w:val="22"/>
          <w:szCs w:val="22"/>
          <w:lang w:val="en-US"/>
        </w:rPr>
        <w:t xml:space="preserve">tation (for existing staff), and must involve a change of accommodation. </w:t>
      </w:r>
      <w:r w:rsidR="005138F7" w:rsidRPr="0078673F">
        <w:rPr>
          <w:rFonts w:asciiTheme="majorHAnsi" w:eastAsiaTheme="minorEastAsia" w:hAnsiTheme="majorHAnsi" w:cs="Arial"/>
          <w:spacing w:val="0"/>
          <w:w w:val="100"/>
          <w:kern w:val="0"/>
          <w:sz w:val="22"/>
          <w:szCs w:val="22"/>
          <w:lang w:val="en-US"/>
        </w:rPr>
        <w:t>In this regard, i</w:t>
      </w:r>
      <w:r w:rsidR="00B078C4" w:rsidRPr="0078673F">
        <w:rPr>
          <w:rFonts w:asciiTheme="majorHAnsi" w:eastAsiaTheme="minorEastAsia" w:hAnsiTheme="majorHAnsi" w:cs="Arial"/>
          <w:spacing w:val="0"/>
          <w:w w:val="100"/>
          <w:kern w:val="0"/>
          <w:sz w:val="22"/>
          <w:szCs w:val="22"/>
          <w:lang w:val="en-US"/>
        </w:rPr>
        <w:t xml:space="preserve">nternational and </w:t>
      </w:r>
      <w:r w:rsidR="005B4693" w:rsidRPr="0078673F">
        <w:rPr>
          <w:rFonts w:asciiTheme="majorHAnsi" w:eastAsiaTheme="minorEastAsia" w:hAnsiTheme="majorHAnsi" w:cs="Arial"/>
          <w:spacing w:val="0"/>
          <w:w w:val="100"/>
          <w:kern w:val="0"/>
          <w:sz w:val="22"/>
          <w:szCs w:val="22"/>
          <w:lang w:val="en-US"/>
        </w:rPr>
        <w:t>within-country moves, from one duty station to another,</w:t>
      </w:r>
      <w:r w:rsidR="00B078C4" w:rsidRPr="0078673F">
        <w:rPr>
          <w:rFonts w:asciiTheme="majorHAnsi" w:eastAsiaTheme="minorEastAsia" w:hAnsiTheme="majorHAnsi" w:cs="Arial"/>
          <w:spacing w:val="0"/>
          <w:w w:val="100"/>
          <w:kern w:val="0"/>
          <w:sz w:val="22"/>
          <w:szCs w:val="22"/>
          <w:lang w:val="en-US"/>
        </w:rPr>
        <w:t xml:space="preserve"> are treated equally.</w:t>
      </w:r>
    </w:p>
    <w:p w14:paraId="36E9CB33" w14:textId="77777777" w:rsidR="00225541" w:rsidRPr="0078673F" w:rsidRDefault="00225541" w:rsidP="00225541">
      <w:pPr>
        <w:pStyle w:val="ListParagraph"/>
        <w:rPr>
          <w:rFonts w:asciiTheme="majorHAnsi" w:hAnsiTheme="majorHAnsi" w:cs="Arial"/>
          <w:sz w:val="22"/>
          <w:szCs w:val="22"/>
        </w:rPr>
      </w:pPr>
    </w:p>
    <w:p w14:paraId="72CC763F" w14:textId="77777777" w:rsidR="00A61417" w:rsidRDefault="00A61417"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 xml:space="preserve">The grant is not </w:t>
      </w:r>
      <w:r w:rsidR="008027DC" w:rsidRPr="0078673F">
        <w:rPr>
          <w:rFonts w:asciiTheme="majorHAnsi" w:eastAsiaTheme="minorEastAsia" w:hAnsiTheme="majorHAnsi" w:cs="Arial"/>
          <w:spacing w:val="0"/>
          <w:w w:val="100"/>
          <w:kern w:val="0"/>
          <w:sz w:val="22"/>
          <w:szCs w:val="22"/>
          <w:lang w:val="en-US"/>
        </w:rPr>
        <w:t>paid to a staff member recruited from the area within commuting distance of the duty station unless he or she demonstrates that it was necessary to change accommodation as a direct consequ</w:t>
      </w:r>
      <w:r w:rsidRPr="0078673F">
        <w:rPr>
          <w:rFonts w:asciiTheme="majorHAnsi" w:eastAsiaTheme="minorEastAsia" w:hAnsiTheme="majorHAnsi" w:cs="Arial"/>
          <w:spacing w:val="0"/>
          <w:w w:val="100"/>
          <w:kern w:val="0"/>
          <w:sz w:val="22"/>
          <w:szCs w:val="22"/>
          <w:lang w:val="en-US"/>
        </w:rPr>
        <w:t>ence of the appointment with UNDP</w:t>
      </w:r>
      <w:r w:rsidR="008027DC" w:rsidRPr="0078673F">
        <w:rPr>
          <w:rFonts w:asciiTheme="majorHAnsi" w:eastAsiaTheme="minorEastAsia" w:hAnsiTheme="majorHAnsi" w:cs="Arial"/>
          <w:spacing w:val="0"/>
          <w:w w:val="100"/>
          <w:kern w:val="0"/>
          <w:sz w:val="22"/>
          <w:szCs w:val="22"/>
          <w:lang w:val="en-US"/>
        </w:rPr>
        <w:t>, for instance after moving out of a house formerly provided free of charge by his or her previous employer. Other accommodation changes within the area of commuting distance, and promotion or recruitment to the Professional category of a staff member previously serving in another category at the same duty station, shall not give rise to payment of the grant</w:t>
      </w:r>
      <w:r w:rsidRPr="0078673F">
        <w:rPr>
          <w:rFonts w:asciiTheme="majorHAnsi" w:eastAsiaTheme="minorEastAsia" w:hAnsiTheme="majorHAnsi" w:cs="Arial"/>
          <w:spacing w:val="0"/>
          <w:w w:val="100"/>
          <w:kern w:val="0"/>
          <w:sz w:val="22"/>
          <w:szCs w:val="22"/>
          <w:lang w:val="en-US"/>
        </w:rPr>
        <w:t>.</w:t>
      </w:r>
    </w:p>
    <w:p w14:paraId="70A934CF" w14:textId="77777777" w:rsidR="0078673F" w:rsidRDefault="0078673F" w:rsidP="0078673F">
      <w:pPr>
        <w:pStyle w:val="ListParagraph"/>
        <w:rPr>
          <w:rFonts w:asciiTheme="majorHAnsi" w:hAnsiTheme="majorHAnsi" w:cs="Arial"/>
          <w:sz w:val="22"/>
          <w:szCs w:val="22"/>
        </w:rPr>
      </w:pPr>
    </w:p>
    <w:p w14:paraId="5FF65634" w14:textId="77777777" w:rsidR="006939F0" w:rsidRDefault="006939F0" w:rsidP="00D1425A">
      <w:pPr>
        <w:pStyle w:val="SingleTxt"/>
        <w:ind w:left="0" w:right="0"/>
        <w:rPr>
          <w:rFonts w:asciiTheme="majorHAnsi" w:hAnsiTheme="majorHAnsi" w:cs="Arial"/>
          <w:b/>
          <w:sz w:val="22"/>
          <w:szCs w:val="22"/>
        </w:rPr>
      </w:pPr>
    </w:p>
    <w:p w14:paraId="65AB4DEF" w14:textId="77777777" w:rsidR="006939F0" w:rsidRDefault="006939F0" w:rsidP="00D1425A">
      <w:pPr>
        <w:pStyle w:val="SingleTxt"/>
        <w:ind w:left="0" w:right="0"/>
        <w:rPr>
          <w:rFonts w:asciiTheme="majorHAnsi" w:hAnsiTheme="majorHAnsi" w:cs="Arial"/>
          <w:b/>
          <w:sz w:val="22"/>
          <w:szCs w:val="22"/>
        </w:rPr>
      </w:pPr>
    </w:p>
    <w:p w14:paraId="64343CF6" w14:textId="4E45C534" w:rsidR="00D1425A" w:rsidRPr="0078673F" w:rsidRDefault="00EC1147" w:rsidP="00D1425A">
      <w:pPr>
        <w:pStyle w:val="SingleTxt"/>
        <w:ind w:left="0" w:right="0"/>
        <w:rPr>
          <w:rFonts w:asciiTheme="majorHAnsi" w:hAnsiTheme="majorHAnsi" w:cs="Arial"/>
          <w:b/>
          <w:sz w:val="22"/>
          <w:szCs w:val="22"/>
        </w:rPr>
      </w:pPr>
      <w:r w:rsidRPr="0078673F">
        <w:rPr>
          <w:rFonts w:asciiTheme="majorHAnsi" w:hAnsiTheme="majorHAnsi" w:cs="Arial"/>
          <w:b/>
          <w:sz w:val="22"/>
          <w:szCs w:val="22"/>
        </w:rPr>
        <w:t>Daily Subsistence Allowance (</w:t>
      </w:r>
      <w:r w:rsidR="00B078C4" w:rsidRPr="0078673F">
        <w:rPr>
          <w:rFonts w:asciiTheme="majorHAnsi" w:hAnsiTheme="majorHAnsi" w:cs="Arial"/>
          <w:b/>
          <w:sz w:val="22"/>
          <w:szCs w:val="22"/>
        </w:rPr>
        <w:t>DSA</w:t>
      </w:r>
      <w:r w:rsidRPr="0078673F">
        <w:rPr>
          <w:rFonts w:asciiTheme="majorHAnsi" w:hAnsiTheme="majorHAnsi" w:cs="Arial"/>
          <w:b/>
          <w:sz w:val="22"/>
          <w:szCs w:val="22"/>
        </w:rPr>
        <w:t>)</w:t>
      </w:r>
      <w:r w:rsidR="00B078C4" w:rsidRPr="0078673F">
        <w:rPr>
          <w:rFonts w:asciiTheme="majorHAnsi" w:hAnsiTheme="majorHAnsi" w:cs="Arial"/>
          <w:b/>
          <w:sz w:val="22"/>
          <w:szCs w:val="22"/>
        </w:rPr>
        <w:t xml:space="preserve"> portion</w:t>
      </w:r>
    </w:p>
    <w:p w14:paraId="5F957200" w14:textId="77777777" w:rsidR="00126493" w:rsidRPr="0078673F" w:rsidRDefault="00126493" w:rsidP="00126493">
      <w:pPr>
        <w:pStyle w:val="SingleTxt"/>
        <w:ind w:left="0" w:right="0"/>
        <w:rPr>
          <w:rFonts w:asciiTheme="majorHAnsi" w:hAnsiTheme="majorHAnsi" w:cs="Arial"/>
          <w:sz w:val="22"/>
          <w:szCs w:val="22"/>
        </w:rPr>
      </w:pPr>
    </w:p>
    <w:p w14:paraId="322383EF" w14:textId="01669DC7" w:rsidR="00B078C4" w:rsidRPr="0078673F" w:rsidRDefault="00D1425A"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The DSA portion consists of a period of subsistence allowance at the rate of the new duty station at the date of payment</w:t>
      </w:r>
      <w:r w:rsidR="00126493" w:rsidRPr="0078673F">
        <w:rPr>
          <w:rFonts w:asciiTheme="majorHAnsi" w:eastAsiaTheme="minorEastAsia" w:hAnsiTheme="majorHAnsi" w:cs="Arial"/>
          <w:spacing w:val="0"/>
          <w:w w:val="100"/>
          <w:kern w:val="0"/>
          <w:sz w:val="22"/>
          <w:szCs w:val="22"/>
          <w:lang w:val="en-US"/>
        </w:rPr>
        <w:t>, and is paid in US dollars.</w:t>
      </w:r>
    </w:p>
    <w:p w14:paraId="58CE16D0" w14:textId="77777777" w:rsidR="005D4C99" w:rsidRPr="0078673F" w:rsidRDefault="005D4C99" w:rsidP="00B078C4">
      <w:pPr>
        <w:pStyle w:val="SingleTxt"/>
        <w:ind w:left="0" w:right="0"/>
        <w:rPr>
          <w:rFonts w:asciiTheme="majorHAnsi" w:hAnsiTheme="majorHAnsi" w:cs="Arial"/>
          <w:sz w:val="22"/>
          <w:szCs w:val="22"/>
        </w:rPr>
      </w:pPr>
    </w:p>
    <w:p w14:paraId="1C38AD5A" w14:textId="455F15E9" w:rsidR="00D1425A" w:rsidRDefault="00D1425A" w:rsidP="00B078C4">
      <w:pPr>
        <w:pStyle w:val="SingleTxt"/>
        <w:ind w:left="0" w:right="0"/>
        <w:rPr>
          <w:rFonts w:asciiTheme="majorHAnsi" w:hAnsiTheme="majorHAnsi" w:cs="Arial"/>
          <w:i/>
          <w:sz w:val="22"/>
          <w:szCs w:val="22"/>
        </w:rPr>
      </w:pPr>
      <w:r w:rsidRPr="0078673F">
        <w:rPr>
          <w:rFonts w:asciiTheme="majorHAnsi" w:hAnsiTheme="majorHAnsi" w:cs="Arial"/>
          <w:i/>
          <w:sz w:val="22"/>
          <w:szCs w:val="22"/>
        </w:rPr>
        <w:t>In respect of the staff member:</w:t>
      </w:r>
    </w:p>
    <w:p w14:paraId="360FA17C" w14:textId="77777777" w:rsidR="0078673F" w:rsidRPr="0078673F" w:rsidRDefault="0078673F" w:rsidP="00B078C4">
      <w:pPr>
        <w:pStyle w:val="SingleTxt"/>
        <w:ind w:left="0" w:right="0"/>
        <w:rPr>
          <w:rFonts w:asciiTheme="majorHAnsi" w:hAnsiTheme="majorHAnsi" w:cs="Arial"/>
          <w:i/>
          <w:sz w:val="22"/>
          <w:szCs w:val="22"/>
        </w:rPr>
      </w:pPr>
    </w:p>
    <w:p w14:paraId="58EF231E" w14:textId="77777777" w:rsidR="00D1425A" w:rsidRPr="0078673F" w:rsidRDefault="00D1425A" w:rsidP="00181375">
      <w:pPr>
        <w:pStyle w:val="SingleTxt"/>
        <w:numPr>
          <w:ilvl w:val="0"/>
          <w:numId w:val="1"/>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30 days of DSA</w:t>
      </w:r>
    </w:p>
    <w:p w14:paraId="754E10D0" w14:textId="77777777" w:rsidR="005D4C99" w:rsidRPr="0078673F" w:rsidRDefault="005D4C99" w:rsidP="00D1425A">
      <w:pPr>
        <w:pStyle w:val="SingleTxt"/>
        <w:ind w:left="0" w:right="0"/>
        <w:rPr>
          <w:rFonts w:asciiTheme="majorHAnsi" w:hAnsiTheme="majorHAnsi" w:cs="Arial"/>
          <w:sz w:val="22"/>
          <w:szCs w:val="22"/>
        </w:rPr>
      </w:pPr>
    </w:p>
    <w:p w14:paraId="201B8CD2" w14:textId="77777777" w:rsidR="00D1425A" w:rsidRDefault="00D1425A" w:rsidP="00D1425A">
      <w:pPr>
        <w:pStyle w:val="SingleTxt"/>
        <w:ind w:left="0" w:right="0"/>
        <w:rPr>
          <w:rFonts w:asciiTheme="majorHAnsi" w:hAnsiTheme="majorHAnsi" w:cs="Arial"/>
          <w:i/>
          <w:sz w:val="22"/>
          <w:szCs w:val="22"/>
        </w:rPr>
      </w:pPr>
      <w:r w:rsidRPr="0078673F">
        <w:rPr>
          <w:rFonts w:asciiTheme="majorHAnsi" w:hAnsiTheme="majorHAnsi" w:cs="Arial"/>
          <w:i/>
          <w:sz w:val="22"/>
          <w:szCs w:val="22"/>
        </w:rPr>
        <w:t>In respect of eligible family members:</w:t>
      </w:r>
    </w:p>
    <w:p w14:paraId="10B2E84B" w14:textId="77777777" w:rsidR="0078673F" w:rsidRPr="0078673F" w:rsidRDefault="0078673F" w:rsidP="00D1425A">
      <w:pPr>
        <w:pStyle w:val="SingleTxt"/>
        <w:ind w:left="0" w:right="0"/>
        <w:rPr>
          <w:rFonts w:asciiTheme="majorHAnsi" w:hAnsiTheme="majorHAnsi" w:cs="Arial"/>
          <w:i/>
          <w:sz w:val="22"/>
          <w:szCs w:val="22"/>
        </w:rPr>
      </w:pPr>
    </w:p>
    <w:p w14:paraId="17894304" w14:textId="75E79B2E" w:rsidR="00884B9A" w:rsidRPr="0078673F" w:rsidRDefault="00126493" w:rsidP="00181375">
      <w:pPr>
        <w:pStyle w:val="SingleTxt"/>
        <w:numPr>
          <w:ilvl w:val="0"/>
          <w:numId w:val="2"/>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1</w:t>
      </w:r>
      <w:r w:rsidR="00884B9A" w:rsidRPr="0078673F">
        <w:rPr>
          <w:rFonts w:asciiTheme="majorHAnsi" w:eastAsiaTheme="minorEastAsia" w:hAnsiTheme="majorHAnsi" w:cs="Arial"/>
          <w:spacing w:val="0"/>
          <w:w w:val="100"/>
          <w:kern w:val="0"/>
          <w:sz w:val="22"/>
          <w:szCs w:val="22"/>
          <w:lang w:val="en-US"/>
        </w:rPr>
        <w:t xml:space="preserve">5 days’ of DSA for each eligible family member for whom travel expenses to the same duty </w:t>
      </w:r>
      <w:r w:rsidRPr="0078673F">
        <w:rPr>
          <w:rFonts w:asciiTheme="majorHAnsi" w:eastAsiaTheme="minorEastAsia" w:hAnsiTheme="majorHAnsi" w:cs="Arial"/>
          <w:spacing w:val="0"/>
          <w:w w:val="100"/>
          <w:kern w:val="0"/>
          <w:sz w:val="22"/>
          <w:szCs w:val="22"/>
          <w:lang w:val="en-US"/>
        </w:rPr>
        <w:t>station have been paid by UNDP, provided that the family arrives at the duty station at least six months prior to the date the staff member’s service at the duty station is due to end (although this requirement may be waived in respect of dependent children attending an educational institution outside the duty station</w:t>
      </w:r>
      <w:r w:rsidR="00535607" w:rsidRPr="0078673F">
        <w:rPr>
          <w:rFonts w:asciiTheme="majorHAnsi" w:eastAsiaTheme="minorEastAsia" w:hAnsiTheme="majorHAnsi" w:cs="Arial"/>
          <w:spacing w:val="0"/>
          <w:w w:val="100"/>
          <w:kern w:val="0"/>
          <w:sz w:val="22"/>
          <w:szCs w:val="22"/>
          <w:lang w:val="en-US"/>
        </w:rPr>
        <w:t xml:space="preserve"> and for whom boarding fees are paid</w:t>
      </w:r>
      <w:r w:rsidRPr="0078673F">
        <w:rPr>
          <w:rFonts w:asciiTheme="majorHAnsi" w:eastAsiaTheme="minorEastAsia" w:hAnsiTheme="majorHAnsi" w:cs="Arial"/>
          <w:spacing w:val="0"/>
          <w:w w:val="100"/>
          <w:kern w:val="0"/>
          <w:sz w:val="22"/>
          <w:szCs w:val="22"/>
          <w:lang w:val="en-US"/>
        </w:rPr>
        <w:t>).</w:t>
      </w:r>
    </w:p>
    <w:p w14:paraId="42253799" w14:textId="77777777" w:rsidR="00225541" w:rsidRPr="0078673F" w:rsidRDefault="00225541" w:rsidP="00225541">
      <w:pPr>
        <w:pStyle w:val="SingleTxt"/>
        <w:ind w:left="1080" w:right="0"/>
        <w:rPr>
          <w:rFonts w:asciiTheme="majorHAnsi" w:hAnsiTheme="majorHAnsi" w:cs="Arial"/>
          <w:sz w:val="22"/>
          <w:szCs w:val="22"/>
        </w:rPr>
      </w:pPr>
    </w:p>
    <w:p w14:paraId="36DD0F62" w14:textId="4BFEA103" w:rsidR="00884B9A" w:rsidRPr="0078673F" w:rsidRDefault="00126493" w:rsidP="00181375">
      <w:pPr>
        <w:pStyle w:val="SingleTxt"/>
        <w:numPr>
          <w:ilvl w:val="0"/>
          <w:numId w:val="7"/>
        </w:numPr>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I</w:t>
      </w:r>
      <w:r w:rsidR="00191521" w:rsidRPr="0078673F">
        <w:rPr>
          <w:rFonts w:asciiTheme="majorHAnsi" w:eastAsiaTheme="minorEastAsia" w:hAnsiTheme="majorHAnsi" w:cs="Arial"/>
          <w:spacing w:val="0"/>
          <w:w w:val="100"/>
          <w:kern w:val="0"/>
          <w:sz w:val="22"/>
          <w:szCs w:val="22"/>
          <w:lang w:val="en-US"/>
        </w:rPr>
        <w:t xml:space="preserve">n </w:t>
      </w:r>
      <w:r w:rsidR="00C05F81" w:rsidRPr="0078673F">
        <w:rPr>
          <w:rFonts w:asciiTheme="majorHAnsi" w:eastAsiaTheme="minorEastAsia" w:hAnsiTheme="majorHAnsi" w:cs="Arial"/>
          <w:spacing w:val="0"/>
          <w:w w:val="100"/>
          <w:kern w:val="0"/>
          <w:sz w:val="22"/>
          <w:szCs w:val="22"/>
          <w:lang w:val="en-US"/>
        </w:rPr>
        <w:t>cases when the assignment to a new duty station is for less than one year</w:t>
      </w:r>
      <w:r w:rsidR="00D1425A" w:rsidRPr="0078673F">
        <w:rPr>
          <w:rFonts w:asciiTheme="majorHAnsi" w:eastAsiaTheme="minorEastAsia" w:hAnsiTheme="majorHAnsi" w:cs="Arial"/>
          <w:spacing w:val="0"/>
          <w:w w:val="100"/>
          <w:kern w:val="0"/>
          <w:sz w:val="22"/>
          <w:szCs w:val="22"/>
          <w:lang w:val="en-US"/>
        </w:rPr>
        <w:t>, the DSA portion of the grant shall nevertheless be paid in full.</w:t>
      </w:r>
    </w:p>
    <w:p w14:paraId="7AC14E8D" w14:textId="77777777" w:rsidR="00D1425A" w:rsidRPr="0078673F" w:rsidRDefault="00D1425A" w:rsidP="00D1425A">
      <w:pPr>
        <w:pStyle w:val="SingleTxt"/>
        <w:ind w:left="0" w:right="0"/>
        <w:rPr>
          <w:rFonts w:asciiTheme="majorHAnsi" w:hAnsiTheme="majorHAnsi" w:cs="Arial"/>
          <w:sz w:val="22"/>
          <w:szCs w:val="22"/>
        </w:rPr>
      </w:pPr>
    </w:p>
    <w:p w14:paraId="5D844C58" w14:textId="1E5A4338" w:rsidR="00126493" w:rsidRPr="0078673F" w:rsidRDefault="00126493" w:rsidP="00D1425A">
      <w:pPr>
        <w:pStyle w:val="SingleTxt"/>
        <w:ind w:left="0" w:right="0"/>
        <w:rPr>
          <w:rFonts w:asciiTheme="majorHAnsi" w:hAnsiTheme="majorHAnsi" w:cs="Arial"/>
          <w:b/>
          <w:sz w:val="22"/>
          <w:szCs w:val="22"/>
        </w:rPr>
      </w:pPr>
      <w:r w:rsidRPr="0078673F">
        <w:rPr>
          <w:rFonts w:asciiTheme="majorHAnsi" w:hAnsiTheme="majorHAnsi" w:cs="Arial"/>
          <w:b/>
          <w:sz w:val="22"/>
          <w:szCs w:val="22"/>
        </w:rPr>
        <w:t>Lump Sum Portion</w:t>
      </w:r>
    </w:p>
    <w:p w14:paraId="581CF3DD" w14:textId="77777777" w:rsidR="00191521" w:rsidRPr="0078673F" w:rsidRDefault="00191521" w:rsidP="00191521">
      <w:pPr>
        <w:pStyle w:val="SingleTxt"/>
        <w:spacing w:after="0" w:line="120" w:lineRule="exact"/>
        <w:rPr>
          <w:rFonts w:asciiTheme="majorHAnsi" w:hAnsiTheme="majorHAnsi" w:cs="Arial"/>
          <w:sz w:val="22"/>
          <w:szCs w:val="22"/>
        </w:rPr>
      </w:pPr>
    </w:p>
    <w:p w14:paraId="6BF4DD36" w14:textId="77777777" w:rsidR="00CD28E3" w:rsidRDefault="00191521" w:rsidP="00181375">
      <w:pPr>
        <w:pStyle w:val="SingleTxt"/>
        <w:numPr>
          <w:ilvl w:val="0"/>
          <w:numId w:val="7"/>
        </w:numPr>
        <w:tabs>
          <w:tab w:val="left" w:pos="864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 xml:space="preserve">A staff member who is appointed or </w:t>
      </w:r>
      <w:r w:rsidR="00EC1147" w:rsidRPr="0078673F">
        <w:rPr>
          <w:rFonts w:asciiTheme="majorHAnsi" w:eastAsiaTheme="minorEastAsia" w:hAnsiTheme="majorHAnsi" w:cs="Arial"/>
          <w:spacing w:val="0"/>
          <w:w w:val="100"/>
          <w:kern w:val="0"/>
          <w:sz w:val="22"/>
          <w:szCs w:val="22"/>
          <w:lang w:val="en-US"/>
        </w:rPr>
        <w:t>re</w:t>
      </w:r>
      <w:r w:rsidRPr="0078673F">
        <w:rPr>
          <w:rFonts w:asciiTheme="majorHAnsi" w:eastAsiaTheme="minorEastAsia" w:hAnsiTheme="majorHAnsi" w:cs="Arial"/>
          <w:spacing w:val="0"/>
          <w:w w:val="100"/>
          <w:kern w:val="0"/>
          <w:sz w:val="22"/>
          <w:szCs w:val="22"/>
          <w:lang w:val="en-US"/>
        </w:rPr>
        <w:t xml:space="preserve">assigned to a duty station for one year or longer shall receive a lump-sum payment of </w:t>
      </w:r>
      <w:r w:rsidR="005138F7" w:rsidRPr="0078673F">
        <w:rPr>
          <w:rFonts w:asciiTheme="majorHAnsi" w:eastAsiaTheme="minorEastAsia" w:hAnsiTheme="majorHAnsi" w:cs="Arial"/>
          <w:spacing w:val="0"/>
          <w:w w:val="100"/>
          <w:kern w:val="0"/>
          <w:sz w:val="22"/>
          <w:szCs w:val="22"/>
          <w:lang w:val="en-US"/>
        </w:rPr>
        <w:t>one month’s net base salary</w:t>
      </w:r>
      <w:r w:rsidRPr="0078673F">
        <w:rPr>
          <w:rFonts w:asciiTheme="majorHAnsi" w:eastAsiaTheme="minorEastAsia" w:hAnsiTheme="majorHAnsi" w:cs="Arial"/>
          <w:spacing w:val="0"/>
          <w:w w:val="100"/>
          <w:kern w:val="0"/>
          <w:sz w:val="22"/>
          <w:szCs w:val="22"/>
          <w:lang w:val="en-US"/>
        </w:rPr>
        <w:t xml:space="preserve"> </w:t>
      </w:r>
      <w:r w:rsidR="005138F7" w:rsidRPr="0078673F">
        <w:rPr>
          <w:rFonts w:asciiTheme="majorHAnsi" w:eastAsiaTheme="minorEastAsia" w:hAnsiTheme="majorHAnsi" w:cs="Arial"/>
          <w:spacing w:val="0"/>
          <w:w w:val="100"/>
          <w:kern w:val="0"/>
          <w:sz w:val="22"/>
          <w:szCs w:val="22"/>
          <w:lang w:val="en-US"/>
        </w:rPr>
        <w:t>plus</w:t>
      </w:r>
      <w:r w:rsidRPr="0078673F">
        <w:rPr>
          <w:rFonts w:asciiTheme="majorHAnsi" w:eastAsiaTheme="minorEastAsia" w:hAnsiTheme="majorHAnsi" w:cs="Arial"/>
          <w:spacing w:val="0"/>
          <w:w w:val="100"/>
          <w:kern w:val="0"/>
          <w:sz w:val="22"/>
          <w:szCs w:val="22"/>
          <w:lang w:val="en-US"/>
        </w:rPr>
        <w:t>, post adjustment at the duty station of assignment.</w:t>
      </w:r>
    </w:p>
    <w:p w14:paraId="7EC73FC2" w14:textId="77777777" w:rsidR="00CD28E3" w:rsidRDefault="00CD28E3" w:rsidP="00CD28E3">
      <w:pPr>
        <w:pStyle w:val="SingleTxt"/>
        <w:tabs>
          <w:tab w:val="left" w:pos="8640"/>
        </w:tabs>
        <w:ind w:left="360" w:right="0"/>
        <w:rPr>
          <w:rFonts w:asciiTheme="majorHAnsi" w:eastAsiaTheme="minorEastAsia" w:hAnsiTheme="majorHAnsi" w:cs="Arial"/>
          <w:spacing w:val="0"/>
          <w:w w:val="100"/>
          <w:kern w:val="0"/>
          <w:sz w:val="22"/>
          <w:szCs w:val="22"/>
          <w:lang w:val="en-US"/>
        </w:rPr>
      </w:pPr>
    </w:p>
    <w:p w14:paraId="166084A1" w14:textId="2BD7543C" w:rsidR="00191521" w:rsidRPr="00CD28E3" w:rsidRDefault="00191521" w:rsidP="00181375">
      <w:pPr>
        <w:pStyle w:val="SingleTxt"/>
        <w:numPr>
          <w:ilvl w:val="0"/>
          <w:numId w:val="7"/>
        </w:numPr>
        <w:tabs>
          <w:tab w:val="left" w:pos="8640"/>
        </w:tabs>
        <w:ind w:right="0"/>
        <w:rPr>
          <w:rFonts w:asciiTheme="majorHAnsi" w:eastAsiaTheme="minorEastAsia" w:hAnsiTheme="majorHAnsi" w:cs="Arial"/>
          <w:spacing w:val="0"/>
          <w:w w:val="100"/>
          <w:kern w:val="0"/>
          <w:sz w:val="22"/>
          <w:szCs w:val="22"/>
          <w:lang w:val="en-US"/>
        </w:rPr>
      </w:pPr>
      <w:r w:rsidRPr="00CD28E3">
        <w:rPr>
          <w:rFonts w:asciiTheme="majorHAnsi" w:eastAsiaTheme="minorEastAsia" w:hAnsiTheme="majorHAnsi" w:cs="Arial"/>
          <w:spacing w:val="0"/>
          <w:w w:val="100"/>
          <w:kern w:val="0"/>
          <w:sz w:val="22"/>
          <w:szCs w:val="22"/>
          <w:lang w:val="en-US"/>
        </w:rPr>
        <w:t>In cases where the assignment is for less than a year,</w:t>
      </w:r>
      <w:r w:rsidR="00575AE4" w:rsidRPr="00CD28E3">
        <w:rPr>
          <w:rFonts w:asciiTheme="majorHAnsi" w:eastAsiaTheme="minorEastAsia" w:hAnsiTheme="majorHAnsi" w:cs="Arial"/>
          <w:spacing w:val="0"/>
          <w:w w:val="100"/>
          <w:kern w:val="0"/>
          <w:sz w:val="22"/>
          <w:szCs w:val="22"/>
          <w:lang w:val="en-US"/>
        </w:rPr>
        <w:t xml:space="preserve"> a staff member</w:t>
      </w:r>
      <w:r w:rsidRPr="00CD28E3">
        <w:rPr>
          <w:rFonts w:asciiTheme="majorHAnsi" w:eastAsiaTheme="minorEastAsia" w:hAnsiTheme="majorHAnsi" w:cs="Arial"/>
          <w:spacing w:val="0"/>
          <w:w w:val="100"/>
          <w:kern w:val="0"/>
          <w:sz w:val="22"/>
          <w:szCs w:val="22"/>
          <w:lang w:val="en-US"/>
        </w:rPr>
        <w:t xml:space="preserve"> </w:t>
      </w:r>
      <w:r w:rsidR="00575AE4" w:rsidRPr="00CD28E3">
        <w:rPr>
          <w:rFonts w:asciiTheme="majorHAnsi" w:eastAsiaTheme="minorEastAsia" w:hAnsiTheme="majorHAnsi" w:cs="Arial"/>
          <w:spacing w:val="0"/>
          <w:w w:val="100"/>
          <w:kern w:val="0"/>
          <w:sz w:val="22"/>
          <w:szCs w:val="22"/>
          <w:lang w:val="en-US"/>
        </w:rPr>
        <w:t xml:space="preserve">shall be paid only the daily subsistence allowance portion of the settling in grant assignment grant, </w:t>
      </w:r>
      <w:r w:rsidR="00C603C6" w:rsidRPr="00CD28E3">
        <w:rPr>
          <w:rFonts w:asciiTheme="majorHAnsi" w:eastAsiaTheme="minorEastAsia" w:hAnsiTheme="majorHAnsi" w:cs="Arial"/>
          <w:spacing w:val="0"/>
          <w:w w:val="100"/>
          <w:kern w:val="0"/>
          <w:sz w:val="22"/>
          <w:szCs w:val="22"/>
          <w:lang w:val="en-US"/>
        </w:rPr>
        <w:t>Should the appointment or assignment subsequently be extended to one year or longer at the same duty station, the staff</w:t>
      </w:r>
      <w:r w:rsidR="00F2566F" w:rsidRPr="00CD28E3">
        <w:rPr>
          <w:rFonts w:asciiTheme="majorHAnsi" w:eastAsiaTheme="minorEastAsia" w:hAnsiTheme="majorHAnsi" w:cs="Arial"/>
          <w:spacing w:val="0"/>
          <w:w w:val="100"/>
          <w:kern w:val="0"/>
          <w:sz w:val="22"/>
          <w:szCs w:val="22"/>
          <w:lang w:val="en-US"/>
        </w:rPr>
        <w:t xml:space="preserve"> member shall receive the balance of the </w:t>
      </w:r>
      <w:r w:rsidR="005410B9" w:rsidRPr="00CD28E3">
        <w:rPr>
          <w:rFonts w:asciiTheme="majorHAnsi" w:eastAsiaTheme="minorEastAsia" w:hAnsiTheme="majorHAnsi" w:cs="Arial"/>
          <w:spacing w:val="0"/>
          <w:w w:val="100"/>
          <w:kern w:val="0"/>
          <w:sz w:val="22"/>
          <w:szCs w:val="22"/>
          <w:lang w:val="en-US"/>
        </w:rPr>
        <w:t xml:space="preserve">settling-in grant i.e. the </w:t>
      </w:r>
      <w:r w:rsidR="00F2566F" w:rsidRPr="00CD28E3">
        <w:rPr>
          <w:rFonts w:asciiTheme="majorHAnsi" w:eastAsiaTheme="minorEastAsia" w:hAnsiTheme="majorHAnsi" w:cs="Arial"/>
          <w:spacing w:val="0"/>
          <w:w w:val="100"/>
          <w:kern w:val="0"/>
          <w:sz w:val="22"/>
          <w:szCs w:val="22"/>
          <w:lang w:val="en-US"/>
        </w:rPr>
        <w:t>lump-sum</w:t>
      </w:r>
      <w:r w:rsidR="005410B9" w:rsidRPr="00CD28E3">
        <w:rPr>
          <w:rFonts w:asciiTheme="majorHAnsi" w:eastAsiaTheme="minorEastAsia" w:hAnsiTheme="majorHAnsi" w:cs="Arial"/>
          <w:spacing w:val="0"/>
          <w:w w:val="100"/>
          <w:kern w:val="0"/>
          <w:sz w:val="22"/>
          <w:szCs w:val="22"/>
          <w:lang w:val="en-US"/>
        </w:rPr>
        <w:t xml:space="preserve"> portion.</w:t>
      </w:r>
    </w:p>
    <w:p w14:paraId="59A3F792" w14:textId="77777777" w:rsidR="008B7CF8" w:rsidRPr="0078673F" w:rsidRDefault="008B7CF8" w:rsidP="00191521">
      <w:pPr>
        <w:jc w:val="both"/>
        <w:rPr>
          <w:rFonts w:asciiTheme="majorHAnsi" w:hAnsiTheme="majorHAnsi" w:cs="Arial"/>
          <w:b/>
          <w:sz w:val="22"/>
          <w:szCs w:val="22"/>
          <w:u w:val="single"/>
        </w:rPr>
      </w:pPr>
    </w:p>
    <w:p w14:paraId="4EE7E0F1" w14:textId="56A6EE6D" w:rsidR="005D4C99" w:rsidRPr="0078673F" w:rsidRDefault="00E27966" w:rsidP="005D4C99">
      <w:pPr>
        <w:pStyle w:val="SingleTxt"/>
        <w:ind w:left="0" w:right="0"/>
        <w:rPr>
          <w:rFonts w:asciiTheme="majorHAnsi" w:hAnsiTheme="majorHAnsi" w:cs="Arial"/>
          <w:b/>
          <w:sz w:val="22"/>
          <w:szCs w:val="22"/>
        </w:rPr>
      </w:pPr>
      <w:r w:rsidRPr="0078673F">
        <w:rPr>
          <w:rFonts w:asciiTheme="majorHAnsi" w:hAnsiTheme="majorHAnsi" w:cs="Arial"/>
          <w:b/>
          <w:sz w:val="22"/>
          <w:szCs w:val="22"/>
        </w:rPr>
        <w:t xml:space="preserve">When both </w:t>
      </w:r>
      <w:r w:rsidR="00676F6D" w:rsidRPr="0078673F">
        <w:rPr>
          <w:rFonts w:asciiTheme="majorHAnsi" w:hAnsiTheme="majorHAnsi" w:cs="Arial"/>
          <w:b/>
          <w:sz w:val="22"/>
          <w:szCs w:val="22"/>
        </w:rPr>
        <w:t>spouses</w:t>
      </w:r>
      <w:r w:rsidRPr="0078673F">
        <w:rPr>
          <w:rFonts w:asciiTheme="majorHAnsi" w:hAnsiTheme="majorHAnsi" w:cs="Arial"/>
          <w:b/>
          <w:sz w:val="22"/>
          <w:szCs w:val="22"/>
        </w:rPr>
        <w:t xml:space="preserve"> are </w:t>
      </w:r>
      <w:r w:rsidR="00C511F3" w:rsidRPr="0078673F">
        <w:rPr>
          <w:rFonts w:asciiTheme="majorHAnsi" w:hAnsiTheme="majorHAnsi" w:cs="Arial"/>
          <w:b/>
          <w:sz w:val="22"/>
          <w:szCs w:val="22"/>
        </w:rPr>
        <w:t xml:space="preserve">UN </w:t>
      </w:r>
      <w:r w:rsidRPr="0078673F">
        <w:rPr>
          <w:rFonts w:asciiTheme="majorHAnsi" w:hAnsiTheme="majorHAnsi" w:cs="Arial"/>
          <w:b/>
          <w:sz w:val="22"/>
          <w:szCs w:val="22"/>
        </w:rPr>
        <w:t>staff members</w:t>
      </w:r>
    </w:p>
    <w:p w14:paraId="039FB8C8" w14:textId="77777777" w:rsidR="005D4C99" w:rsidRPr="0078673F" w:rsidRDefault="005D4C99" w:rsidP="005D4C99">
      <w:pPr>
        <w:pStyle w:val="SingleTxt"/>
        <w:tabs>
          <w:tab w:val="clear" w:pos="1267"/>
          <w:tab w:val="left" w:pos="8550"/>
        </w:tabs>
        <w:spacing w:line="220" w:lineRule="exact"/>
        <w:ind w:left="0" w:right="0"/>
        <w:rPr>
          <w:rFonts w:asciiTheme="majorHAnsi" w:eastAsiaTheme="minorEastAsia" w:hAnsiTheme="majorHAnsi" w:cs="Arial"/>
          <w:spacing w:val="0"/>
          <w:w w:val="100"/>
          <w:kern w:val="0"/>
          <w:sz w:val="22"/>
          <w:szCs w:val="22"/>
          <w:lang w:val="en-US"/>
        </w:rPr>
      </w:pPr>
    </w:p>
    <w:p w14:paraId="3683C9B3" w14:textId="3A8BC051" w:rsidR="00E27966" w:rsidRPr="0078673F" w:rsidRDefault="00E27966" w:rsidP="00181375">
      <w:pPr>
        <w:pStyle w:val="SingleTxt"/>
        <w:numPr>
          <w:ilvl w:val="0"/>
          <w:numId w:val="7"/>
        </w:numPr>
        <w:tabs>
          <w:tab w:val="clear" w:pos="1267"/>
          <w:tab w:val="left" w:pos="8550"/>
        </w:tabs>
        <w:ind w:right="0"/>
        <w:rPr>
          <w:rFonts w:asciiTheme="majorHAnsi" w:hAnsiTheme="majorHAnsi" w:cs="Arial"/>
          <w:sz w:val="22"/>
          <w:szCs w:val="22"/>
        </w:rPr>
      </w:pPr>
      <w:r w:rsidRPr="0078673F">
        <w:rPr>
          <w:rFonts w:asciiTheme="majorHAnsi" w:eastAsiaTheme="minorEastAsia" w:hAnsiTheme="majorHAnsi" w:cs="Arial"/>
          <w:spacing w:val="0"/>
          <w:w w:val="100"/>
          <w:kern w:val="0"/>
          <w:sz w:val="22"/>
          <w:szCs w:val="22"/>
          <w:lang w:val="en-US"/>
        </w:rPr>
        <w:t>When a staff member is married to another staff member or to a staff member of another organization of the United Nations common system and each spouse travels on appointment</w:t>
      </w:r>
      <w:r w:rsidR="003451E8" w:rsidRPr="0078673F">
        <w:rPr>
          <w:rFonts w:asciiTheme="majorHAnsi" w:eastAsiaTheme="minorEastAsia" w:hAnsiTheme="majorHAnsi" w:cs="Arial"/>
          <w:spacing w:val="0"/>
          <w:w w:val="100"/>
          <w:kern w:val="0"/>
          <w:sz w:val="22"/>
          <w:szCs w:val="22"/>
          <w:lang w:val="en-US"/>
        </w:rPr>
        <w:t xml:space="preserve"> or reassignment</w:t>
      </w:r>
      <w:r w:rsidRPr="0078673F">
        <w:rPr>
          <w:rFonts w:asciiTheme="majorHAnsi" w:eastAsiaTheme="minorEastAsia" w:hAnsiTheme="majorHAnsi" w:cs="Arial"/>
          <w:spacing w:val="0"/>
          <w:w w:val="100"/>
          <w:kern w:val="0"/>
          <w:sz w:val="22"/>
          <w:szCs w:val="22"/>
          <w:lang w:val="en-US"/>
        </w:rPr>
        <w:t xml:space="preserve"> at the expense of the Organization to the same duty station</w:t>
      </w:r>
      <w:r w:rsidRPr="0078673F">
        <w:rPr>
          <w:rFonts w:asciiTheme="majorHAnsi" w:hAnsiTheme="majorHAnsi" w:cs="Arial"/>
          <w:sz w:val="22"/>
          <w:szCs w:val="22"/>
        </w:rPr>
        <w:t>:</w:t>
      </w:r>
    </w:p>
    <w:p w14:paraId="78DD9CBC" w14:textId="583571E7" w:rsidR="00E27966" w:rsidRPr="0078673F" w:rsidRDefault="00E27966" w:rsidP="00181375">
      <w:pPr>
        <w:pStyle w:val="SingleTxt"/>
        <w:numPr>
          <w:ilvl w:val="0"/>
          <w:numId w:val="4"/>
        </w:numPr>
        <w:tabs>
          <w:tab w:val="clear" w:pos="1267"/>
          <w:tab w:val="left" w:pos="855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Each staff member shall receive the DSA portion of the grant for himself or herself;</w:t>
      </w:r>
    </w:p>
    <w:p w14:paraId="375EBED3" w14:textId="77777777" w:rsidR="00225541" w:rsidRPr="0078673F" w:rsidRDefault="00225541" w:rsidP="00225541">
      <w:pPr>
        <w:pStyle w:val="SingleTxt"/>
        <w:tabs>
          <w:tab w:val="clear" w:pos="1267"/>
          <w:tab w:val="left" w:pos="8550"/>
        </w:tabs>
        <w:ind w:left="1560" w:right="0"/>
        <w:rPr>
          <w:rFonts w:asciiTheme="majorHAnsi" w:eastAsiaTheme="minorEastAsia" w:hAnsiTheme="majorHAnsi" w:cs="Arial"/>
          <w:spacing w:val="0"/>
          <w:w w:val="100"/>
          <w:kern w:val="0"/>
          <w:sz w:val="22"/>
          <w:szCs w:val="22"/>
          <w:lang w:val="en-US"/>
        </w:rPr>
      </w:pPr>
    </w:p>
    <w:p w14:paraId="68D2C7CA" w14:textId="06A45EB7" w:rsidR="00E27966" w:rsidRPr="0078673F" w:rsidRDefault="00E27966" w:rsidP="00181375">
      <w:pPr>
        <w:pStyle w:val="SingleTxt"/>
        <w:numPr>
          <w:ilvl w:val="0"/>
          <w:numId w:val="4"/>
        </w:numPr>
        <w:tabs>
          <w:tab w:val="clear" w:pos="1267"/>
          <w:tab w:val="left" w:pos="855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The DSA portion in respect of dependent children travelling to the duty station shall be paid to the staff member on whom they are recognized as being dependent;</w:t>
      </w:r>
    </w:p>
    <w:p w14:paraId="79477502" w14:textId="1E76C954" w:rsidR="00E27966" w:rsidRPr="0078673F" w:rsidRDefault="00E27966" w:rsidP="00181375">
      <w:pPr>
        <w:pStyle w:val="SingleTxt"/>
        <w:numPr>
          <w:ilvl w:val="0"/>
          <w:numId w:val="4"/>
        </w:numPr>
        <w:tabs>
          <w:tab w:val="clear" w:pos="1267"/>
          <w:tab w:val="left" w:pos="855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lastRenderedPageBreak/>
        <w:t>Only one lump sum shall be paid, normally to the higher graded spouse and on the basis of his or her emoluments.</w:t>
      </w:r>
    </w:p>
    <w:p w14:paraId="48CB7307" w14:textId="77777777" w:rsidR="00225541" w:rsidRPr="0078673F" w:rsidRDefault="00225541" w:rsidP="00225541">
      <w:pPr>
        <w:pStyle w:val="SingleTxt"/>
        <w:tabs>
          <w:tab w:val="clear" w:pos="1267"/>
          <w:tab w:val="left" w:pos="8550"/>
        </w:tabs>
        <w:ind w:left="1560" w:right="0"/>
        <w:rPr>
          <w:rFonts w:asciiTheme="majorHAnsi" w:hAnsiTheme="majorHAnsi" w:cs="Arial"/>
          <w:sz w:val="22"/>
          <w:szCs w:val="22"/>
        </w:rPr>
      </w:pPr>
    </w:p>
    <w:p w14:paraId="4560CBC2" w14:textId="27187E3B" w:rsidR="00E27966" w:rsidRPr="0078673F" w:rsidRDefault="00E27966" w:rsidP="00181375">
      <w:pPr>
        <w:pStyle w:val="SingleTxt"/>
        <w:numPr>
          <w:ilvl w:val="0"/>
          <w:numId w:val="7"/>
        </w:numPr>
        <w:tabs>
          <w:tab w:val="clear" w:pos="1267"/>
          <w:tab w:val="left" w:pos="8550"/>
        </w:tabs>
        <w:ind w:right="0"/>
        <w:rPr>
          <w:rFonts w:asciiTheme="majorHAnsi" w:hAnsiTheme="majorHAnsi" w:cs="Arial"/>
          <w:sz w:val="22"/>
          <w:szCs w:val="22"/>
        </w:rPr>
      </w:pPr>
      <w:r w:rsidRPr="0078673F">
        <w:rPr>
          <w:rFonts w:asciiTheme="majorHAnsi" w:eastAsiaTheme="minorEastAsia" w:hAnsiTheme="majorHAnsi" w:cs="Arial"/>
          <w:spacing w:val="0"/>
          <w:w w:val="100"/>
          <w:kern w:val="0"/>
          <w:sz w:val="22"/>
          <w:szCs w:val="22"/>
          <w:lang w:val="en-US"/>
        </w:rPr>
        <w:t>When both spouses travel on appointment</w:t>
      </w:r>
      <w:r w:rsidR="003451E8" w:rsidRPr="0078673F">
        <w:rPr>
          <w:rFonts w:asciiTheme="majorHAnsi" w:eastAsiaTheme="minorEastAsia" w:hAnsiTheme="majorHAnsi" w:cs="Arial"/>
          <w:spacing w:val="0"/>
          <w:w w:val="100"/>
          <w:kern w:val="0"/>
          <w:sz w:val="22"/>
          <w:szCs w:val="22"/>
          <w:lang w:val="en-US"/>
        </w:rPr>
        <w:t xml:space="preserve"> or reassignment</w:t>
      </w:r>
      <w:r w:rsidRPr="0078673F">
        <w:rPr>
          <w:rFonts w:asciiTheme="majorHAnsi" w:eastAsiaTheme="minorEastAsia" w:hAnsiTheme="majorHAnsi" w:cs="Arial"/>
          <w:spacing w:val="0"/>
          <w:w w:val="100"/>
          <w:kern w:val="0"/>
          <w:sz w:val="22"/>
          <w:szCs w:val="22"/>
          <w:lang w:val="en-US"/>
        </w:rPr>
        <w:t xml:space="preserve"> at the expense of the Organization to different duty stations</w:t>
      </w:r>
      <w:r w:rsidRPr="0078673F">
        <w:rPr>
          <w:rFonts w:asciiTheme="majorHAnsi" w:hAnsiTheme="majorHAnsi" w:cs="Arial"/>
          <w:sz w:val="22"/>
          <w:szCs w:val="22"/>
        </w:rPr>
        <w:t>:</w:t>
      </w:r>
    </w:p>
    <w:p w14:paraId="4008AD3C" w14:textId="77777777" w:rsidR="00225541" w:rsidRPr="0078673F" w:rsidRDefault="00225541" w:rsidP="00225541">
      <w:pPr>
        <w:pStyle w:val="SingleTxt"/>
        <w:tabs>
          <w:tab w:val="clear" w:pos="1267"/>
          <w:tab w:val="left" w:pos="8550"/>
        </w:tabs>
        <w:ind w:left="360" w:right="0"/>
        <w:rPr>
          <w:rFonts w:asciiTheme="majorHAnsi" w:hAnsiTheme="majorHAnsi" w:cs="Arial"/>
          <w:sz w:val="22"/>
          <w:szCs w:val="22"/>
        </w:rPr>
      </w:pPr>
    </w:p>
    <w:p w14:paraId="2D759909" w14:textId="0C49A390" w:rsidR="00E27966" w:rsidRPr="0078673F" w:rsidRDefault="00E27966" w:rsidP="00181375">
      <w:pPr>
        <w:pStyle w:val="SingleTxt"/>
        <w:numPr>
          <w:ilvl w:val="0"/>
          <w:numId w:val="5"/>
        </w:numPr>
        <w:tabs>
          <w:tab w:val="clear" w:pos="1267"/>
          <w:tab w:val="left" w:pos="855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Each staff member shall receive the DSA portion of the grant for himself or herself;</w:t>
      </w:r>
    </w:p>
    <w:p w14:paraId="27EA9A89" w14:textId="77777777" w:rsidR="00225541" w:rsidRPr="0078673F" w:rsidRDefault="00225541" w:rsidP="00225541">
      <w:pPr>
        <w:pStyle w:val="SingleTxt"/>
        <w:tabs>
          <w:tab w:val="clear" w:pos="1267"/>
          <w:tab w:val="left" w:pos="8550"/>
        </w:tabs>
        <w:ind w:left="1560" w:right="0"/>
        <w:rPr>
          <w:rFonts w:asciiTheme="majorHAnsi" w:eastAsiaTheme="minorEastAsia" w:hAnsiTheme="majorHAnsi" w:cs="Arial"/>
          <w:spacing w:val="0"/>
          <w:w w:val="100"/>
          <w:kern w:val="0"/>
          <w:sz w:val="22"/>
          <w:szCs w:val="22"/>
          <w:lang w:val="en-US"/>
        </w:rPr>
      </w:pPr>
    </w:p>
    <w:p w14:paraId="04B93C55" w14:textId="77777777" w:rsidR="00225541" w:rsidRPr="0078673F" w:rsidRDefault="00E27966" w:rsidP="00181375">
      <w:pPr>
        <w:pStyle w:val="SingleTxt"/>
        <w:numPr>
          <w:ilvl w:val="0"/>
          <w:numId w:val="5"/>
        </w:numPr>
        <w:tabs>
          <w:tab w:val="clear" w:pos="1267"/>
          <w:tab w:val="left" w:pos="8550"/>
        </w:tabs>
        <w:ind w:right="0"/>
        <w:rPr>
          <w:rFonts w:asciiTheme="majorHAnsi" w:eastAsiaTheme="minorEastAsia" w:hAnsiTheme="majorHAnsi" w:cs="Arial"/>
          <w:spacing w:val="0"/>
          <w:w w:val="100"/>
          <w:kern w:val="0"/>
          <w:sz w:val="22"/>
          <w:szCs w:val="22"/>
          <w:lang w:val="en-US"/>
        </w:rPr>
      </w:pPr>
      <w:r w:rsidRPr="0078673F">
        <w:rPr>
          <w:rFonts w:asciiTheme="majorHAnsi" w:eastAsiaTheme="minorEastAsia" w:hAnsiTheme="majorHAnsi" w:cs="Arial"/>
          <w:spacing w:val="0"/>
          <w:w w:val="100"/>
          <w:kern w:val="0"/>
          <w:sz w:val="22"/>
          <w:szCs w:val="22"/>
          <w:lang w:val="en-US"/>
        </w:rPr>
        <w:t>The DSA portion in respect of dependent children travelling to one of the duty stations where their parents are assigned shall normally be paid to the parent on whom they are recognized as being dependent, unless the child accompanies the other parent and both staff members request that the DSA portion be paid to that other parent;</w:t>
      </w:r>
    </w:p>
    <w:p w14:paraId="75359AE8" w14:textId="77777777" w:rsidR="00225541" w:rsidRPr="0078673F" w:rsidRDefault="00225541" w:rsidP="00225541">
      <w:pPr>
        <w:pStyle w:val="ListParagraph"/>
        <w:rPr>
          <w:rFonts w:asciiTheme="majorHAnsi" w:hAnsiTheme="majorHAnsi" w:cs="Arial"/>
          <w:sz w:val="22"/>
          <w:szCs w:val="22"/>
        </w:rPr>
      </w:pPr>
    </w:p>
    <w:p w14:paraId="7ED2FDD2" w14:textId="514C3FBA" w:rsidR="00E61DF0" w:rsidRPr="0078673F" w:rsidRDefault="00E27966" w:rsidP="00181375">
      <w:pPr>
        <w:pStyle w:val="SingleTxt"/>
        <w:numPr>
          <w:ilvl w:val="0"/>
          <w:numId w:val="5"/>
        </w:numPr>
        <w:tabs>
          <w:tab w:val="clear" w:pos="1267"/>
          <w:tab w:val="left" w:pos="8550"/>
        </w:tabs>
        <w:ind w:right="0"/>
        <w:rPr>
          <w:rFonts w:asciiTheme="majorHAnsi" w:hAnsiTheme="majorHAnsi" w:cs="Arial"/>
          <w:sz w:val="22"/>
          <w:szCs w:val="22"/>
        </w:rPr>
      </w:pPr>
      <w:r w:rsidRPr="0078673F">
        <w:rPr>
          <w:rFonts w:asciiTheme="majorHAnsi" w:eastAsiaTheme="minorEastAsia" w:hAnsiTheme="majorHAnsi" w:cs="Arial"/>
          <w:spacing w:val="0"/>
          <w:w w:val="100"/>
          <w:kern w:val="0"/>
          <w:sz w:val="22"/>
          <w:szCs w:val="22"/>
          <w:lang w:val="en-US"/>
        </w:rPr>
        <w:t>Each staff member shall receive the lump-sum portion applicable to his or her situation</w:t>
      </w:r>
      <w:r w:rsidR="00E61DF0" w:rsidRPr="0078673F">
        <w:rPr>
          <w:rFonts w:asciiTheme="majorHAnsi" w:hAnsiTheme="majorHAnsi" w:cs="Arial"/>
          <w:sz w:val="22"/>
          <w:szCs w:val="22"/>
        </w:rPr>
        <w:t>.</w:t>
      </w:r>
    </w:p>
    <w:p w14:paraId="3DE6C18D" w14:textId="77777777" w:rsidR="00C603C6" w:rsidRPr="0078673F" w:rsidRDefault="00C603C6" w:rsidP="00C603C6">
      <w:pPr>
        <w:pStyle w:val="SingleTxt"/>
        <w:tabs>
          <w:tab w:val="clear" w:pos="1267"/>
          <w:tab w:val="left" w:pos="8550"/>
        </w:tabs>
        <w:ind w:left="1560" w:right="0"/>
        <w:rPr>
          <w:rFonts w:asciiTheme="majorHAnsi" w:hAnsiTheme="majorHAnsi"/>
          <w:sz w:val="22"/>
          <w:szCs w:val="22"/>
        </w:rPr>
      </w:pPr>
    </w:p>
    <w:p w14:paraId="37F38CE5" w14:textId="43D01B52" w:rsidR="00E61DF0" w:rsidRPr="0078673F" w:rsidRDefault="00E61DF0" w:rsidP="00E61DF0">
      <w:pPr>
        <w:pStyle w:val="SingleTxt"/>
        <w:tabs>
          <w:tab w:val="clear" w:pos="1267"/>
          <w:tab w:val="left" w:pos="8550"/>
        </w:tabs>
        <w:ind w:left="0" w:right="0"/>
        <w:rPr>
          <w:rFonts w:asciiTheme="majorHAnsi" w:hAnsiTheme="majorHAnsi" w:cs="Arial"/>
          <w:b/>
          <w:sz w:val="22"/>
          <w:szCs w:val="22"/>
        </w:rPr>
      </w:pPr>
      <w:r w:rsidRPr="0078673F">
        <w:rPr>
          <w:rFonts w:asciiTheme="majorHAnsi" w:hAnsiTheme="majorHAnsi" w:cs="Arial"/>
          <w:b/>
          <w:sz w:val="22"/>
          <w:szCs w:val="22"/>
        </w:rPr>
        <w:t>Advances against the lump sum</w:t>
      </w:r>
      <w:r w:rsidR="00C91AE4" w:rsidRPr="0078673F">
        <w:rPr>
          <w:rFonts w:asciiTheme="majorHAnsi" w:hAnsiTheme="majorHAnsi" w:cs="Arial"/>
          <w:b/>
          <w:sz w:val="22"/>
          <w:szCs w:val="22"/>
        </w:rPr>
        <w:t xml:space="preserve"> and DSA portion</w:t>
      </w:r>
    </w:p>
    <w:p w14:paraId="77F6D458" w14:textId="77777777" w:rsidR="00A94D9E" w:rsidRPr="0078673F" w:rsidRDefault="00A94D9E" w:rsidP="00A94D9E">
      <w:pPr>
        <w:pStyle w:val="SingleTxt"/>
        <w:tabs>
          <w:tab w:val="clear" w:pos="1267"/>
          <w:tab w:val="left" w:pos="8550"/>
        </w:tabs>
        <w:spacing w:line="220" w:lineRule="exact"/>
        <w:ind w:left="0" w:right="0"/>
        <w:rPr>
          <w:rFonts w:asciiTheme="majorHAnsi" w:hAnsiTheme="majorHAnsi"/>
          <w:sz w:val="22"/>
          <w:szCs w:val="22"/>
        </w:rPr>
      </w:pPr>
    </w:p>
    <w:p w14:paraId="0FA1CADD" w14:textId="77777777" w:rsidR="00CD28E3" w:rsidRDefault="00E61DF0" w:rsidP="00181375">
      <w:pPr>
        <w:pStyle w:val="SingleTxt"/>
        <w:numPr>
          <w:ilvl w:val="0"/>
          <w:numId w:val="7"/>
        </w:numPr>
        <w:tabs>
          <w:tab w:val="clear" w:pos="1267"/>
          <w:tab w:val="left" w:pos="8550"/>
        </w:tabs>
        <w:spacing w:line="220" w:lineRule="exact"/>
        <w:ind w:right="0"/>
        <w:rPr>
          <w:rFonts w:asciiTheme="majorHAnsi" w:eastAsiaTheme="minorEastAsia" w:hAnsiTheme="majorHAnsi" w:cs="Arial"/>
          <w:spacing w:val="0"/>
          <w:w w:val="100"/>
          <w:kern w:val="0"/>
          <w:sz w:val="22"/>
          <w:szCs w:val="22"/>
          <w:lang w:val="en-US"/>
        </w:rPr>
      </w:pPr>
      <w:r w:rsidRPr="00CD28E3">
        <w:rPr>
          <w:rFonts w:asciiTheme="majorHAnsi" w:eastAsiaTheme="minorEastAsia" w:hAnsiTheme="majorHAnsi" w:cs="Arial"/>
          <w:spacing w:val="0"/>
          <w:w w:val="100"/>
          <w:kern w:val="0"/>
          <w:sz w:val="22"/>
          <w:szCs w:val="22"/>
          <w:lang w:val="en-US"/>
        </w:rPr>
        <w:t>An advance of 100 per cent of the lump-sum portion of the grant, as computed at the time the advance payment is made, may be paid up to three months in advance of travel of a staff member assigned or transferred to a new duty station</w:t>
      </w:r>
      <w:r w:rsidR="00225541" w:rsidRPr="00CD28E3">
        <w:rPr>
          <w:rFonts w:asciiTheme="majorHAnsi" w:eastAsiaTheme="minorEastAsia" w:hAnsiTheme="majorHAnsi" w:cs="Arial"/>
          <w:spacing w:val="0"/>
          <w:w w:val="100"/>
          <w:kern w:val="0"/>
          <w:sz w:val="22"/>
          <w:szCs w:val="22"/>
          <w:lang w:val="en-US"/>
        </w:rPr>
        <w:t>.</w:t>
      </w:r>
    </w:p>
    <w:p w14:paraId="0F291321" w14:textId="77777777" w:rsidR="00CD28E3" w:rsidRDefault="00CD28E3" w:rsidP="00CD28E3">
      <w:pPr>
        <w:pStyle w:val="SingleTxt"/>
        <w:tabs>
          <w:tab w:val="clear" w:pos="1267"/>
          <w:tab w:val="left" w:pos="8550"/>
        </w:tabs>
        <w:spacing w:line="220" w:lineRule="exact"/>
        <w:ind w:left="0" w:right="0"/>
        <w:rPr>
          <w:rFonts w:asciiTheme="majorHAnsi" w:eastAsiaTheme="minorEastAsia" w:hAnsiTheme="majorHAnsi" w:cs="Arial"/>
          <w:spacing w:val="0"/>
          <w:w w:val="100"/>
          <w:kern w:val="0"/>
          <w:sz w:val="22"/>
          <w:szCs w:val="22"/>
          <w:lang w:val="en-US"/>
        </w:rPr>
      </w:pPr>
    </w:p>
    <w:p w14:paraId="680F31FD" w14:textId="4CF026B9" w:rsidR="00E61DF0" w:rsidRPr="00CD28E3" w:rsidRDefault="00E61DF0" w:rsidP="00181375">
      <w:pPr>
        <w:pStyle w:val="SingleTxt"/>
        <w:numPr>
          <w:ilvl w:val="0"/>
          <w:numId w:val="7"/>
        </w:numPr>
        <w:tabs>
          <w:tab w:val="clear" w:pos="1267"/>
          <w:tab w:val="left" w:pos="8550"/>
        </w:tabs>
        <w:spacing w:line="220" w:lineRule="exact"/>
        <w:ind w:right="0"/>
        <w:rPr>
          <w:rFonts w:asciiTheme="majorHAnsi" w:eastAsiaTheme="minorEastAsia" w:hAnsiTheme="majorHAnsi" w:cs="Arial"/>
          <w:spacing w:val="0"/>
          <w:w w:val="100"/>
          <w:kern w:val="0"/>
          <w:sz w:val="22"/>
          <w:szCs w:val="22"/>
          <w:lang w:val="en-US"/>
        </w:rPr>
      </w:pPr>
      <w:r w:rsidRPr="00CD28E3">
        <w:rPr>
          <w:rFonts w:asciiTheme="majorHAnsi" w:eastAsiaTheme="minorEastAsia" w:hAnsiTheme="majorHAnsi" w:cs="Arial"/>
          <w:spacing w:val="0"/>
          <w:w w:val="100"/>
          <w:kern w:val="0"/>
          <w:sz w:val="22"/>
          <w:szCs w:val="22"/>
          <w:lang w:val="en-US"/>
        </w:rPr>
        <w:t>No advance against the lump-sum portion may be made in the case of initial appointments.</w:t>
      </w:r>
    </w:p>
    <w:p w14:paraId="54A33FD2" w14:textId="77777777" w:rsidR="00225541" w:rsidRPr="0078673F" w:rsidRDefault="00225541" w:rsidP="00225541">
      <w:pPr>
        <w:pStyle w:val="ListParagraph"/>
        <w:rPr>
          <w:rFonts w:asciiTheme="majorHAnsi" w:hAnsiTheme="majorHAnsi"/>
        </w:rPr>
      </w:pPr>
    </w:p>
    <w:p w14:paraId="5A8BB72A" w14:textId="0B4773D6" w:rsidR="00F2566F" w:rsidRPr="0078673F" w:rsidRDefault="00F2566F" w:rsidP="00181375">
      <w:pPr>
        <w:pStyle w:val="SingleTxt"/>
        <w:numPr>
          <w:ilvl w:val="0"/>
          <w:numId w:val="7"/>
        </w:numPr>
        <w:tabs>
          <w:tab w:val="left" w:pos="8730"/>
        </w:tabs>
        <w:ind w:right="0"/>
        <w:rPr>
          <w:rFonts w:asciiTheme="majorHAnsi" w:hAnsiTheme="majorHAnsi" w:cs="Arial"/>
          <w:sz w:val="22"/>
          <w:szCs w:val="22"/>
        </w:rPr>
      </w:pPr>
      <w:r w:rsidRPr="0078673F">
        <w:rPr>
          <w:rFonts w:asciiTheme="majorHAnsi" w:eastAsiaTheme="minorEastAsia" w:hAnsiTheme="majorHAnsi" w:cs="Arial"/>
          <w:spacing w:val="0"/>
          <w:w w:val="100"/>
          <w:kern w:val="0"/>
          <w:sz w:val="22"/>
          <w:szCs w:val="22"/>
          <w:lang w:val="en-US"/>
        </w:rPr>
        <w:t>Pursuant to</w:t>
      </w:r>
      <w:r w:rsidRPr="0078673F">
        <w:rPr>
          <w:rFonts w:asciiTheme="majorHAnsi" w:hAnsiTheme="majorHAnsi" w:cs="Arial"/>
          <w:sz w:val="22"/>
          <w:szCs w:val="22"/>
        </w:rPr>
        <w:t xml:space="preserve"> </w:t>
      </w:r>
      <w:hyperlink r:id="rId13" w:history="1">
        <w:r w:rsidR="00F1312B" w:rsidRPr="0078673F">
          <w:rPr>
            <w:rStyle w:val="Hyperlink"/>
            <w:rFonts w:asciiTheme="majorHAnsi" w:hAnsiTheme="majorHAnsi" w:cs="Arial"/>
            <w:sz w:val="22"/>
            <w:lang w:val="en-CA"/>
          </w:rPr>
          <w:t>UN Staff Rule 7.10</w:t>
        </w:r>
      </w:hyperlink>
      <w:r w:rsidRPr="0078673F">
        <w:rPr>
          <w:rFonts w:asciiTheme="majorHAnsi" w:hAnsiTheme="majorHAnsi" w:cs="Arial"/>
          <w:sz w:val="22"/>
          <w:szCs w:val="22"/>
        </w:rPr>
        <w:t xml:space="preserve">, </w:t>
      </w:r>
      <w:r w:rsidRPr="0078673F">
        <w:rPr>
          <w:rFonts w:asciiTheme="majorHAnsi" w:eastAsiaTheme="minorEastAsia" w:hAnsiTheme="majorHAnsi" w:cs="Arial"/>
          <w:spacing w:val="0"/>
          <w:w w:val="100"/>
          <w:kern w:val="0"/>
          <w:sz w:val="22"/>
          <w:szCs w:val="22"/>
          <w:lang w:val="en-US"/>
        </w:rPr>
        <w:t>staff members shall receive an appropriate daily subsistence allowance for periods of duty away from their official duty station, provided that such period does not exceed the maximum duration of six months under</w:t>
      </w:r>
      <w:r w:rsidRPr="0078673F">
        <w:rPr>
          <w:rFonts w:asciiTheme="majorHAnsi" w:hAnsiTheme="majorHAnsi" w:cs="Arial"/>
          <w:sz w:val="22"/>
          <w:szCs w:val="22"/>
        </w:rPr>
        <w:t xml:space="preserve"> </w:t>
      </w:r>
      <w:hyperlink r:id="rId14" w:history="1">
        <w:r w:rsidR="00F1312B" w:rsidRPr="0078673F">
          <w:rPr>
            <w:rStyle w:val="Hyperlink"/>
            <w:rFonts w:asciiTheme="majorHAnsi" w:hAnsiTheme="majorHAnsi" w:cs="Arial"/>
            <w:sz w:val="22"/>
            <w:lang w:val="en-CA"/>
          </w:rPr>
          <w:t>UN Staff Rule 4.8</w:t>
        </w:r>
      </w:hyperlink>
      <w:r w:rsidR="00676F6D" w:rsidRPr="0078673F">
        <w:rPr>
          <w:rFonts w:asciiTheme="majorHAnsi" w:hAnsiTheme="majorHAnsi" w:cs="Arial"/>
          <w:color w:val="333333"/>
          <w:sz w:val="22"/>
        </w:rPr>
        <w:t>.</w:t>
      </w:r>
      <w:r w:rsidRPr="0078673F">
        <w:rPr>
          <w:rFonts w:asciiTheme="majorHAnsi" w:hAnsiTheme="majorHAnsi" w:cs="Arial"/>
          <w:sz w:val="22"/>
          <w:szCs w:val="22"/>
        </w:rPr>
        <w:t xml:space="preserve"> Any extension of such assignment, </w:t>
      </w:r>
      <w:r w:rsidR="000D65A2" w:rsidRPr="0078673F">
        <w:rPr>
          <w:rFonts w:asciiTheme="majorHAnsi" w:hAnsiTheme="majorHAnsi" w:cs="Arial"/>
          <w:sz w:val="22"/>
          <w:szCs w:val="22"/>
        </w:rPr>
        <w:t>in accordance with</w:t>
      </w:r>
      <w:r w:rsidR="00676F6D" w:rsidRPr="0078673F">
        <w:rPr>
          <w:rFonts w:asciiTheme="majorHAnsi" w:hAnsiTheme="majorHAnsi" w:cs="Arial"/>
          <w:sz w:val="22"/>
          <w:szCs w:val="22"/>
        </w:rPr>
        <w:t xml:space="preserve"> </w:t>
      </w:r>
      <w:hyperlink r:id="rId15" w:history="1">
        <w:r w:rsidR="00F1312B" w:rsidRPr="0078673F">
          <w:rPr>
            <w:rStyle w:val="Hyperlink"/>
            <w:rFonts w:asciiTheme="majorHAnsi" w:hAnsiTheme="majorHAnsi" w:cs="Arial"/>
            <w:sz w:val="22"/>
            <w:lang w:val="en-CA"/>
          </w:rPr>
          <w:t>UN Staff Rule 4.8</w:t>
        </w:r>
      </w:hyperlink>
      <w:r w:rsidRPr="0078673F">
        <w:rPr>
          <w:rFonts w:asciiTheme="majorHAnsi" w:hAnsiTheme="majorHAnsi" w:cs="Arial"/>
          <w:sz w:val="22"/>
          <w:szCs w:val="22"/>
        </w:rPr>
        <w:t xml:space="preserve">, </w:t>
      </w:r>
      <w:r w:rsidRPr="0078673F">
        <w:rPr>
          <w:rFonts w:asciiTheme="majorHAnsi" w:eastAsiaTheme="minorEastAsia" w:hAnsiTheme="majorHAnsi" w:cs="Arial"/>
          <w:spacing w:val="0"/>
          <w:w w:val="100"/>
          <w:kern w:val="0"/>
          <w:sz w:val="22"/>
          <w:szCs w:val="22"/>
          <w:lang w:val="en-US"/>
        </w:rPr>
        <w:t>shall result in a change of duty station and payment of the post adjustment and related entitlements, notwithstanding</w:t>
      </w:r>
      <w:r w:rsidRPr="0078673F">
        <w:rPr>
          <w:rFonts w:asciiTheme="majorHAnsi" w:hAnsiTheme="majorHAnsi" w:cs="Arial"/>
          <w:sz w:val="22"/>
          <w:szCs w:val="22"/>
        </w:rPr>
        <w:t xml:space="preserve"> </w:t>
      </w:r>
      <w:hyperlink r:id="rId16" w:history="1">
        <w:r w:rsidR="00F1312B" w:rsidRPr="0078673F">
          <w:rPr>
            <w:rStyle w:val="Hyperlink"/>
            <w:rFonts w:asciiTheme="majorHAnsi" w:hAnsiTheme="majorHAnsi" w:cs="Arial"/>
            <w:sz w:val="22"/>
            <w:lang w:val="en-CA"/>
          </w:rPr>
          <w:t>UN Staff Rule 3.7 (c)</w:t>
        </w:r>
      </w:hyperlink>
      <w:r w:rsidRPr="0078673F">
        <w:rPr>
          <w:rFonts w:asciiTheme="majorHAnsi" w:hAnsiTheme="majorHAnsi" w:cs="Arial"/>
          <w:sz w:val="22"/>
          <w:szCs w:val="22"/>
        </w:rPr>
        <w:t>. The change in duty station may also result in the payment of a settling-in grant (both DSA and lump-sum portion, where applicable), provided the following conditions are met:</w:t>
      </w:r>
    </w:p>
    <w:p w14:paraId="1282AC89" w14:textId="77777777" w:rsidR="0078673F" w:rsidRDefault="0078673F" w:rsidP="0078673F">
      <w:pPr>
        <w:pStyle w:val="SingleTxt"/>
        <w:tabs>
          <w:tab w:val="clear" w:pos="1267"/>
          <w:tab w:val="left" w:pos="1260"/>
          <w:tab w:val="left" w:pos="1620"/>
          <w:tab w:val="left" w:pos="8640"/>
          <w:tab w:val="left" w:pos="8730"/>
        </w:tabs>
        <w:ind w:left="0"/>
        <w:rPr>
          <w:rFonts w:asciiTheme="majorHAnsi" w:hAnsiTheme="majorHAnsi" w:cs="Arial"/>
          <w:sz w:val="22"/>
          <w:szCs w:val="22"/>
        </w:rPr>
      </w:pPr>
    </w:p>
    <w:p w14:paraId="5980423F" w14:textId="77777777" w:rsidR="001E076F" w:rsidRDefault="00F2566F" w:rsidP="00181375">
      <w:pPr>
        <w:pStyle w:val="SingleTxt"/>
        <w:numPr>
          <w:ilvl w:val="0"/>
          <w:numId w:val="6"/>
        </w:numPr>
        <w:tabs>
          <w:tab w:val="clear" w:pos="1267"/>
          <w:tab w:val="left" w:pos="8550"/>
        </w:tabs>
        <w:ind w:right="0"/>
        <w:rPr>
          <w:rFonts w:asciiTheme="majorHAnsi" w:eastAsiaTheme="minorEastAsia" w:hAnsiTheme="majorHAnsi" w:cs="Arial"/>
          <w:spacing w:val="0"/>
          <w:w w:val="100"/>
          <w:kern w:val="0"/>
          <w:sz w:val="22"/>
          <w:szCs w:val="22"/>
          <w:lang w:val="en-US"/>
        </w:rPr>
      </w:pPr>
      <w:r w:rsidRPr="001E076F">
        <w:rPr>
          <w:rFonts w:asciiTheme="majorHAnsi" w:eastAsiaTheme="minorEastAsia" w:hAnsiTheme="majorHAnsi" w:cs="Arial"/>
          <w:spacing w:val="0"/>
          <w:w w:val="100"/>
          <w:kern w:val="0"/>
          <w:sz w:val="22"/>
          <w:szCs w:val="22"/>
          <w:lang w:val="en-US"/>
        </w:rPr>
        <w:t>The total expected period of service at the duty station, including the period during which the staff received the subsistence allowance, is at least 12 months;</w:t>
      </w:r>
    </w:p>
    <w:p w14:paraId="7671BC51" w14:textId="77777777" w:rsidR="001E076F" w:rsidRDefault="001E076F" w:rsidP="001E076F">
      <w:pPr>
        <w:pStyle w:val="SingleTxt"/>
        <w:tabs>
          <w:tab w:val="clear" w:pos="1267"/>
          <w:tab w:val="left" w:pos="8550"/>
        </w:tabs>
        <w:ind w:left="720" w:right="0"/>
        <w:rPr>
          <w:rFonts w:asciiTheme="majorHAnsi" w:eastAsiaTheme="minorEastAsia" w:hAnsiTheme="majorHAnsi" w:cs="Arial"/>
          <w:spacing w:val="0"/>
          <w:w w:val="100"/>
          <w:kern w:val="0"/>
          <w:sz w:val="22"/>
          <w:szCs w:val="22"/>
          <w:lang w:val="en-US"/>
        </w:rPr>
      </w:pPr>
    </w:p>
    <w:p w14:paraId="10C0A034" w14:textId="3001B5AD" w:rsidR="00F2566F" w:rsidRPr="001E076F" w:rsidRDefault="00F2566F" w:rsidP="00181375">
      <w:pPr>
        <w:pStyle w:val="SingleTxt"/>
        <w:numPr>
          <w:ilvl w:val="0"/>
          <w:numId w:val="6"/>
        </w:numPr>
        <w:tabs>
          <w:tab w:val="clear" w:pos="1267"/>
          <w:tab w:val="left" w:pos="8550"/>
        </w:tabs>
        <w:ind w:right="0"/>
        <w:rPr>
          <w:rFonts w:asciiTheme="majorHAnsi" w:eastAsiaTheme="minorEastAsia" w:hAnsiTheme="majorHAnsi" w:cs="Arial"/>
          <w:spacing w:val="0"/>
          <w:w w:val="100"/>
          <w:kern w:val="0"/>
          <w:sz w:val="22"/>
          <w:szCs w:val="22"/>
          <w:lang w:val="en-US"/>
        </w:rPr>
      </w:pPr>
      <w:r w:rsidRPr="001E076F">
        <w:rPr>
          <w:rFonts w:asciiTheme="majorHAnsi" w:eastAsiaTheme="minorEastAsia" w:hAnsiTheme="majorHAnsi" w:cs="Arial"/>
          <w:spacing w:val="0"/>
          <w:w w:val="100"/>
          <w:kern w:val="0"/>
          <w:sz w:val="22"/>
          <w:szCs w:val="22"/>
          <w:lang w:val="en-US"/>
        </w:rPr>
        <w:t xml:space="preserve">The extension occurs at least six months prior to the expected end of </w:t>
      </w:r>
      <w:r w:rsidR="0078673F" w:rsidRPr="001E076F">
        <w:rPr>
          <w:rFonts w:asciiTheme="majorHAnsi" w:eastAsiaTheme="minorEastAsia" w:hAnsiTheme="majorHAnsi" w:cs="Arial"/>
          <w:spacing w:val="0"/>
          <w:w w:val="100"/>
          <w:kern w:val="0"/>
          <w:sz w:val="22"/>
          <w:szCs w:val="22"/>
          <w:lang w:val="en-US"/>
        </w:rPr>
        <w:t>t</w:t>
      </w:r>
      <w:r w:rsidR="00CD28E3">
        <w:rPr>
          <w:rFonts w:asciiTheme="majorHAnsi" w:eastAsiaTheme="minorEastAsia" w:hAnsiTheme="majorHAnsi" w:cs="Arial"/>
          <w:spacing w:val="0"/>
          <w:w w:val="100"/>
          <w:kern w:val="0"/>
          <w:sz w:val="22"/>
          <w:szCs w:val="22"/>
          <w:lang w:val="en-US"/>
        </w:rPr>
        <w:t xml:space="preserve">he appointment or </w:t>
      </w:r>
      <w:r w:rsidRPr="001E076F">
        <w:rPr>
          <w:rFonts w:asciiTheme="majorHAnsi" w:eastAsiaTheme="minorEastAsia" w:hAnsiTheme="majorHAnsi" w:cs="Arial"/>
          <w:spacing w:val="0"/>
          <w:w w:val="100"/>
          <w:kern w:val="0"/>
          <w:sz w:val="22"/>
          <w:szCs w:val="22"/>
          <w:lang w:val="en-US"/>
        </w:rPr>
        <w:t>assignment at the duty station.</w:t>
      </w:r>
    </w:p>
    <w:p w14:paraId="0B544A27" w14:textId="77777777" w:rsidR="00225541" w:rsidRPr="001E076F" w:rsidRDefault="00225541" w:rsidP="00CD28E3">
      <w:pPr>
        <w:pStyle w:val="SingleTxt"/>
        <w:tabs>
          <w:tab w:val="clear" w:pos="1267"/>
          <w:tab w:val="left" w:pos="8550"/>
        </w:tabs>
        <w:spacing w:line="220" w:lineRule="exact"/>
        <w:ind w:left="0" w:right="0"/>
        <w:rPr>
          <w:rFonts w:asciiTheme="majorHAnsi" w:eastAsiaTheme="minorEastAsia" w:hAnsiTheme="majorHAnsi" w:cs="Arial"/>
          <w:spacing w:val="0"/>
          <w:w w:val="100"/>
          <w:kern w:val="0"/>
          <w:sz w:val="22"/>
          <w:szCs w:val="22"/>
          <w:lang w:val="en-US"/>
        </w:rPr>
      </w:pPr>
    </w:p>
    <w:p w14:paraId="48CEA782" w14:textId="6BA94EB5" w:rsidR="00F2566F" w:rsidRPr="00CD28E3" w:rsidRDefault="00F2566F" w:rsidP="00181375">
      <w:pPr>
        <w:pStyle w:val="SingleTxt"/>
        <w:numPr>
          <w:ilvl w:val="0"/>
          <w:numId w:val="7"/>
        </w:numPr>
        <w:tabs>
          <w:tab w:val="clear" w:pos="1267"/>
          <w:tab w:val="left" w:pos="8550"/>
        </w:tabs>
        <w:spacing w:line="220" w:lineRule="exact"/>
        <w:ind w:right="0"/>
        <w:rPr>
          <w:rFonts w:asciiTheme="majorHAnsi" w:eastAsiaTheme="minorEastAsia" w:hAnsiTheme="majorHAnsi" w:cs="Arial"/>
          <w:spacing w:val="0"/>
          <w:w w:val="100"/>
          <w:kern w:val="0"/>
          <w:sz w:val="22"/>
          <w:szCs w:val="22"/>
          <w:lang w:val="en-US"/>
        </w:rPr>
      </w:pPr>
      <w:r w:rsidRPr="00CD28E3">
        <w:rPr>
          <w:rFonts w:asciiTheme="majorHAnsi" w:eastAsiaTheme="minorEastAsia" w:hAnsiTheme="majorHAnsi" w:cs="Arial"/>
          <w:spacing w:val="0"/>
          <w:w w:val="100"/>
          <w:kern w:val="0"/>
          <w:sz w:val="22"/>
          <w:szCs w:val="22"/>
          <w:lang w:val="en-US"/>
        </w:rPr>
        <w:t>However, when subsistence allowance has been paid for a period not exceeding the maximum duration under</w:t>
      </w:r>
      <w:r w:rsidRPr="00C91AE4">
        <w:rPr>
          <w:rFonts w:ascii="Arial" w:hAnsi="Arial" w:cs="Arial"/>
          <w:sz w:val="22"/>
          <w:szCs w:val="22"/>
        </w:rPr>
        <w:t xml:space="preserve"> </w:t>
      </w:r>
      <w:hyperlink r:id="rId17" w:history="1">
        <w:r w:rsidR="00F1312B" w:rsidRPr="001E076F">
          <w:rPr>
            <w:rStyle w:val="Hyperlink"/>
            <w:rFonts w:asciiTheme="majorHAnsi" w:hAnsiTheme="majorHAnsi" w:cs="Arial"/>
            <w:sz w:val="22"/>
            <w:szCs w:val="22"/>
            <w:lang w:val="en-CA"/>
          </w:rPr>
          <w:t>UN Staff Rule 4.8</w:t>
        </w:r>
      </w:hyperlink>
      <w:r w:rsidRPr="001E076F">
        <w:rPr>
          <w:rFonts w:asciiTheme="majorHAnsi" w:hAnsiTheme="majorHAnsi" w:cs="Arial"/>
          <w:sz w:val="22"/>
          <w:szCs w:val="22"/>
        </w:rPr>
        <w:t>,</w:t>
      </w:r>
      <w:r w:rsidRPr="00C91AE4">
        <w:rPr>
          <w:rFonts w:ascii="Arial" w:hAnsi="Arial" w:cs="Arial"/>
          <w:sz w:val="22"/>
          <w:szCs w:val="22"/>
        </w:rPr>
        <w:t xml:space="preserve"> </w:t>
      </w:r>
      <w:r w:rsidRPr="00CD28E3">
        <w:rPr>
          <w:rFonts w:asciiTheme="majorHAnsi" w:eastAsiaTheme="minorEastAsia" w:hAnsiTheme="majorHAnsi" w:cs="Arial"/>
          <w:spacing w:val="0"/>
          <w:w w:val="100"/>
          <w:kern w:val="0"/>
          <w:sz w:val="22"/>
          <w:szCs w:val="22"/>
          <w:lang w:val="en-US"/>
        </w:rPr>
        <w:t xml:space="preserve">and the assignment is extended to reach a total period </w:t>
      </w:r>
      <w:r w:rsidR="00815DC4" w:rsidRPr="00CD28E3">
        <w:rPr>
          <w:rFonts w:asciiTheme="majorHAnsi" w:eastAsiaTheme="minorEastAsia" w:hAnsiTheme="majorHAnsi" w:cs="Arial"/>
          <w:spacing w:val="0"/>
          <w:w w:val="100"/>
          <w:kern w:val="0"/>
          <w:sz w:val="22"/>
          <w:szCs w:val="22"/>
          <w:lang w:val="en-US"/>
        </w:rPr>
        <w:t xml:space="preserve">of </w:t>
      </w:r>
      <w:r w:rsidRPr="00CD28E3">
        <w:rPr>
          <w:rFonts w:asciiTheme="majorHAnsi" w:eastAsiaTheme="minorEastAsia" w:hAnsiTheme="majorHAnsi" w:cs="Arial"/>
          <w:spacing w:val="0"/>
          <w:w w:val="100"/>
          <w:kern w:val="0"/>
          <w:sz w:val="22"/>
          <w:szCs w:val="22"/>
          <w:lang w:val="en-US"/>
        </w:rPr>
        <w:t>12 months, including the period during which the staff received the subsistence allowance, the staff member is not entitled to the DSA portion of the grant. Only the lump-sum portion of the grant shall be paid.</w:t>
      </w:r>
    </w:p>
    <w:p w14:paraId="7178B28A" w14:textId="77777777" w:rsidR="00E27966" w:rsidRPr="00AE7F16" w:rsidRDefault="00E27966" w:rsidP="00277131">
      <w:pPr>
        <w:tabs>
          <w:tab w:val="left" w:pos="8730"/>
        </w:tabs>
        <w:jc w:val="both"/>
        <w:rPr>
          <w:rFonts w:asciiTheme="majorHAnsi" w:hAnsiTheme="majorHAnsi" w:cs="Arial"/>
          <w:b/>
          <w:sz w:val="22"/>
          <w:szCs w:val="22"/>
          <w:u w:val="single"/>
        </w:rPr>
      </w:pPr>
    </w:p>
    <w:p w14:paraId="5C3B292A" w14:textId="77777777" w:rsidR="00F2566F" w:rsidRPr="00AE7F16" w:rsidRDefault="00F2566F" w:rsidP="00A94D9E">
      <w:pPr>
        <w:pStyle w:val="H4"/>
        <w:tabs>
          <w:tab w:val="left" w:pos="8730"/>
        </w:tabs>
        <w:ind w:left="90" w:right="1260" w:hanging="90"/>
        <w:rPr>
          <w:rFonts w:asciiTheme="majorHAnsi" w:hAnsiTheme="majorHAnsi" w:cs="Arial"/>
          <w:b/>
          <w:i w:val="0"/>
          <w:sz w:val="22"/>
          <w:szCs w:val="22"/>
        </w:rPr>
      </w:pPr>
      <w:r w:rsidRPr="00AE7F16">
        <w:rPr>
          <w:rFonts w:asciiTheme="majorHAnsi" w:hAnsiTheme="majorHAnsi" w:cs="Arial"/>
          <w:b/>
          <w:i w:val="0"/>
          <w:sz w:val="22"/>
          <w:szCs w:val="22"/>
        </w:rPr>
        <w:t>Reduction in period of service at the duty station</w:t>
      </w:r>
    </w:p>
    <w:p w14:paraId="64A70CCB" w14:textId="77777777" w:rsidR="00F2566F" w:rsidRPr="00AE7F16" w:rsidRDefault="00F2566F" w:rsidP="00A94D9E">
      <w:pPr>
        <w:pStyle w:val="SingleTxt"/>
        <w:tabs>
          <w:tab w:val="left" w:pos="8730"/>
        </w:tabs>
        <w:spacing w:after="0" w:line="240" w:lineRule="auto"/>
        <w:ind w:left="0"/>
        <w:rPr>
          <w:rFonts w:asciiTheme="majorHAnsi" w:hAnsiTheme="majorHAnsi" w:cs="Arial"/>
          <w:sz w:val="22"/>
          <w:szCs w:val="22"/>
        </w:rPr>
      </w:pPr>
    </w:p>
    <w:p w14:paraId="77A2AE18" w14:textId="397D9257" w:rsidR="00F2566F" w:rsidRPr="00AE7F16" w:rsidRDefault="00F2566F" w:rsidP="00181375">
      <w:pPr>
        <w:pStyle w:val="SingleTxt"/>
        <w:numPr>
          <w:ilvl w:val="0"/>
          <w:numId w:val="7"/>
        </w:numPr>
        <w:tabs>
          <w:tab w:val="clear" w:pos="1267"/>
          <w:tab w:val="left" w:pos="0"/>
          <w:tab w:val="left" w:pos="8730"/>
        </w:tabs>
        <w:spacing w:line="240" w:lineRule="auto"/>
        <w:ind w:right="-90"/>
        <w:rPr>
          <w:rFonts w:asciiTheme="majorHAnsi" w:eastAsiaTheme="minorEastAsia" w:hAnsiTheme="majorHAnsi" w:cs="Arial"/>
          <w:spacing w:val="0"/>
          <w:w w:val="100"/>
          <w:kern w:val="0"/>
          <w:sz w:val="22"/>
          <w:szCs w:val="22"/>
          <w:lang w:val="en-US"/>
        </w:rPr>
      </w:pPr>
      <w:r w:rsidRPr="00AE7F16">
        <w:rPr>
          <w:rFonts w:asciiTheme="majorHAnsi" w:eastAsiaTheme="minorEastAsia" w:hAnsiTheme="majorHAnsi" w:cs="Arial"/>
          <w:spacing w:val="0"/>
          <w:w w:val="100"/>
          <w:kern w:val="0"/>
          <w:sz w:val="22"/>
          <w:szCs w:val="22"/>
          <w:lang w:val="en-US"/>
        </w:rPr>
        <w:t>The DSA portion of the grant paid on arrival at the duty station shall normally not be recoverable.</w:t>
      </w:r>
    </w:p>
    <w:p w14:paraId="072346D1" w14:textId="29CB1BA6" w:rsidR="00225541" w:rsidRPr="00AE7F16" w:rsidRDefault="00225541" w:rsidP="00CD28E3">
      <w:pPr>
        <w:pStyle w:val="SingleTxt"/>
        <w:tabs>
          <w:tab w:val="clear" w:pos="1267"/>
          <w:tab w:val="left" w:pos="0"/>
          <w:tab w:val="left" w:pos="8730"/>
        </w:tabs>
        <w:spacing w:line="240" w:lineRule="auto"/>
        <w:ind w:left="360" w:right="-90" w:firstLine="60"/>
        <w:rPr>
          <w:rFonts w:asciiTheme="majorHAnsi" w:eastAsiaTheme="minorEastAsia" w:hAnsiTheme="majorHAnsi" w:cs="Arial"/>
          <w:spacing w:val="0"/>
          <w:w w:val="100"/>
          <w:kern w:val="0"/>
          <w:sz w:val="22"/>
          <w:szCs w:val="22"/>
          <w:lang w:val="en-US"/>
        </w:rPr>
      </w:pPr>
    </w:p>
    <w:p w14:paraId="42AA3D77" w14:textId="4CEA04D2" w:rsidR="00F2566F" w:rsidRPr="00AE7F16" w:rsidRDefault="00F2566F" w:rsidP="00181375">
      <w:pPr>
        <w:pStyle w:val="SingleTxt"/>
        <w:numPr>
          <w:ilvl w:val="0"/>
          <w:numId w:val="7"/>
        </w:numPr>
        <w:tabs>
          <w:tab w:val="clear" w:pos="1267"/>
          <w:tab w:val="left" w:pos="0"/>
          <w:tab w:val="left" w:pos="8640"/>
        </w:tabs>
        <w:ind w:right="-90"/>
        <w:rPr>
          <w:rFonts w:asciiTheme="majorHAnsi" w:eastAsiaTheme="minorEastAsia" w:hAnsiTheme="majorHAnsi" w:cs="Arial"/>
          <w:spacing w:val="0"/>
          <w:w w:val="100"/>
          <w:kern w:val="0"/>
          <w:sz w:val="22"/>
          <w:szCs w:val="22"/>
          <w:lang w:val="en-US"/>
        </w:rPr>
      </w:pPr>
      <w:r w:rsidRPr="00AE7F16">
        <w:rPr>
          <w:rFonts w:asciiTheme="majorHAnsi" w:eastAsiaTheme="minorEastAsia" w:hAnsiTheme="majorHAnsi" w:cs="Arial"/>
          <w:spacing w:val="0"/>
          <w:w w:val="100"/>
          <w:kern w:val="0"/>
          <w:sz w:val="22"/>
          <w:szCs w:val="22"/>
          <w:lang w:val="en-US"/>
        </w:rPr>
        <w:t xml:space="preserve">When the staff member has not completed the period of service at the duty station in respect of which the lump-sum portion of the settling-in grant has been paid, the lump-sum portion of the grant shall </w:t>
      </w:r>
      <w:r w:rsidR="009E04BE" w:rsidRPr="00AE7F16">
        <w:rPr>
          <w:rFonts w:asciiTheme="majorHAnsi" w:eastAsiaTheme="minorEastAsia" w:hAnsiTheme="majorHAnsi" w:cs="Arial"/>
          <w:spacing w:val="0"/>
          <w:w w:val="100"/>
          <w:kern w:val="0"/>
          <w:sz w:val="22"/>
          <w:szCs w:val="22"/>
          <w:lang w:val="en-US"/>
        </w:rPr>
        <w:t xml:space="preserve">normally </w:t>
      </w:r>
      <w:r w:rsidRPr="00AE7F16">
        <w:rPr>
          <w:rFonts w:asciiTheme="majorHAnsi" w:eastAsiaTheme="minorEastAsia" w:hAnsiTheme="majorHAnsi" w:cs="Arial"/>
          <w:spacing w:val="0"/>
          <w:w w:val="100"/>
          <w:kern w:val="0"/>
          <w:sz w:val="22"/>
          <w:szCs w:val="22"/>
          <w:lang w:val="en-US"/>
        </w:rPr>
        <w:t xml:space="preserve">be prorated and recovered or adjusted in the proportion that the period of service at the duty station bears to one year. </w:t>
      </w:r>
      <w:r w:rsidR="009E04BE" w:rsidRPr="00AE7F16">
        <w:rPr>
          <w:rFonts w:asciiTheme="majorHAnsi" w:eastAsiaTheme="minorEastAsia" w:hAnsiTheme="majorHAnsi" w:cs="Arial"/>
          <w:spacing w:val="0"/>
          <w:w w:val="100"/>
          <w:kern w:val="0"/>
          <w:sz w:val="22"/>
          <w:szCs w:val="22"/>
          <w:lang w:val="en-US"/>
        </w:rPr>
        <w:t xml:space="preserve">However, </w:t>
      </w:r>
      <w:r w:rsidRPr="00AE7F16">
        <w:rPr>
          <w:rFonts w:asciiTheme="majorHAnsi" w:eastAsiaTheme="minorEastAsia" w:hAnsiTheme="majorHAnsi" w:cs="Arial"/>
          <w:spacing w:val="0"/>
          <w:w w:val="100"/>
          <w:kern w:val="0"/>
          <w:sz w:val="22"/>
          <w:szCs w:val="22"/>
          <w:lang w:val="en-US"/>
        </w:rPr>
        <w:t>UNDP may grant an exception</w:t>
      </w:r>
      <w:r w:rsidR="009E04BE" w:rsidRPr="00AE7F16">
        <w:rPr>
          <w:rFonts w:asciiTheme="majorHAnsi" w:eastAsiaTheme="minorEastAsia" w:hAnsiTheme="majorHAnsi" w:cs="Arial"/>
          <w:spacing w:val="0"/>
          <w:w w:val="100"/>
          <w:kern w:val="0"/>
          <w:sz w:val="22"/>
          <w:szCs w:val="22"/>
          <w:lang w:val="en-US"/>
        </w:rPr>
        <w:t xml:space="preserve"> </w:t>
      </w:r>
      <w:r w:rsidRPr="00AE7F16">
        <w:rPr>
          <w:rFonts w:asciiTheme="majorHAnsi" w:eastAsiaTheme="minorEastAsia" w:hAnsiTheme="majorHAnsi" w:cs="Arial"/>
          <w:spacing w:val="0"/>
          <w:w w:val="100"/>
          <w:kern w:val="0"/>
          <w:sz w:val="22"/>
          <w:szCs w:val="22"/>
          <w:lang w:val="en-US"/>
        </w:rPr>
        <w:t xml:space="preserve">for compelling and/or compassionate reasons (e.g., health, reduction of the duration of an appointment or assignment at the direction of the Organization, i.e., due to closure or restructuring of a department/office, or for other reasons beyond the control of the staff member). In such instances there shall be no prorating of any portion of the grant. </w:t>
      </w:r>
    </w:p>
    <w:p w14:paraId="53F907F2" w14:textId="77777777" w:rsidR="00822038" w:rsidRPr="00AE7F16" w:rsidRDefault="00822038" w:rsidP="00822038">
      <w:pPr>
        <w:pStyle w:val="SingleTxt"/>
        <w:tabs>
          <w:tab w:val="clear" w:pos="1267"/>
          <w:tab w:val="left" w:pos="0"/>
          <w:tab w:val="left" w:pos="8640"/>
        </w:tabs>
        <w:ind w:left="360" w:right="-90"/>
        <w:rPr>
          <w:rFonts w:asciiTheme="majorHAnsi" w:hAnsiTheme="majorHAnsi" w:cs="Arial"/>
          <w:sz w:val="22"/>
          <w:szCs w:val="22"/>
        </w:rPr>
      </w:pPr>
    </w:p>
    <w:p w14:paraId="2CF3417A" w14:textId="58B3A9E0" w:rsidR="00875818" w:rsidRPr="00AE7F16" w:rsidRDefault="00875818" w:rsidP="00A94D9E">
      <w:pPr>
        <w:pStyle w:val="SingleTxt"/>
        <w:tabs>
          <w:tab w:val="clear" w:pos="1267"/>
          <w:tab w:val="left" w:pos="0"/>
          <w:tab w:val="left" w:pos="8640"/>
        </w:tabs>
        <w:ind w:left="360" w:right="-90" w:hanging="360"/>
        <w:rPr>
          <w:rFonts w:asciiTheme="majorHAnsi" w:hAnsiTheme="majorHAnsi" w:cs="Arial"/>
          <w:b/>
          <w:sz w:val="22"/>
          <w:szCs w:val="22"/>
        </w:rPr>
      </w:pPr>
      <w:r w:rsidRPr="00AE7F16">
        <w:rPr>
          <w:rFonts w:asciiTheme="majorHAnsi" w:hAnsiTheme="majorHAnsi" w:cs="Arial"/>
          <w:b/>
          <w:sz w:val="22"/>
          <w:szCs w:val="22"/>
        </w:rPr>
        <w:t>Transitional measure</w:t>
      </w:r>
    </w:p>
    <w:p w14:paraId="6F606C48" w14:textId="77777777" w:rsidR="00225541" w:rsidRPr="00AE7F16" w:rsidRDefault="00225541" w:rsidP="00A94D9E">
      <w:pPr>
        <w:pStyle w:val="SingleTxt"/>
        <w:tabs>
          <w:tab w:val="clear" w:pos="1267"/>
          <w:tab w:val="left" w:pos="0"/>
          <w:tab w:val="left" w:pos="8640"/>
        </w:tabs>
        <w:ind w:left="360" w:right="-90" w:hanging="360"/>
        <w:rPr>
          <w:rFonts w:asciiTheme="majorHAnsi" w:eastAsiaTheme="minorEastAsia" w:hAnsiTheme="majorHAnsi" w:cs="Arial"/>
          <w:spacing w:val="0"/>
          <w:w w:val="100"/>
          <w:kern w:val="0"/>
          <w:sz w:val="22"/>
          <w:szCs w:val="22"/>
          <w:lang w:val="en-US"/>
        </w:rPr>
      </w:pPr>
    </w:p>
    <w:p w14:paraId="678108CA" w14:textId="79FC94E3" w:rsidR="00F2566F" w:rsidRPr="00AE7F16" w:rsidRDefault="00875818" w:rsidP="00181375">
      <w:pPr>
        <w:pStyle w:val="ListParagraph"/>
        <w:numPr>
          <w:ilvl w:val="0"/>
          <w:numId w:val="7"/>
        </w:numPr>
        <w:jc w:val="both"/>
        <w:rPr>
          <w:rFonts w:asciiTheme="majorHAnsi" w:hAnsiTheme="majorHAnsi" w:cs="Arial"/>
          <w:sz w:val="22"/>
          <w:szCs w:val="22"/>
        </w:rPr>
      </w:pPr>
      <w:r w:rsidRPr="00AE7F16">
        <w:rPr>
          <w:rFonts w:asciiTheme="majorHAnsi" w:hAnsiTheme="majorHAnsi" w:cs="Arial"/>
          <w:sz w:val="22"/>
          <w:szCs w:val="22"/>
        </w:rPr>
        <w:t>Staff members assigned to field duty stations prior to 1 July 2016, will still be eligible to receive their second one month’s salary lump sum upon expectation that they will complete a third year at their field duty station of their current assignment.</w:t>
      </w:r>
    </w:p>
    <w:p w14:paraId="0FFE9580" w14:textId="77777777" w:rsidR="00C97BE1" w:rsidRPr="00AE7F16" w:rsidRDefault="00C97BE1" w:rsidP="00C97BE1">
      <w:pPr>
        <w:pStyle w:val="CommentText"/>
        <w:rPr>
          <w:rFonts w:asciiTheme="majorHAnsi" w:eastAsiaTheme="minorEastAsia" w:hAnsiTheme="majorHAnsi" w:cs="Arial"/>
          <w:spacing w:val="0"/>
          <w:w w:val="100"/>
          <w:kern w:val="0"/>
          <w:sz w:val="22"/>
          <w:szCs w:val="22"/>
          <w:lang w:val="en-US"/>
        </w:rPr>
      </w:pPr>
    </w:p>
    <w:p w14:paraId="5D6A7580" w14:textId="77777777" w:rsidR="00C97BE1" w:rsidRPr="00AE7F16" w:rsidRDefault="00C97BE1" w:rsidP="00C97BE1">
      <w:pPr>
        <w:pStyle w:val="CommentText"/>
        <w:rPr>
          <w:rFonts w:asciiTheme="majorHAnsi" w:eastAsiaTheme="minorEastAsia" w:hAnsiTheme="majorHAnsi" w:cs="Arial"/>
          <w:spacing w:val="0"/>
          <w:w w:val="100"/>
          <w:kern w:val="0"/>
          <w:sz w:val="22"/>
          <w:szCs w:val="22"/>
          <w:lang w:val="en-US"/>
        </w:rPr>
      </w:pPr>
    </w:p>
    <w:p w14:paraId="7C987D9F" w14:textId="77777777" w:rsidR="00C97BE1" w:rsidRPr="00C97BE1" w:rsidRDefault="00C97BE1" w:rsidP="00CD3F94">
      <w:pPr>
        <w:ind w:left="360" w:hanging="360"/>
        <w:jc w:val="both"/>
        <w:rPr>
          <w:rFonts w:ascii="Arial" w:hAnsi="Arial" w:cs="Arial"/>
          <w:b/>
          <w:i/>
          <w:sz w:val="22"/>
          <w:szCs w:val="22"/>
          <w:u w:val="single"/>
        </w:rPr>
      </w:pPr>
    </w:p>
    <w:sectPr w:rsidR="00C97BE1" w:rsidRPr="00C97BE1" w:rsidSect="00277131">
      <w:headerReference w:type="even" r:id="rId18"/>
      <w:headerReference w:type="default" r:id="rId19"/>
      <w:footerReference w:type="even" r:id="rId20"/>
      <w:footerReference w:type="default" r:id="rId21"/>
      <w:headerReference w:type="first" r:id="rId22"/>
      <w:footerReference w:type="first" r:id="rId23"/>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5FC1" w14:textId="77777777" w:rsidR="00202C73" w:rsidRDefault="00202C73" w:rsidP="009E04BE">
      <w:r>
        <w:separator/>
      </w:r>
    </w:p>
  </w:endnote>
  <w:endnote w:type="continuationSeparator" w:id="0">
    <w:p w14:paraId="6B711E7C" w14:textId="77777777" w:rsidR="00202C73" w:rsidRDefault="00202C73" w:rsidP="009E04BE">
      <w:r>
        <w:continuationSeparator/>
      </w:r>
    </w:p>
  </w:endnote>
  <w:endnote w:type="continuationNotice" w:id="1">
    <w:p w14:paraId="652E68CF" w14:textId="77777777" w:rsidR="00202C73" w:rsidRDefault="00202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C2C5" w14:textId="77777777" w:rsidR="009E04BE" w:rsidRDefault="009E04BE"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3C733" w14:textId="77777777" w:rsidR="009E04BE" w:rsidRDefault="009E04BE" w:rsidP="009E0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4671" w14:textId="482466C1" w:rsidR="00D53871" w:rsidRPr="00D53871" w:rsidRDefault="00000000" w:rsidP="00D53871">
    <w:pPr>
      <w:pStyle w:val="Footer"/>
      <w:tabs>
        <w:tab w:val="clear" w:pos="8640"/>
        <w:tab w:val="left" w:pos="6874"/>
      </w:tabs>
      <w:rPr>
        <w:rFonts w:asciiTheme="majorHAnsi" w:hAnsiTheme="majorHAnsi"/>
        <w:sz w:val="22"/>
        <w:szCs w:val="22"/>
      </w:rPr>
    </w:pPr>
    <w:sdt>
      <w:sdtPr>
        <w:id w:val="1867405132"/>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705238520"/>
            <w:docPartObj>
              <w:docPartGallery w:val="Page Numbers (Top of Page)"/>
              <w:docPartUnique/>
            </w:docPartObj>
          </w:sdtPr>
          <w:sdtContent>
            <w:r w:rsidR="00D53871" w:rsidRPr="00D53871">
              <w:rPr>
                <w:rFonts w:asciiTheme="majorHAnsi" w:hAnsiTheme="majorHAnsi"/>
                <w:sz w:val="22"/>
                <w:szCs w:val="22"/>
              </w:rPr>
              <w:t xml:space="preserve">Page </w:t>
            </w:r>
            <w:r w:rsidR="00D53871" w:rsidRPr="00D53871">
              <w:rPr>
                <w:rFonts w:asciiTheme="majorHAnsi" w:hAnsiTheme="majorHAnsi"/>
                <w:bCs/>
                <w:sz w:val="22"/>
                <w:szCs w:val="22"/>
              </w:rPr>
              <w:fldChar w:fldCharType="begin"/>
            </w:r>
            <w:r w:rsidR="00D53871" w:rsidRPr="00D53871">
              <w:rPr>
                <w:rFonts w:asciiTheme="majorHAnsi" w:hAnsiTheme="majorHAnsi"/>
                <w:bCs/>
                <w:sz w:val="22"/>
                <w:szCs w:val="22"/>
              </w:rPr>
              <w:instrText xml:space="preserve"> PAGE </w:instrText>
            </w:r>
            <w:r w:rsidR="00D53871" w:rsidRPr="00D53871">
              <w:rPr>
                <w:rFonts w:asciiTheme="majorHAnsi" w:hAnsiTheme="majorHAnsi"/>
                <w:bCs/>
                <w:sz w:val="22"/>
                <w:szCs w:val="22"/>
              </w:rPr>
              <w:fldChar w:fldCharType="separate"/>
            </w:r>
            <w:r w:rsidR="00EA1B71">
              <w:rPr>
                <w:rFonts w:asciiTheme="majorHAnsi" w:hAnsiTheme="majorHAnsi"/>
                <w:bCs/>
                <w:noProof/>
                <w:sz w:val="22"/>
                <w:szCs w:val="22"/>
              </w:rPr>
              <w:t>1</w:t>
            </w:r>
            <w:r w:rsidR="00D53871" w:rsidRPr="00D53871">
              <w:rPr>
                <w:rFonts w:asciiTheme="majorHAnsi" w:hAnsiTheme="majorHAnsi"/>
                <w:bCs/>
                <w:sz w:val="22"/>
                <w:szCs w:val="22"/>
              </w:rPr>
              <w:fldChar w:fldCharType="end"/>
            </w:r>
            <w:r w:rsidR="00D53871" w:rsidRPr="00D53871">
              <w:rPr>
                <w:rFonts w:asciiTheme="majorHAnsi" w:hAnsiTheme="majorHAnsi"/>
                <w:sz w:val="22"/>
                <w:szCs w:val="22"/>
              </w:rPr>
              <w:t xml:space="preserve"> of </w:t>
            </w:r>
            <w:r w:rsidR="00D53871" w:rsidRPr="00D53871">
              <w:rPr>
                <w:rFonts w:asciiTheme="majorHAnsi" w:hAnsiTheme="majorHAnsi"/>
                <w:bCs/>
                <w:sz w:val="22"/>
                <w:szCs w:val="22"/>
              </w:rPr>
              <w:fldChar w:fldCharType="begin"/>
            </w:r>
            <w:r w:rsidR="00D53871" w:rsidRPr="00D53871">
              <w:rPr>
                <w:rFonts w:asciiTheme="majorHAnsi" w:hAnsiTheme="majorHAnsi"/>
                <w:bCs/>
                <w:sz w:val="22"/>
                <w:szCs w:val="22"/>
              </w:rPr>
              <w:instrText xml:space="preserve"> NUMPAGES  </w:instrText>
            </w:r>
            <w:r w:rsidR="00D53871" w:rsidRPr="00D53871">
              <w:rPr>
                <w:rFonts w:asciiTheme="majorHAnsi" w:hAnsiTheme="majorHAnsi"/>
                <w:bCs/>
                <w:sz w:val="22"/>
                <w:szCs w:val="22"/>
              </w:rPr>
              <w:fldChar w:fldCharType="separate"/>
            </w:r>
            <w:r w:rsidR="00EA1B71">
              <w:rPr>
                <w:rFonts w:asciiTheme="majorHAnsi" w:hAnsiTheme="majorHAnsi"/>
                <w:bCs/>
                <w:noProof/>
                <w:sz w:val="22"/>
                <w:szCs w:val="22"/>
              </w:rPr>
              <w:t>4</w:t>
            </w:r>
            <w:r w:rsidR="00D53871" w:rsidRPr="00D53871">
              <w:rPr>
                <w:rFonts w:asciiTheme="majorHAnsi" w:hAnsiTheme="majorHAnsi"/>
                <w:bCs/>
                <w:sz w:val="22"/>
                <w:szCs w:val="22"/>
              </w:rPr>
              <w:fldChar w:fldCharType="end"/>
            </w:r>
            <w:r w:rsidR="00D53871" w:rsidRPr="00D53871">
              <w:rPr>
                <w:rFonts w:asciiTheme="majorHAnsi" w:hAnsiTheme="majorHAnsi"/>
                <w:bCs/>
                <w:sz w:val="22"/>
                <w:szCs w:val="22"/>
              </w:rPr>
              <w:tab/>
              <w:t xml:space="preserve">Effective Date: </w:t>
            </w:r>
          </w:sdtContent>
        </w:sdt>
      </w:sdtContent>
    </w:sdt>
    <w:r w:rsidR="004A51F9" w:rsidRPr="004A51F9">
      <w:t xml:space="preserve"> </w:t>
    </w:r>
    <w:r w:rsidR="004A51F9" w:rsidRPr="004A51F9">
      <w:rPr>
        <w:rFonts w:asciiTheme="majorHAnsi" w:hAnsiTheme="majorHAnsi"/>
        <w:sz w:val="22"/>
        <w:szCs w:val="22"/>
      </w:rPr>
      <w:t>01/07/2016</w:t>
    </w:r>
    <w:r w:rsidR="00D53871" w:rsidRPr="00D53871">
      <w:rPr>
        <w:rFonts w:asciiTheme="majorHAnsi" w:hAnsiTheme="majorHAnsi"/>
        <w:sz w:val="22"/>
        <w:szCs w:val="22"/>
      </w:rPr>
      <w:tab/>
    </w:r>
    <w:r w:rsidR="006939F0">
      <w:rPr>
        <w:rFonts w:asciiTheme="majorHAnsi" w:hAnsiTheme="majorHAnsi"/>
        <w:sz w:val="22"/>
        <w:szCs w:val="22"/>
      </w:rPr>
      <w:tab/>
      <w:t xml:space="preserve">         </w:t>
    </w:r>
    <w:r w:rsidR="00D53871" w:rsidRPr="00D53871">
      <w:rPr>
        <w:rFonts w:asciiTheme="majorHAnsi" w:hAnsiTheme="majorHAnsi"/>
        <w:sz w:val="22"/>
        <w:szCs w:val="22"/>
      </w:rPr>
      <w:t xml:space="preserve">Version #: </w:t>
    </w:r>
    <w:sdt>
      <w:sdtPr>
        <w:rPr>
          <w:rFonts w:asciiTheme="majorHAnsi" w:hAnsiTheme="majorHAnsi"/>
          <w:sz w:val="22"/>
          <w:szCs w:val="22"/>
        </w:rPr>
        <w:alias w:val="POPPRefItemVersion"/>
        <w:tag w:val="UNDP_POPP_REFITEM_VERSION"/>
        <w:id w:val="-781638412"/>
        <w:placeholder>
          <w:docPart w:val="9A6E6919BAC04D1FAA3E0D9C6C644F7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90ED58-1B2E-436E-9D3D-283AB5EAC508}"/>
        <w:text/>
      </w:sdtPr>
      <w:sdtContent>
        <w:r w:rsidR="00EA1B71">
          <w:rPr>
            <w:rFonts w:asciiTheme="majorHAnsi" w:hAnsiTheme="majorHAnsi"/>
            <w:sz w:val="22"/>
            <w:szCs w:val="22"/>
            <w:lang w:val="en-GB"/>
          </w:rPr>
          <w:t>1</w:t>
        </w:r>
      </w:sdtContent>
    </w:sdt>
  </w:p>
  <w:p w14:paraId="09EFA74E" w14:textId="75882F0F" w:rsidR="009E04BE" w:rsidRDefault="009E04BE" w:rsidP="009E04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A556" w14:textId="77777777" w:rsidR="00EA1B71" w:rsidRDefault="00EA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C293" w14:textId="77777777" w:rsidR="00202C73" w:rsidRDefault="00202C73" w:rsidP="009E04BE">
      <w:r>
        <w:separator/>
      </w:r>
    </w:p>
  </w:footnote>
  <w:footnote w:type="continuationSeparator" w:id="0">
    <w:p w14:paraId="7CBCEF21" w14:textId="77777777" w:rsidR="00202C73" w:rsidRDefault="00202C73" w:rsidP="009E04BE">
      <w:r>
        <w:continuationSeparator/>
      </w:r>
    </w:p>
  </w:footnote>
  <w:footnote w:type="continuationNotice" w:id="1">
    <w:p w14:paraId="56756FF6" w14:textId="77777777" w:rsidR="00202C73" w:rsidRDefault="00202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3192" w14:textId="77777777" w:rsidR="00EA1B71" w:rsidRDefault="00EA1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913D" w14:textId="00993399" w:rsidR="005B66A0" w:rsidRDefault="0089364D" w:rsidP="0089364D">
    <w:pPr>
      <w:pStyle w:val="Header"/>
      <w:jc w:val="right"/>
    </w:pPr>
    <w:r>
      <w:rPr>
        <w:noProof/>
      </w:rPr>
      <w:drawing>
        <wp:inline distT="0" distB="0" distL="0" distR="0" wp14:anchorId="11577705" wp14:editId="1FC9178D">
          <wp:extent cx="344805" cy="660400"/>
          <wp:effectExtent l="0" t="0" r="0" b="635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2DD0" w14:textId="77777777" w:rsidR="00EA1B71" w:rsidRDefault="00EA1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E5C69"/>
    <w:multiLevelType w:val="hybridMultilevel"/>
    <w:tmpl w:val="41F27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EA4"/>
    <w:multiLevelType w:val="hybridMultilevel"/>
    <w:tmpl w:val="715A0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B4421"/>
    <w:multiLevelType w:val="hybridMultilevel"/>
    <w:tmpl w:val="E8ACB7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5098E"/>
    <w:multiLevelType w:val="hybridMultilevel"/>
    <w:tmpl w:val="A162B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DF4371"/>
    <w:multiLevelType w:val="hybridMultilevel"/>
    <w:tmpl w:val="F1641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B0274"/>
    <w:multiLevelType w:val="hybridMultilevel"/>
    <w:tmpl w:val="F312C2EA"/>
    <w:lvl w:ilvl="0" w:tplc="0409000F">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FC033D"/>
    <w:multiLevelType w:val="hybridMultilevel"/>
    <w:tmpl w:val="C4E29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8528314">
    <w:abstractNumId w:val="6"/>
  </w:num>
  <w:num w:numId="2" w16cid:durableId="1530028106">
    <w:abstractNumId w:val="3"/>
  </w:num>
  <w:num w:numId="3" w16cid:durableId="1339963392">
    <w:abstractNumId w:val="2"/>
  </w:num>
  <w:num w:numId="4" w16cid:durableId="1699352211">
    <w:abstractNumId w:val="4"/>
  </w:num>
  <w:num w:numId="5" w16cid:durableId="104155321">
    <w:abstractNumId w:val="1"/>
  </w:num>
  <w:num w:numId="6" w16cid:durableId="680929965">
    <w:abstractNumId w:val="0"/>
  </w:num>
  <w:num w:numId="7" w16cid:durableId="6568805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63"/>
    <w:rsid w:val="00047F35"/>
    <w:rsid w:val="000D3C91"/>
    <w:rsid w:val="000D65A2"/>
    <w:rsid w:val="00126493"/>
    <w:rsid w:val="00171F24"/>
    <w:rsid w:val="00181375"/>
    <w:rsid w:val="00191521"/>
    <w:rsid w:val="001E076F"/>
    <w:rsid w:val="00202C73"/>
    <w:rsid w:val="00225541"/>
    <w:rsid w:val="00261D0B"/>
    <w:rsid w:val="00263B97"/>
    <w:rsid w:val="00277131"/>
    <w:rsid w:val="0029133E"/>
    <w:rsid w:val="002C639F"/>
    <w:rsid w:val="002F65CF"/>
    <w:rsid w:val="003141FC"/>
    <w:rsid w:val="003451E8"/>
    <w:rsid w:val="003573F6"/>
    <w:rsid w:val="003760A0"/>
    <w:rsid w:val="00385860"/>
    <w:rsid w:val="0039692E"/>
    <w:rsid w:val="0041462B"/>
    <w:rsid w:val="0043358E"/>
    <w:rsid w:val="004A51F9"/>
    <w:rsid w:val="00505B3B"/>
    <w:rsid w:val="005138F7"/>
    <w:rsid w:val="00535607"/>
    <w:rsid w:val="005410B9"/>
    <w:rsid w:val="0056569C"/>
    <w:rsid w:val="00575AE4"/>
    <w:rsid w:val="00583063"/>
    <w:rsid w:val="005B4693"/>
    <w:rsid w:val="005B66A0"/>
    <w:rsid w:val="005D0BED"/>
    <w:rsid w:val="005D4C99"/>
    <w:rsid w:val="005E652B"/>
    <w:rsid w:val="00615865"/>
    <w:rsid w:val="00622063"/>
    <w:rsid w:val="00676F6D"/>
    <w:rsid w:val="006939F0"/>
    <w:rsid w:val="00695BEE"/>
    <w:rsid w:val="006B564E"/>
    <w:rsid w:val="006C32DE"/>
    <w:rsid w:val="00720D5F"/>
    <w:rsid w:val="00723906"/>
    <w:rsid w:val="00743701"/>
    <w:rsid w:val="007838B3"/>
    <w:rsid w:val="0078673F"/>
    <w:rsid w:val="007B3D3C"/>
    <w:rsid w:val="007D04DD"/>
    <w:rsid w:val="008027DC"/>
    <w:rsid w:val="00815DC4"/>
    <w:rsid w:val="00822038"/>
    <w:rsid w:val="00835869"/>
    <w:rsid w:val="00875818"/>
    <w:rsid w:val="00884B9A"/>
    <w:rsid w:val="008932A8"/>
    <w:rsid w:val="0089364D"/>
    <w:rsid w:val="008B7CF8"/>
    <w:rsid w:val="008D4F9B"/>
    <w:rsid w:val="00906B9E"/>
    <w:rsid w:val="00950178"/>
    <w:rsid w:val="00985F76"/>
    <w:rsid w:val="009E04BE"/>
    <w:rsid w:val="00A613AC"/>
    <w:rsid w:val="00A61417"/>
    <w:rsid w:val="00A94D9E"/>
    <w:rsid w:val="00AE7F16"/>
    <w:rsid w:val="00B078C4"/>
    <w:rsid w:val="00B35087"/>
    <w:rsid w:val="00BF741F"/>
    <w:rsid w:val="00C05F81"/>
    <w:rsid w:val="00C14C71"/>
    <w:rsid w:val="00C24A63"/>
    <w:rsid w:val="00C511F3"/>
    <w:rsid w:val="00C603C6"/>
    <w:rsid w:val="00C91AE4"/>
    <w:rsid w:val="00C97BE1"/>
    <w:rsid w:val="00CD28E3"/>
    <w:rsid w:val="00CD3F94"/>
    <w:rsid w:val="00D04898"/>
    <w:rsid w:val="00D1425A"/>
    <w:rsid w:val="00D4587D"/>
    <w:rsid w:val="00D53871"/>
    <w:rsid w:val="00D64D52"/>
    <w:rsid w:val="00DF464E"/>
    <w:rsid w:val="00E27966"/>
    <w:rsid w:val="00E34D63"/>
    <w:rsid w:val="00E61DF0"/>
    <w:rsid w:val="00EA1B71"/>
    <w:rsid w:val="00EC1147"/>
    <w:rsid w:val="00EC7DA1"/>
    <w:rsid w:val="00F1312B"/>
    <w:rsid w:val="00F14155"/>
    <w:rsid w:val="00F2566F"/>
    <w:rsid w:val="00F36CD7"/>
    <w:rsid w:val="00F93CE0"/>
    <w:rsid w:val="00FD2019"/>
    <w:rsid w:val="00FD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34BB4"/>
  <w14:defaultImageDpi w14:val="300"/>
  <w15:docId w15:val="{6D92755D-44B8-47C1-B19A-162E713E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A63"/>
    <w:rPr>
      <w:rFonts w:ascii="Lucida Grande" w:hAnsi="Lucida Grande" w:cs="Lucida Grande"/>
      <w:sz w:val="18"/>
      <w:szCs w:val="18"/>
    </w:rPr>
  </w:style>
  <w:style w:type="paragraph" w:styleId="ListParagraph">
    <w:name w:val="List Paragraph"/>
    <w:basedOn w:val="Normal"/>
    <w:uiPriority w:val="34"/>
    <w:qFormat/>
    <w:rsid w:val="008B7CF8"/>
    <w:pPr>
      <w:ind w:left="720"/>
      <w:contextualSpacing/>
    </w:pPr>
  </w:style>
  <w:style w:type="paragraph" w:customStyle="1" w:styleId="H4">
    <w:name w:val="_ H_4"/>
    <w:basedOn w:val="Normal"/>
    <w:next w:val="SingleTxt"/>
    <w:rsid w:val="008B7CF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lang w:val="en-GB"/>
    </w:rPr>
  </w:style>
  <w:style w:type="paragraph" w:customStyle="1" w:styleId="SingleTxt">
    <w:name w:val="__Single Txt"/>
    <w:basedOn w:val="Normal"/>
    <w:rsid w:val="008B7CF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character" w:styleId="CommentReference">
    <w:name w:val="annotation reference"/>
    <w:semiHidden/>
    <w:rsid w:val="00C05F81"/>
    <w:rPr>
      <w:sz w:val="6"/>
    </w:rPr>
  </w:style>
  <w:style w:type="paragraph" w:styleId="CommentText">
    <w:name w:val="annotation text"/>
    <w:basedOn w:val="Normal"/>
    <w:link w:val="CommentTextChar"/>
    <w:semiHidden/>
    <w:rsid w:val="00C05F81"/>
    <w:pPr>
      <w:suppressAutoHyphens/>
      <w:spacing w:line="240" w:lineRule="exact"/>
    </w:pPr>
    <w:rPr>
      <w:rFonts w:ascii="Times New Roman" w:eastAsia="Times New Roman" w:hAnsi="Times New Roman" w:cs="Times New Roman"/>
      <w:spacing w:val="4"/>
      <w:w w:val="103"/>
      <w:kern w:val="14"/>
      <w:sz w:val="20"/>
      <w:szCs w:val="20"/>
      <w:lang w:val="en-GB"/>
    </w:rPr>
  </w:style>
  <w:style w:type="character" w:customStyle="1" w:styleId="CommentTextChar">
    <w:name w:val="Comment Text Char"/>
    <w:basedOn w:val="DefaultParagraphFont"/>
    <w:link w:val="CommentText"/>
    <w:semiHidden/>
    <w:rsid w:val="00C05F81"/>
    <w:rPr>
      <w:rFonts w:ascii="Times New Roman" w:eastAsia="Times New Roman" w:hAnsi="Times New Roman" w:cs="Times New Roman"/>
      <w:spacing w:val="4"/>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E27966"/>
    <w:pPr>
      <w:suppressAutoHyphens w:val="0"/>
      <w:spacing w:line="240" w:lineRule="auto"/>
    </w:pPr>
    <w:rPr>
      <w:rFonts w:asciiTheme="minorHAnsi" w:eastAsiaTheme="minorEastAsia" w:hAnsiTheme="minorHAnsi" w:cstheme="minorBidi"/>
      <w:b/>
      <w:bCs/>
      <w:spacing w:val="0"/>
      <w:w w:val="100"/>
      <w:kern w:val="0"/>
      <w:lang w:val="en-US"/>
    </w:rPr>
  </w:style>
  <w:style w:type="character" w:customStyle="1" w:styleId="CommentSubjectChar">
    <w:name w:val="Comment Subject Char"/>
    <w:basedOn w:val="CommentTextChar"/>
    <w:link w:val="CommentSubject"/>
    <w:uiPriority w:val="99"/>
    <w:semiHidden/>
    <w:rsid w:val="00E27966"/>
    <w:rPr>
      <w:rFonts w:ascii="Times New Roman" w:eastAsia="Times New Roman" w:hAnsi="Times New Roman" w:cs="Times New Roman"/>
      <w:b/>
      <w:bCs/>
      <w:spacing w:val="4"/>
      <w:w w:val="103"/>
      <w:kern w:val="14"/>
      <w:sz w:val="20"/>
      <w:szCs w:val="20"/>
      <w:lang w:val="en-GB"/>
    </w:rPr>
  </w:style>
  <w:style w:type="paragraph" w:styleId="Footer">
    <w:name w:val="footer"/>
    <w:basedOn w:val="Normal"/>
    <w:link w:val="FooterChar"/>
    <w:uiPriority w:val="99"/>
    <w:unhideWhenUsed/>
    <w:rsid w:val="009E04BE"/>
    <w:pPr>
      <w:tabs>
        <w:tab w:val="center" w:pos="4320"/>
        <w:tab w:val="right" w:pos="8640"/>
      </w:tabs>
    </w:pPr>
  </w:style>
  <w:style w:type="character" w:customStyle="1" w:styleId="FooterChar">
    <w:name w:val="Footer Char"/>
    <w:basedOn w:val="DefaultParagraphFont"/>
    <w:link w:val="Footer"/>
    <w:uiPriority w:val="99"/>
    <w:rsid w:val="009E04BE"/>
  </w:style>
  <w:style w:type="character" w:styleId="PageNumber">
    <w:name w:val="page number"/>
    <w:basedOn w:val="DefaultParagraphFont"/>
    <w:uiPriority w:val="99"/>
    <w:semiHidden/>
    <w:unhideWhenUsed/>
    <w:rsid w:val="009E04BE"/>
  </w:style>
  <w:style w:type="character" w:styleId="Hyperlink">
    <w:name w:val="Hyperlink"/>
    <w:basedOn w:val="DefaultParagraphFont"/>
    <w:uiPriority w:val="99"/>
    <w:semiHidden/>
    <w:unhideWhenUsed/>
    <w:rsid w:val="007838B3"/>
    <w:rPr>
      <w:color w:val="0000FF"/>
      <w:u w:val="single"/>
    </w:rPr>
  </w:style>
  <w:style w:type="character" w:styleId="FollowedHyperlink">
    <w:name w:val="FollowedHyperlink"/>
    <w:basedOn w:val="DefaultParagraphFont"/>
    <w:uiPriority w:val="99"/>
    <w:semiHidden/>
    <w:unhideWhenUsed/>
    <w:rsid w:val="00985F76"/>
    <w:rPr>
      <w:color w:val="800080" w:themeColor="followedHyperlink"/>
      <w:u w:val="single"/>
    </w:rPr>
  </w:style>
  <w:style w:type="paragraph" w:styleId="Header">
    <w:name w:val="header"/>
    <w:basedOn w:val="Normal"/>
    <w:link w:val="HeaderChar"/>
    <w:uiPriority w:val="99"/>
    <w:unhideWhenUsed/>
    <w:rsid w:val="005B66A0"/>
    <w:pPr>
      <w:tabs>
        <w:tab w:val="center" w:pos="4680"/>
        <w:tab w:val="right" w:pos="9360"/>
      </w:tabs>
    </w:pPr>
  </w:style>
  <w:style w:type="character" w:customStyle="1" w:styleId="HeaderChar">
    <w:name w:val="Header Char"/>
    <w:basedOn w:val="DefaultParagraphFont"/>
    <w:link w:val="Header"/>
    <w:uiPriority w:val="99"/>
    <w:rsid w:val="005B66A0"/>
  </w:style>
  <w:style w:type="character" w:styleId="PlaceholderText">
    <w:name w:val="Placeholder Text"/>
    <w:basedOn w:val="DefaultParagraphFont"/>
    <w:uiPriority w:val="99"/>
    <w:semiHidden/>
    <w:rsid w:val="00D538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handbook/staff-rul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r.un.org/handbook/staff-rul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r.un.org/handbook/staff-ru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r.un.org/handbook/staff-rul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staff-rul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6E6919BAC04D1FAA3E0D9C6C644F7C"/>
        <w:category>
          <w:name w:val="General"/>
          <w:gallery w:val="placeholder"/>
        </w:category>
        <w:types>
          <w:type w:val="bbPlcHdr"/>
        </w:types>
        <w:behaviors>
          <w:behavior w:val="content"/>
        </w:behaviors>
        <w:guid w:val="{E45EB602-D076-4182-AE2D-1800FC0D9754}"/>
      </w:docPartPr>
      <w:docPartBody>
        <w:p w:rsidR="00EA6181" w:rsidRDefault="00D85199">
          <w:r w:rsidRPr="00EA0FBA">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99"/>
    <w:rsid w:val="001843CF"/>
    <w:rsid w:val="003573F6"/>
    <w:rsid w:val="003855A9"/>
    <w:rsid w:val="00D85199"/>
    <w:rsid w:val="00EA6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1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01/07/2016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Settling in Grant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POPP-11-2418</_dlc_DocId>
    <_dlc_DocIdUrl xmlns="8264c5cc-ec60-4b56-8111-ce635d3d139a">
      <Url>https://popp.undp.org/_layouts/15/DocIdRedir.aspx?ID=POPP-11-2418</Url>
      <Description>POPP-11-2418</Description>
    </_dlc_DocIdUrl>
    <DLCPolicyLabelValue xmlns="e560140e-7b2f-4392-90df-e7567e3021a3">Effective Date: 01/07/2016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D2D55FA-734B-4A9E-A6A1-97CA141926EC}">
  <ds:schemaRefs>
    <ds:schemaRef ds:uri="http://schemas.openxmlformats.org/officeDocument/2006/bibliography"/>
  </ds:schemaRefs>
</ds:datastoreItem>
</file>

<file path=customXml/itemProps2.xml><?xml version="1.0" encoding="utf-8"?>
<ds:datastoreItem xmlns:ds="http://schemas.openxmlformats.org/officeDocument/2006/customXml" ds:itemID="{256E868F-66AF-47A9-B99E-5EDB10D37CB2}">
  <ds:schemaRefs>
    <ds:schemaRef ds:uri="http://schemas.microsoft.com/sharepoint/v3/contenttype/forms"/>
  </ds:schemaRefs>
</ds:datastoreItem>
</file>

<file path=customXml/itemProps3.xml><?xml version="1.0" encoding="utf-8"?>
<ds:datastoreItem xmlns:ds="http://schemas.openxmlformats.org/officeDocument/2006/customXml" ds:itemID="{BE90ED58-1B2E-436E-9D3D-283AB5EAC50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8E4FD36-C1A1-4BE5-B4CA-7E5BF305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5C18B-0B80-4990-AC13-4B85F45C81AD}">
  <ds:schemaRefs>
    <ds:schemaRef ds:uri="http://schemas.microsoft.com/sharepoint/events"/>
  </ds:schemaRefs>
</ds:datastoreItem>
</file>

<file path=customXml/itemProps6.xml><?xml version="1.0" encoding="utf-8"?>
<ds:datastoreItem xmlns:ds="http://schemas.openxmlformats.org/officeDocument/2006/customXml" ds:itemID="{1615FCB5-1CEC-49E2-9392-F4F17B0625E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Pablo Morete</cp:lastModifiedBy>
  <cp:revision>3</cp:revision>
  <dcterms:created xsi:type="dcterms:W3CDTF">2022-10-06T16:55:00Z</dcterms:created>
  <dcterms:modified xsi:type="dcterms:W3CDTF">2024-08-12T09:55:00Z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50aba394-fb5d-4340-b3aa-b91c763d342d</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