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27A67" w14:textId="5F4E8AFF" w:rsidR="005B48A2" w:rsidRPr="00A12630" w:rsidRDefault="005B48A2" w:rsidP="00945D0B">
      <w:pPr>
        <w:jc w:val="both"/>
        <w:rPr>
          <w:rFonts w:asciiTheme="majorHAnsi" w:hAnsiTheme="majorHAnsi" w:cs="Arial"/>
          <w:b/>
          <w:bCs/>
          <w:sz w:val="22"/>
          <w:szCs w:val="22"/>
          <w:u w:val="single"/>
        </w:rPr>
      </w:pPr>
      <w:r>
        <w:rPr>
          <w:rFonts w:asciiTheme="majorHAnsi" w:hAnsiTheme="majorHAnsi"/>
          <w:b/>
          <w:bCs/>
          <w:sz w:val="22"/>
          <w:szCs w:val="22"/>
          <w:u w:val="single"/>
        </w:rPr>
        <w:t>Título</w:t>
      </w:r>
    </w:p>
    <w:p w14:paraId="60140B13" w14:textId="77777777" w:rsidR="00215D6F" w:rsidRPr="00A12630" w:rsidRDefault="00215D6F" w:rsidP="00945D0B">
      <w:pPr>
        <w:jc w:val="both"/>
        <w:rPr>
          <w:rFonts w:asciiTheme="majorHAnsi" w:hAnsiTheme="majorHAnsi" w:cs="Arial"/>
          <w:bCs/>
          <w:sz w:val="22"/>
          <w:szCs w:val="22"/>
        </w:rPr>
      </w:pPr>
    </w:p>
    <w:p w14:paraId="1AB68F93" w14:textId="7FA886F2" w:rsidR="001721EA" w:rsidRPr="00A12630" w:rsidRDefault="00FB218C" w:rsidP="00945D0B">
      <w:pPr>
        <w:jc w:val="both"/>
        <w:rPr>
          <w:rFonts w:asciiTheme="majorHAnsi" w:hAnsiTheme="majorHAnsi" w:cs="Arial"/>
          <w:b/>
          <w:bCs/>
          <w:sz w:val="22"/>
          <w:szCs w:val="22"/>
        </w:rPr>
      </w:pPr>
      <w:r>
        <w:rPr>
          <w:rFonts w:asciiTheme="majorHAnsi" w:hAnsiTheme="majorHAnsi"/>
          <w:b/>
          <w:bCs/>
          <w:sz w:val="22"/>
          <w:szCs w:val="22"/>
        </w:rPr>
        <w:t>Política de préstamo no reembolsable</w:t>
      </w:r>
    </w:p>
    <w:p w14:paraId="12680A5C" w14:textId="77777777" w:rsidR="001721EA" w:rsidRPr="00A12630" w:rsidRDefault="001721EA" w:rsidP="00945D0B">
      <w:pPr>
        <w:jc w:val="both"/>
        <w:rPr>
          <w:rFonts w:asciiTheme="majorHAnsi" w:hAnsiTheme="majorHAnsi" w:cs="Arial"/>
          <w:b/>
          <w:bCs/>
          <w:sz w:val="22"/>
          <w:szCs w:val="22"/>
        </w:rPr>
      </w:pPr>
    </w:p>
    <w:p w14:paraId="633740B6" w14:textId="0002B383" w:rsidR="005B48A2" w:rsidRPr="00A12630" w:rsidRDefault="005B48A2" w:rsidP="00945D0B">
      <w:pPr>
        <w:jc w:val="both"/>
        <w:rPr>
          <w:rFonts w:asciiTheme="majorHAnsi" w:hAnsiTheme="majorHAnsi" w:cs="Arial"/>
          <w:b/>
          <w:bCs/>
          <w:sz w:val="22"/>
          <w:szCs w:val="22"/>
          <w:u w:val="single"/>
        </w:rPr>
      </w:pPr>
      <w:r>
        <w:rPr>
          <w:rFonts w:asciiTheme="majorHAnsi" w:hAnsiTheme="majorHAnsi"/>
          <w:b/>
          <w:bCs/>
          <w:sz w:val="22"/>
          <w:szCs w:val="22"/>
        </w:rPr>
        <w:t>1.0</w:t>
      </w:r>
      <w:r>
        <w:rPr>
          <w:rFonts w:asciiTheme="majorHAnsi" w:hAnsiTheme="majorHAnsi"/>
          <w:b/>
          <w:bCs/>
          <w:sz w:val="22"/>
          <w:szCs w:val="22"/>
        </w:rPr>
        <w:tab/>
        <w:t>Normas y reglamentos</w:t>
      </w:r>
    </w:p>
    <w:p w14:paraId="0C7237AB" w14:textId="77777777" w:rsidR="00E775BC" w:rsidRPr="00A12630" w:rsidRDefault="00E775BC" w:rsidP="00945D0B">
      <w:pPr>
        <w:pStyle w:val="Default"/>
        <w:jc w:val="both"/>
        <w:rPr>
          <w:rFonts w:asciiTheme="majorHAnsi" w:hAnsiTheme="majorHAnsi"/>
          <w:sz w:val="22"/>
          <w:szCs w:val="22"/>
        </w:rPr>
      </w:pPr>
    </w:p>
    <w:p w14:paraId="14CE4FCC" w14:textId="0D44490C" w:rsidR="00E775BC" w:rsidRPr="00A12630" w:rsidRDefault="000E14EA" w:rsidP="0BEAE642">
      <w:pPr>
        <w:pStyle w:val="Default"/>
        <w:numPr>
          <w:ilvl w:val="0"/>
          <w:numId w:val="12"/>
        </w:numPr>
        <w:jc w:val="both"/>
        <w:rPr>
          <w:rFonts w:asciiTheme="majorHAnsi" w:hAnsiTheme="majorHAnsi"/>
          <w:color w:val="auto"/>
          <w:sz w:val="22"/>
          <w:szCs w:val="22"/>
        </w:rPr>
      </w:pPr>
      <w:r w:rsidRPr="0BEAE642">
        <w:rPr>
          <w:rFonts w:asciiTheme="majorHAnsi" w:hAnsiTheme="majorHAnsi"/>
          <w:color w:val="auto"/>
          <w:sz w:val="22"/>
          <w:szCs w:val="22"/>
        </w:rPr>
        <w:t xml:space="preserve">Esta política establece las condiciones para que el PNUD (Programa de las Naciones Unidas para el Desarrollo) acepte los préstamos no reembolsables de personas </w:t>
      </w:r>
      <w:r w:rsidR="27588EF2" w:rsidRPr="0BEAE642">
        <w:rPr>
          <w:rFonts w:asciiTheme="majorHAnsi" w:hAnsiTheme="majorHAnsi"/>
          <w:color w:val="auto"/>
          <w:sz w:val="22"/>
          <w:szCs w:val="22"/>
        </w:rPr>
        <w:t xml:space="preserve">(Non-Reimbursable </w:t>
      </w:r>
      <w:r w:rsidR="4FC27593" w:rsidRPr="0BEAE642">
        <w:rPr>
          <w:rFonts w:asciiTheme="majorHAnsi" w:hAnsiTheme="majorHAnsi"/>
          <w:color w:val="auto"/>
          <w:sz w:val="22"/>
          <w:szCs w:val="22"/>
        </w:rPr>
        <w:t xml:space="preserve">Loan, </w:t>
      </w:r>
      <w:r w:rsidR="27588EF2" w:rsidRPr="0BEAE642">
        <w:rPr>
          <w:rFonts w:asciiTheme="majorHAnsi" w:hAnsiTheme="majorHAnsi"/>
          <w:color w:val="auto"/>
          <w:sz w:val="22"/>
          <w:szCs w:val="22"/>
        </w:rPr>
        <w:t xml:space="preserve">por su nombre en </w:t>
      </w:r>
      <w:r w:rsidR="0BB08F0F" w:rsidRPr="0BEAE642">
        <w:rPr>
          <w:rFonts w:asciiTheme="majorHAnsi" w:hAnsiTheme="majorHAnsi"/>
          <w:color w:val="auto"/>
          <w:sz w:val="22"/>
          <w:szCs w:val="22"/>
        </w:rPr>
        <w:t>inglés</w:t>
      </w:r>
      <w:r w:rsidR="2D376B24" w:rsidRPr="0BEAE642">
        <w:rPr>
          <w:rFonts w:asciiTheme="majorHAnsi" w:hAnsiTheme="majorHAnsi"/>
          <w:color w:val="auto"/>
          <w:sz w:val="22"/>
          <w:szCs w:val="22"/>
        </w:rPr>
        <w:t xml:space="preserve">) </w:t>
      </w:r>
      <w:r w:rsidRPr="0BEAE642">
        <w:rPr>
          <w:rFonts w:asciiTheme="majorHAnsi" w:hAnsiTheme="majorHAnsi"/>
          <w:color w:val="auto"/>
          <w:sz w:val="22"/>
          <w:szCs w:val="22"/>
        </w:rPr>
        <w:t>del Gobierno, donantes o de otras fuentes externas al PNUD para la aplicación del Reglamento Financiero 5.07 del PNUD.</w:t>
      </w:r>
      <w:r w:rsidRPr="0BEAE642">
        <w:rPr>
          <w:rFonts w:asciiTheme="majorHAnsi" w:hAnsiTheme="majorHAnsi"/>
          <w:b/>
          <w:bCs/>
          <w:color w:val="auto"/>
          <w:sz w:val="22"/>
          <w:szCs w:val="22"/>
        </w:rPr>
        <w:t xml:space="preserve"> </w:t>
      </w:r>
    </w:p>
    <w:p w14:paraId="70926208" w14:textId="77777777" w:rsidR="00215D6F" w:rsidRPr="00A12630" w:rsidRDefault="00215D6F" w:rsidP="00945D0B">
      <w:pPr>
        <w:jc w:val="both"/>
        <w:rPr>
          <w:rFonts w:asciiTheme="majorHAnsi" w:hAnsiTheme="majorHAnsi" w:cs="Arial"/>
          <w:sz w:val="22"/>
          <w:szCs w:val="22"/>
        </w:rPr>
      </w:pPr>
    </w:p>
    <w:p w14:paraId="5FB7D7E3" w14:textId="3BCFA729" w:rsidR="005B48A2" w:rsidRPr="00A12630" w:rsidRDefault="005B48A2" w:rsidP="00945D0B">
      <w:pPr>
        <w:jc w:val="both"/>
        <w:rPr>
          <w:rFonts w:asciiTheme="majorHAnsi" w:hAnsiTheme="majorHAnsi" w:cs="Arial"/>
          <w:b/>
          <w:bCs/>
          <w:sz w:val="22"/>
          <w:szCs w:val="22"/>
          <w:u w:val="single"/>
        </w:rPr>
      </w:pPr>
      <w:r>
        <w:rPr>
          <w:rFonts w:asciiTheme="majorHAnsi" w:hAnsiTheme="majorHAnsi"/>
          <w:b/>
          <w:bCs/>
          <w:sz w:val="22"/>
          <w:szCs w:val="22"/>
        </w:rPr>
        <w:t>2.0</w:t>
      </w:r>
      <w:r>
        <w:rPr>
          <w:rFonts w:asciiTheme="majorHAnsi" w:hAnsiTheme="majorHAnsi"/>
          <w:b/>
          <w:bCs/>
          <w:sz w:val="22"/>
          <w:szCs w:val="22"/>
        </w:rPr>
        <w:tab/>
        <w:t>Política</w:t>
      </w:r>
      <w:r>
        <w:rPr>
          <w:rFonts w:asciiTheme="majorHAnsi" w:hAnsiTheme="majorHAnsi"/>
          <w:b/>
          <w:bCs/>
          <w:sz w:val="22"/>
          <w:szCs w:val="22"/>
          <w:u w:val="single"/>
        </w:rPr>
        <w:t xml:space="preserve"> </w:t>
      </w:r>
    </w:p>
    <w:p w14:paraId="70C4E42A" w14:textId="77777777" w:rsidR="0067705B" w:rsidRPr="00A12630" w:rsidRDefault="0067705B" w:rsidP="00945D0B">
      <w:pPr>
        <w:jc w:val="both"/>
        <w:rPr>
          <w:rFonts w:asciiTheme="majorHAnsi" w:hAnsiTheme="majorHAnsi" w:cs="Arial"/>
          <w:bCs/>
          <w:sz w:val="22"/>
          <w:szCs w:val="22"/>
        </w:rPr>
      </w:pPr>
    </w:p>
    <w:p w14:paraId="43C68E73" w14:textId="77777777" w:rsidR="0067705B" w:rsidRPr="00A12630" w:rsidRDefault="0067705B" w:rsidP="00945D0B">
      <w:pPr>
        <w:pStyle w:val="Default"/>
        <w:jc w:val="both"/>
        <w:rPr>
          <w:rFonts w:asciiTheme="majorHAnsi" w:hAnsiTheme="majorHAnsi"/>
          <w:color w:val="auto"/>
          <w:sz w:val="22"/>
          <w:szCs w:val="22"/>
          <w:u w:val="single"/>
        </w:rPr>
      </w:pPr>
      <w:r>
        <w:rPr>
          <w:rFonts w:asciiTheme="majorHAnsi" w:hAnsiTheme="majorHAnsi"/>
          <w:color w:val="auto"/>
          <w:sz w:val="22"/>
          <w:szCs w:val="22"/>
          <w:u w:val="single"/>
        </w:rPr>
        <w:t>Introducción</w:t>
      </w:r>
    </w:p>
    <w:p w14:paraId="33539896" w14:textId="77777777" w:rsidR="0067705B" w:rsidRPr="00A12630" w:rsidRDefault="0067705B" w:rsidP="00945D0B">
      <w:pPr>
        <w:pStyle w:val="Default"/>
        <w:jc w:val="both"/>
        <w:rPr>
          <w:rFonts w:asciiTheme="majorHAnsi" w:hAnsiTheme="majorHAnsi"/>
          <w:color w:val="auto"/>
          <w:sz w:val="22"/>
          <w:szCs w:val="22"/>
        </w:rPr>
      </w:pPr>
    </w:p>
    <w:p w14:paraId="29117EEC" w14:textId="4B6BD102" w:rsidR="0067705B" w:rsidRPr="00A12630" w:rsidRDefault="0067705B" w:rsidP="00945D0B">
      <w:pPr>
        <w:pStyle w:val="Default"/>
        <w:numPr>
          <w:ilvl w:val="0"/>
          <w:numId w:val="12"/>
        </w:numPr>
        <w:jc w:val="both"/>
        <w:rPr>
          <w:rFonts w:asciiTheme="majorHAnsi" w:hAnsiTheme="majorHAnsi"/>
          <w:color w:val="auto"/>
          <w:sz w:val="22"/>
          <w:szCs w:val="22"/>
        </w:rPr>
      </w:pPr>
      <w:r>
        <w:rPr>
          <w:rFonts w:asciiTheme="majorHAnsi" w:hAnsiTheme="majorHAnsi"/>
          <w:color w:val="auto"/>
          <w:sz w:val="22"/>
          <w:szCs w:val="22"/>
        </w:rPr>
        <w:t xml:space="preserve">El propósito de esta política es aclarar las disposiciones relacionadas con la recepción de personal de acuerdo con la modalidad de préstamo no reembolsable. El anexo a la presente política contiene un modelo de memorando de acuerdo (MOA, </w:t>
      </w:r>
      <w:r>
        <w:rPr>
          <w:rFonts w:asciiTheme="majorHAnsi" w:hAnsiTheme="majorHAnsi"/>
          <w:i/>
          <w:color w:val="auto"/>
          <w:sz w:val="22"/>
          <w:szCs w:val="22"/>
        </w:rPr>
        <w:t>Memorandum of Agreement</w:t>
      </w:r>
      <w:r>
        <w:rPr>
          <w:rFonts w:asciiTheme="majorHAnsi" w:hAnsiTheme="majorHAnsi"/>
          <w:color w:val="auto"/>
          <w:sz w:val="22"/>
          <w:szCs w:val="22"/>
        </w:rPr>
        <w:t>, por sus siglas en inglés) para esos préstamos que debería preparar el Gobierno, el donante o la entidad pública externa al PNUD (Entidades Asociadas) y la oficina del receptor. El MOA es la base legal del acuerdo y deben cerrarlo la Entidad Asociada y la oficina del receptor. (ENLACE al MOA)</w:t>
      </w:r>
    </w:p>
    <w:p w14:paraId="1F3EE1B4" w14:textId="77777777" w:rsidR="0067705B" w:rsidRPr="00A12630" w:rsidRDefault="0067705B" w:rsidP="00945D0B">
      <w:pPr>
        <w:tabs>
          <w:tab w:val="left" w:pos="691"/>
          <w:tab w:val="left" w:pos="1286"/>
        </w:tabs>
        <w:spacing w:line="238" w:lineRule="exact"/>
        <w:jc w:val="both"/>
        <w:rPr>
          <w:rFonts w:asciiTheme="majorHAnsi" w:hAnsiTheme="majorHAnsi" w:cs="Arial"/>
          <w:sz w:val="22"/>
          <w:szCs w:val="22"/>
        </w:rPr>
      </w:pPr>
    </w:p>
    <w:p w14:paraId="4A65722F" w14:textId="7806797A" w:rsidR="0067705B" w:rsidRPr="00A12630" w:rsidRDefault="0067705B" w:rsidP="00945D0B">
      <w:pPr>
        <w:pStyle w:val="Default"/>
        <w:numPr>
          <w:ilvl w:val="0"/>
          <w:numId w:val="12"/>
        </w:numPr>
        <w:jc w:val="both"/>
        <w:rPr>
          <w:rFonts w:asciiTheme="majorHAnsi" w:hAnsiTheme="majorHAnsi"/>
          <w:color w:val="auto"/>
          <w:sz w:val="22"/>
          <w:szCs w:val="22"/>
        </w:rPr>
      </w:pPr>
      <w:r>
        <w:rPr>
          <w:rFonts w:asciiTheme="majorHAnsi" w:hAnsiTheme="majorHAnsi"/>
          <w:color w:val="auto"/>
          <w:sz w:val="22"/>
          <w:szCs w:val="22"/>
        </w:rPr>
        <w:t>El préstamo no reembolsable de personas de Entidades Asociadas es aceptable, sujeto a las disposiciones del Reglamento Financiero 5.07 y los procedimientos aplicables de la Oficina de Recursos Humanos y su política.</w:t>
      </w:r>
    </w:p>
    <w:p w14:paraId="30DA4CF7" w14:textId="77777777" w:rsidR="0067705B" w:rsidRPr="00A12630" w:rsidRDefault="0067705B" w:rsidP="00945D0B">
      <w:pPr>
        <w:tabs>
          <w:tab w:val="left" w:pos="691"/>
          <w:tab w:val="left" w:pos="1286"/>
        </w:tabs>
        <w:spacing w:line="238" w:lineRule="exact"/>
        <w:jc w:val="both"/>
        <w:rPr>
          <w:rFonts w:asciiTheme="majorHAnsi" w:hAnsiTheme="majorHAnsi" w:cs="Arial"/>
          <w:sz w:val="22"/>
          <w:szCs w:val="22"/>
        </w:rPr>
      </w:pPr>
    </w:p>
    <w:p w14:paraId="41C77C0B" w14:textId="46540181" w:rsidR="0067705B" w:rsidRPr="00A12630" w:rsidRDefault="0067705B" w:rsidP="00945D0B">
      <w:pPr>
        <w:pStyle w:val="Default"/>
        <w:numPr>
          <w:ilvl w:val="0"/>
          <w:numId w:val="12"/>
        </w:numPr>
        <w:jc w:val="both"/>
        <w:rPr>
          <w:rFonts w:asciiTheme="majorHAnsi" w:hAnsiTheme="majorHAnsi"/>
          <w:color w:val="auto"/>
          <w:sz w:val="22"/>
          <w:szCs w:val="22"/>
        </w:rPr>
      </w:pPr>
      <w:r>
        <w:rPr>
          <w:rFonts w:asciiTheme="majorHAnsi" w:hAnsiTheme="majorHAnsi"/>
          <w:color w:val="auto"/>
          <w:sz w:val="22"/>
          <w:szCs w:val="22"/>
        </w:rPr>
        <w:t xml:space="preserve">Un préstamo no reembolsable se define como un préstamo de los servicios de una persona sin ningún costo para el PNUD por su salario o remuneración, prestaciones, seguro de vida, médico y odontológico u otros beneficios. </w:t>
      </w:r>
    </w:p>
    <w:p w14:paraId="4A41B612" w14:textId="77777777" w:rsidR="00945D0B" w:rsidRPr="00A12630" w:rsidRDefault="00945D0B" w:rsidP="00945D0B">
      <w:pPr>
        <w:jc w:val="both"/>
        <w:rPr>
          <w:rFonts w:asciiTheme="majorHAnsi" w:hAnsiTheme="majorHAnsi" w:cs="Arial"/>
          <w:bCs/>
          <w:sz w:val="22"/>
          <w:szCs w:val="22"/>
        </w:rPr>
      </w:pPr>
    </w:p>
    <w:p w14:paraId="10E74256" w14:textId="77777777" w:rsidR="0067705B" w:rsidRPr="00A12630" w:rsidRDefault="0067705B" w:rsidP="00945D0B">
      <w:pPr>
        <w:pStyle w:val="Default"/>
        <w:jc w:val="both"/>
        <w:rPr>
          <w:rFonts w:asciiTheme="majorHAnsi" w:hAnsiTheme="majorHAnsi"/>
          <w:color w:val="auto"/>
          <w:sz w:val="22"/>
          <w:szCs w:val="22"/>
          <w:u w:val="single"/>
        </w:rPr>
      </w:pPr>
      <w:r>
        <w:rPr>
          <w:rFonts w:asciiTheme="majorHAnsi" w:hAnsiTheme="majorHAnsi"/>
          <w:color w:val="auto"/>
          <w:sz w:val="22"/>
          <w:szCs w:val="22"/>
          <w:u w:val="single"/>
        </w:rPr>
        <w:t>Propósitos para los cuales no pueden negociarse préstamos no reembolsables</w:t>
      </w:r>
    </w:p>
    <w:p w14:paraId="12E8979D" w14:textId="77777777" w:rsidR="0067705B" w:rsidRPr="00A12630" w:rsidRDefault="0067705B" w:rsidP="00945D0B">
      <w:pPr>
        <w:pStyle w:val="Default"/>
        <w:jc w:val="both"/>
        <w:rPr>
          <w:rFonts w:asciiTheme="majorHAnsi" w:hAnsiTheme="majorHAnsi"/>
          <w:color w:val="auto"/>
          <w:sz w:val="22"/>
          <w:szCs w:val="22"/>
        </w:rPr>
      </w:pPr>
    </w:p>
    <w:p w14:paraId="273611DA" w14:textId="7C71A578" w:rsidR="00F21244" w:rsidRPr="00A12630" w:rsidRDefault="0067705B" w:rsidP="00945D0B">
      <w:pPr>
        <w:pStyle w:val="Default"/>
        <w:numPr>
          <w:ilvl w:val="0"/>
          <w:numId w:val="12"/>
        </w:numPr>
        <w:jc w:val="both"/>
        <w:rPr>
          <w:rFonts w:asciiTheme="majorHAnsi" w:hAnsiTheme="majorHAnsi"/>
          <w:color w:val="auto"/>
          <w:sz w:val="22"/>
          <w:szCs w:val="22"/>
        </w:rPr>
      </w:pPr>
      <w:r>
        <w:rPr>
          <w:rFonts w:asciiTheme="majorHAnsi" w:hAnsiTheme="majorHAnsi"/>
          <w:color w:val="auto"/>
          <w:sz w:val="22"/>
          <w:szCs w:val="22"/>
        </w:rPr>
        <w:t>Los préstamos no reembolsables pueden negociarse entre una Entidad Asociada y el PNUD para la provisión de servicios al PNUD requeridos para asistir en la ejecución de actividades de naturaleza técnica o para actividades para compartir conocimientos, en donde se ha establecido una mejor práctica.</w:t>
      </w:r>
    </w:p>
    <w:p w14:paraId="1999D339" w14:textId="77777777" w:rsidR="00DA70FE" w:rsidRPr="00A12630" w:rsidRDefault="00DA70FE" w:rsidP="00945D0B">
      <w:pPr>
        <w:pStyle w:val="Default"/>
        <w:ind w:left="720"/>
        <w:jc w:val="both"/>
        <w:rPr>
          <w:rFonts w:asciiTheme="majorHAnsi" w:hAnsiTheme="majorHAnsi"/>
          <w:color w:val="auto"/>
          <w:sz w:val="22"/>
          <w:szCs w:val="22"/>
        </w:rPr>
      </w:pPr>
    </w:p>
    <w:p w14:paraId="49EE4054" w14:textId="2EE5F617" w:rsidR="00D75ED1" w:rsidRPr="00A12630" w:rsidRDefault="006A67C6" w:rsidP="00945D0B">
      <w:pPr>
        <w:pStyle w:val="Default"/>
        <w:numPr>
          <w:ilvl w:val="0"/>
          <w:numId w:val="12"/>
        </w:numPr>
        <w:jc w:val="both"/>
        <w:rPr>
          <w:rFonts w:asciiTheme="majorHAnsi" w:hAnsiTheme="majorHAnsi"/>
          <w:color w:val="auto"/>
          <w:sz w:val="22"/>
          <w:szCs w:val="22"/>
        </w:rPr>
      </w:pPr>
      <w:r>
        <w:rPr>
          <w:rFonts w:asciiTheme="majorHAnsi" w:hAnsiTheme="majorHAnsi"/>
          <w:color w:val="auto"/>
          <w:sz w:val="22"/>
          <w:szCs w:val="22"/>
        </w:rPr>
        <w:t>Cuando una Entidad Asociada no se ha acercado al PNUD y este necesita asistencia de naturaleza técnica y elige usar una modalidad de préstamo no reembolsable, debe presentar su solicitud colectivamente a sus Entidades Asociadas conocidas.</w:t>
      </w:r>
    </w:p>
    <w:p w14:paraId="13DC1349" w14:textId="77777777" w:rsidR="0067705B" w:rsidRPr="00A12630" w:rsidRDefault="0067705B" w:rsidP="00945D0B">
      <w:pPr>
        <w:pStyle w:val="Default"/>
        <w:jc w:val="both"/>
        <w:rPr>
          <w:rFonts w:asciiTheme="majorHAnsi" w:hAnsiTheme="majorHAnsi"/>
          <w:color w:val="auto"/>
          <w:sz w:val="22"/>
          <w:szCs w:val="22"/>
        </w:rPr>
      </w:pPr>
    </w:p>
    <w:p w14:paraId="74222F1D" w14:textId="471E8FD2" w:rsidR="00F21244" w:rsidRPr="00A12630" w:rsidRDefault="0067705B" w:rsidP="00945D0B">
      <w:pPr>
        <w:pStyle w:val="Default"/>
        <w:numPr>
          <w:ilvl w:val="0"/>
          <w:numId w:val="12"/>
        </w:numPr>
        <w:jc w:val="both"/>
        <w:rPr>
          <w:rFonts w:asciiTheme="majorHAnsi" w:hAnsiTheme="majorHAnsi"/>
          <w:color w:val="auto"/>
          <w:sz w:val="22"/>
          <w:szCs w:val="22"/>
        </w:rPr>
      </w:pPr>
      <w:r>
        <w:rPr>
          <w:rFonts w:asciiTheme="majorHAnsi" w:hAnsiTheme="majorHAnsi"/>
          <w:sz w:val="22"/>
          <w:szCs w:val="22"/>
        </w:rPr>
        <w:t>Esos préstamos pueden negociarse si se trata de servicios para cualquier Oficina del PNUD que se encuentre en un lugar de destino conocido, toda excepción debe recibir aprobación de la Oficina de Seguridad del PNUD.</w:t>
      </w:r>
    </w:p>
    <w:p w14:paraId="69AF9B3E" w14:textId="77777777" w:rsidR="00DD67C9" w:rsidRPr="00707DAF" w:rsidRDefault="00DD67C9" w:rsidP="00945D0B">
      <w:pPr>
        <w:pStyle w:val="ListParagraph"/>
        <w:jc w:val="both"/>
        <w:rPr>
          <w:rFonts w:asciiTheme="majorHAnsi" w:hAnsiTheme="majorHAnsi" w:cs="Arial"/>
          <w:sz w:val="22"/>
          <w:szCs w:val="22"/>
          <w:lang w:val="es-AR"/>
        </w:rPr>
      </w:pPr>
    </w:p>
    <w:p w14:paraId="2F1D4D79" w14:textId="21D73A9C" w:rsidR="00E82325" w:rsidRPr="00A12630" w:rsidRDefault="00473FB4" w:rsidP="00945D0B">
      <w:pPr>
        <w:pStyle w:val="Default"/>
        <w:numPr>
          <w:ilvl w:val="0"/>
          <w:numId w:val="12"/>
        </w:numPr>
        <w:jc w:val="both"/>
        <w:rPr>
          <w:rFonts w:asciiTheme="majorHAnsi" w:hAnsiTheme="majorHAnsi"/>
          <w:sz w:val="22"/>
          <w:szCs w:val="22"/>
        </w:rPr>
      </w:pPr>
      <w:r>
        <w:rPr>
          <w:rFonts w:asciiTheme="majorHAnsi" w:hAnsiTheme="majorHAnsi"/>
          <w:color w:val="auto"/>
          <w:sz w:val="22"/>
          <w:szCs w:val="22"/>
        </w:rPr>
        <w:t>El uso de préstamos no reembolsables debe ser temporal en su naturaleza con préstamos individuales, que no excedan los cinco años.</w:t>
      </w:r>
    </w:p>
    <w:p w14:paraId="434F3EC7" w14:textId="77777777" w:rsidR="003C2398" w:rsidRPr="00A12630" w:rsidRDefault="003C2398" w:rsidP="00945D0B">
      <w:pPr>
        <w:pStyle w:val="Default"/>
        <w:ind w:left="720"/>
        <w:jc w:val="both"/>
        <w:rPr>
          <w:rFonts w:asciiTheme="majorHAnsi" w:hAnsiTheme="majorHAnsi"/>
          <w:color w:val="auto"/>
          <w:sz w:val="22"/>
          <w:szCs w:val="22"/>
        </w:rPr>
      </w:pPr>
    </w:p>
    <w:p w14:paraId="1DA48874" w14:textId="7123F8A2" w:rsidR="002B64D2" w:rsidRPr="00A12630" w:rsidRDefault="00E82325" w:rsidP="0BEAE642">
      <w:pPr>
        <w:pStyle w:val="Default"/>
        <w:numPr>
          <w:ilvl w:val="0"/>
          <w:numId w:val="12"/>
        </w:numPr>
        <w:jc w:val="both"/>
        <w:rPr>
          <w:rFonts w:asciiTheme="majorHAnsi" w:hAnsiTheme="majorHAnsi"/>
          <w:color w:val="auto"/>
          <w:sz w:val="22"/>
          <w:szCs w:val="22"/>
        </w:rPr>
      </w:pPr>
      <w:r w:rsidRPr="0BEAE642">
        <w:rPr>
          <w:rFonts w:asciiTheme="majorHAnsi" w:hAnsiTheme="majorHAnsi"/>
          <w:color w:val="auto"/>
          <w:sz w:val="22"/>
          <w:szCs w:val="22"/>
        </w:rPr>
        <w:lastRenderedPageBreak/>
        <w:t xml:space="preserve">Bajo ninguna circunstancia se puede utilizar un préstamo no reembolsable para contratar a una persona como un miembro del personal o para la formación de habilidades profesionales de esa persona, para posicionarla o permitirle que se la considere para un nombramiento de personal o un contrato de consultor. Esos préstamos </w:t>
      </w:r>
      <w:r w:rsidRPr="00573272">
        <w:rPr>
          <w:rFonts w:asciiTheme="majorHAnsi" w:hAnsiTheme="majorHAnsi"/>
          <w:color w:val="auto"/>
          <w:sz w:val="22"/>
          <w:szCs w:val="22"/>
          <w:u w:val="single"/>
        </w:rPr>
        <w:t>no pueden</w:t>
      </w:r>
      <w:r w:rsidRPr="0BEAE642">
        <w:rPr>
          <w:rFonts w:asciiTheme="majorHAnsi" w:hAnsiTheme="majorHAnsi"/>
          <w:color w:val="auto"/>
          <w:sz w:val="22"/>
          <w:szCs w:val="22"/>
        </w:rPr>
        <w:t xml:space="preserve"> usarse para adquirir servicios de entidades privadas, en su lugar, se debe negociar un acuerdo </w:t>
      </w:r>
      <w:r w:rsidR="279BBF44" w:rsidRPr="00573272">
        <w:rPr>
          <w:rFonts w:asciiTheme="majorHAnsi" w:hAnsiTheme="majorHAnsi"/>
          <w:i/>
          <w:iCs/>
          <w:color w:val="auto"/>
          <w:sz w:val="22"/>
          <w:szCs w:val="22"/>
        </w:rPr>
        <w:t>pro-bono</w:t>
      </w:r>
      <w:r w:rsidRPr="0BEAE642">
        <w:rPr>
          <w:rFonts w:asciiTheme="majorHAnsi" w:hAnsiTheme="majorHAnsi"/>
          <w:color w:val="auto"/>
          <w:sz w:val="22"/>
          <w:szCs w:val="22"/>
        </w:rPr>
        <w:t xml:space="preserve"> para tal fin.  </w:t>
      </w:r>
    </w:p>
    <w:p w14:paraId="62A3AFE5" w14:textId="5FB5262F" w:rsidR="003C2398" w:rsidRPr="00A12630" w:rsidRDefault="003C2398" w:rsidP="00945D0B">
      <w:pPr>
        <w:pStyle w:val="Default"/>
        <w:ind w:left="720"/>
        <w:jc w:val="both"/>
        <w:rPr>
          <w:rFonts w:asciiTheme="majorHAnsi" w:hAnsiTheme="majorHAnsi"/>
          <w:color w:val="auto"/>
          <w:sz w:val="22"/>
          <w:szCs w:val="22"/>
        </w:rPr>
      </w:pPr>
    </w:p>
    <w:p w14:paraId="3FE9B2B7" w14:textId="5146BD41" w:rsidR="00473FB4" w:rsidRPr="00A12630" w:rsidRDefault="00397429" w:rsidP="00945D0B">
      <w:pPr>
        <w:pStyle w:val="Default"/>
        <w:numPr>
          <w:ilvl w:val="0"/>
          <w:numId w:val="12"/>
        </w:numPr>
        <w:ind w:left="720"/>
        <w:jc w:val="both"/>
        <w:rPr>
          <w:rFonts w:asciiTheme="majorHAnsi" w:hAnsiTheme="majorHAnsi"/>
          <w:color w:val="auto"/>
          <w:sz w:val="22"/>
          <w:szCs w:val="22"/>
        </w:rPr>
      </w:pPr>
      <w:r>
        <w:rPr>
          <w:rFonts w:asciiTheme="majorHAnsi" w:hAnsiTheme="majorHAnsi"/>
          <w:color w:val="auto"/>
          <w:sz w:val="22"/>
          <w:szCs w:val="22"/>
        </w:rPr>
        <w:t xml:space="preserve">El PNUD puede limitar la cantidad de préstamos no reembolsables de una Entidad Asociada en cualquier momento determinado. </w:t>
      </w:r>
    </w:p>
    <w:p w14:paraId="3739F085" w14:textId="77777777" w:rsidR="0067705B" w:rsidRPr="00707DAF" w:rsidRDefault="0067705B" w:rsidP="00945D0B">
      <w:pPr>
        <w:tabs>
          <w:tab w:val="left" w:pos="691"/>
        </w:tabs>
        <w:spacing w:line="238" w:lineRule="exact"/>
        <w:jc w:val="both"/>
        <w:rPr>
          <w:rFonts w:asciiTheme="majorHAnsi" w:hAnsiTheme="majorHAnsi" w:cs="Arial"/>
          <w:sz w:val="22"/>
          <w:szCs w:val="22"/>
          <w:lang w:val="es-AR"/>
        </w:rPr>
      </w:pPr>
    </w:p>
    <w:p w14:paraId="44CCFB4D" w14:textId="77777777" w:rsidR="0067705B" w:rsidRPr="00A12630" w:rsidRDefault="0067705B" w:rsidP="00A12630">
      <w:pPr>
        <w:pStyle w:val="Default"/>
        <w:ind w:firstLine="284"/>
        <w:jc w:val="both"/>
        <w:rPr>
          <w:rFonts w:asciiTheme="majorHAnsi" w:hAnsiTheme="majorHAnsi"/>
          <w:color w:val="auto"/>
          <w:sz w:val="22"/>
          <w:szCs w:val="22"/>
          <w:u w:val="single"/>
        </w:rPr>
      </w:pPr>
      <w:r>
        <w:rPr>
          <w:rFonts w:asciiTheme="majorHAnsi" w:hAnsiTheme="majorHAnsi"/>
          <w:color w:val="auto"/>
          <w:sz w:val="22"/>
          <w:szCs w:val="22"/>
          <w:u w:val="single"/>
        </w:rPr>
        <w:t>Condición jurídica y obligaciones de personas que trabajan con un préstamo no reembolsable</w:t>
      </w:r>
    </w:p>
    <w:p w14:paraId="06D1A2C6" w14:textId="77777777" w:rsidR="0067705B" w:rsidRPr="00A12630" w:rsidRDefault="0067705B" w:rsidP="00945D0B">
      <w:pPr>
        <w:pStyle w:val="Default"/>
        <w:jc w:val="both"/>
        <w:rPr>
          <w:rFonts w:asciiTheme="majorHAnsi" w:hAnsiTheme="majorHAnsi"/>
          <w:color w:val="auto"/>
          <w:sz w:val="22"/>
          <w:szCs w:val="22"/>
        </w:rPr>
      </w:pPr>
    </w:p>
    <w:p w14:paraId="335E4BB0" w14:textId="6C5D96DA" w:rsidR="0067705B" w:rsidRPr="00A12630" w:rsidRDefault="0067705B" w:rsidP="00945D0B">
      <w:pPr>
        <w:pStyle w:val="Default"/>
        <w:numPr>
          <w:ilvl w:val="0"/>
          <w:numId w:val="12"/>
        </w:numPr>
        <w:jc w:val="both"/>
        <w:rPr>
          <w:rFonts w:asciiTheme="majorHAnsi" w:hAnsiTheme="majorHAnsi"/>
          <w:color w:val="auto"/>
          <w:sz w:val="22"/>
          <w:szCs w:val="22"/>
        </w:rPr>
      </w:pPr>
      <w:r>
        <w:rPr>
          <w:rFonts w:asciiTheme="majorHAnsi" w:hAnsiTheme="majorHAnsi"/>
          <w:color w:val="auto"/>
          <w:sz w:val="22"/>
          <w:szCs w:val="22"/>
        </w:rPr>
        <w:t xml:space="preserve">Las personas cuyos servicios se </w:t>
      </w:r>
      <w:r w:rsidRPr="00022B6F">
        <w:rPr>
          <w:rFonts w:asciiTheme="majorHAnsi" w:hAnsiTheme="majorHAnsi"/>
          <w:color w:val="auto"/>
          <w:sz w:val="22"/>
          <w:szCs w:val="22"/>
        </w:rPr>
        <w:t>aceptaron en un préstamo no reembolsable no pertenecen a los miembros del personal del PNUD ni han sido contratados o empleados por el PNUD.</w:t>
      </w:r>
      <w:r w:rsidRPr="00022B6F">
        <w:rPr>
          <w:rFonts w:asciiTheme="majorHAnsi" w:hAnsiTheme="majorHAnsi"/>
          <w:sz w:val="22"/>
          <w:szCs w:val="22"/>
        </w:rPr>
        <w:t xml:space="preserve"> </w:t>
      </w:r>
      <w:r w:rsidRPr="00022B6F">
        <w:rPr>
          <w:rFonts w:asciiTheme="majorHAnsi" w:hAnsiTheme="majorHAnsi"/>
          <w:color w:val="auto"/>
          <w:sz w:val="22"/>
          <w:szCs w:val="22"/>
        </w:rPr>
        <w:t>La relación contractual de esas personas con el PNUD</w:t>
      </w:r>
      <w:r w:rsidRPr="00022B6F">
        <w:rPr>
          <w:rFonts w:asciiTheme="majorHAnsi" w:hAnsiTheme="majorHAnsi" w:cstheme="majorHAnsi"/>
          <w:color w:val="auto"/>
          <w:sz w:val="22"/>
          <w:szCs w:val="22"/>
        </w:rPr>
        <w:t xml:space="preserve"> se establece a través de un MOA entre la entidad que proporciona a la persona y el PNUD.  Su relación se encuentra sujeta a los términos de ese acuerdo y no al Reglamento o Estatuto del Personal de las Naciones Unidas. </w:t>
      </w:r>
      <w:r w:rsidRPr="00022B6F">
        <w:rPr>
          <w:rFonts w:asciiTheme="majorHAnsi" w:hAnsiTheme="majorHAnsi" w:cstheme="majorHAnsi"/>
          <w:sz w:val="22"/>
          <w:szCs w:val="22"/>
        </w:rPr>
        <w:t xml:space="preserve">Con el propósito de la Convención sobre Prerrogativas e Inmunidades de las Naciones Unidas, esas personas se consideran «expertas en misión» dentro del significado del </w:t>
      </w:r>
      <w:r w:rsidRPr="00022B6F">
        <w:rPr>
          <w:rFonts w:asciiTheme="majorHAnsi" w:hAnsiTheme="majorHAnsi" w:cstheme="majorHAnsi"/>
          <w:color w:val="auto"/>
          <w:sz w:val="22"/>
          <w:szCs w:val="22"/>
        </w:rPr>
        <w:t xml:space="preserve">artículo VI, </w:t>
      </w:r>
      <w:hyperlink r:id="rId13" w:history="1">
        <w:r w:rsidRPr="00022B6F">
          <w:rPr>
            <w:rFonts w:asciiTheme="majorHAnsi" w:hAnsiTheme="majorHAnsi" w:cstheme="majorHAnsi"/>
            <w:color w:val="auto"/>
            <w:sz w:val="22"/>
            <w:szCs w:val="22"/>
          </w:rPr>
          <w:t>secciones 22</w:t>
        </w:r>
      </w:hyperlink>
      <w:r w:rsidRPr="00022B6F">
        <w:rPr>
          <w:rFonts w:asciiTheme="majorHAnsi" w:hAnsiTheme="majorHAnsi" w:cstheme="majorHAnsi"/>
          <w:color w:val="auto"/>
          <w:sz w:val="22"/>
          <w:szCs w:val="22"/>
        </w:rPr>
        <w:t xml:space="preserve"> y </w:t>
      </w:r>
      <w:hyperlink r:id="rId14" w:history="1">
        <w:r w:rsidRPr="00022B6F">
          <w:rPr>
            <w:rFonts w:asciiTheme="majorHAnsi" w:hAnsiTheme="majorHAnsi" w:cstheme="majorHAnsi"/>
            <w:color w:val="auto"/>
            <w:sz w:val="22"/>
            <w:szCs w:val="22"/>
          </w:rPr>
          <w:t>23</w:t>
        </w:r>
      </w:hyperlink>
      <w:r w:rsidRPr="00022B6F">
        <w:rPr>
          <w:rFonts w:asciiTheme="majorHAnsi" w:hAnsiTheme="majorHAnsi" w:cstheme="majorHAnsi"/>
          <w:color w:val="auto"/>
          <w:sz w:val="22"/>
          <w:szCs w:val="22"/>
        </w:rPr>
        <w:t>, de esa Convención, al realizar funciones para el PNUD. Si el PNUD requiere que viajen, pueden recibir un certificado de viajes de las Naciones Unidas.</w:t>
      </w:r>
    </w:p>
    <w:p w14:paraId="438A7CE6" w14:textId="77777777" w:rsidR="0067705B" w:rsidRPr="00A12630" w:rsidRDefault="0067705B" w:rsidP="00945D0B">
      <w:pPr>
        <w:tabs>
          <w:tab w:val="left" w:pos="691"/>
        </w:tabs>
        <w:spacing w:line="238" w:lineRule="exact"/>
        <w:jc w:val="both"/>
        <w:rPr>
          <w:rFonts w:asciiTheme="majorHAnsi" w:hAnsiTheme="majorHAnsi" w:cs="Arial"/>
          <w:sz w:val="22"/>
          <w:szCs w:val="22"/>
        </w:rPr>
      </w:pPr>
    </w:p>
    <w:p w14:paraId="32E654DA" w14:textId="63A21D50" w:rsidR="0067705B" w:rsidRPr="00A12630" w:rsidRDefault="0067705B" w:rsidP="00945D0B">
      <w:pPr>
        <w:pStyle w:val="p9"/>
        <w:numPr>
          <w:ilvl w:val="0"/>
          <w:numId w:val="12"/>
        </w:numPr>
        <w:spacing w:line="238" w:lineRule="exact"/>
        <w:jc w:val="both"/>
        <w:rPr>
          <w:rFonts w:asciiTheme="majorHAnsi" w:eastAsiaTheme="minorEastAsia" w:hAnsiTheme="majorHAnsi" w:cs="Arial"/>
          <w:sz w:val="22"/>
          <w:szCs w:val="22"/>
        </w:rPr>
      </w:pPr>
      <w:r>
        <w:rPr>
          <w:rFonts w:asciiTheme="majorHAnsi" w:hAnsiTheme="majorHAnsi"/>
          <w:sz w:val="22"/>
          <w:szCs w:val="22"/>
        </w:rPr>
        <w:t>Durante el cumplimiento de sus servicios con el PNUD, las personas con préstamos no reembolsables deben regirse por las normas de conducta establecidas en ST/SGB/2002/9, que a los expertos en misión</w:t>
      </w:r>
      <w:r w:rsidR="00473FB4" w:rsidRPr="00A12630">
        <w:rPr>
          <w:rStyle w:val="FootnoteReference"/>
          <w:rFonts w:asciiTheme="majorHAnsi" w:eastAsiaTheme="minorEastAsia" w:hAnsiTheme="majorHAnsi" w:cs="Arial"/>
          <w:sz w:val="22"/>
          <w:szCs w:val="22"/>
          <w:lang w:val="en-CA"/>
        </w:rPr>
        <w:footnoteReference w:id="1"/>
      </w:r>
      <w:r>
        <w:rPr>
          <w:rFonts w:asciiTheme="majorHAnsi" w:hAnsiTheme="majorHAnsi"/>
          <w:sz w:val="22"/>
          <w:szCs w:val="22"/>
        </w:rPr>
        <w:t>, y por toda disposición acordada por la Entidad Asociada en el MOA. Las personas con préstamos no reembolsables no pueden buscar ni aceptar instrucciones de ningún Gobierno u otra autoridad externa al PNUD. No deben participar de ninguna actividad que sea incompatible con el descargo adecuado de sus términos de referencia. Se requiere que ejerzan la mayor discreción en todos los asuntos oficiales y no pueden comunicarles a otras personas, al Gobierno o a las autoridades información que ellos conozcan por motivos de su trabajo con el PNUD que no se haya hecho pública, excepto en el curso de sus funciones o por autorización explícita del PNUD. Tampoco deben, en ningún momento, usar esa información para obtener ventajas particulares. Estas obligaciones no terminan con la finalización de su servicio.</w:t>
      </w:r>
    </w:p>
    <w:p w14:paraId="658BE422" w14:textId="77777777" w:rsidR="00E50B89" w:rsidRPr="00707DAF" w:rsidRDefault="00E50B89" w:rsidP="00945D0B">
      <w:pPr>
        <w:pStyle w:val="ListParagraph"/>
        <w:jc w:val="both"/>
        <w:rPr>
          <w:rFonts w:asciiTheme="majorHAnsi" w:eastAsiaTheme="minorEastAsia" w:hAnsiTheme="majorHAnsi" w:cs="Arial"/>
          <w:sz w:val="22"/>
          <w:szCs w:val="22"/>
          <w:lang w:val="es-AR"/>
        </w:rPr>
      </w:pPr>
    </w:p>
    <w:p w14:paraId="3FBF9A7F" w14:textId="77777777" w:rsidR="00140F90" w:rsidRPr="00A12630" w:rsidRDefault="00E50B89" w:rsidP="00945D0B">
      <w:pPr>
        <w:pStyle w:val="p9"/>
        <w:numPr>
          <w:ilvl w:val="0"/>
          <w:numId w:val="12"/>
        </w:numPr>
        <w:spacing w:line="238" w:lineRule="exact"/>
        <w:jc w:val="both"/>
        <w:rPr>
          <w:rFonts w:asciiTheme="majorHAnsi" w:eastAsiaTheme="minorEastAsia" w:hAnsiTheme="majorHAnsi" w:cs="Arial"/>
          <w:sz w:val="22"/>
          <w:szCs w:val="22"/>
        </w:rPr>
      </w:pPr>
      <w:r>
        <w:rPr>
          <w:rFonts w:asciiTheme="majorHAnsi" w:hAnsiTheme="majorHAnsi"/>
          <w:sz w:val="22"/>
          <w:szCs w:val="22"/>
        </w:rPr>
        <w:t>Las personas con préstamos no reembolsables:</w:t>
      </w:r>
    </w:p>
    <w:p w14:paraId="16AE4DC2" w14:textId="77777777" w:rsidR="00140F90" w:rsidRPr="00707DAF" w:rsidRDefault="00140F90" w:rsidP="00945D0B">
      <w:pPr>
        <w:pStyle w:val="p9"/>
        <w:spacing w:line="238" w:lineRule="exact"/>
        <w:jc w:val="both"/>
        <w:rPr>
          <w:rFonts w:asciiTheme="majorHAnsi" w:eastAsiaTheme="minorEastAsia" w:hAnsiTheme="majorHAnsi" w:cs="Arial"/>
          <w:sz w:val="22"/>
          <w:szCs w:val="22"/>
          <w:lang w:val="es-AR"/>
        </w:rPr>
      </w:pPr>
    </w:p>
    <w:p w14:paraId="16F4C3A0" w14:textId="09BEBC0E" w:rsidR="006B7780" w:rsidRPr="00A12630" w:rsidRDefault="00022B6F" w:rsidP="00945D0B">
      <w:pPr>
        <w:pStyle w:val="p9"/>
        <w:numPr>
          <w:ilvl w:val="1"/>
          <w:numId w:val="12"/>
        </w:numPr>
        <w:spacing w:line="238" w:lineRule="exact"/>
        <w:jc w:val="both"/>
        <w:rPr>
          <w:rFonts w:asciiTheme="majorHAnsi" w:eastAsiaTheme="minorEastAsia" w:hAnsiTheme="majorHAnsi" w:cs="Arial"/>
          <w:sz w:val="22"/>
          <w:szCs w:val="22"/>
        </w:rPr>
      </w:pPr>
      <w:r>
        <w:rPr>
          <w:rFonts w:asciiTheme="majorHAnsi" w:hAnsiTheme="majorHAnsi"/>
          <w:sz w:val="22"/>
          <w:szCs w:val="22"/>
          <w:lang w:val="es-AR"/>
        </w:rPr>
        <w:t>D</w:t>
      </w:r>
      <w:r w:rsidR="006B7780">
        <w:rPr>
          <w:rFonts w:asciiTheme="majorHAnsi" w:hAnsiTheme="majorHAnsi"/>
          <w:sz w:val="22"/>
          <w:szCs w:val="22"/>
        </w:rPr>
        <w:t xml:space="preserve">eberán obtener acceso a los sistemas y las instalaciones del PNUD de acuerdo con la política del PNUD; </w:t>
      </w:r>
    </w:p>
    <w:p w14:paraId="745B6F2A" w14:textId="79588510" w:rsidR="00C3215F" w:rsidRPr="00A12630" w:rsidRDefault="00022B6F" w:rsidP="00945D0B">
      <w:pPr>
        <w:pStyle w:val="p9"/>
        <w:numPr>
          <w:ilvl w:val="1"/>
          <w:numId w:val="12"/>
        </w:numPr>
        <w:spacing w:line="238" w:lineRule="exact"/>
        <w:jc w:val="both"/>
        <w:rPr>
          <w:rFonts w:asciiTheme="majorHAnsi" w:eastAsiaTheme="minorEastAsia" w:hAnsiTheme="majorHAnsi" w:cs="Arial"/>
          <w:sz w:val="22"/>
          <w:szCs w:val="22"/>
        </w:rPr>
      </w:pPr>
      <w:r>
        <w:rPr>
          <w:rFonts w:asciiTheme="majorHAnsi" w:hAnsiTheme="majorHAnsi"/>
          <w:sz w:val="22"/>
          <w:szCs w:val="22"/>
        </w:rPr>
        <w:t>N</w:t>
      </w:r>
      <w:r w:rsidR="00FA5498">
        <w:rPr>
          <w:rFonts w:asciiTheme="majorHAnsi" w:hAnsiTheme="majorHAnsi"/>
          <w:sz w:val="22"/>
          <w:szCs w:val="22"/>
        </w:rPr>
        <w:t>o podrán ejercer funciones de supervisión sobre los miembros del personal del PNUD ni realizar funciones financieras del PNUD;</w:t>
      </w:r>
    </w:p>
    <w:p w14:paraId="6973FFE3" w14:textId="47F0CBA6" w:rsidR="004277A6" w:rsidRPr="00A12630" w:rsidRDefault="00022B6F" w:rsidP="00945D0B">
      <w:pPr>
        <w:pStyle w:val="p9"/>
        <w:numPr>
          <w:ilvl w:val="1"/>
          <w:numId w:val="12"/>
        </w:numPr>
        <w:spacing w:line="238" w:lineRule="exact"/>
        <w:jc w:val="both"/>
        <w:rPr>
          <w:rFonts w:asciiTheme="majorHAnsi" w:eastAsiaTheme="minorEastAsia" w:hAnsiTheme="majorHAnsi" w:cs="Arial"/>
          <w:sz w:val="22"/>
          <w:szCs w:val="22"/>
        </w:rPr>
      </w:pPr>
      <w:r>
        <w:rPr>
          <w:rFonts w:asciiTheme="majorHAnsi" w:hAnsiTheme="majorHAnsi"/>
          <w:sz w:val="22"/>
          <w:szCs w:val="22"/>
        </w:rPr>
        <w:t>N</w:t>
      </w:r>
      <w:r w:rsidR="004277A6">
        <w:rPr>
          <w:rFonts w:asciiTheme="majorHAnsi" w:hAnsiTheme="majorHAnsi"/>
          <w:sz w:val="22"/>
          <w:szCs w:val="22"/>
        </w:rPr>
        <w:t xml:space="preserve">o podrán considerarse para empleos del PNUD durante un período de seis meses posteriores a la finalización del préstamo.   </w:t>
      </w:r>
    </w:p>
    <w:p w14:paraId="6BA74AA3" w14:textId="56B06D06" w:rsidR="0067705B" w:rsidRPr="00A12630" w:rsidRDefault="00A12630" w:rsidP="00945D0B">
      <w:pPr>
        <w:pStyle w:val="p9"/>
        <w:spacing w:line="238" w:lineRule="exact"/>
        <w:jc w:val="both"/>
        <w:rPr>
          <w:rFonts w:asciiTheme="majorHAnsi" w:eastAsiaTheme="minorEastAsia" w:hAnsiTheme="majorHAnsi" w:cs="Arial"/>
          <w:sz w:val="22"/>
          <w:szCs w:val="22"/>
          <w:u w:val="single"/>
        </w:rPr>
      </w:pPr>
      <w:r>
        <w:rPr>
          <w:rFonts w:asciiTheme="majorHAnsi" w:hAnsiTheme="majorHAnsi"/>
          <w:sz w:val="22"/>
          <w:szCs w:val="22"/>
        </w:rPr>
        <w:tab/>
      </w:r>
      <w:r>
        <w:rPr>
          <w:rFonts w:asciiTheme="majorHAnsi" w:hAnsiTheme="majorHAnsi"/>
          <w:sz w:val="22"/>
          <w:szCs w:val="22"/>
          <w:u w:val="single"/>
        </w:rPr>
        <w:t>Derechos de titularidad</w:t>
      </w:r>
    </w:p>
    <w:p w14:paraId="0BE73F76" w14:textId="77777777" w:rsidR="0067705B" w:rsidRPr="00A12630" w:rsidRDefault="0067705B" w:rsidP="00945D0B">
      <w:pPr>
        <w:pStyle w:val="p9"/>
        <w:spacing w:line="238" w:lineRule="exact"/>
        <w:jc w:val="both"/>
        <w:rPr>
          <w:rFonts w:asciiTheme="majorHAnsi" w:eastAsiaTheme="minorEastAsia" w:hAnsiTheme="majorHAnsi" w:cs="Arial"/>
          <w:sz w:val="22"/>
          <w:szCs w:val="22"/>
          <w:lang w:val="en-CA"/>
        </w:rPr>
      </w:pPr>
    </w:p>
    <w:p w14:paraId="417A493D" w14:textId="20F359C4" w:rsidR="0067705B" w:rsidRPr="00A12630" w:rsidRDefault="0067705B" w:rsidP="00945D0B">
      <w:pPr>
        <w:pStyle w:val="p9"/>
        <w:numPr>
          <w:ilvl w:val="0"/>
          <w:numId w:val="12"/>
        </w:numPr>
        <w:spacing w:line="238" w:lineRule="exact"/>
        <w:jc w:val="both"/>
        <w:rPr>
          <w:rFonts w:asciiTheme="majorHAnsi" w:eastAsiaTheme="minorEastAsia" w:hAnsiTheme="majorHAnsi" w:cs="Arial"/>
          <w:sz w:val="22"/>
          <w:szCs w:val="22"/>
        </w:rPr>
      </w:pPr>
      <w:r>
        <w:rPr>
          <w:rFonts w:asciiTheme="majorHAnsi" w:hAnsiTheme="majorHAnsi"/>
          <w:sz w:val="22"/>
          <w:szCs w:val="22"/>
        </w:rPr>
        <w:t>Los derechos de titularidad, los derechos de autor y otros derechos intelectuales y/o de propiedad en cualquier material producido por la persona contratada con base en un préstamo no reembolsable, debe otorgarse exclusivamente al PNUD y permanecer en el PNUD.</w:t>
      </w:r>
    </w:p>
    <w:p w14:paraId="0B588BEB" w14:textId="77777777" w:rsidR="0067705B" w:rsidRPr="00A12630" w:rsidRDefault="0067705B" w:rsidP="00945D0B">
      <w:pPr>
        <w:tabs>
          <w:tab w:val="left" w:pos="691"/>
        </w:tabs>
        <w:spacing w:line="238" w:lineRule="exact"/>
        <w:jc w:val="both"/>
        <w:rPr>
          <w:rFonts w:asciiTheme="majorHAnsi" w:hAnsiTheme="majorHAnsi" w:cs="Arial"/>
          <w:sz w:val="22"/>
          <w:szCs w:val="22"/>
        </w:rPr>
      </w:pPr>
    </w:p>
    <w:p w14:paraId="5EFC7948" w14:textId="495369CD" w:rsidR="0067705B" w:rsidRPr="00A12630" w:rsidRDefault="00A12630" w:rsidP="00945D0B">
      <w:pPr>
        <w:pStyle w:val="p9"/>
        <w:spacing w:line="238" w:lineRule="exact"/>
        <w:jc w:val="both"/>
        <w:rPr>
          <w:rFonts w:asciiTheme="majorHAnsi" w:eastAsiaTheme="minorEastAsia" w:hAnsiTheme="majorHAnsi" w:cs="Arial"/>
          <w:sz w:val="22"/>
          <w:szCs w:val="22"/>
          <w:u w:val="single"/>
        </w:rPr>
      </w:pPr>
      <w:r>
        <w:rPr>
          <w:rFonts w:asciiTheme="majorHAnsi" w:hAnsiTheme="majorHAnsi"/>
          <w:sz w:val="22"/>
          <w:szCs w:val="22"/>
        </w:rPr>
        <w:tab/>
      </w:r>
      <w:r>
        <w:rPr>
          <w:rFonts w:asciiTheme="majorHAnsi" w:hAnsiTheme="majorHAnsi"/>
          <w:sz w:val="22"/>
          <w:szCs w:val="22"/>
          <w:u w:val="single"/>
        </w:rPr>
        <w:t>Requisitos para la aceptación de servicios en una base no reembolsable</w:t>
      </w:r>
    </w:p>
    <w:p w14:paraId="16C5A0DE" w14:textId="77777777" w:rsidR="0067705B" w:rsidRPr="00707DAF" w:rsidRDefault="0067705B" w:rsidP="00945D0B">
      <w:pPr>
        <w:pStyle w:val="p9"/>
        <w:spacing w:line="238" w:lineRule="exact"/>
        <w:jc w:val="both"/>
        <w:rPr>
          <w:rFonts w:asciiTheme="majorHAnsi" w:eastAsiaTheme="minorEastAsia" w:hAnsiTheme="majorHAnsi" w:cs="Arial"/>
          <w:sz w:val="22"/>
          <w:szCs w:val="22"/>
          <w:lang w:val="es-AR"/>
        </w:rPr>
      </w:pPr>
    </w:p>
    <w:p w14:paraId="36B912BB" w14:textId="63770D71" w:rsidR="0067705B" w:rsidRPr="00A12630" w:rsidRDefault="0067705B" w:rsidP="00945D0B">
      <w:pPr>
        <w:pStyle w:val="p9"/>
        <w:numPr>
          <w:ilvl w:val="0"/>
          <w:numId w:val="12"/>
        </w:numPr>
        <w:spacing w:line="238" w:lineRule="exact"/>
        <w:jc w:val="both"/>
        <w:rPr>
          <w:rFonts w:asciiTheme="majorHAnsi" w:eastAsiaTheme="minorEastAsia" w:hAnsiTheme="majorHAnsi" w:cs="Arial"/>
          <w:sz w:val="22"/>
          <w:szCs w:val="22"/>
        </w:rPr>
      </w:pPr>
      <w:r>
        <w:rPr>
          <w:rFonts w:asciiTheme="majorHAnsi" w:hAnsiTheme="majorHAnsi"/>
          <w:sz w:val="22"/>
          <w:szCs w:val="22"/>
        </w:rPr>
        <w:lastRenderedPageBreak/>
        <w:t>Los requisitos para la aceptación de servicios en una base no reembolsable incluyen lo siguiente:</w:t>
      </w:r>
    </w:p>
    <w:p w14:paraId="174A58F7" w14:textId="77777777" w:rsidR="00E14462" w:rsidRPr="00707DAF" w:rsidRDefault="00E14462" w:rsidP="00945D0B">
      <w:pPr>
        <w:pStyle w:val="p9"/>
        <w:spacing w:line="238" w:lineRule="exact"/>
        <w:jc w:val="both"/>
        <w:rPr>
          <w:rFonts w:asciiTheme="majorHAnsi" w:eastAsiaTheme="minorEastAsia" w:hAnsiTheme="majorHAnsi" w:cs="Arial"/>
          <w:sz w:val="22"/>
          <w:szCs w:val="22"/>
          <w:lang w:val="es-AR"/>
        </w:rPr>
      </w:pPr>
    </w:p>
    <w:p w14:paraId="4CB3198C" w14:textId="4170D1A7" w:rsidR="003C36BE" w:rsidRPr="00A12630" w:rsidRDefault="00423A17" w:rsidP="00945D0B">
      <w:pPr>
        <w:pStyle w:val="p9"/>
        <w:numPr>
          <w:ilvl w:val="0"/>
          <w:numId w:val="7"/>
        </w:numPr>
        <w:spacing w:line="238" w:lineRule="exact"/>
        <w:jc w:val="both"/>
        <w:rPr>
          <w:rFonts w:asciiTheme="majorHAnsi" w:eastAsiaTheme="minorEastAsia" w:hAnsiTheme="majorHAnsi" w:cs="Arial"/>
          <w:sz w:val="22"/>
          <w:szCs w:val="22"/>
        </w:rPr>
      </w:pPr>
      <w:r>
        <w:rPr>
          <w:rFonts w:asciiTheme="majorHAnsi" w:hAnsiTheme="majorHAnsi"/>
          <w:sz w:val="22"/>
          <w:szCs w:val="22"/>
        </w:rPr>
        <w:t xml:space="preserve">En coordinación con el socio comercial de la Oficina de Recursos Humanos (ORH, </w:t>
      </w:r>
      <w:r w:rsidRPr="00071E5D">
        <w:rPr>
          <w:rFonts w:asciiTheme="majorHAnsi" w:hAnsiTheme="majorHAnsi"/>
          <w:i/>
          <w:sz w:val="22"/>
          <w:szCs w:val="22"/>
        </w:rPr>
        <w:t xml:space="preserve">Office of Human Resources, </w:t>
      </w:r>
      <w:r>
        <w:rPr>
          <w:rFonts w:asciiTheme="majorHAnsi" w:hAnsiTheme="majorHAnsi"/>
          <w:sz w:val="22"/>
          <w:szCs w:val="22"/>
        </w:rPr>
        <w:t>por sus siglas en inglés), el Buró o la Oficina en cuestión prep</w:t>
      </w:r>
      <w:r w:rsidR="00022B6F">
        <w:rPr>
          <w:rFonts w:asciiTheme="majorHAnsi" w:hAnsiTheme="majorHAnsi"/>
          <w:sz w:val="22"/>
          <w:szCs w:val="22"/>
        </w:rPr>
        <w:t>aran los Términos de Referencia</w:t>
      </w:r>
      <w:r>
        <w:rPr>
          <w:rFonts w:asciiTheme="majorHAnsi" w:hAnsiTheme="majorHAnsi"/>
          <w:sz w:val="22"/>
          <w:szCs w:val="22"/>
        </w:rPr>
        <w:t xml:space="preserve"> (TdR) enumerando los derechos y las funciones y la duración del préstamo. cuando sea necesario, el socio comercial de la ORH colaborará con la estrategia de selección con base en la competencia y la necesidad de asegurar las más altas normas de eficiencia, competencia profesional e integridad;</w:t>
      </w:r>
    </w:p>
    <w:p w14:paraId="74C537BD" w14:textId="77777777" w:rsidR="00D015BE" w:rsidRPr="00707DAF" w:rsidRDefault="00D015BE" w:rsidP="00945D0B">
      <w:pPr>
        <w:pStyle w:val="p9"/>
        <w:spacing w:line="238" w:lineRule="exact"/>
        <w:jc w:val="both"/>
        <w:rPr>
          <w:rFonts w:asciiTheme="majorHAnsi" w:eastAsiaTheme="minorEastAsia" w:hAnsiTheme="majorHAnsi" w:cs="Arial"/>
          <w:sz w:val="22"/>
          <w:szCs w:val="22"/>
          <w:lang w:val="es-AR"/>
        </w:rPr>
      </w:pPr>
    </w:p>
    <w:p w14:paraId="14D50B83" w14:textId="0D8A8C39" w:rsidR="003C36BE" w:rsidRPr="00A12630" w:rsidRDefault="00022B6F" w:rsidP="00945D0B">
      <w:pPr>
        <w:pStyle w:val="p9"/>
        <w:numPr>
          <w:ilvl w:val="0"/>
          <w:numId w:val="7"/>
        </w:numPr>
        <w:spacing w:line="238" w:lineRule="exact"/>
        <w:jc w:val="both"/>
        <w:rPr>
          <w:rFonts w:asciiTheme="majorHAnsi" w:eastAsiaTheme="minorEastAsia" w:hAnsiTheme="majorHAnsi" w:cs="Arial"/>
          <w:sz w:val="22"/>
          <w:szCs w:val="22"/>
        </w:rPr>
      </w:pPr>
      <w:r>
        <w:rPr>
          <w:rFonts w:asciiTheme="majorHAnsi" w:hAnsiTheme="majorHAnsi"/>
          <w:sz w:val="22"/>
          <w:szCs w:val="22"/>
          <w:lang w:val="es-AR"/>
        </w:rPr>
        <w:t>U</w:t>
      </w:r>
      <w:r w:rsidR="003C36BE">
        <w:rPr>
          <w:rFonts w:asciiTheme="majorHAnsi" w:hAnsiTheme="majorHAnsi"/>
          <w:sz w:val="22"/>
          <w:szCs w:val="22"/>
        </w:rPr>
        <w:t xml:space="preserve">n comunicado de la posible Entidad Asociada en el que se acepta lo siguiente: </w:t>
      </w:r>
    </w:p>
    <w:p w14:paraId="4C2766F2" w14:textId="77777777" w:rsidR="003C36BE" w:rsidRPr="00707DAF" w:rsidRDefault="003C36BE" w:rsidP="00945D0B">
      <w:pPr>
        <w:pStyle w:val="p9"/>
        <w:spacing w:line="238" w:lineRule="exact"/>
        <w:jc w:val="both"/>
        <w:rPr>
          <w:rFonts w:asciiTheme="majorHAnsi" w:eastAsiaTheme="minorEastAsia" w:hAnsiTheme="majorHAnsi" w:cs="Arial"/>
          <w:sz w:val="22"/>
          <w:szCs w:val="22"/>
          <w:lang w:val="es-AR"/>
        </w:rPr>
      </w:pPr>
    </w:p>
    <w:p w14:paraId="1EA54143" w14:textId="40AA206D" w:rsidR="003C36BE" w:rsidRPr="00A12630" w:rsidRDefault="00022B6F" w:rsidP="00945D0B">
      <w:pPr>
        <w:pStyle w:val="p9"/>
        <w:numPr>
          <w:ilvl w:val="0"/>
          <w:numId w:val="10"/>
        </w:numPr>
        <w:spacing w:line="238" w:lineRule="exact"/>
        <w:ind w:left="1620" w:hanging="180"/>
        <w:jc w:val="both"/>
        <w:rPr>
          <w:rFonts w:asciiTheme="majorHAnsi" w:eastAsiaTheme="minorEastAsia" w:hAnsiTheme="majorHAnsi" w:cs="Arial"/>
          <w:sz w:val="22"/>
          <w:szCs w:val="22"/>
        </w:rPr>
      </w:pPr>
      <w:r>
        <w:rPr>
          <w:rFonts w:asciiTheme="majorHAnsi" w:hAnsiTheme="majorHAnsi"/>
          <w:sz w:val="22"/>
          <w:szCs w:val="22"/>
          <w:lang w:val="es-AR"/>
        </w:rPr>
        <w:t>P</w:t>
      </w:r>
      <w:r w:rsidR="003C36BE">
        <w:rPr>
          <w:rFonts w:asciiTheme="majorHAnsi" w:hAnsiTheme="majorHAnsi"/>
          <w:sz w:val="22"/>
          <w:szCs w:val="22"/>
        </w:rPr>
        <w:t>roporcionar los servicios solicitados de acuerdo con el subpárrafo (a) anterior, sin costo para el PNUD;</w:t>
      </w:r>
    </w:p>
    <w:p w14:paraId="7251EF8F" w14:textId="77777777" w:rsidR="00DA7D35" w:rsidRPr="00707DAF" w:rsidRDefault="00DA7D35" w:rsidP="00945D0B">
      <w:pPr>
        <w:pStyle w:val="p9"/>
        <w:spacing w:line="238" w:lineRule="exact"/>
        <w:ind w:left="1620"/>
        <w:jc w:val="both"/>
        <w:rPr>
          <w:rFonts w:asciiTheme="majorHAnsi" w:eastAsiaTheme="minorEastAsia" w:hAnsiTheme="majorHAnsi" w:cs="Arial"/>
          <w:sz w:val="22"/>
          <w:szCs w:val="22"/>
          <w:lang w:val="es-AR"/>
        </w:rPr>
      </w:pPr>
    </w:p>
    <w:p w14:paraId="387B6EAF" w14:textId="0F03362C" w:rsidR="00DA7D35" w:rsidRPr="00A12630" w:rsidRDefault="00022B6F" w:rsidP="00945D0B">
      <w:pPr>
        <w:pStyle w:val="p9"/>
        <w:numPr>
          <w:ilvl w:val="0"/>
          <w:numId w:val="10"/>
        </w:numPr>
        <w:spacing w:line="238" w:lineRule="exact"/>
        <w:ind w:left="1620" w:hanging="180"/>
        <w:jc w:val="both"/>
        <w:rPr>
          <w:rFonts w:asciiTheme="majorHAnsi" w:eastAsiaTheme="minorEastAsia" w:hAnsiTheme="majorHAnsi" w:cs="Arial"/>
          <w:sz w:val="22"/>
          <w:szCs w:val="22"/>
        </w:rPr>
      </w:pPr>
      <w:r>
        <w:rPr>
          <w:rFonts w:asciiTheme="majorHAnsi" w:hAnsiTheme="majorHAnsi"/>
          <w:sz w:val="22"/>
          <w:szCs w:val="22"/>
          <w:lang w:val="es-AR"/>
        </w:rPr>
        <w:t>E</w:t>
      </w:r>
      <w:r w:rsidR="00DA7D35">
        <w:rPr>
          <w:rFonts w:asciiTheme="majorHAnsi" w:hAnsiTheme="majorHAnsi"/>
          <w:sz w:val="22"/>
          <w:szCs w:val="22"/>
        </w:rPr>
        <w:t>l valor establecido de los servicios basados en costos pro forma del PNUD para funciones de un nivel similar.</w:t>
      </w:r>
    </w:p>
    <w:p w14:paraId="44C557AB" w14:textId="77777777" w:rsidR="003C36BE" w:rsidRPr="00707DAF" w:rsidRDefault="003C36BE" w:rsidP="00945D0B">
      <w:pPr>
        <w:pStyle w:val="p9"/>
        <w:spacing w:line="238" w:lineRule="exact"/>
        <w:ind w:left="1620" w:hanging="180"/>
        <w:jc w:val="both"/>
        <w:rPr>
          <w:rFonts w:asciiTheme="majorHAnsi" w:eastAsiaTheme="minorEastAsia" w:hAnsiTheme="majorHAnsi" w:cs="Arial"/>
          <w:sz w:val="22"/>
          <w:szCs w:val="22"/>
          <w:lang w:val="es-AR"/>
        </w:rPr>
      </w:pPr>
    </w:p>
    <w:p w14:paraId="61C11B07" w14:textId="652BCF3B" w:rsidR="003C36BE" w:rsidRPr="00A12630" w:rsidRDefault="00727471" w:rsidP="00945D0B">
      <w:pPr>
        <w:pStyle w:val="p9"/>
        <w:numPr>
          <w:ilvl w:val="0"/>
          <w:numId w:val="10"/>
        </w:numPr>
        <w:spacing w:line="238" w:lineRule="exact"/>
        <w:ind w:left="1620" w:hanging="180"/>
        <w:jc w:val="both"/>
        <w:rPr>
          <w:rFonts w:asciiTheme="majorHAnsi" w:eastAsiaTheme="minorEastAsia" w:hAnsiTheme="majorHAnsi" w:cs="Arial"/>
          <w:sz w:val="22"/>
          <w:szCs w:val="22"/>
        </w:rPr>
      </w:pPr>
      <w:r>
        <w:rPr>
          <w:rFonts w:asciiTheme="majorHAnsi" w:hAnsiTheme="majorHAnsi"/>
          <w:sz w:val="22"/>
          <w:szCs w:val="22"/>
        </w:rPr>
        <w:t xml:space="preserve">De conformidad con los principios de recuperación plena de costos en contribuciones en especie, pagar el ocho por ciento (8 %) del valor de los servicios al crédito de una cuenta especificada por la Oficina de Gestión de Recursos Financieros (OFM, </w:t>
      </w:r>
      <w:r>
        <w:rPr>
          <w:rFonts w:asciiTheme="majorHAnsi" w:hAnsiTheme="majorHAnsi"/>
          <w:i/>
          <w:sz w:val="22"/>
          <w:szCs w:val="22"/>
        </w:rPr>
        <w:t>Office of Financial Resources Management,</w:t>
      </w:r>
      <w:r>
        <w:rPr>
          <w:rFonts w:asciiTheme="majorHAnsi" w:hAnsiTheme="majorHAnsi"/>
          <w:sz w:val="22"/>
          <w:szCs w:val="22"/>
        </w:rPr>
        <w:t xml:space="preserve"> por sus siglas en inglés);</w:t>
      </w:r>
    </w:p>
    <w:p w14:paraId="5CAB0A02" w14:textId="77777777" w:rsidR="000272CC" w:rsidRPr="00707DAF" w:rsidRDefault="000272CC" w:rsidP="00945D0B">
      <w:pPr>
        <w:pStyle w:val="ListParagraph"/>
        <w:jc w:val="both"/>
        <w:rPr>
          <w:rFonts w:asciiTheme="majorHAnsi" w:eastAsiaTheme="minorEastAsia" w:hAnsiTheme="majorHAnsi" w:cs="Arial"/>
          <w:sz w:val="22"/>
          <w:szCs w:val="22"/>
          <w:lang w:val="es-AR"/>
        </w:rPr>
      </w:pPr>
    </w:p>
    <w:p w14:paraId="78B9212A" w14:textId="4747D237" w:rsidR="003C36BE" w:rsidRPr="00A12630" w:rsidRDefault="00022B6F" w:rsidP="00945D0B">
      <w:pPr>
        <w:pStyle w:val="p9"/>
        <w:numPr>
          <w:ilvl w:val="0"/>
          <w:numId w:val="7"/>
        </w:numPr>
        <w:spacing w:line="238" w:lineRule="exact"/>
        <w:jc w:val="both"/>
        <w:rPr>
          <w:rFonts w:asciiTheme="majorHAnsi" w:eastAsiaTheme="minorEastAsia" w:hAnsiTheme="majorHAnsi" w:cs="Arial"/>
          <w:sz w:val="22"/>
          <w:szCs w:val="22"/>
        </w:rPr>
      </w:pPr>
      <w:r>
        <w:rPr>
          <w:rFonts w:asciiTheme="majorHAnsi" w:hAnsiTheme="majorHAnsi"/>
          <w:sz w:val="22"/>
          <w:szCs w:val="22"/>
          <w:lang w:val="es-AR"/>
        </w:rPr>
        <w:t>L</w:t>
      </w:r>
      <w:r w:rsidR="003C36BE">
        <w:rPr>
          <w:rFonts w:asciiTheme="majorHAnsi" w:hAnsiTheme="majorHAnsi"/>
          <w:sz w:val="22"/>
          <w:szCs w:val="22"/>
        </w:rPr>
        <w:t xml:space="preserve">a certificación por parte de la oficina solicitante de que la propuesta no involucra, en forma directa o indirecta, responsabilidades financieras adicionales para el PNUD, excepto lo acordado en el MOA; </w:t>
      </w:r>
    </w:p>
    <w:p w14:paraId="713A34D4" w14:textId="77777777" w:rsidR="003C36BE" w:rsidRPr="00707DAF" w:rsidRDefault="003C36BE" w:rsidP="00945D0B">
      <w:pPr>
        <w:pStyle w:val="p9"/>
        <w:spacing w:line="238" w:lineRule="exact"/>
        <w:jc w:val="both"/>
        <w:rPr>
          <w:rFonts w:asciiTheme="majorHAnsi" w:eastAsiaTheme="minorEastAsia" w:hAnsiTheme="majorHAnsi" w:cs="Arial"/>
          <w:sz w:val="22"/>
          <w:szCs w:val="22"/>
          <w:lang w:val="es-AR"/>
        </w:rPr>
      </w:pPr>
    </w:p>
    <w:p w14:paraId="4B5584A6" w14:textId="6575CDC0" w:rsidR="0089508B" w:rsidRPr="00A12630" w:rsidRDefault="00022B6F" w:rsidP="00945D0B">
      <w:pPr>
        <w:pStyle w:val="p9"/>
        <w:numPr>
          <w:ilvl w:val="0"/>
          <w:numId w:val="7"/>
        </w:numPr>
        <w:spacing w:line="238" w:lineRule="exact"/>
        <w:jc w:val="both"/>
        <w:rPr>
          <w:rFonts w:asciiTheme="majorHAnsi" w:eastAsiaTheme="minorEastAsia" w:hAnsiTheme="majorHAnsi" w:cs="Arial"/>
          <w:sz w:val="22"/>
          <w:szCs w:val="22"/>
        </w:rPr>
      </w:pPr>
      <w:r>
        <w:rPr>
          <w:rFonts w:asciiTheme="majorHAnsi" w:hAnsiTheme="majorHAnsi"/>
          <w:sz w:val="22"/>
          <w:szCs w:val="22"/>
          <w:lang w:val="es-AR"/>
        </w:rPr>
        <w:t>L</w:t>
      </w:r>
      <w:r w:rsidR="0089508B">
        <w:rPr>
          <w:rFonts w:asciiTheme="majorHAnsi" w:hAnsiTheme="majorHAnsi"/>
          <w:sz w:val="22"/>
          <w:szCs w:val="22"/>
        </w:rPr>
        <w:t xml:space="preserve">a revisión del MOA por parte de la Oficina Jurídica (LO, </w:t>
      </w:r>
      <w:r w:rsidR="0089508B">
        <w:rPr>
          <w:rFonts w:asciiTheme="majorHAnsi" w:hAnsiTheme="majorHAnsi"/>
          <w:i/>
          <w:sz w:val="22"/>
          <w:szCs w:val="22"/>
        </w:rPr>
        <w:t>Legal Office</w:t>
      </w:r>
      <w:r w:rsidR="0089508B">
        <w:rPr>
          <w:rFonts w:asciiTheme="majorHAnsi" w:hAnsiTheme="majorHAnsi"/>
          <w:sz w:val="22"/>
          <w:szCs w:val="22"/>
        </w:rPr>
        <w:t xml:space="preserve">, por sus siglas en inglés), si se realizan cambios al modelo del MOA; </w:t>
      </w:r>
    </w:p>
    <w:p w14:paraId="4613101D" w14:textId="77777777" w:rsidR="003C36BE" w:rsidRPr="00707DAF" w:rsidRDefault="003C36BE" w:rsidP="00945D0B">
      <w:pPr>
        <w:pStyle w:val="p9"/>
        <w:spacing w:line="238" w:lineRule="exact"/>
        <w:jc w:val="both"/>
        <w:rPr>
          <w:rFonts w:asciiTheme="majorHAnsi" w:eastAsiaTheme="minorEastAsia" w:hAnsiTheme="majorHAnsi" w:cs="Arial"/>
          <w:sz w:val="22"/>
          <w:szCs w:val="22"/>
          <w:lang w:val="es-AR"/>
        </w:rPr>
      </w:pPr>
    </w:p>
    <w:p w14:paraId="645E0A8A" w14:textId="41D77A60" w:rsidR="003C36BE" w:rsidRPr="00A12630" w:rsidRDefault="00022B6F" w:rsidP="00945D0B">
      <w:pPr>
        <w:pStyle w:val="p9"/>
        <w:numPr>
          <w:ilvl w:val="0"/>
          <w:numId w:val="7"/>
        </w:numPr>
        <w:spacing w:line="238" w:lineRule="exact"/>
        <w:jc w:val="both"/>
        <w:rPr>
          <w:rFonts w:asciiTheme="majorHAnsi" w:eastAsiaTheme="minorEastAsia" w:hAnsiTheme="majorHAnsi" w:cs="Arial"/>
          <w:sz w:val="22"/>
          <w:szCs w:val="22"/>
        </w:rPr>
      </w:pPr>
      <w:r>
        <w:rPr>
          <w:rFonts w:asciiTheme="majorHAnsi" w:hAnsiTheme="majorHAnsi"/>
          <w:sz w:val="22"/>
          <w:szCs w:val="22"/>
          <w:lang w:val="es-AR"/>
        </w:rPr>
        <w:t>S</w:t>
      </w:r>
      <w:r w:rsidR="002F29A6">
        <w:rPr>
          <w:rFonts w:asciiTheme="majorHAnsi" w:hAnsiTheme="majorHAnsi"/>
          <w:sz w:val="22"/>
          <w:szCs w:val="22"/>
        </w:rPr>
        <w:t>i corresponde, la aprobación de los candidatos por parte de la Oficina de Recursos Humanos de conformidad con las políticas y los procedimientos establecidos para esa Oficina, la selección de las estrategias acordadas o el procedimiento de selección específico detallado en el MOA entre la Entidad Asociada y la oficina receptora;</w:t>
      </w:r>
    </w:p>
    <w:p w14:paraId="06C74074" w14:textId="77777777" w:rsidR="003C36BE" w:rsidRPr="00707DAF" w:rsidRDefault="003C36BE" w:rsidP="00945D0B">
      <w:pPr>
        <w:pStyle w:val="p9"/>
        <w:spacing w:line="238" w:lineRule="exact"/>
        <w:jc w:val="both"/>
        <w:rPr>
          <w:rFonts w:asciiTheme="majorHAnsi" w:eastAsiaTheme="minorEastAsia" w:hAnsiTheme="majorHAnsi" w:cs="Arial"/>
          <w:sz w:val="22"/>
          <w:szCs w:val="22"/>
          <w:lang w:val="es-AR"/>
        </w:rPr>
      </w:pPr>
    </w:p>
    <w:p w14:paraId="25006055" w14:textId="1360BEF6" w:rsidR="003C36BE" w:rsidRPr="00A12630" w:rsidRDefault="00022B6F" w:rsidP="00945D0B">
      <w:pPr>
        <w:pStyle w:val="p9"/>
        <w:numPr>
          <w:ilvl w:val="0"/>
          <w:numId w:val="7"/>
        </w:numPr>
        <w:spacing w:line="238" w:lineRule="exact"/>
        <w:jc w:val="both"/>
        <w:rPr>
          <w:rFonts w:asciiTheme="majorHAnsi" w:eastAsiaTheme="minorEastAsia" w:hAnsiTheme="majorHAnsi" w:cs="Arial"/>
          <w:sz w:val="22"/>
          <w:szCs w:val="22"/>
        </w:rPr>
      </w:pPr>
      <w:r>
        <w:rPr>
          <w:rFonts w:asciiTheme="majorHAnsi" w:hAnsiTheme="majorHAnsi"/>
          <w:sz w:val="22"/>
          <w:szCs w:val="22"/>
          <w:lang w:val="es-AR"/>
        </w:rPr>
        <w:t>L</w:t>
      </w:r>
      <w:r w:rsidR="003C36BE">
        <w:rPr>
          <w:rFonts w:asciiTheme="majorHAnsi" w:hAnsiTheme="majorHAnsi"/>
          <w:sz w:val="22"/>
          <w:szCs w:val="22"/>
        </w:rPr>
        <w:t>a aceptación de los candidatos por parte de cualquier Gobierno o autoridades a las que puedan ser asignados durante el período del préstamo no reembolsable, si corresponde.</w:t>
      </w:r>
    </w:p>
    <w:p w14:paraId="1A7C6D94" w14:textId="77777777" w:rsidR="003C36BE" w:rsidRPr="00707DAF" w:rsidRDefault="003C36BE" w:rsidP="00945D0B">
      <w:pPr>
        <w:pStyle w:val="p9"/>
        <w:spacing w:line="238" w:lineRule="exact"/>
        <w:jc w:val="both"/>
        <w:rPr>
          <w:rFonts w:asciiTheme="majorHAnsi" w:eastAsiaTheme="minorEastAsia" w:hAnsiTheme="majorHAnsi" w:cs="Arial"/>
          <w:sz w:val="22"/>
          <w:szCs w:val="22"/>
          <w:lang w:val="es-AR"/>
        </w:rPr>
      </w:pPr>
    </w:p>
    <w:p w14:paraId="3284924B" w14:textId="7B0A8E04" w:rsidR="003C36BE" w:rsidRPr="00A12630" w:rsidRDefault="00A9683F" w:rsidP="00945D0B">
      <w:pPr>
        <w:pStyle w:val="p9"/>
        <w:numPr>
          <w:ilvl w:val="0"/>
          <w:numId w:val="12"/>
        </w:numPr>
        <w:spacing w:line="238" w:lineRule="exact"/>
        <w:jc w:val="both"/>
        <w:rPr>
          <w:rFonts w:asciiTheme="majorHAnsi" w:eastAsiaTheme="minorEastAsia" w:hAnsiTheme="majorHAnsi" w:cs="Arial"/>
          <w:sz w:val="22"/>
          <w:szCs w:val="22"/>
        </w:rPr>
      </w:pPr>
      <w:r>
        <w:rPr>
          <w:rFonts w:asciiTheme="majorHAnsi" w:hAnsiTheme="majorHAnsi"/>
          <w:sz w:val="22"/>
          <w:szCs w:val="22"/>
        </w:rPr>
        <w:t>Los requisitos del párrafo 19 (b) deberán establecerse en el MOA firmado entre el PNUD y la Entidad Asociada.</w:t>
      </w:r>
    </w:p>
    <w:p w14:paraId="22ED24AF" w14:textId="77777777" w:rsidR="003C36BE" w:rsidRPr="00707DAF" w:rsidRDefault="003C36BE" w:rsidP="00945D0B">
      <w:pPr>
        <w:pStyle w:val="p9"/>
        <w:spacing w:line="238" w:lineRule="exact"/>
        <w:jc w:val="both"/>
        <w:rPr>
          <w:rFonts w:asciiTheme="majorHAnsi" w:eastAsiaTheme="minorEastAsia" w:hAnsiTheme="majorHAnsi" w:cs="Arial"/>
          <w:sz w:val="22"/>
          <w:szCs w:val="22"/>
          <w:lang w:val="es-AR"/>
        </w:rPr>
      </w:pPr>
    </w:p>
    <w:p w14:paraId="7EA51474" w14:textId="77777777" w:rsidR="003C36BE" w:rsidRPr="00A12630" w:rsidRDefault="003C36BE" w:rsidP="00945D0B">
      <w:pPr>
        <w:pStyle w:val="p9"/>
        <w:spacing w:line="238" w:lineRule="exact"/>
        <w:jc w:val="both"/>
        <w:rPr>
          <w:rFonts w:asciiTheme="majorHAnsi" w:eastAsiaTheme="minorEastAsia" w:hAnsiTheme="majorHAnsi" w:cs="Arial"/>
          <w:sz w:val="22"/>
          <w:szCs w:val="22"/>
          <w:u w:val="single"/>
        </w:rPr>
      </w:pPr>
      <w:r>
        <w:rPr>
          <w:rFonts w:asciiTheme="majorHAnsi" w:hAnsiTheme="majorHAnsi"/>
          <w:sz w:val="22"/>
          <w:szCs w:val="22"/>
          <w:u w:val="single"/>
        </w:rPr>
        <w:t>Duración del servicio y rescisión de los acuerdos</w:t>
      </w:r>
    </w:p>
    <w:p w14:paraId="1E0E9FE7" w14:textId="14F40290" w:rsidR="003C36BE" w:rsidRPr="00A12630" w:rsidRDefault="00946ED9" w:rsidP="00945D0B">
      <w:pPr>
        <w:pStyle w:val="p9"/>
        <w:tabs>
          <w:tab w:val="clear" w:pos="691"/>
          <w:tab w:val="left" w:pos="4890"/>
        </w:tabs>
        <w:spacing w:line="238" w:lineRule="exact"/>
        <w:jc w:val="both"/>
        <w:rPr>
          <w:rFonts w:asciiTheme="majorHAnsi" w:eastAsiaTheme="minorEastAsia" w:hAnsiTheme="majorHAnsi" w:cs="Arial"/>
          <w:sz w:val="22"/>
          <w:szCs w:val="22"/>
        </w:rPr>
      </w:pPr>
      <w:r>
        <w:rPr>
          <w:rFonts w:asciiTheme="majorHAnsi" w:hAnsiTheme="majorHAnsi"/>
          <w:sz w:val="22"/>
          <w:szCs w:val="22"/>
        </w:rPr>
        <w:tab/>
      </w:r>
    </w:p>
    <w:p w14:paraId="32191AD7" w14:textId="5EF71B0C" w:rsidR="003C36BE" w:rsidRPr="00A12630" w:rsidRDefault="00803AF4" w:rsidP="00945D0B">
      <w:pPr>
        <w:pStyle w:val="p9"/>
        <w:numPr>
          <w:ilvl w:val="0"/>
          <w:numId w:val="12"/>
        </w:numPr>
        <w:spacing w:line="238" w:lineRule="exact"/>
        <w:jc w:val="both"/>
        <w:rPr>
          <w:rFonts w:asciiTheme="majorHAnsi" w:eastAsiaTheme="minorEastAsia" w:hAnsiTheme="majorHAnsi" w:cs="Arial"/>
          <w:sz w:val="22"/>
          <w:szCs w:val="22"/>
        </w:rPr>
      </w:pPr>
      <w:r>
        <w:rPr>
          <w:rFonts w:asciiTheme="majorHAnsi" w:hAnsiTheme="majorHAnsi"/>
          <w:sz w:val="22"/>
          <w:szCs w:val="22"/>
        </w:rPr>
        <w:t xml:space="preserve">Los préstamos no reembolsables individuales se negocian por un período que no supera los cinco años. Un préstamo no reembolsable puede rescindirse en cualquier fecha anterior a su vencimiento programado a solicitud de la persona que trabaja a préstamo, la Entidad Asociada o el PNUD, dando aviso según se acordó en el MOA. </w:t>
      </w:r>
    </w:p>
    <w:p w14:paraId="24CF92DC" w14:textId="77777777" w:rsidR="00945D0B" w:rsidRPr="00707DAF" w:rsidRDefault="00945D0B" w:rsidP="00945D0B">
      <w:pPr>
        <w:pStyle w:val="p9"/>
        <w:spacing w:line="238" w:lineRule="exact"/>
        <w:jc w:val="both"/>
        <w:rPr>
          <w:rFonts w:asciiTheme="majorHAnsi" w:eastAsiaTheme="minorEastAsia" w:hAnsiTheme="majorHAnsi" w:cs="Arial"/>
          <w:sz w:val="22"/>
          <w:szCs w:val="22"/>
          <w:lang w:val="es-AR"/>
        </w:rPr>
      </w:pPr>
    </w:p>
    <w:p w14:paraId="2E4D5191" w14:textId="77777777" w:rsidR="003C36BE" w:rsidRPr="00A12630" w:rsidRDefault="003C36BE" w:rsidP="00945D0B">
      <w:pPr>
        <w:pStyle w:val="p9"/>
        <w:spacing w:line="238" w:lineRule="exact"/>
        <w:jc w:val="both"/>
        <w:rPr>
          <w:rFonts w:asciiTheme="majorHAnsi" w:eastAsiaTheme="minorEastAsia" w:hAnsiTheme="majorHAnsi" w:cs="Arial"/>
          <w:sz w:val="22"/>
          <w:szCs w:val="22"/>
          <w:u w:val="single"/>
        </w:rPr>
      </w:pPr>
      <w:r>
        <w:rPr>
          <w:rFonts w:asciiTheme="majorHAnsi" w:hAnsiTheme="majorHAnsi"/>
          <w:sz w:val="22"/>
          <w:szCs w:val="22"/>
          <w:u w:val="single"/>
        </w:rPr>
        <w:t>Avalúo</w:t>
      </w:r>
    </w:p>
    <w:p w14:paraId="673EFEAA" w14:textId="77777777" w:rsidR="003C36BE" w:rsidRPr="00A12630" w:rsidRDefault="003C36BE" w:rsidP="00945D0B">
      <w:pPr>
        <w:pStyle w:val="p9"/>
        <w:spacing w:line="238" w:lineRule="exact"/>
        <w:jc w:val="both"/>
        <w:rPr>
          <w:rFonts w:asciiTheme="majorHAnsi" w:eastAsiaTheme="minorEastAsia" w:hAnsiTheme="majorHAnsi" w:cs="Arial"/>
          <w:sz w:val="22"/>
          <w:szCs w:val="22"/>
          <w:lang w:val="en-CA"/>
        </w:rPr>
      </w:pPr>
    </w:p>
    <w:p w14:paraId="76BCBB89" w14:textId="2EA2C582" w:rsidR="003C36BE" w:rsidRPr="0012783E" w:rsidRDefault="003C36BE" w:rsidP="00945D0B">
      <w:pPr>
        <w:pStyle w:val="p9"/>
        <w:numPr>
          <w:ilvl w:val="0"/>
          <w:numId w:val="12"/>
        </w:numPr>
        <w:spacing w:line="238" w:lineRule="exact"/>
        <w:jc w:val="both"/>
        <w:rPr>
          <w:rFonts w:asciiTheme="majorHAnsi" w:eastAsiaTheme="minorEastAsia" w:hAnsiTheme="majorHAnsi" w:cs="Arial"/>
          <w:sz w:val="22"/>
          <w:szCs w:val="22"/>
        </w:rPr>
      </w:pPr>
      <w:r>
        <w:rPr>
          <w:rFonts w:asciiTheme="majorHAnsi" w:hAnsiTheme="majorHAnsi"/>
          <w:sz w:val="22"/>
          <w:szCs w:val="22"/>
        </w:rPr>
        <w:t>La Oficina responsable realizará un avalúo de los servicios completados por las personas con un préstamo no reembolsable y lo transmitirá, bajo solicitud, a la Entidad Asociada, con una copia a la Oficina de Recursos Humanos.</w:t>
      </w:r>
    </w:p>
    <w:p w14:paraId="357FE192" w14:textId="05FD739C" w:rsidR="0012783E" w:rsidRDefault="0012783E" w:rsidP="0012783E">
      <w:pPr>
        <w:pStyle w:val="p9"/>
        <w:spacing w:line="238" w:lineRule="exact"/>
        <w:jc w:val="both"/>
        <w:rPr>
          <w:rFonts w:asciiTheme="majorHAnsi" w:hAnsiTheme="majorHAnsi"/>
          <w:sz w:val="22"/>
          <w:szCs w:val="22"/>
        </w:rPr>
      </w:pPr>
    </w:p>
    <w:p w14:paraId="0EF0315A" w14:textId="77777777" w:rsidR="0012783E" w:rsidRPr="0012783E" w:rsidRDefault="0012783E" w:rsidP="0012783E">
      <w:pPr>
        <w:pStyle w:val="NormalWeb"/>
        <w:shd w:val="clear" w:color="auto" w:fill="FFFFFF"/>
        <w:spacing w:before="0" w:beforeAutospacing="0" w:after="0" w:afterAutospacing="0"/>
        <w:jc w:val="center"/>
        <w:rPr>
          <w:rFonts w:ascii="Calibri" w:hAnsi="Calibri" w:cs="Calibri"/>
          <w:color w:val="201F1E"/>
          <w:sz w:val="22"/>
          <w:szCs w:val="22"/>
        </w:rPr>
      </w:pPr>
      <w:r w:rsidRPr="0012783E">
        <w:rPr>
          <w:rFonts w:ascii="Calibri" w:hAnsi="Calibri" w:cs="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2FA1F7ED" w14:textId="77777777" w:rsidR="0012783E" w:rsidRPr="0012783E" w:rsidRDefault="0012783E" w:rsidP="0012783E">
      <w:pPr>
        <w:pStyle w:val="NormalWeb"/>
        <w:shd w:val="clear" w:color="auto" w:fill="FFFFFF"/>
        <w:spacing w:before="0" w:beforeAutospacing="0" w:after="0" w:afterAutospacing="0"/>
        <w:jc w:val="center"/>
        <w:rPr>
          <w:rFonts w:ascii="Calibri" w:hAnsi="Calibri" w:cs="Calibri"/>
          <w:color w:val="201F1E"/>
          <w:sz w:val="22"/>
          <w:szCs w:val="22"/>
        </w:rPr>
      </w:pPr>
      <w:r w:rsidRPr="0012783E">
        <w:rPr>
          <w:rFonts w:ascii="Calibri" w:hAnsi="Calibri" w:cs="Calibri"/>
          <w:i/>
          <w:iCs/>
          <w:color w:val="000000"/>
          <w:sz w:val="22"/>
          <w:szCs w:val="22"/>
          <w:bdr w:val="none" w:sz="0" w:space="0" w:color="auto" w:frame="1"/>
        </w:rPr>
        <w:lastRenderedPageBreak/>
        <w:t> </w:t>
      </w:r>
    </w:p>
    <w:p w14:paraId="73B11BB5" w14:textId="77777777" w:rsidR="0012783E" w:rsidRPr="00493C84" w:rsidRDefault="0012783E" w:rsidP="0012783E">
      <w:pPr>
        <w:pStyle w:val="NormalWeb"/>
        <w:shd w:val="clear" w:color="auto" w:fill="FFFFFF"/>
        <w:spacing w:before="0" w:beforeAutospacing="0" w:after="0" w:afterAutospacing="0"/>
        <w:jc w:val="center"/>
        <w:rPr>
          <w:rFonts w:ascii="Calibri" w:hAnsi="Calibri" w:cs="Calibri"/>
          <w:color w:val="201F1E"/>
          <w:sz w:val="22"/>
          <w:szCs w:val="22"/>
          <w:lang w:val="es-ES"/>
        </w:rPr>
      </w:pPr>
      <w:r w:rsidRPr="0012783E">
        <w:rPr>
          <w:rFonts w:ascii="Calibri" w:hAnsi="Calibri" w:cs="Calibri"/>
          <w:i/>
          <w:iCs/>
          <w:color w:val="000000"/>
          <w:sz w:val="22"/>
          <w:szCs w:val="22"/>
          <w:bdr w:val="none" w:sz="0" w:space="0" w:color="auto" w:frame="1"/>
          <w:shd w:val="clear" w:color="auto" w:fill="FFFFFF"/>
          <w:lang w:val="es-ES_tradnl"/>
        </w:rPr>
        <w:t>Descargo de responsabilidad: esta es una traducción de un documento original en inglés. </w:t>
      </w:r>
      <w:r w:rsidRPr="0012783E">
        <w:rPr>
          <w:rFonts w:ascii="Calibri" w:hAnsi="Calibri" w:cs="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6748EBC8" w14:textId="77777777" w:rsidR="0012783E" w:rsidRPr="00A12630" w:rsidRDefault="0012783E" w:rsidP="0012783E">
      <w:pPr>
        <w:pStyle w:val="p9"/>
        <w:spacing w:line="238" w:lineRule="exact"/>
        <w:jc w:val="both"/>
        <w:rPr>
          <w:rFonts w:asciiTheme="majorHAnsi" w:eastAsiaTheme="minorEastAsia" w:hAnsiTheme="majorHAnsi" w:cs="Arial"/>
          <w:sz w:val="22"/>
          <w:szCs w:val="22"/>
        </w:rPr>
      </w:pPr>
    </w:p>
    <w:p w14:paraId="053570E7" w14:textId="77777777" w:rsidR="0067705B" w:rsidRPr="00A12630" w:rsidRDefault="0067705B" w:rsidP="00945D0B">
      <w:pPr>
        <w:jc w:val="both"/>
        <w:rPr>
          <w:rFonts w:asciiTheme="majorHAnsi" w:hAnsiTheme="majorHAnsi" w:cs="Arial"/>
          <w:bCs/>
          <w:sz w:val="20"/>
          <w:szCs w:val="20"/>
        </w:rPr>
      </w:pPr>
    </w:p>
    <w:sectPr w:rsidR="0067705B" w:rsidRPr="00A12630" w:rsidSect="00945D0B">
      <w:headerReference w:type="even" r:id="rId15"/>
      <w:headerReference w:type="default" r:id="rId16"/>
      <w:footerReference w:type="even" r:id="rId17"/>
      <w:footerReference w:type="default" r:id="rId18"/>
      <w:headerReference w:type="first" r:id="rId19"/>
      <w:footerReference w:type="first" r:id="rId20"/>
      <w:pgSz w:w="12240" w:h="15840"/>
      <w:pgMar w:top="108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7CEA" w14:textId="77777777" w:rsidR="00C048E3" w:rsidRDefault="00C048E3" w:rsidP="006A295A">
      <w:r>
        <w:separator/>
      </w:r>
    </w:p>
  </w:endnote>
  <w:endnote w:type="continuationSeparator" w:id="0">
    <w:p w14:paraId="52AB1A02" w14:textId="77777777" w:rsidR="00C048E3" w:rsidRDefault="00C048E3"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CDDB" w14:textId="77777777" w:rsidR="007F238F" w:rsidRDefault="007F2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173375"/>
      <w:docPartObj>
        <w:docPartGallery w:val="Page Numbers (Bottom of Page)"/>
        <w:docPartUnique/>
      </w:docPartObj>
    </w:sdtPr>
    <w:sdtContent>
      <w:sdt>
        <w:sdtPr>
          <w:id w:val="-1161149046"/>
          <w:docPartObj>
            <w:docPartGallery w:val="Page Numbers (Top of Page)"/>
            <w:docPartUnique/>
          </w:docPartObj>
        </w:sdtPr>
        <w:sdtContent>
          <w:p w14:paraId="185C32C7" w14:textId="5E47866A" w:rsidR="00263B0C" w:rsidRPr="00022B6F" w:rsidRDefault="00263B0C" w:rsidP="00022B6F">
            <w:pPr>
              <w:pStyle w:val="Footer"/>
              <w:tabs>
                <w:tab w:val="left" w:pos="2982"/>
              </w:tabs>
            </w:pPr>
            <w:r w:rsidRPr="00022B6F">
              <w:t xml:space="preserve">Página </w:t>
            </w:r>
            <w:r w:rsidRPr="00022B6F">
              <w:rPr>
                <w:b/>
                <w:bCs/>
              </w:rPr>
              <w:fldChar w:fldCharType="begin"/>
            </w:r>
            <w:r w:rsidRPr="00022B6F">
              <w:rPr>
                <w:b/>
                <w:bCs/>
              </w:rPr>
              <w:instrText xml:space="preserve"> PAGE </w:instrText>
            </w:r>
            <w:r w:rsidRPr="00022B6F">
              <w:rPr>
                <w:b/>
                <w:bCs/>
              </w:rPr>
              <w:fldChar w:fldCharType="separate"/>
            </w:r>
            <w:r w:rsidR="00071E5D">
              <w:rPr>
                <w:b/>
                <w:bCs/>
                <w:noProof/>
              </w:rPr>
              <w:t>1</w:t>
            </w:r>
            <w:r w:rsidRPr="00022B6F">
              <w:rPr>
                <w:b/>
                <w:bCs/>
              </w:rPr>
              <w:fldChar w:fldCharType="end"/>
            </w:r>
            <w:r w:rsidRPr="00022B6F">
              <w:t xml:space="preserve"> de </w:t>
            </w:r>
            <w:r w:rsidRPr="00022B6F">
              <w:rPr>
                <w:b/>
                <w:bCs/>
              </w:rPr>
              <w:fldChar w:fldCharType="begin"/>
            </w:r>
            <w:r w:rsidRPr="00022B6F">
              <w:rPr>
                <w:b/>
                <w:bCs/>
              </w:rPr>
              <w:instrText xml:space="preserve"> NUMPAGES  </w:instrText>
            </w:r>
            <w:r w:rsidRPr="00022B6F">
              <w:rPr>
                <w:b/>
                <w:bCs/>
              </w:rPr>
              <w:fldChar w:fldCharType="separate"/>
            </w:r>
            <w:r w:rsidR="00071E5D">
              <w:rPr>
                <w:b/>
                <w:bCs/>
                <w:noProof/>
              </w:rPr>
              <w:t>3</w:t>
            </w:r>
            <w:r w:rsidRPr="00022B6F">
              <w:rPr>
                <w:b/>
                <w:bCs/>
              </w:rPr>
              <w:fldChar w:fldCharType="end"/>
            </w:r>
            <w:r w:rsidR="00022B6F" w:rsidRPr="00022B6F">
              <w:rPr>
                <w:b/>
                <w:bCs/>
              </w:rPr>
              <w:tab/>
            </w:r>
            <w:r w:rsidRPr="00022B6F">
              <w:rPr>
                <w:b/>
                <w:bCs/>
              </w:rPr>
              <w:t>Fecha de entrada en vigor:</w:t>
            </w:r>
            <w:r w:rsidR="004429D3" w:rsidRPr="004429D3">
              <w:t xml:space="preserve"> </w:t>
            </w:r>
            <w:r w:rsidR="004429D3" w:rsidRPr="004429D3">
              <w:rPr>
                <w:b/>
                <w:bCs/>
              </w:rPr>
              <w:t>25/01/2018</w:t>
            </w:r>
            <w:r w:rsidR="00022B6F" w:rsidRPr="00022B6F">
              <w:rPr>
                <w:b/>
                <w:bCs/>
              </w:rPr>
              <w:tab/>
            </w:r>
            <w:r w:rsidRPr="00022B6F">
              <w:rPr>
                <w:b/>
                <w:bCs/>
              </w:rPr>
              <w:t xml:space="preserve">Versión: </w:t>
            </w:r>
            <w:r w:rsidR="004429D3">
              <w:rPr>
                <w:b/>
                <w:bCs/>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0FE6" w14:textId="77777777" w:rsidR="007F238F" w:rsidRDefault="007F2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AF675" w14:textId="77777777" w:rsidR="00C048E3" w:rsidRDefault="00C048E3" w:rsidP="006A295A">
      <w:r>
        <w:separator/>
      </w:r>
    </w:p>
  </w:footnote>
  <w:footnote w:type="continuationSeparator" w:id="0">
    <w:p w14:paraId="36E01360" w14:textId="77777777" w:rsidR="00C048E3" w:rsidRDefault="00C048E3" w:rsidP="006A295A">
      <w:r>
        <w:continuationSeparator/>
      </w:r>
    </w:p>
  </w:footnote>
  <w:footnote w:id="1">
    <w:p w14:paraId="766BE4BB" w14:textId="5E4C4520" w:rsidR="00473FB4" w:rsidRPr="00945D0B" w:rsidRDefault="00473FB4" w:rsidP="00945D0B">
      <w:pPr>
        <w:pStyle w:val="FootnoteText"/>
        <w:jc w:val="both"/>
        <w:rPr>
          <w:rFonts w:ascii="Arial" w:hAnsi="Arial" w:cs="Arial"/>
        </w:rPr>
      </w:pPr>
      <w:r>
        <w:rPr>
          <w:rStyle w:val="FootnoteReference"/>
          <w:rFonts w:ascii="Arial" w:hAnsi="Arial" w:cs="Arial"/>
        </w:rPr>
        <w:footnoteRef/>
      </w:r>
      <w:r>
        <w:rPr>
          <w:rFonts w:ascii="Arial" w:hAnsi="Arial"/>
        </w:rPr>
        <w:t xml:space="preserve"> </w:t>
      </w:r>
      <w:r>
        <w:rPr>
          <w:rFonts w:asciiTheme="majorHAnsi" w:hAnsiTheme="majorHAnsi"/>
        </w:rPr>
        <w:tab/>
        <w:t>«Estatuto relativo a la condición y los derechos y deberes básicos de los funcionarios que no forman parte del personal de la Secretaría y de los expertos en misión»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19BE" w14:textId="77777777" w:rsidR="007F238F" w:rsidRDefault="007F2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4E3E" w14:textId="3CB533FA" w:rsidR="00263B0C" w:rsidRPr="00022B6F" w:rsidRDefault="007F238F" w:rsidP="00263B0C">
    <w:pPr>
      <w:pStyle w:val="Header"/>
      <w:jc w:val="right"/>
      <w:rPr>
        <w:rFonts w:asciiTheme="majorHAnsi" w:hAnsiTheme="majorHAnsi" w:cstheme="majorHAnsi"/>
        <w:sz w:val="22"/>
        <w:szCs w:val="22"/>
      </w:rPr>
    </w:pPr>
    <w:r>
      <w:rPr>
        <w:noProof/>
      </w:rPr>
      <w:drawing>
        <wp:inline distT="0" distB="0" distL="0" distR="0" wp14:anchorId="0E97C71B" wp14:editId="6FBDFCA5">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913D" w14:textId="77777777" w:rsidR="007F238F" w:rsidRDefault="007F2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50D"/>
    <w:multiLevelType w:val="hybridMultilevel"/>
    <w:tmpl w:val="7CA8BBD6"/>
    <w:lvl w:ilvl="0" w:tplc="9400511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0D7F"/>
    <w:multiLevelType w:val="hybridMultilevel"/>
    <w:tmpl w:val="04AC7C90"/>
    <w:lvl w:ilvl="0" w:tplc="9400511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D4565"/>
    <w:multiLevelType w:val="hybridMultilevel"/>
    <w:tmpl w:val="5F7A23CE"/>
    <w:lvl w:ilvl="0" w:tplc="51C0C7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A4565"/>
    <w:multiLevelType w:val="hybridMultilevel"/>
    <w:tmpl w:val="F43AF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573FF"/>
    <w:multiLevelType w:val="hybridMultilevel"/>
    <w:tmpl w:val="07BE7FC2"/>
    <w:lvl w:ilvl="0" w:tplc="CA441A3E">
      <w:start w:val="1"/>
      <w:numFmt w:val="decimal"/>
      <w:lvlText w:val="%1."/>
      <w:lvlJc w:val="left"/>
      <w:pPr>
        <w:ind w:left="810" w:hanging="360"/>
      </w:pPr>
      <w:rPr>
        <w:rFonts w:ascii="Times New Roman" w:hAnsi="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97E3F"/>
    <w:multiLevelType w:val="hybridMultilevel"/>
    <w:tmpl w:val="DD4E9F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680715"/>
    <w:multiLevelType w:val="hybridMultilevel"/>
    <w:tmpl w:val="5D167A5E"/>
    <w:lvl w:ilvl="0" w:tplc="B40CA2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00F66"/>
    <w:multiLevelType w:val="hybridMultilevel"/>
    <w:tmpl w:val="E7FC6EEA"/>
    <w:lvl w:ilvl="0" w:tplc="9400511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D566B6"/>
    <w:multiLevelType w:val="hybridMultilevel"/>
    <w:tmpl w:val="267E2D70"/>
    <w:lvl w:ilvl="0" w:tplc="0AB05592">
      <w:start w:val="1"/>
      <w:numFmt w:val="lowerLetter"/>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B41925"/>
    <w:multiLevelType w:val="hybridMultilevel"/>
    <w:tmpl w:val="9710A7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CD5D37"/>
    <w:multiLevelType w:val="hybridMultilevel"/>
    <w:tmpl w:val="B958DCEC"/>
    <w:lvl w:ilvl="0" w:tplc="1009000F">
      <w:start w:val="1"/>
      <w:numFmt w:val="decimal"/>
      <w:lvlText w:val="%1."/>
      <w:lvlJc w:val="left"/>
      <w:pPr>
        <w:ind w:left="644"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1C21C1"/>
    <w:multiLevelType w:val="hybridMultilevel"/>
    <w:tmpl w:val="4CEA01EC"/>
    <w:lvl w:ilvl="0" w:tplc="9400511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99353">
    <w:abstractNumId w:val="4"/>
  </w:num>
  <w:num w:numId="2" w16cid:durableId="1477802248">
    <w:abstractNumId w:val="6"/>
  </w:num>
  <w:num w:numId="3" w16cid:durableId="174803362">
    <w:abstractNumId w:val="1"/>
  </w:num>
  <w:num w:numId="4" w16cid:durableId="994533916">
    <w:abstractNumId w:val="0"/>
  </w:num>
  <w:num w:numId="5" w16cid:durableId="210776810">
    <w:abstractNumId w:val="7"/>
  </w:num>
  <w:num w:numId="6" w16cid:durableId="912079269">
    <w:abstractNumId w:val="11"/>
  </w:num>
  <w:num w:numId="7" w16cid:durableId="1574045286">
    <w:abstractNumId w:val="5"/>
  </w:num>
  <w:num w:numId="8" w16cid:durableId="223684137">
    <w:abstractNumId w:val="8"/>
  </w:num>
  <w:num w:numId="9" w16cid:durableId="394618">
    <w:abstractNumId w:val="3"/>
  </w:num>
  <w:num w:numId="10" w16cid:durableId="241988868">
    <w:abstractNumId w:val="9"/>
  </w:num>
  <w:num w:numId="11" w16cid:durableId="1848985923">
    <w:abstractNumId w:val="2"/>
  </w:num>
  <w:num w:numId="12" w16cid:durableId="1146705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22B6F"/>
    <w:rsid w:val="000232B1"/>
    <w:rsid w:val="000272CC"/>
    <w:rsid w:val="000310DF"/>
    <w:rsid w:val="0003229B"/>
    <w:rsid w:val="0003635E"/>
    <w:rsid w:val="000417A0"/>
    <w:rsid w:val="00041E6A"/>
    <w:rsid w:val="00061CF4"/>
    <w:rsid w:val="00062064"/>
    <w:rsid w:val="00065BF8"/>
    <w:rsid w:val="00066C36"/>
    <w:rsid w:val="00071E5D"/>
    <w:rsid w:val="00077DAE"/>
    <w:rsid w:val="00093844"/>
    <w:rsid w:val="00094833"/>
    <w:rsid w:val="00096091"/>
    <w:rsid w:val="000A7ACF"/>
    <w:rsid w:val="000E14EA"/>
    <w:rsid w:val="000E7113"/>
    <w:rsid w:val="000F1930"/>
    <w:rsid w:val="00100532"/>
    <w:rsid w:val="00106DBB"/>
    <w:rsid w:val="00110F56"/>
    <w:rsid w:val="00113F8B"/>
    <w:rsid w:val="0012783E"/>
    <w:rsid w:val="001353DF"/>
    <w:rsid w:val="00135985"/>
    <w:rsid w:val="00140F90"/>
    <w:rsid w:val="00143010"/>
    <w:rsid w:val="00150F0B"/>
    <w:rsid w:val="00157EE7"/>
    <w:rsid w:val="00160BC9"/>
    <w:rsid w:val="00164378"/>
    <w:rsid w:val="001721EA"/>
    <w:rsid w:val="00174956"/>
    <w:rsid w:val="001758AE"/>
    <w:rsid w:val="001769F5"/>
    <w:rsid w:val="00183B75"/>
    <w:rsid w:val="00191BBF"/>
    <w:rsid w:val="00192536"/>
    <w:rsid w:val="00195A93"/>
    <w:rsid w:val="001A65ED"/>
    <w:rsid w:val="001A66C2"/>
    <w:rsid w:val="001B1050"/>
    <w:rsid w:val="001B73B4"/>
    <w:rsid w:val="001C2408"/>
    <w:rsid w:val="001C2635"/>
    <w:rsid w:val="001E677A"/>
    <w:rsid w:val="001F16DF"/>
    <w:rsid w:val="001F1AFC"/>
    <w:rsid w:val="001F749E"/>
    <w:rsid w:val="002103F1"/>
    <w:rsid w:val="00211F9B"/>
    <w:rsid w:val="00215D6F"/>
    <w:rsid w:val="00220B70"/>
    <w:rsid w:val="00223746"/>
    <w:rsid w:val="00227F40"/>
    <w:rsid w:val="00230AF2"/>
    <w:rsid w:val="00233CA0"/>
    <w:rsid w:val="00243A3C"/>
    <w:rsid w:val="0025026B"/>
    <w:rsid w:val="002545E5"/>
    <w:rsid w:val="00262872"/>
    <w:rsid w:val="00262C6D"/>
    <w:rsid w:val="00263B0C"/>
    <w:rsid w:val="0026783C"/>
    <w:rsid w:val="00274531"/>
    <w:rsid w:val="002756E1"/>
    <w:rsid w:val="002772F6"/>
    <w:rsid w:val="00284B85"/>
    <w:rsid w:val="0029649C"/>
    <w:rsid w:val="002975FB"/>
    <w:rsid w:val="002B5C83"/>
    <w:rsid w:val="002B64D2"/>
    <w:rsid w:val="002B7A1B"/>
    <w:rsid w:val="002C093F"/>
    <w:rsid w:val="002D07E6"/>
    <w:rsid w:val="002D1000"/>
    <w:rsid w:val="002E1476"/>
    <w:rsid w:val="002E6F44"/>
    <w:rsid w:val="002F29A6"/>
    <w:rsid w:val="002F5AB8"/>
    <w:rsid w:val="0030458A"/>
    <w:rsid w:val="00304E99"/>
    <w:rsid w:val="00305F31"/>
    <w:rsid w:val="00305F84"/>
    <w:rsid w:val="00325B4B"/>
    <w:rsid w:val="00330380"/>
    <w:rsid w:val="003317F3"/>
    <w:rsid w:val="003324CE"/>
    <w:rsid w:val="00332CE9"/>
    <w:rsid w:val="00334857"/>
    <w:rsid w:val="00335F4F"/>
    <w:rsid w:val="00366363"/>
    <w:rsid w:val="00367FD8"/>
    <w:rsid w:val="00375E95"/>
    <w:rsid w:val="00382FA3"/>
    <w:rsid w:val="0038462C"/>
    <w:rsid w:val="00397429"/>
    <w:rsid w:val="0039776F"/>
    <w:rsid w:val="003A01C3"/>
    <w:rsid w:val="003A0676"/>
    <w:rsid w:val="003A2129"/>
    <w:rsid w:val="003A5B8B"/>
    <w:rsid w:val="003A750B"/>
    <w:rsid w:val="003C2398"/>
    <w:rsid w:val="003C36BE"/>
    <w:rsid w:val="003C6EED"/>
    <w:rsid w:val="003D48A7"/>
    <w:rsid w:val="003E142B"/>
    <w:rsid w:val="003E4F38"/>
    <w:rsid w:val="003E64D1"/>
    <w:rsid w:val="003E6DEC"/>
    <w:rsid w:val="003F0E28"/>
    <w:rsid w:val="003F3A87"/>
    <w:rsid w:val="004022C0"/>
    <w:rsid w:val="00404489"/>
    <w:rsid w:val="00406F0E"/>
    <w:rsid w:val="00423A17"/>
    <w:rsid w:val="00423F81"/>
    <w:rsid w:val="0042460F"/>
    <w:rsid w:val="0042497F"/>
    <w:rsid w:val="00424CED"/>
    <w:rsid w:val="004277A6"/>
    <w:rsid w:val="00436BCA"/>
    <w:rsid w:val="0044119F"/>
    <w:rsid w:val="00441BE3"/>
    <w:rsid w:val="004429D3"/>
    <w:rsid w:val="00444B04"/>
    <w:rsid w:val="00444FB4"/>
    <w:rsid w:val="00445DC6"/>
    <w:rsid w:val="0044662D"/>
    <w:rsid w:val="00451165"/>
    <w:rsid w:val="00473FB4"/>
    <w:rsid w:val="00481E14"/>
    <w:rsid w:val="00490A35"/>
    <w:rsid w:val="004931DF"/>
    <w:rsid w:val="00493C84"/>
    <w:rsid w:val="0049499C"/>
    <w:rsid w:val="004954B0"/>
    <w:rsid w:val="004A4992"/>
    <w:rsid w:val="004A52C2"/>
    <w:rsid w:val="004B7DEB"/>
    <w:rsid w:val="004C0017"/>
    <w:rsid w:val="004C4D48"/>
    <w:rsid w:val="004D1B93"/>
    <w:rsid w:val="004D7DEE"/>
    <w:rsid w:val="004E3AD4"/>
    <w:rsid w:val="004F57B4"/>
    <w:rsid w:val="00502F55"/>
    <w:rsid w:val="00503DE2"/>
    <w:rsid w:val="0051161D"/>
    <w:rsid w:val="005123D1"/>
    <w:rsid w:val="00513366"/>
    <w:rsid w:val="00526433"/>
    <w:rsid w:val="0053145F"/>
    <w:rsid w:val="00545752"/>
    <w:rsid w:val="005472FF"/>
    <w:rsid w:val="00550874"/>
    <w:rsid w:val="0055287D"/>
    <w:rsid w:val="005652C4"/>
    <w:rsid w:val="00573272"/>
    <w:rsid w:val="00575CB3"/>
    <w:rsid w:val="00587B0A"/>
    <w:rsid w:val="00593F41"/>
    <w:rsid w:val="00596264"/>
    <w:rsid w:val="005A4CF6"/>
    <w:rsid w:val="005B0874"/>
    <w:rsid w:val="005B48A2"/>
    <w:rsid w:val="005B5FCE"/>
    <w:rsid w:val="005D4E8D"/>
    <w:rsid w:val="005D58ED"/>
    <w:rsid w:val="005D7317"/>
    <w:rsid w:val="005E2BD3"/>
    <w:rsid w:val="005F1DEA"/>
    <w:rsid w:val="005F3CB1"/>
    <w:rsid w:val="005F5ECB"/>
    <w:rsid w:val="005F5F45"/>
    <w:rsid w:val="006030BD"/>
    <w:rsid w:val="00603870"/>
    <w:rsid w:val="00603F47"/>
    <w:rsid w:val="00610F7A"/>
    <w:rsid w:val="00613891"/>
    <w:rsid w:val="0063669D"/>
    <w:rsid w:val="006411DD"/>
    <w:rsid w:val="00650679"/>
    <w:rsid w:val="0065617D"/>
    <w:rsid w:val="00670082"/>
    <w:rsid w:val="0067705B"/>
    <w:rsid w:val="00690825"/>
    <w:rsid w:val="00691F10"/>
    <w:rsid w:val="006930F4"/>
    <w:rsid w:val="006A295A"/>
    <w:rsid w:val="006A34A2"/>
    <w:rsid w:val="006A67C6"/>
    <w:rsid w:val="006A7479"/>
    <w:rsid w:val="006B45C4"/>
    <w:rsid w:val="006B7090"/>
    <w:rsid w:val="006B7780"/>
    <w:rsid w:val="006C2FAF"/>
    <w:rsid w:val="006C350F"/>
    <w:rsid w:val="006C42B3"/>
    <w:rsid w:val="006D3C6D"/>
    <w:rsid w:val="006E059A"/>
    <w:rsid w:val="006E0989"/>
    <w:rsid w:val="006E268A"/>
    <w:rsid w:val="006E376C"/>
    <w:rsid w:val="006F3AC4"/>
    <w:rsid w:val="007010B6"/>
    <w:rsid w:val="0070226D"/>
    <w:rsid w:val="00703197"/>
    <w:rsid w:val="0070350B"/>
    <w:rsid w:val="00705BB8"/>
    <w:rsid w:val="00706357"/>
    <w:rsid w:val="00707DAF"/>
    <w:rsid w:val="0072103B"/>
    <w:rsid w:val="00727471"/>
    <w:rsid w:val="0074377C"/>
    <w:rsid w:val="0075595F"/>
    <w:rsid w:val="00755FF2"/>
    <w:rsid w:val="007817A3"/>
    <w:rsid w:val="007831A3"/>
    <w:rsid w:val="0078327E"/>
    <w:rsid w:val="00797735"/>
    <w:rsid w:val="007A6321"/>
    <w:rsid w:val="007A6BA9"/>
    <w:rsid w:val="007C29A0"/>
    <w:rsid w:val="007C2F5D"/>
    <w:rsid w:val="007D1FFB"/>
    <w:rsid w:val="007D7F37"/>
    <w:rsid w:val="007E3624"/>
    <w:rsid w:val="007F238F"/>
    <w:rsid w:val="007F4DD6"/>
    <w:rsid w:val="008029E8"/>
    <w:rsid w:val="00803AF4"/>
    <w:rsid w:val="00806AF2"/>
    <w:rsid w:val="00827877"/>
    <w:rsid w:val="008278C0"/>
    <w:rsid w:val="0083398D"/>
    <w:rsid w:val="008344AC"/>
    <w:rsid w:val="00845E91"/>
    <w:rsid w:val="00855AFA"/>
    <w:rsid w:val="00866899"/>
    <w:rsid w:val="00867D24"/>
    <w:rsid w:val="00875100"/>
    <w:rsid w:val="00877E6E"/>
    <w:rsid w:val="008831FC"/>
    <w:rsid w:val="00884443"/>
    <w:rsid w:val="0089508B"/>
    <w:rsid w:val="00896A1D"/>
    <w:rsid w:val="00897087"/>
    <w:rsid w:val="008A1C09"/>
    <w:rsid w:val="008A1C4E"/>
    <w:rsid w:val="008A2E47"/>
    <w:rsid w:val="008B19DB"/>
    <w:rsid w:val="008B6C81"/>
    <w:rsid w:val="008C3344"/>
    <w:rsid w:val="008D110A"/>
    <w:rsid w:val="008D41FB"/>
    <w:rsid w:val="008D5F10"/>
    <w:rsid w:val="008F5620"/>
    <w:rsid w:val="008F58AD"/>
    <w:rsid w:val="00913139"/>
    <w:rsid w:val="00916DE8"/>
    <w:rsid w:val="00924244"/>
    <w:rsid w:val="009260BB"/>
    <w:rsid w:val="0092723A"/>
    <w:rsid w:val="00930A9B"/>
    <w:rsid w:val="00933CE3"/>
    <w:rsid w:val="00935E00"/>
    <w:rsid w:val="00941600"/>
    <w:rsid w:val="00942575"/>
    <w:rsid w:val="00945D0B"/>
    <w:rsid w:val="00946ED9"/>
    <w:rsid w:val="00956154"/>
    <w:rsid w:val="009651EE"/>
    <w:rsid w:val="00966B62"/>
    <w:rsid w:val="00970ADE"/>
    <w:rsid w:val="009716EB"/>
    <w:rsid w:val="0098120F"/>
    <w:rsid w:val="00981247"/>
    <w:rsid w:val="00995142"/>
    <w:rsid w:val="009A109A"/>
    <w:rsid w:val="009A1991"/>
    <w:rsid w:val="009A4D8C"/>
    <w:rsid w:val="009A5852"/>
    <w:rsid w:val="009B01D6"/>
    <w:rsid w:val="009B2C7F"/>
    <w:rsid w:val="009C5B56"/>
    <w:rsid w:val="009D0715"/>
    <w:rsid w:val="009D485F"/>
    <w:rsid w:val="009F6094"/>
    <w:rsid w:val="00A03301"/>
    <w:rsid w:val="00A12630"/>
    <w:rsid w:val="00A25163"/>
    <w:rsid w:val="00A30C6A"/>
    <w:rsid w:val="00A3399E"/>
    <w:rsid w:val="00A41D22"/>
    <w:rsid w:val="00A510E6"/>
    <w:rsid w:val="00A5247B"/>
    <w:rsid w:val="00A60B1C"/>
    <w:rsid w:val="00A71657"/>
    <w:rsid w:val="00A7766D"/>
    <w:rsid w:val="00A92BC2"/>
    <w:rsid w:val="00A93CF9"/>
    <w:rsid w:val="00A9683F"/>
    <w:rsid w:val="00AA03D3"/>
    <w:rsid w:val="00AA38F7"/>
    <w:rsid w:val="00AB36F8"/>
    <w:rsid w:val="00AB5C74"/>
    <w:rsid w:val="00AC3F36"/>
    <w:rsid w:val="00AC4D80"/>
    <w:rsid w:val="00AD1D93"/>
    <w:rsid w:val="00AE13D6"/>
    <w:rsid w:val="00AE3F8A"/>
    <w:rsid w:val="00B2646B"/>
    <w:rsid w:val="00B272AE"/>
    <w:rsid w:val="00B339E4"/>
    <w:rsid w:val="00B40043"/>
    <w:rsid w:val="00B41379"/>
    <w:rsid w:val="00B45CD4"/>
    <w:rsid w:val="00B5456D"/>
    <w:rsid w:val="00B6476B"/>
    <w:rsid w:val="00B70603"/>
    <w:rsid w:val="00B71C90"/>
    <w:rsid w:val="00B750AF"/>
    <w:rsid w:val="00B7602D"/>
    <w:rsid w:val="00B76415"/>
    <w:rsid w:val="00B8069A"/>
    <w:rsid w:val="00B92CEB"/>
    <w:rsid w:val="00B9368B"/>
    <w:rsid w:val="00B9404F"/>
    <w:rsid w:val="00B969A3"/>
    <w:rsid w:val="00BA7887"/>
    <w:rsid w:val="00BB758D"/>
    <w:rsid w:val="00BC5E91"/>
    <w:rsid w:val="00BD0FF1"/>
    <w:rsid w:val="00BE3400"/>
    <w:rsid w:val="00BE366D"/>
    <w:rsid w:val="00BF0FDC"/>
    <w:rsid w:val="00C01D33"/>
    <w:rsid w:val="00C048E3"/>
    <w:rsid w:val="00C21356"/>
    <w:rsid w:val="00C22F37"/>
    <w:rsid w:val="00C2526E"/>
    <w:rsid w:val="00C26A7F"/>
    <w:rsid w:val="00C3215F"/>
    <w:rsid w:val="00C328EC"/>
    <w:rsid w:val="00C329D5"/>
    <w:rsid w:val="00C51A0E"/>
    <w:rsid w:val="00C55CD8"/>
    <w:rsid w:val="00C63312"/>
    <w:rsid w:val="00C703BF"/>
    <w:rsid w:val="00C70F9D"/>
    <w:rsid w:val="00C80061"/>
    <w:rsid w:val="00C808DD"/>
    <w:rsid w:val="00C80B5E"/>
    <w:rsid w:val="00C9252D"/>
    <w:rsid w:val="00C927C9"/>
    <w:rsid w:val="00C9352A"/>
    <w:rsid w:val="00C93B64"/>
    <w:rsid w:val="00C96526"/>
    <w:rsid w:val="00C97B4A"/>
    <w:rsid w:val="00CA48F9"/>
    <w:rsid w:val="00CC0745"/>
    <w:rsid w:val="00CC69D5"/>
    <w:rsid w:val="00CC7EB3"/>
    <w:rsid w:val="00CD0014"/>
    <w:rsid w:val="00CD0E7F"/>
    <w:rsid w:val="00CD6846"/>
    <w:rsid w:val="00CE6DD4"/>
    <w:rsid w:val="00CF08BB"/>
    <w:rsid w:val="00CF4B6C"/>
    <w:rsid w:val="00CF6CE4"/>
    <w:rsid w:val="00CF7D32"/>
    <w:rsid w:val="00D007FB"/>
    <w:rsid w:val="00D015BE"/>
    <w:rsid w:val="00D0722B"/>
    <w:rsid w:val="00D47BDC"/>
    <w:rsid w:val="00D537A2"/>
    <w:rsid w:val="00D5679F"/>
    <w:rsid w:val="00D62808"/>
    <w:rsid w:val="00D726D2"/>
    <w:rsid w:val="00D75ED1"/>
    <w:rsid w:val="00D7725C"/>
    <w:rsid w:val="00D8447D"/>
    <w:rsid w:val="00D91F65"/>
    <w:rsid w:val="00DA0B73"/>
    <w:rsid w:val="00DA269C"/>
    <w:rsid w:val="00DA70FE"/>
    <w:rsid w:val="00DA7D35"/>
    <w:rsid w:val="00DC2958"/>
    <w:rsid w:val="00DD67C9"/>
    <w:rsid w:val="00DE1D47"/>
    <w:rsid w:val="00DE4B1D"/>
    <w:rsid w:val="00DF029C"/>
    <w:rsid w:val="00DF0531"/>
    <w:rsid w:val="00E052B8"/>
    <w:rsid w:val="00E1290B"/>
    <w:rsid w:val="00E14462"/>
    <w:rsid w:val="00E1609B"/>
    <w:rsid w:val="00E2224D"/>
    <w:rsid w:val="00E400D3"/>
    <w:rsid w:val="00E45C50"/>
    <w:rsid w:val="00E50B89"/>
    <w:rsid w:val="00E53C39"/>
    <w:rsid w:val="00E55AFC"/>
    <w:rsid w:val="00E55E7F"/>
    <w:rsid w:val="00E61D67"/>
    <w:rsid w:val="00E74EC5"/>
    <w:rsid w:val="00E772EE"/>
    <w:rsid w:val="00E775BC"/>
    <w:rsid w:val="00E82325"/>
    <w:rsid w:val="00E86424"/>
    <w:rsid w:val="00E93544"/>
    <w:rsid w:val="00E95E58"/>
    <w:rsid w:val="00EA4C9D"/>
    <w:rsid w:val="00EB33F1"/>
    <w:rsid w:val="00EC23EA"/>
    <w:rsid w:val="00EC79E4"/>
    <w:rsid w:val="00ED00DC"/>
    <w:rsid w:val="00ED153D"/>
    <w:rsid w:val="00ED1A0D"/>
    <w:rsid w:val="00ED56B4"/>
    <w:rsid w:val="00EE3804"/>
    <w:rsid w:val="00EE3C43"/>
    <w:rsid w:val="00EF32B5"/>
    <w:rsid w:val="00EF32C9"/>
    <w:rsid w:val="00EF6337"/>
    <w:rsid w:val="00F1185B"/>
    <w:rsid w:val="00F12F89"/>
    <w:rsid w:val="00F152BE"/>
    <w:rsid w:val="00F21244"/>
    <w:rsid w:val="00F31A23"/>
    <w:rsid w:val="00F32626"/>
    <w:rsid w:val="00F33538"/>
    <w:rsid w:val="00F3368A"/>
    <w:rsid w:val="00F35E1C"/>
    <w:rsid w:val="00F475EF"/>
    <w:rsid w:val="00F639CF"/>
    <w:rsid w:val="00F6726E"/>
    <w:rsid w:val="00F82010"/>
    <w:rsid w:val="00F820D3"/>
    <w:rsid w:val="00F90C52"/>
    <w:rsid w:val="00FA3E21"/>
    <w:rsid w:val="00FA3E22"/>
    <w:rsid w:val="00FA5498"/>
    <w:rsid w:val="00FB218C"/>
    <w:rsid w:val="00FB57F5"/>
    <w:rsid w:val="00FC47B0"/>
    <w:rsid w:val="00FC62B1"/>
    <w:rsid w:val="00FD1302"/>
    <w:rsid w:val="00FD6D48"/>
    <w:rsid w:val="00FF621F"/>
    <w:rsid w:val="0BB08F0F"/>
    <w:rsid w:val="0BEAE642"/>
    <w:rsid w:val="26EF4279"/>
    <w:rsid w:val="27588EF2"/>
    <w:rsid w:val="279BBF44"/>
    <w:rsid w:val="2D376B24"/>
    <w:rsid w:val="4FC27593"/>
    <w:rsid w:val="55AB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69253"/>
  <w15:docId w15:val="{34C2A1F1-586A-4E1F-8378-C81C530A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customStyle="1" w:styleId="p2">
    <w:name w:val="p2"/>
    <w:basedOn w:val="Normal"/>
    <w:rsid w:val="0067705B"/>
    <w:pPr>
      <w:widowControl w:val="0"/>
      <w:tabs>
        <w:tab w:val="left" w:pos="691"/>
        <w:tab w:val="left" w:pos="1286"/>
      </w:tabs>
      <w:autoSpaceDE w:val="0"/>
      <w:autoSpaceDN w:val="0"/>
      <w:adjustRightInd w:val="0"/>
      <w:spacing w:line="238" w:lineRule="atLeast"/>
      <w:ind w:left="313"/>
    </w:pPr>
    <w:rPr>
      <w:sz w:val="20"/>
    </w:rPr>
  </w:style>
  <w:style w:type="paragraph" w:customStyle="1" w:styleId="p6">
    <w:name w:val="p6"/>
    <w:basedOn w:val="Normal"/>
    <w:rsid w:val="0067705B"/>
    <w:pPr>
      <w:widowControl w:val="0"/>
      <w:tabs>
        <w:tab w:val="left" w:pos="691"/>
      </w:tabs>
      <w:autoSpaceDE w:val="0"/>
      <w:autoSpaceDN w:val="0"/>
      <w:adjustRightInd w:val="0"/>
      <w:spacing w:line="240" w:lineRule="atLeast"/>
      <w:ind w:left="313"/>
    </w:pPr>
    <w:rPr>
      <w:sz w:val="20"/>
    </w:rPr>
  </w:style>
  <w:style w:type="paragraph" w:customStyle="1" w:styleId="p8">
    <w:name w:val="p8"/>
    <w:basedOn w:val="Normal"/>
    <w:rsid w:val="0067705B"/>
    <w:pPr>
      <w:widowControl w:val="0"/>
      <w:tabs>
        <w:tab w:val="left" w:pos="204"/>
      </w:tabs>
      <w:autoSpaceDE w:val="0"/>
      <w:autoSpaceDN w:val="0"/>
      <w:adjustRightInd w:val="0"/>
      <w:spacing w:line="240" w:lineRule="atLeast"/>
    </w:pPr>
    <w:rPr>
      <w:sz w:val="20"/>
    </w:rPr>
  </w:style>
  <w:style w:type="paragraph" w:customStyle="1" w:styleId="p9">
    <w:name w:val="p9"/>
    <w:basedOn w:val="Normal"/>
    <w:rsid w:val="0067705B"/>
    <w:pPr>
      <w:widowControl w:val="0"/>
      <w:tabs>
        <w:tab w:val="left" w:pos="691"/>
      </w:tabs>
      <w:autoSpaceDE w:val="0"/>
      <w:autoSpaceDN w:val="0"/>
      <w:adjustRightInd w:val="0"/>
      <w:spacing w:line="238" w:lineRule="atLeast"/>
    </w:pPr>
    <w:rPr>
      <w:sz w:val="20"/>
    </w:rPr>
  </w:style>
  <w:style w:type="paragraph" w:customStyle="1" w:styleId="p7">
    <w:name w:val="p7"/>
    <w:basedOn w:val="Normal"/>
    <w:rsid w:val="003C36BE"/>
    <w:pPr>
      <w:widowControl w:val="0"/>
      <w:tabs>
        <w:tab w:val="left" w:pos="204"/>
      </w:tabs>
      <w:autoSpaceDE w:val="0"/>
      <w:autoSpaceDN w:val="0"/>
      <w:adjustRightInd w:val="0"/>
      <w:spacing w:line="243" w:lineRule="atLeast"/>
    </w:pPr>
    <w:rPr>
      <w:sz w:val="20"/>
    </w:rPr>
  </w:style>
  <w:style w:type="paragraph" w:customStyle="1" w:styleId="p12">
    <w:name w:val="p12"/>
    <w:basedOn w:val="Normal"/>
    <w:rsid w:val="003C36BE"/>
    <w:pPr>
      <w:widowControl w:val="0"/>
      <w:tabs>
        <w:tab w:val="left" w:pos="617"/>
        <w:tab w:val="left" w:pos="1196"/>
      </w:tabs>
      <w:autoSpaceDE w:val="0"/>
      <w:autoSpaceDN w:val="0"/>
      <w:adjustRightInd w:val="0"/>
      <w:spacing w:line="243" w:lineRule="atLeast"/>
      <w:ind w:firstLine="618"/>
    </w:pPr>
    <w:rPr>
      <w:sz w:val="20"/>
    </w:rPr>
  </w:style>
  <w:style w:type="paragraph" w:customStyle="1" w:styleId="p13">
    <w:name w:val="p13"/>
    <w:basedOn w:val="Normal"/>
    <w:rsid w:val="003C36BE"/>
    <w:pPr>
      <w:widowControl w:val="0"/>
      <w:tabs>
        <w:tab w:val="left" w:pos="617"/>
        <w:tab w:val="left" w:pos="1196"/>
      </w:tabs>
      <w:autoSpaceDE w:val="0"/>
      <w:autoSpaceDN w:val="0"/>
      <w:adjustRightInd w:val="0"/>
      <w:spacing w:line="243" w:lineRule="atLeast"/>
      <w:ind w:left="1197" w:hanging="579"/>
    </w:pPr>
    <w:rPr>
      <w:sz w:val="20"/>
    </w:rPr>
  </w:style>
  <w:style w:type="paragraph" w:customStyle="1" w:styleId="p18">
    <w:name w:val="p18"/>
    <w:basedOn w:val="Normal"/>
    <w:rsid w:val="003C36BE"/>
    <w:pPr>
      <w:widowControl w:val="0"/>
      <w:tabs>
        <w:tab w:val="left" w:pos="1196"/>
      </w:tabs>
      <w:autoSpaceDE w:val="0"/>
      <w:autoSpaceDN w:val="0"/>
      <w:adjustRightInd w:val="0"/>
      <w:spacing w:line="240" w:lineRule="atLeast"/>
      <w:ind w:left="818"/>
    </w:pPr>
    <w:rPr>
      <w:sz w:val="20"/>
    </w:rPr>
  </w:style>
  <w:style w:type="paragraph" w:customStyle="1" w:styleId="p19">
    <w:name w:val="p19"/>
    <w:basedOn w:val="Normal"/>
    <w:rsid w:val="003C36BE"/>
    <w:pPr>
      <w:widowControl w:val="0"/>
      <w:tabs>
        <w:tab w:val="left" w:pos="1196"/>
        <w:tab w:val="left" w:pos="1797"/>
      </w:tabs>
      <w:autoSpaceDE w:val="0"/>
      <w:autoSpaceDN w:val="0"/>
      <w:adjustRightInd w:val="0"/>
      <w:spacing w:line="243" w:lineRule="atLeast"/>
      <w:ind w:left="818"/>
    </w:pPr>
    <w:rPr>
      <w:sz w:val="20"/>
    </w:rPr>
  </w:style>
  <w:style w:type="paragraph" w:customStyle="1" w:styleId="Default">
    <w:name w:val="Default"/>
    <w:rsid w:val="00E775BC"/>
    <w:pPr>
      <w:autoSpaceDE w:val="0"/>
      <w:autoSpaceDN w:val="0"/>
      <w:adjustRightInd w:val="0"/>
    </w:pPr>
    <w:rPr>
      <w:rFonts w:ascii="Arial" w:hAnsi="Arial" w:cs="Arial"/>
      <w:color w:val="000000"/>
    </w:rPr>
  </w:style>
  <w:style w:type="paragraph" w:styleId="ListParagraph">
    <w:name w:val="List Paragraph"/>
    <w:basedOn w:val="Normal"/>
    <w:uiPriority w:val="34"/>
    <w:qFormat/>
    <w:rsid w:val="00DD67C9"/>
    <w:pPr>
      <w:ind w:left="720"/>
      <w:contextualSpacing/>
    </w:pPr>
  </w:style>
  <w:style w:type="character" w:styleId="CommentReference">
    <w:name w:val="annotation reference"/>
    <w:basedOn w:val="DefaultParagraphFont"/>
    <w:uiPriority w:val="99"/>
    <w:semiHidden/>
    <w:unhideWhenUsed/>
    <w:rsid w:val="003C6EED"/>
    <w:rPr>
      <w:sz w:val="16"/>
      <w:szCs w:val="16"/>
    </w:rPr>
  </w:style>
  <w:style w:type="paragraph" w:styleId="CommentText">
    <w:name w:val="annotation text"/>
    <w:basedOn w:val="Normal"/>
    <w:link w:val="CommentTextChar"/>
    <w:uiPriority w:val="99"/>
    <w:semiHidden/>
    <w:unhideWhenUsed/>
    <w:rsid w:val="003C6EED"/>
    <w:rPr>
      <w:sz w:val="20"/>
      <w:szCs w:val="20"/>
    </w:rPr>
  </w:style>
  <w:style w:type="character" w:customStyle="1" w:styleId="CommentTextChar">
    <w:name w:val="Comment Text Char"/>
    <w:basedOn w:val="DefaultParagraphFont"/>
    <w:link w:val="CommentText"/>
    <w:uiPriority w:val="99"/>
    <w:semiHidden/>
    <w:rsid w:val="003C6E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6EED"/>
    <w:rPr>
      <w:b/>
      <w:bCs/>
    </w:rPr>
  </w:style>
  <w:style w:type="character" w:customStyle="1" w:styleId="CommentSubjectChar">
    <w:name w:val="Comment Subject Char"/>
    <w:basedOn w:val="CommentTextChar"/>
    <w:link w:val="CommentSubject"/>
    <w:uiPriority w:val="99"/>
    <w:semiHidden/>
    <w:rsid w:val="003C6EED"/>
    <w:rPr>
      <w:rFonts w:ascii="Times New Roman" w:eastAsia="Times New Roman" w:hAnsi="Times New Roman" w:cs="Times New Roman"/>
      <w:b/>
      <w:bCs/>
      <w:sz w:val="20"/>
      <w:szCs w:val="20"/>
    </w:rPr>
  </w:style>
  <w:style w:type="paragraph" w:styleId="Revision">
    <w:name w:val="Revision"/>
    <w:hidden/>
    <w:uiPriority w:val="99"/>
    <w:semiHidden/>
    <w:rsid w:val="00ED00DC"/>
    <w:rPr>
      <w:rFonts w:ascii="Times New Roman" w:eastAsia="Times New Roman" w:hAnsi="Times New Roman" w:cs="Times New Roman"/>
    </w:rPr>
  </w:style>
  <w:style w:type="character" w:styleId="PlaceholderText">
    <w:name w:val="Placeholder Text"/>
    <w:basedOn w:val="DefaultParagraphFont"/>
    <w:uiPriority w:val="99"/>
    <w:semiHidden/>
    <w:rsid w:val="00263B0C"/>
    <w:rPr>
      <w:color w:val="808080"/>
    </w:rPr>
  </w:style>
  <w:style w:type="paragraph" w:styleId="NormalWeb">
    <w:name w:val="Normal (Web)"/>
    <w:basedOn w:val="Normal"/>
    <w:uiPriority w:val="99"/>
    <w:semiHidden/>
    <w:unhideWhenUsed/>
    <w:rsid w:val="0012783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6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org/hr_handbook/English/sourcedocuments_/09administrativ_/02%20PRIVILEGES%20AND%20IMMUNITIES/Section%2022.do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org/hr_handbook/English/sourcedocuments_/09administrativ_/02%20PRIVILEGES%20AND%20IMMUNITIES/Section%2023.doc"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8264c5cc-ec60-4b56-8111-ce635d3d139a">POPP-11-3406</_dlc_DocId>
    <_dlc_DocIdUrl xmlns="8264c5cc-ec60-4b56-8111-ce635d3d139a">
      <Url>https://popp.undp.org/_layouts/15/DocIdRedir.aspx?ID=POPP-11-3406</Url>
      <Description>POPP-11-3406</Description>
    </_dlc_DocIdUrl>
    <UNDP_POPP_REFITEM_VERSION xmlns="8264c5cc-ec60-4b56-8111-ce635d3d139a">3</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25/01/2018                                                Version #: 3.0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2018-01-24T23:00:00+00:00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Modelo de Acuerdo de Préstamo no Reembolsable</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DLCPolicyLabelValue xmlns="e560140e-7b2f-4392-90df-e7567e3021a3">Effective Date: 25/01/2018                                                Version #: 3</DLCPolicyLabelValue>
    <POPPIsArchived xmlns="e560140e-7b2f-4392-90df-e7567e3021a3">false</POPPIsArchived>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E04591-0A4F-44A6-B96E-E651A695B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C5391-2548-4437-94EF-98230C27C89D}">
  <ds:schemaRefs>
    <ds:schemaRef ds:uri="http://schemas.openxmlformats.org/officeDocument/2006/bibliography"/>
  </ds:schemaRefs>
</ds:datastoreItem>
</file>

<file path=customXml/itemProps3.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FABF5013-A0F5-40B1-B5D9-3B3EA66A48CB}">
  <ds:schemaRefs>
    <ds:schemaRef ds:uri="office.server.policy"/>
  </ds:schemaRefs>
</ds:datastoreItem>
</file>

<file path=customXml/itemProps5.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6.xml><?xml version="1.0" encoding="utf-8"?>
<ds:datastoreItem xmlns:ds="http://schemas.openxmlformats.org/officeDocument/2006/customXml" ds:itemID="{C49F0386-1BAA-469A-A717-AA0E2F584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1362</Words>
  <Characters>7768</Characters>
  <Application>Microsoft Office Word</Application>
  <DocSecurity>0</DocSecurity>
  <Lines>64</Lines>
  <Paragraphs>18</Paragraphs>
  <ScaleCrop>false</ScaleCrop>
  <Company>Microsoft</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creator>S B</dc:creator>
  <cp:lastModifiedBy>Pablo Morete</cp:lastModifiedBy>
  <cp:revision>10</cp:revision>
  <cp:lastPrinted>2015-10-16T20:38:00Z</cp:lastPrinted>
  <dcterms:created xsi:type="dcterms:W3CDTF">2020-12-30T15:39:00Z</dcterms:created>
  <dcterms:modified xsi:type="dcterms:W3CDTF">2023-10-03T16:18:00Z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5b73a71f-44c7-474b-88a1-a6f67aeae83d</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ies>
</file>