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CA8B" w14:textId="77777777" w:rsidR="00656A4D" w:rsidRDefault="00656A4D" w:rsidP="00656A4D">
      <w:pPr>
        <w:jc w:val="right"/>
        <w:rPr>
          <w:rFonts w:asciiTheme="minorHAnsi" w:hAnsiTheme="minorHAnsi" w:cs="Arial"/>
          <w:b/>
          <w:bCs/>
          <w:sz w:val="28"/>
          <w:szCs w:val="28"/>
        </w:rPr>
      </w:pPr>
      <w:r>
        <w:rPr>
          <w:rFonts w:asciiTheme="minorHAnsi" w:hAnsiTheme="minorHAnsi" w:cs="Arial"/>
          <w:b/>
          <w:bCs/>
          <w:noProof/>
          <w:sz w:val="28"/>
          <w:szCs w:val="28"/>
          <w:lang w:val="en-US"/>
        </w:rPr>
        <w:drawing>
          <wp:inline distT="0" distB="0" distL="0" distR="0" wp14:anchorId="6DC8CB84" wp14:editId="6DC8CB85">
            <wp:extent cx="457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pic:spPr>
                </pic:pic>
              </a:graphicData>
            </a:graphic>
          </wp:inline>
        </w:drawing>
      </w:r>
    </w:p>
    <w:p w14:paraId="6DC8CA8C" w14:textId="77777777" w:rsidR="00656A4D" w:rsidRDefault="00656A4D" w:rsidP="00CB2B66">
      <w:pPr>
        <w:jc w:val="center"/>
        <w:rPr>
          <w:rFonts w:asciiTheme="minorHAnsi" w:hAnsiTheme="minorHAnsi" w:cs="Arial"/>
          <w:b/>
          <w:bCs/>
          <w:sz w:val="28"/>
          <w:szCs w:val="28"/>
        </w:rPr>
      </w:pPr>
    </w:p>
    <w:p w14:paraId="6DC8CA8D" w14:textId="7CF84D32" w:rsidR="00CB2B66" w:rsidRDefault="00567F8A" w:rsidP="00CB2B66">
      <w:pPr>
        <w:jc w:val="center"/>
        <w:rPr>
          <w:rFonts w:asciiTheme="minorHAnsi" w:hAnsiTheme="minorHAnsi" w:cs="Arial"/>
          <w:b/>
          <w:bCs/>
          <w:sz w:val="28"/>
          <w:szCs w:val="28"/>
        </w:rPr>
      </w:pPr>
      <w:r>
        <w:rPr>
          <w:rFonts w:asciiTheme="minorHAnsi" w:hAnsiTheme="minorHAnsi"/>
          <w:b/>
          <w:bCs/>
          <w:sz w:val="28"/>
          <w:szCs w:val="28"/>
        </w:rPr>
        <w:t>Licenciement et r</w:t>
      </w:r>
      <w:r w:rsidR="00CB2B66">
        <w:rPr>
          <w:rFonts w:asciiTheme="minorHAnsi" w:hAnsiTheme="minorHAnsi"/>
          <w:b/>
          <w:bCs/>
          <w:sz w:val="28"/>
          <w:szCs w:val="28"/>
        </w:rPr>
        <w:t>ésiliation de contrat d’engagement</w:t>
      </w:r>
    </w:p>
    <w:p w14:paraId="1F6505E0" w14:textId="77777777" w:rsidR="003D2E43" w:rsidRDefault="003D2E43" w:rsidP="00CB2B66">
      <w:pPr>
        <w:jc w:val="center"/>
        <w:rPr>
          <w:rFonts w:asciiTheme="minorHAnsi" w:hAnsiTheme="minorHAnsi" w:cs="Arial"/>
          <w:b/>
          <w:bCs/>
          <w:sz w:val="28"/>
          <w:szCs w:val="28"/>
        </w:rPr>
      </w:pPr>
    </w:p>
    <w:p w14:paraId="0B2B9207" w14:textId="5F2AE19A" w:rsidR="003D2E43" w:rsidRPr="003D2E43" w:rsidRDefault="003D2E43" w:rsidP="003D2E43">
      <w:pPr>
        <w:rPr>
          <w:rFonts w:asciiTheme="minorHAnsi" w:hAnsiTheme="minorHAnsi" w:cs="Arial"/>
          <w:b/>
          <w:bCs/>
          <w:sz w:val="22"/>
          <w:szCs w:val="22"/>
        </w:rPr>
      </w:pPr>
      <w:r>
        <w:rPr>
          <w:rFonts w:asciiTheme="minorHAnsi" w:hAnsiTheme="minorHAnsi"/>
          <w:b/>
          <w:bCs/>
          <w:sz w:val="22"/>
          <w:szCs w:val="22"/>
        </w:rPr>
        <w:t xml:space="preserve">1.0         </w:t>
      </w:r>
      <w:r w:rsidR="004740E1">
        <w:rPr>
          <w:rFonts w:asciiTheme="minorHAnsi" w:hAnsiTheme="minorHAnsi"/>
          <w:b/>
          <w:bCs/>
          <w:sz w:val="22"/>
          <w:szCs w:val="22"/>
        </w:rPr>
        <w:t xml:space="preserve">Statut </w:t>
      </w:r>
      <w:r>
        <w:rPr>
          <w:rFonts w:asciiTheme="minorHAnsi" w:hAnsiTheme="minorHAnsi"/>
          <w:b/>
          <w:bCs/>
          <w:sz w:val="22"/>
          <w:szCs w:val="22"/>
        </w:rPr>
        <w:t>et Règle</w:t>
      </w:r>
      <w:r w:rsidR="004740E1">
        <w:rPr>
          <w:rFonts w:asciiTheme="minorHAnsi" w:hAnsiTheme="minorHAnsi"/>
          <w:b/>
          <w:bCs/>
          <w:sz w:val="22"/>
          <w:szCs w:val="22"/>
        </w:rPr>
        <w:t>ment</w:t>
      </w:r>
    </w:p>
    <w:p w14:paraId="218DBC9C" w14:textId="77777777" w:rsidR="003D2E43" w:rsidRPr="003D2E43" w:rsidRDefault="003D2E43" w:rsidP="003D2E43">
      <w:pPr>
        <w:rPr>
          <w:rFonts w:asciiTheme="minorHAnsi" w:hAnsiTheme="minorHAnsi" w:cs="Arial"/>
          <w:b/>
          <w:bCs/>
          <w:sz w:val="22"/>
          <w:szCs w:val="22"/>
        </w:rPr>
      </w:pPr>
    </w:p>
    <w:p w14:paraId="33890167" w14:textId="0C74F377" w:rsidR="003D2E43" w:rsidRPr="003D2E43" w:rsidRDefault="003D2E43" w:rsidP="003D2E43">
      <w:pPr>
        <w:rPr>
          <w:rFonts w:asciiTheme="minorHAnsi" w:hAnsiTheme="minorHAnsi" w:cs="Arial"/>
          <w:bCs/>
          <w:sz w:val="22"/>
          <w:szCs w:val="22"/>
        </w:rPr>
      </w:pPr>
      <w:r>
        <w:rPr>
          <w:rFonts w:asciiTheme="minorHAnsi" w:hAnsiTheme="minorHAnsi"/>
          <w:bCs/>
          <w:sz w:val="22"/>
          <w:szCs w:val="22"/>
        </w:rPr>
        <w:t>Cette politique met en œuvre l’article IX d</w:t>
      </w:r>
      <w:r w:rsidR="004740E1">
        <w:rPr>
          <w:rFonts w:asciiTheme="minorHAnsi" w:hAnsiTheme="minorHAnsi"/>
          <w:bCs/>
          <w:sz w:val="22"/>
          <w:szCs w:val="22"/>
        </w:rPr>
        <w:t>u  Statut</w:t>
      </w:r>
      <w:r>
        <w:rPr>
          <w:rFonts w:asciiTheme="minorHAnsi" w:hAnsiTheme="minorHAnsi"/>
          <w:bCs/>
          <w:sz w:val="22"/>
          <w:szCs w:val="22"/>
        </w:rPr>
        <w:t xml:space="preserve"> du personnel des Nations Unies, et le chapitre IX d</w:t>
      </w:r>
      <w:r w:rsidR="004740E1">
        <w:rPr>
          <w:rFonts w:asciiTheme="minorHAnsi" w:hAnsiTheme="minorHAnsi"/>
          <w:bCs/>
          <w:sz w:val="22"/>
          <w:szCs w:val="22"/>
        </w:rPr>
        <w:t xml:space="preserve">u </w:t>
      </w:r>
      <w:r>
        <w:rPr>
          <w:rFonts w:asciiTheme="minorHAnsi" w:hAnsiTheme="minorHAnsi"/>
          <w:bCs/>
          <w:sz w:val="22"/>
          <w:szCs w:val="22"/>
        </w:rPr>
        <w:t xml:space="preserve"> Règle</w:t>
      </w:r>
      <w:r w:rsidR="004740E1">
        <w:rPr>
          <w:rFonts w:asciiTheme="minorHAnsi" w:hAnsiTheme="minorHAnsi"/>
          <w:bCs/>
          <w:sz w:val="22"/>
          <w:szCs w:val="22"/>
        </w:rPr>
        <w:t>ment</w:t>
      </w:r>
      <w:r>
        <w:rPr>
          <w:rFonts w:asciiTheme="minorHAnsi" w:hAnsiTheme="minorHAnsi"/>
          <w:bCs/>
          <w:sz w:val="22"/>
          <w:szCs w:val="22"/>
        </w:rPr>
        <w:t xml:space="preserve"> du personnel des Nations Unies sur la Cessation de service.</w:t>
      </w:r>
    </w:p>
    <w:p w14:paraId="2A07A8BB" w14:textId="77777777" w:rsidR="003D2E43" w:rsidRPr="003D2E43" w:rsidRDefault="003D2E43" w:rsidP="003D2E43">
      <w:pPr>
        <w:rPr>
          <w:rFonts w:asciiTheme="minorHAnsi" w:hAnsiTheme="minorHAnsi" w:cs="Arial"/>
          <w:b/>
          <w:bCs/>
          <w:sz w:val="22"/>
          <w:szCs w:val="22"/>
        </w:rPr>
      </w:pPr>
    </w:p>
    <w:p w14:paraId="019F24C4" w14:textId="02E0DF62" w:rsidR="003D2E43" w:rsidRPr="003D2E43" w:rsidRDefault="003D2E43" w:rsidP="003D2E43">
      <w:pPr>
        <w:rPr>
          <w:rFonts w:asciiTheme="minorHAnsi" w:hAnsiTheme="minorHAnsi" w:cs="Arial"/>
          <w:b/>
          <w:bCs/>
          <w:sz w:val="22"/>
          <w:szCs w:val="22"/>
        </w:rPr>
      </w:pPr>
      <w:r>
        <w:rPr>
          <w:rFonts w:asciiTheme="minorHAnsi" w:hAnsiTheme="minorHAnsi"/>
          <w:b/>
          <w:bCs/>
          <w:sz w:val="22"/>
          <w:szCs w:val="22"/>
        </w:rPr>
        <w:t>2.0             Politique</w:t>
      </w:r>
    </w:p>
    <w:p w14:paraId="6DC8CA8E" w14:textId="77777777" w:rsidR="00CB2B66" w:rsidRPr="00C92949" w:rsidRDefault="00CB2B66" w:rsidP="00CB2B66">
      <w:pPr>
        <w:rPr>
          <w:rFonts w:asciiTheme="majorHAnsi" w:hAnsiTheme="majorHAnsi" w:cs="Arial"/>
          <w:b/>
          <w:bCs/>
          <w:sz w:val="22"/>
          <w:szCs w:val="22"/>
        </w:rPr>
      </w:pPr>
    </w:p>
    <w:p w14:paraId="6DC8CA8F" w14:textId="61DFA054" w:rsidR="00CB2B66" w:rsidRPr="00CB2B66" w:rsidRDefault="00CB2B66" w:rsidP="00CB2B66">
      <w:pPr>
        <w:pStyle w:val="ListParagraph"/>
        <w:numPr>
          <w:ilvl w:val="0"/>
          <w:numId w:val="9"/>
        </w:numPr>
        <w:jc w:val="both"/>
        <w:rPr>
          <w:rFonts w:cs="Arial"/>
          <w:sz w:val="22"/>
          <w:szCs w:val="22"/>
        </w:rPr>
      </w:pPr>
      <w:r>
        <w:rPr>
          <w:sz w:val="22"/>
          <w:szCs w:val="22"/>
        </w:rPr>
        <w:t xml:space="preserve">Cette politique concerne les différents </w:t>
      </w:r>
      <w:r w:rsidR="004740E1">
        <w:rPr>
          <w:sz w:val="22"/>
          <w:szCs w:val="22"/>
        </w:rPr>
        <w:t xml:space="preserve">motifs de licenciement </w:t>
      </w:r>
      <w:r>
        <w:rPr>
          <w:sz w:val="22"/>
          <w:szCs w:val="22"/>
        </w:rPr>
        <w:t xml:space="preserve">et s’applique à tous les membres du personnel du PNUD régis par le </w:t>
      </w:r>
      <w:r w:rsidR="004740E1">
        <w:rPr>
          <w:sz w:val="22"/>
          <w:szCs w:val="22"/>
        </w:rPr>
        <w:t xml:space="preserve">Statut et </w:t>
      </w:r>
      <w:hyperlink r:id="rId14" w:history="1">
        <w:r>
          <w:rPr>
            <w:rStyle w:val="Hyperlink"/>
            <w:sz w:val="22"/>
            <w:szCs w:val="22"/>
          </w:rPr>
          <w:t>Règlement du personnel des Nations Unies</w:t>
        </w:r>
      </w:hyperlink>
      <w:r>
        <w:rPr>
          <w:sz w:val="22"/>
          <w:szCs w:val="22"/>
        </w:rPr>
        <w:t>.</w:t>
      </w:r>
    </w:p>
    <w:p w14:paraId="6DC8CA90" w14:textId="77777777" w:rsidR="00CB2B66" w:rsidRPr="00CB2B66" w:rsidRDefault="00CB2B66" w:rsidP="00CB2B66">
      <w:pPr>
        <w:jc w:val="both"/>
        <w:rPr>
          <w:rFonts w:asciiTheme="minorHAnsi" w:hAnsiTheme="minorHAnsi" w:cs="Arial"/>
          <w:bCs/>
          <w:sz w:val="22"/>
          <w:szCs w:val="22"/>
        </w:rPr>
      </w:pPr>
    </w:p>
    <w:p w14:paraId="6DC8CA91"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 xml:space="preserve">Types de cessation de service </w:t>
      </w:r>
    </w:p>
    <w:p w14:paraId="6DC8CA92" w14:textId="77777777" w:rsidR="00CB2B66" w:rsidRPr="00CB2B66" w:rsidRDefault="00CB2B66" w:rsidP="00CB2B66">
      <w:pPr>
        <w:ind w:left="720"/>
        <w:jc w:val="both"/>
        <w:rPr>
          <w:rFonts w:asciiTheme="minorHAnsi" w:hAnsiTheme="minorHAnsi" w:cs="Arial"/>
          <w:b/>
          <w:sz w:val="22"/>
          <w:szCs w:val="22"/>
        </w:rPr>
      </w:pPr>
    </w:p>
    <w:p w14:paraId="6DC8CA93" w14:textId="68FF7CFE" w:rsidR="00CB2B66" w:rsidRPr="00CB2B66" w:rsidRDefault="00CB2B66" w:rsidP="00CB2B66">
      <w:pPr>
        <w:pStyle w:val="ListParagraph"/>
        <w:numPr>
          <w:ilvl w:val="0"/>
          <w:numId w:val="9"/>
        </w:numPr>
        <w:jc w:val="both"/>
        <w:rPr>
          <w:rFonts w:cs="Arial"/>
          <w:b/>
          <w:sz w:val="22"/>
          <w:szCs w:val="22"/>
        </w:rPr>
      </w:pPr>
      <w:r>
        <w:rPr>
          <w:sz w:val="22"/>
          <w:szCs w:val="22"/>
        </w:rPr>
        <w:t>Pour les cessations de service autres que l</w:t>
      </w:r>
      <w:r w:rsidR="004740E1">
        <w:rPr>
          <w:sz w:val="22"/>
          <w:szCs w:val="22"/>
        </w:rPr>
        <w:t>e licenciement</w:t>
      </w:r>
      <w:r>
        <w:rPr>
          <w:sz w:val="22"/>
          <w:szCs w:val="22"/>
        </w:rPr>
        <w:t>, veuillez consulter les « </w:t>
      </w:r>
      <w:hyperlink r:id="rId15" w:history="1">
        <w:r w:rsidRPr="0073001C">
          <w:rPr>
            <w:rStyle w:val="Hyperlink"/>
            <w:sz w:val="22"/>
            <w:szCs w:val="22"/>
          </w:rPr>
          <w:t>Types de cessation de service</w:t>
        </w:r>
      </w:hyperlink>
      <w:r>
        <w:rPr>
          <w:sz w:val="22"/>
          <w:szCs w:val="22"/>
        </w:rPr>
        <w:t> » du PNUD dans les POPP.</w:t>
      </w:r>
    </w:p>
    <w:p w14:paraId="6DC8CA94" w14:textId="77777777" w:rsidR="00CB2B66" w:rsidRPr="00CB2B66" w:rsidRDefault="00CB2B66" w:rsidP="00CB2B66">
      <w:pPr>
        <w:pStyle w:val="ListParagraph"/>
        <w:ind w:left="720"/>
        <w:jc w:val="both"/>
        <w:rPr>
          <w:rFonts w:cs="Arial"/>
          <w:b/>
          <w:sz w:val="22"/>
          <w:szCs w:val="22"/>
        </w:rPr>
      </w:pPr>
    </w:p>
    <w:p w14:paraId="6DC8CA95" w14:textId="77777777" w:rsidR="00CB2B66" w:rsidRPr="00CB2B66" w:rsidRDefault="00CB2B66" w:rsidP="00CB2B66">
      <w:pPr>
        <w:pStyle w:val="ListParagraph"/>
        <w:numPr>
          <w:ilvl w:val="0"/>
          <w:numId w:val="9"/>
        </w:numPr>
        <w:jc w:val="both"/>
        <w:rPr>
          <w:rFonts w:cs="Arial"/>
          <w:sz w:val="22"/>
          <w:szCs w:val="22"/>
        </w:rPr>
      </w:pPr>
      <w:r>
        <w:rPr>
          <w:sz w:val="22"/>
          <w:szCs w:val="22"/>
        </w:rPr>
        <w:t>La cessation de service à la suite de démission, d’abandon de poste, d’expiration de contrat d’engagement, de départ à la retraite ou de décès n’est pas considérée comme une résiliation au sens des Règles du personnel.</w:t>
      </w:r>
    </w:p>
    <w:p w14:paraId="6DC8CA96" w14:textId="77777777" w:rsidR="00CB2B66" w:rsidRPr="00CB2B66" w:rsidRDefault="00CB2B66" w:rsidP="00CB2B66">
      <w:pPr>
        <w:ind w:left="720"/>
        <w:jc w:val="both"/>
        <w:rPr>
          <w:rFonts w:asciiTheme="minorHAnsi" w:hAnsiTheme="minorHAnsi" w:cs="Arial"/>
          <w:b/>
          <w:sz w:val="22"/>
          <w:szCs w:val="22"/>
        </w:rPr>
      </w:pPr>
    </w:p>
    <w:p w14:paraId="6DC8CA97" w14:textId="0CDD7706" w:rsidR="00CB2B66" w:rsidRPr="00CB2B66" w:rsidRDefault="004740E1" w:rsidP="00CB2B66">
      <w:pPr>
        <w:jc w:val="both"/>
        <w:rPr>
          <w:rFonts w:asciiTheme="minorHAnsi" w:hAnsiTheme="minorHAnsi" w:cs="Arial"/>
          <w:b/>
          <w:sz w:val="22"/>
          <w:szCs w:val="22"/>
        </w:rPr>
      </w:pPr>
      <w:r>
        <w:rPr>
          <w:rFonts w:asciiTheme="minorHAnsi" w:hAnsiTheme="minorHAnsi"/>
          <w:b/>
          <w:sz w:val="22"/>
          <w:szCs w:val="22"/>
        </w:rPr>
        <w:t>Licenciement</w:t>
      </w:r>
    </w:p>
    <w:p w14:paraId="6DC8CA98" w14:textId="77777777" w:rsidR="00CB2B66" w:rsidRPr="00CB2B66" w:rsidRDefault="00CB2B66" w:rsidP="00CB2B66">
      <w:pPr>
        <w:jc w:val="both"/>
        <w:rPr>
          <w:rFonts w:asciiTheme="minorHAnsi" w:hAnsiTheme="minorHAnsi"/>
          <w:sz w:val="22"/>
          <w:szCs w:val="22"/>
        </w:rPr>
      </w:pPr>
    </w:p>
    <w:p w14:paraId="6DC8CA99" w14:textId="104AED66" w:rsidR="00CB2B66" w:rsidRPr="00CB2B66" w:rsidRDefault="00CB2B66" w:rsidP="00CB2B66">
      <w:pPr>
        <w:pStyle w:val="ListParagraph"/>
        <w:numPr>
          <w:ilvl w:val="0"/>
          <w:numId w:val="9"/>
        </w:numPr>
        <w:jc w:val="both"/>
        <w:rPr>
          <w:rFonts w:cs="Arial"/>
          <w:sz w:val="22"/>
          <w:szCs w:val="22"/>
        </w:rPr>
      </w:pPr>
      <w:r>
        <w:rPr>
          <w:sz w:val="22"/>
          <w:szCs w:val="22"/>
        </w:rPr>
        <w:t xml:space="preserve">Un </w:t>
      </w:r>
      <w:r w:rsidR="004740E1">
        <w:rPr>
          <w:sz w:val="22"/>
          <w:szCs w:val="22"/>
        </w:rPr>
        <w:t xml:space="preserve">licenciement </w:t>
      </w:r>
      <w:r>
        <w:rPr>
          <w:sz w:val="22"/>
          <w:szCs w:val="22"/>
        </w:rPr>
        <w:t>est une cessation de service</w:t>
      </w:r>
      <w:r w:rsidR="004740E1">
        <w:rPr>
          <w:sz w:val="22"/>
          <w:szCs w:val="22"/>
        </w:rPr>
        <w:t xml:space="preserve"> prise à l’issue d’une décision de</w:t>
      </w:r>
      <w:r>
        <w:rPr>
          <w:sz w:val="22"/>
          <w:szCs w:val="22"/>
        </w:rPr>
        <w:t xml:space="preserve"> l’Organisation (voir l’article 9.3 d</w:t>
      </w:r>
      <w:r w:rsidR="00244DEB">
        <w:rPr>
          <w:sz w:val="22"/>
          <w:szCs w:val="22"/>
        </w:rPr>
        <w:t>u</w:t>
      </w:r>
      <w:r>
        <w:rPr>
          <w:sz w:val="22"/>
          <w:szCs w:val="22"/>
        </w:rPr>
        <w:t xml:space="preserve"> </w:t>
      </w:r>
      <w:r w:rsidR="00244DEB">
        <w:rPr>
          <w:sz w:val="22"/>
          <w:szCs w:val="22"/>
        </w:rPr>
        <w:t>Statut</w:t>
      </w:r>
      <w:r>
        <w:rPr>
          <w:sz w:val="22"/>
          <w:szCs w:val="22"/>
        </w:rPr>
        <w:t xml:space="preserve"> du personnel et l’article 9.6 d</w:t>
      </w:r>
      <w:r w:rsidR="00244DEB">
        <w:rPr>
          <w:sz w:val="22"/>
          <w:szCs w:val="22"/>
        </w:rPr>
        <w:t>u</w:t>
      </w:r>
      <w:r>
        <w:rPr>
          <w:sz w:val="22"/>
          <w:szCs w:val="22"/>
        </w:rPr>
        <w:t xml:space="preserve"> Règle</w:t>
      </w:r>
      <w:r w:rsidR="00244DEB">
        <w:rPr>
          <w:sz w:val="22"/>
          <w:szCs w:val="22"/>
        </w:rPr>
        <w:t>ment</w:t>
      </w:r>
      <w:r>
        <w:rPr>
          <w:sz w:val="22"/>
          <w:szCs w:val="22"/>
        </w:rPr>
        <w:t xml:space="preserve"> du personnel des Nations Unies) aux fins suivantes :</w:t>
      </w:r>
    </w:p>
    <w:p w14:paraId="6DC8CA9A" w14:textId="77777777" w:rsidR="00CB2B66" w:rsidRPr="00CB2B66" w:rsidRDefault="00CB2B66" w:rsidP="00CB2B66">
      <w:pPr>
        <w:jc w:val="both"/>
        <w:rPr>
          <w:rFonts w:asciiTheme="minorHAnsi" w:hAnsiTheme="minorHAnsi" w:cs="Arial"/>
          <w:sz w:val="22"/>
          <w:szCs w:val="22"/>
        </w:rPr>
      </w:pPr>
    </w:p>
    <w:p w14:paraId="6DC8CA9B" w14:textId="4B9CFBB9" w:rsidR="00CB2B66" w:rsidRPr="00CB2B66" w:rsidRDefault="00C906B0" w:rsidP="00CB2B66">
      <w:pPr>
        <w:pStyle w:val="ListParagraph"/>
        <w:numPr>
          <w:ilvl w:val="0"/>
          <w:numId w:val="1"/>
        </w:numPr>
        <w:tabs>
          <w:tab w:val="clear" w:pos="1170"/>
          <w:tab w:val="num" w:pos="1530"/>
        </w:tabs>
        <w:ind w:left="1530"/>
        <w:jc w:val="both"/>
        <w:rPr>
          <w:rFonts w:cs="Arial"/>
          <w:sz w:val="22"/>
          <w:szCs w:val="22"/>
        </w:rPr>
      </w:pPr>
      <w:r>
        <w:rPr>
          <w:sz w:val="22"/>
          <w:szCs w:val="22"/>
        </w:rPr>
        <w:t>M</w:t>
      </w:r>
      <w:r w:rsidR="00CB2B66">
        <w:rPr>
          <w:sz w:val="22"/>
          <w:szCs w:val="22"/>
        </w:rPr>
        <w:t>ettre fin au contrat d’engagement continu ou permanent d’un membre du personnel avant l’âge obligatoire de la cessation de service ; ou</w:t>
      </w:r>
    </w:p>
    <w:p w14:paraId="6DC8CA9C" w14:textId="77777777" w:rsidR="00CB2B66" w:rsidRPr="00CB2B66" w:rsidRDefault="00CB2B66" w:rsidP="00CB2B66">
      <w:pPr>
        <w:pStyle w:val="ListParagraph"/>
        <w:ind w:left="1710" w:hanging="540"/>
        <w:jc w:val="both"/>
        <w:rPr>
          <w:rFonts w:cs="Arial"/>
          <w:sz w:val="22"/>
          <w:szCs w:val="22"/>
        </w:rPr>
      </w:pPr>
    </w:p>
    <w:p w14:paraId="6DC8CA9D" w14:textId="14D750B2" w:rsidR="00CB2B66" w:rsidRPr="00CB2B66" w:rsidRDefault="00C906B0" w:rsidP="00CB2B66">
      <w:pPr>
        <w:pStyle w:val="ListParagraph"/>
        <w:numPr>
          <w:ilvl w:val="0"/>
          <w:numId w:val="1"/>
        </w:numPr>
        <w:tabs>
          <w:tab w:val="clear" w:pos="1170"/>
          <w:tab w:val="num" w:pos="1530"/>
        </w:tabs>
        <w:ind w:left="1530"/>
        <w:jc w:val="both"/>
        <w:rPr>
          <w:rFonts w:cs="Arial"/>
          <w:sz w:val="22"/>
          <w:szCs w:val="22"/>
        </w:rPr>
      </w:pPr>
      <w:r>
        <w:rPr>
          <w:sz w:val="22"/>
          <w:szCs w:val="22"/>
        </w:rPr>
        <w:t>M</w:t>
      </w:r>
      <w:r w:rsidR="00CB2B66">
        <w:rPr>
          <w:sz w:val="22"/>
          <w:szCs w:val="22"/>
        </w:rPr>
        <w:t>ettre fin au contrat d’engagement temporaire ou à durée déterminée d’un membre du personnel avant la date d’expiration indiquée dans la nomination.</w:t>
      </w:r>
    </w:p>
    <w:p w14:paraId="6DC8CA9E" w14:textId="77777777" w:rsidR="00CB2B66" w:rsidRPr="00CB2B66" w:rsidRDefault="00CB2B66" w:rsidP="00CB2B66">
      <w:pPr>
        <w:pStyle w:val="ListParagraph"/>
        <w:rPr>
          <w:rFonts w:cs="Arial"/>
          <w:sz w:val="22"/>
          <w:szCs w:val="22"/>
        </w:rPr>
      </w:pPr>
    </w:p>
    <w:p w14:paraId="6DC8CA9F" w14:textId="77777777" w:rsidR="00CB2B66" w:rsidRPr="00CB2B66" w:rsidRDefault="00CB2B66" w:rsidP="00CB2B66">
      <w:pPr>
        <w:pStyle w:val="ListParagraph"/>
        <w:ind w:left="1350"/>
        <w:jc w:val="both"/>
        <w:rPr>
          <w:rFonts w:cs="Arial"/>
          <w:sz w:val="22"/>
          <w:szCs w:val="22"/>
        </w:rPr>
      </w:pPr>
    </w:p>
    <w:p w14:paraId="6DC8CAA0" w14:textId="0913C482" w:rsidR="00CB2B66" w:rsidRPr="00CB2B66" w:rsidRDefault="00CB2B66" w:rsidP="00CB2B66">
      <w:pPr>
        <w:pStyle w:val="ListParagraph"/>
        <w:numPr>
          <w:ilvl w:val="0"/>
          <w:numId w:val="10"/>
        </w:numPr>
        <w:jc w:val="both"/>
        <w:rPr>
          <w:rFonts w:cs="Arial"/>
          <w:sz w:val="22"/>
          <w:szCs w:val="22"/>
        </w:rPr>
      </w:pPr>
      <w:r>
        <w:rPr>
          <w:sz w:val="22"/>
          <w:szCs w:val="22"/>
        </w:rPr>
        <w:t xml:space="preserve">L’autorité </w:t>
      </w:r>
      <w:r w:rsidR="004740E1">
        <w:rPr>
          <w:sz w:val="22"/>
          <w:szCs w:val="22"/>
        </w:rPr>
        <w:t xml:space="preserve">de licencier </w:t>
      </w:r>
      <w:r>
        <w:rPr>
          <w:sz w:val="22"/>
          <w:szCs w:val="22"/>
        </w:rPr>
        <w:t>un membre du personnel appartient à l’Administrateur ou à son fonctionnaire délégué qui, en motivant sa décision, peut exercer cette autorité conformément aux conditions d’engagement d’un membre du personnel dans l’une des situations suivantes :</w:t>
      </w:r>
    </w:p>
    <w:p w14:paraId="6DC8CAA1" w14:textId="77777777" w:rsidR="00CB2B66" w:rsidRPr="00CB2B66" w:rsidRDefault="00CB2B66" w:rsidP="00CB2B66">
      <w:pPr>
        <w:ind w:hanging="360"/>
        <w:jc w:val="both"/>
        <w:rPr>
          <w:rFonts w:asciiTheme="minorHAnsi" w:hAnsiTheme="minorHAnsi" w:cs="Arial"/>
          <w:sz w:val="22"/>
          <w:szCs w:val="22"/>
        </w:rPr>
      </w:pPr>
    </w:p>
    <w:p w14:paraId="6DC8CAA2" w14:textId="2EC61D82" w:rsidR="00CB2B66" w:rsidRPr="00CB2B66" w:rsidRDefault="00C906B0" w:rsidP="00CB2B66">
      <w:pPr>
        <w:pStyle w:val="ListParagraph"/>
        <w:numPr>
          <w:ilvl w:val="0"/>
          <w:numId w:val="8"/>
        </w:numPr>
        <w:ind w:left="1530"/>
        <w:jc w:val="both"/>
        <w:rPr>
          <w:rFonts w:cs="Arial"/>
          <w:sz w:val="22"/>
          <w:szCs w:val="22"/>
        </w:rPr>
      </w:pPr>
      <w:r>
        <w:rPr>
          <w:sz w:val="22"/>
          <w:szCs w:val="22"/>
        </w:rPr>
        <w:t>L</w:t>
      </w:r>
      <w:r w:rsidR="00CB2B66">
        <w:rPr>
          <w:sz w:val="22"/>
          <w:szCs w:val="22"/>
        </w:rPr>
        <w:t>es nécessités du service exigent la suppression de postes ou la compression</w:t>
      </w:r>
      <w:r w:rsidR="004740E1">
        <w:rPr>
          <w:sz w:val="22"/>
          <w:szCs w:val="22"/>
        </w:rPr>
        <w:t xml:space="preserve"> d’effectifs ;</w:t>
      </w:r>
      <w:r w:rsidR="00CB2B66">
        <w:rPr>
          <w:sz w:val="22"/>
          <w:szCs w:val="22"/>
        </w:rPr>
        <w:t xml:space="preserve"> </w:t>
      </w:r>
    </w:p>
    <w:p w14:paraId="6DC8CAA3" w14:textId="77777777" w:rsidR="00CB2B66" w:rsidRPr="00CB2B66" w:rsidRDefault="00CB2B66" w:rsidP="00CB2B66">
      <w:pPr>
        <w:pStyle w:val="ListParagraph"/>
        <w:ind w:left="810"/>
        <w:jc w:val="both"/>
        <w:rPr>
          <w:rFonts w:cs="Arial"/>
          <w:sz w:val="22"/>
          <w:szCs w:val="22"/>
        </w:rPr>
      </w:pPr>
    </w:p>
    <w:p w14:paraId="6DC8CAA4" w14:textId="0166C2DF" w:rsidR="00CB2B66" w:rsidRPr="00CB2B66" w:rsidRDefault="00C906B0" w:rsidP="00CB2B66">
      <w:pPr>
        <w:pStyle w:val="ListParagraph"/>
        <w:numPr>
          <w:ilvl w:val="0"/>
          <w:numId w:val="8"/>
        </w:numPr>
        <w:ind w:left="1530"/>
        <w:jc w:val="both"/>
        <w:rPr>
          <w:rFonts w:cs="Arial"/>
          <w:sz w:val="22"/>
          <w:szCs w:val="22"/>
        </w:rPr>
      </w:pPr>
      <w:r>
        <w:rPr>
          <w:sz w:val="22"/>
          <w:szCs w:val="22"/>
        </w:rPr>
        <w:t>S</w:t>
      </w:r>
      <w:r w:rsidR="00CB2B66">
        <w:rPr>
          <w:sz w:val="22"/>
          <w:szCs w:val="22"/>
        </w:rPr>
        <w:t>ervice</w:t>
      </w:r>
      <w:r w:rsidR="004740E1">
        <w:rPr>
          <w:sz w:val="22"/>
          <w:szCs w:val="22"/>
        </w:rPr>
        <w:t>s ne donnant pas satisfaction ;</w:t>
      </w:r>
      <w:r w:rsidR="00CB2B66">
        <w:rPr>
          <w:sz w:val="22"/>
          <w:szCs w:val="22"/>
        </w:rPr>
        <w:t xml:space="preserve"> </w:t>
      </w:r>
    </w:p>
    <w:p w14:paraId="6DC8CAA5" w14:textId="71CFC0D8" w:rsidR="00CB2B66" w:rsidRPr="00CB2B66" w:rsidRDefault="00FE5243" w:rsidP="00FE5243">
      <w:pPr>
        <w:pStyle w:val="ListParagraph"/>
        <w:tabs>
          <w:tab w:val="left" w:pos="8310"/>
        </w:tabs>
        <w:ind w:left="810"/>
        <w:jc w:val="both"/>
        <w:rPr>
          <w:rFonts w:cs="Arial"/>
          <w:sz w:val="22"/>
          <w:szCs w:val="22"/>
        </w:rPr>
      </w:pPr>
      <w:r>
        <w:rPr>
          <w:sz w:val="22"/>
          <w:szCs w:val="22"/>
        </w:rPr>
        <w:lastRenderedPageBreak/>
        <w:tab/>
      </w:r>
    </w:p>
    <w:p w14:paraId="6DC8CAA6" w14:textId="07624EEA" w:rsidR="00CB2B66" w:rsidRPr="00CB2B66" w:rsidRDefault="00DA65F2" w:rsidP="00CB2B66">
      <w:pPr>
        <w:pStyle w:val="ListParagraph"/>
        <w:numPr>
          <w:ilvl w:val="0"/>
          <w:numId w:val="8"/>
        </w:numPr>
        <w:ind w:left="1530"/>
        <w:jc w:val="both"/>
        <w:rPr>
          <w:rFonts w:cs="Arial"/>
          <w:sz w:val="22"/>
          <w:szCs w:val="22"/>
        </w:rPr>
      </w:pPr>
      <w:r>
        <w:rPr>
          <w:sz w:val="22"/>
          <w:szCs w:val="22"/>
        </w:rPr>
        <w:t xml:space="preserve">Inaptitude de l’intéressé à continuer de remplir ses fonctions en raison de son état de santé; </w:t>
      </w:r>
      <w:r w:rsidR="00CB2B66">
        <w:rPr>
          <w:sz w:val="22"/>
          <w:szCs w:val="22"/>
        </w:rPr>
        <w:t xml:space="preserve"> </w:t>
      </w:r>
    </w:p>
    <w:p w14:paraId="6DC8CAA7" w14:textId="77777777" w:rsidR="00CB2B66" w:rsidRPr="00CB2B66" w:rsidRDefault="00CB2B66" w:rsidP="00CB2B66">
      <w:pPr>
        <w:pStyle w:val="ListParagraph"/>
        <w:ind w:left="810"/>
        <w:jc w:val="both"/>
        <w:rPr>
          <w:rFonts w:cs="Arial"/>
          <w:sz w:val="22"/>
          <w:szCs w:val="22"/>
        </w:rPr>
      </w:pPr>
    </w:p>
    <w:p w14:paraId="6DC8CAA8" w14:textId="26EEDAD9" w:rsidR="00CB2B66" w:rsidRPr="00CB2B66" w:rsidRDefault="00DA65F2" w:rsidP="00CB2B66">
      <w:pPr>
        <w:pStyle w:val="ListParagraph"/>
        <w:numPr>
          <w:ilvl w:val="0"/>
          <w:numId w:val="8"/>
        </w:numPr>
        <w:ind w:left="1530"/>
        <w:jc w:val="both"/>
        <w:rPr>
          <w:rFonts w:cs="Arial"/>
          <w:sz w:val="22"/>
          <w:szCs w:val="22"/>
        </w:rPr>
      </w:pPr>
      <w:r>
        <w:rPr>
          <w:sz w:val="22"/>
          <w:szCs w:val="22"/>
        </w:rPr>
        <w:t xml:space="preserve">Mesures </w:t>
      </w:r>
      <w:r w:rsidR="00CB2B66">
        <w:rPr>
          <w:sz w:val="22"/>
          <w:szCs w:val="22"/>
        </w:rPr>
        <w:t xml:space="preserve">disciplinaires ; </w:t>
      </w:r>
    </w:p>
    <w:p w14:paraId="6DC8CAA9" w14:textId="77777777" w:rsidR="00CB2B66" w:rsidRPr="00CB2B66" w:rsidRDefault="00CB2B66" w:rsidP="00CB2B66">
      <w:pPr>
        <w:pStyle w:val="ListParagraph"/>
        <w:ind w:left="810"/>
        <w:jc w:val="both"/>
        <w:rPr>
          <w:rFonts w:cs="Arial"/>
          <w:sz w:val="22"/>
          <w:szCs w:val="22"/>
        </w:rPr>
      </w:pPr>
    </w:p>
    <w:p w14:paraId="6DC8CAAA" w14:textId="3CDE49BF" w:rsidR="00CB2B66" w:rsidRPr="00CB2B66" w:rsidRDefault="00C906B0" w:rsidP="00CB2B66">
      <w:pPr>
        <w:pStyle w:val="ListParagraph"/>
        <w:numPr>
          <w:ilvl w:val="0"/>
          <w:numId w:val="8"/>
        </w:numPr>
        <w:ind w:left="1530"/>
        <w:jc w:val="both"/>
        <w:rPr>
          <w:rFonts w:cs="Arial"/>
          <w:sz w:val="22"/>
          <w:szCs w:val="22"/>
        </w:rPr>
      </w:pPr>
      <w:r>
        <w:rPr>
          <w:sz w:val="22"/>
          <w:szCs w:val="22"/>
        </w:rPr>
        <w:t>S</w:t>
      </w:r>
      <w:r w:rsidR="00CB2B66">
        <w:rPr>
          <w:sz w:val="22"/>
          <w:szCs w:val="22"/>
        </w:rPr>
        <w:t xml:space="preserve">i des faits antérieurs à la nomination ont été révélés qui auraient empêché l’engagement ;  </w:t>
      </w:r>
    </w:p>
    <w:p w14:paraId="6DC8CAAB" w14:textId="77777777" w:rsidR="00CB2B66" w:rsidRPr="00CB2B66" w:rsidRDefault="00CB2B66" w:rsidP="00CB2B66">
      <w:pPr>
        <w:pStyle w:val="ListParagraph"/>
        <w:ind w:left="1440" w:hanging="630"/>
        <w:jc w:val="both"/>
        <w:rPr>
          <w:rFonts w:cs="Arial"/>
          <w:sz w:val="22"/>
          <w:szCs w:val="22"/>
        </w:rPr>
      </w:pPr>
    </w:p>
    <w:p w14:paraId="6DC8CAAC" w14:textId="7E4E282B" w:rsidR="00CB2B66" w:rsidRPr="00CB2B66" w:rsidRDefault="00C906B0" w:rsidP="00CB2B66">
      <w:pPr>
        <w:pStyle w:val="ListParagraph"/>
        <w:numPr>
          <w:ilvl w:val="0"/>
          <w:numId w:val="8"/>
        </w:numPr>
        <w:ind w:left="1530"/>
        <w:jc w:val="both"/>
        <w:rPr>
          <w:rFonts w:cs="Arial"/>
          <w:sz w:val="22"/>
          <w:szCs w:val="22"/>
        </w:rPr>
      </w:pPr>
      <w:r>
        <w:rPr>
          <w:sz w:val="22"/>
          <w:szCs w:val="22"/>
        </w:rPr>
        <w:t>L</w:t>
      </w:r>
      <w:r w:rsidR="00DA65F2">
        <w:rPr>
          <w:sz w:val="22"/>
          <w:szCs w:val="22"/>
        </w:rPr>
        <w:t xml:space="preserve">e licenciement </w:t>
      </w:r>
      <w:r w:rsidR="00CB2B66">
        <w:rPr>
          <w:sz w:val="22"/>
          <w:szCs w:val="22"/>
        </w:rPr>
        <w:t>dans l’intérêt de la bonne marche de l’Organisation, à condition que le membre du personnel et l’Organisation en conviennent d’un commun accord, ce qui implique que l</w:t>
      </w:r>
      <w:r w:rsidR="00DA65F2">
        <w:rPr>
          <w:sz w:val="22"/>
          <w:szCs w:val="22"/>
        </w:rPr>
        <w:t xml:space="preserve">e licenciement </w:t>
      </w:r>
      <w:r w:rsidR="00CB2B66">
        <w:rPr>
          <w:sz w:val="22"/>
          <w:szCs w:val="22"/>
        </w:rPr>
        <w:t xml:space="preserve"> ne peut être contesté par le membre du personnel concerné (« résiliation à l’amiable ») ; ou,</w:t>
      </w:r>
    </w:p>
    <w:p w14:paraId="6DC8CAAD" w14:textId="77777777" w:rsidR="00CB2B66" w:rsidRPr="00CB2B66" w:rsidRDefault="00CB2B66" w:rsidP="00CB2B66">
      <w:pPr>
        <w:pStyle w:val="ListParagraph"/>
        <w:ind w:left="1530"/>
        <w:jc w:val="both"/>
        <w:rPr>
          <w:rFonts w:cs="Arial"/>
          <w:sz w:val="22"/>
          <w:szCs w:val="22"/>
        </w:rPr>
      </w:pPr>
    </w:p>
    <w:p w14:paraId="6DC8CAAE" w14:textId="122C5E80" w:rsidR="00CB2B66" w:rsidRPr="00B748F6" w:rsidRDefault="00C906B0" w:rsidP="00CB2B66">
      <w:pPr>
        <w:pStyle w:val="ListParagraph"/>
        <w:numPr>
          <w:ilvl w:val="0"/>
          <w:numId w:val="8"/>
        </w:numPr>
        <w:ind w:left="1530"/>
        <w:jc w:val="both"/>
        <w:rPr>
          <w:rFonts w:cs="Arial"/>
          <w:sz w:val="22"/>
          <w:szCs w:val="22"/>
        </w:rPr>
      </w:pPr>
      <w:r>
        <w:rPr>
          <w:sz w:val="22"/>
          <w:szCs w:val="22"/>
        </w:rPr>
        <w:t>D</w:t>
      </w:r>
      <w:r w:rsidR="00CB2B66">
        <w:rPr>
          <w:sz w:val="22"/>
          <w:szCs w:val="22"/>
        </w:rPr>
        <w:t xml:space="preserve">ans le cas d’un membre du personnel titulaire d’un contrat d’engagement continu, la résiliation dans l’intérêt de l’Organisation, sans l’accord du membre du personnel, principalement à la suite d’une modification ou d’une fin de mandat. </w:t>
      </w:r>
    </w:p>
    <w:p w14:paraId="21EE3611" w14:textId="77777777" w:rsidR="00B748F6" w:rsidRPr="00B748F6" w:rsidRDefault="00B748F6" w:rsidP="00B748F6">
      <w:pPr>
        <w:pStyle w:val="ListParagraph"/>
        <w:rPr>
          <w:rFonts w:cs="Arial"/>
          <w:sz w:val="22"/>
          <w:szCs w:val="22"/>
        </w:rPr>
      </w:pPr>
    </w:p>
    <w:p w14:paraId="7F8B66A8" w14:textId="1F501C07" w:rsidR="00B748F6" w:rsidRPr="00CB2B66" w:rsidRDefault="00B748F6" w:rsidP="00CB2B66">
      <w:pPr>
        <w:pStyle w:val="ListParagraph"/>
        <w:numPr>
          <w:ilvl w:val="0"/>
          <w:numId w:val="8"/>
        </w:numPr>
        <w:ind w:left="1530"/>
        <w:jc w:val="both"/>
        <w:rPr>
          <w:rFonts w:cs="Arial"/>
          <w:sz w:val="22"/>
          <w:szCs w:val="22"/>
        </w:rPr>
      </w:pPr>
      <w:r w:rsidRPr="00B748F6">
        <w:rPr>
          <w:rFonts w:cs="Arial"/>
          <w:sz w:val="22"/>
          <w:szCs w:val="22"/>
        </w:rPr>
        <w:t xml:space="preserve">Pour les membres du personnel qui ne sont plus affectés ou qui retournent au PNUD sans lien spécifique avec un poste et qui n'ont pas pu obtenir un nouveau poste après une période de congé spécial sans solde ou à la suite d'un prêt ou d'un détachement auprès d'une autre organisation des Nations </w:t>
      </w:r>
      <w:r>
        <w:rPr>
          <w:rFonts w:cs="Arial"/>
          <w:sz w:val="22"/>
          <w:szCs w:val="22"/>
        </w:rPr>
        <w:t>U</w:t>
      </w:r>
      <w:r w:rsidRPr="00B748F6">
        <w:rPr>
          <w:rFonts w:cs="Arial"/>
          <w:sz w:val="22"/>
          <w:szCs w:val="22"/>
        </w:rPr>
        <w:t>nies.</w:t>
      </w:r>
    </w:p>
    <w:p w14:paraId="6DC8CAAF" w14:textId="77777777" w:rsidR="00CB2B66" w:rsidRPr="00CB2B66" w:rsidRDefault="00CB2B66" w:rsidP="00CB2B66">
      <w:pPr>
        <w:pStyle w:val="ListParagraph"/>
        <w:ind w:left="810"/>
        <w:jc w:val="both"/>
        <w:rPr>
          <w:rFonts w:cs="Arial"/>
          <w:sz w:val="22"/>
          <w:szCs w:val="22"/>
        </w:rPr>
      </w:pPr>
    </w:p>
    <w:p w14:paraId="6DC8CAB0" w14:textId="77777777" w:rsidR="00CB2B66" w:rsidRPr="00CB2B66" w:rsidRDefault="00CB2B66" w:rsidP="00CB2B66">
      <w:pPr>
        <w:pStyle w:val="ListParagraph"/>
        <w:ind w:left="810"/>
        <w:jc w:val="both"/>
        <w:rPr>
          <w:rFonts w:cs="Arial"/>
          <w:sz w:val="22"/>
          <w:szCs w:val="22"/>
        </w:rPr>
      </w:pPr>
    </w:p>
    <w:p w14:paraId="6DC8CAB1" w14:textId="1767E931"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Résiliation de contrat d’engagement pour cause de suppres</w:t>
      </w:r>
      <w:r w:rsidR="00C906B0">
        <w:rPr>
          <w:rFonts w:asciiTheme="minorHAnsi" w:hAnsiTheme="minorHAnsi"/>
          <w:b/>
          <w:sz w:val="22"/>
          <w:szCs w:val="22"/>
        </w:rPr>
        <w:t>sion de poste ou de compression</w:t>
      </w:r>
      <w:r w:rsidR="00C906B0">
        <w:rPr>
          <w:rFonts w:asciiTheme="minorHAnsi" w:hAnsiTheme="minorHAnsi"/>
          <w:b/>
          <w:sz w:val="22"/>
          <w:szCs w:val="22"/>
        </w:rPr>
        <w:br/>
      </w:r>
      <w:r>
        <w:rPr>
          <w:rFonts w:asciiTheme="minorHAnsi" w:hAnsiTheme="minorHAnsi"/>
          <w:b/>
          <w:sz w:val="22"/>
          <w:szCs w:val="22"/>
        </w:rPr>
        <w:t>d</w:t>
      </w:r>
      <w:r w:rsidR="00BF40E4">
        <w:rPr>
          <w:rFonts w:asciiTheme="minorHAnsi" w:hAnsiTheme="minorHAnsi"/>
          <w:b/>
          <w:sz w:val="22"/>
          <w:szCs w:val="22"/>
        </w:rPr>
        <w:t>’effectifs</w:t>
      </w:r>
    </w:p>
    <w:p w14:paraId="6DC8CAB2" w14:textId="77777777" w:rsidR="00CB2B66" w:rsidRPr="00CB2B66" w:rsidRDefault="00CB2B66" w:rsidP="00CB2B66">
      <w:pPr>
        <w:jc w:val="both"/>
        <w:rPr>
          <w:rFonts w:asciiTheme="minorHAnsi" w:hAnsiTheme="minorHAnsi" w:cs="Arial"/>
          <w:sz w:val="22"/>
          <w:szCs w:val="22"/>
        </w:rPr>
      </w:pPr>
    </w:p>
    <w:p w14:paraId="6DC8CAB3"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Le transfert d’un poste de la catégorie des administrateurs et des fonctionnaires de rang supérieur dans un autre lieu d’affectation ne constitue pas une suppression de poste.  </w:t>
      </w:r>
    </w:p>
    <w:p w14:paraId="6DC8CAB4" w14:textId="77777777" w:rsidR="00CB2B66" w:rsidRPr="00CB2B66" w:rsidRDefault="00CB2B66" w:rsidP="00CB2B66">
      <w:pPr>
        <w:ind w:hanging="360"/>
        <w:jc w:val="both"/>
        <w:rPr>
          <w:rFonts w:asciiTheme="minorHAnsi" w:hAnsiTheme="minorHAnsi" w:cs="Arial"/>
          <w:sz w:val="22"/>
          <w:szCs w:val="22"/>
        </w:rPr>
      </w:pPr>
    </w:p>
    <w:p w14:paraId="6DC8CAB5" w14:textId="6BB634AD" w:rsidR="00CB2B66" w:rsidRPr="00CB2B66" w:rsidRDefault="00CB2B66" w:rsidP="00CB2B66">
      <w:pPr>
        <w:pStyle w:val="ListParagraph"/>
        <w:keepLines/>
        <w:numPr>
          <w:ilvl w:val="0"/>
          <w:numId w:val="11"/>
        </w:numPr>
        <w:jc w:val="both"/>
        <w:rPr>
          <w:rFonts w:cs="Arial"/>
          <w:sz w:val="22"/>
          <w:szCs w:val="22"/>
        </w:rPr>
      </w:pPr>
      <w:r>
        <w:rPr>
          <w:sz w:val="22"/>
          <w:szCs w:val="22"/>
        </w:rPr>
        <w:t xml:space="preserve">Un préavis de </w:t>
      </w:r>
      <w:r w:rsidR="009A2ACB">
        <w:rPr>
          <w:sz w:val="22"/>
          <w:szCs w:val="22"/>
        </w:rPr>
        <w:t xml:space="preserve">licenciement </w:t>
      </w:r>
      <w:r>
        <w:rPr>
          <w:sz w:val="22"/>
          <w:szCs w:val="22"/>
        </w:rPr>
        <w:t xml:space="preserve">est </w:t>
      </w:r>
      <w:r w:rsidR="00E07DE4">
        <w:rPr>
          <w:sz w:val="22"/>
          <w:szCs w:val="22"/>
        </w:rPr>
        <w:t>fourni</w:t>
      </w:r>
      <w:r>
        <w:rPr>
          <w:sz w:val="22"/>
          <w:szCs w:val="22"/>
        </w:rPr>
        <w:t xml:space="preserve"> par écrit au membre du personnel qui occupe un poste en voie de suppression. Il peut s’agir d’un membre du personnel qui occupe ou conserve un droit de retour à un poste spécifique en voie de suppression et qui est en congé autorisé sous quelque forme que ce soit, en détachement ou en prêt interinstitutionnel. </w:t>
      </w:r>
    </w:p>
    <w:p w14:paraId="6DC8CAB6" w14:textId="77777777" w:rsidR="00CB2B66" w:rsidRPr="00CB2B66" w:rsidRDefault="00CB2B66" w:rsidP="00CB2B66">
      <w:pPr>
        <w:tabs>
          <w:tab w:val="left" w:pos="270"/>
        </w:tabs>
        <w:jc w:val="both"/>
        <w:rPr>
          <w:rFonts w:asciiTheme="minorHAnsi" w:hAnsiTheme="minorHAnsi" w:cs="Arial"/>
          <w:sz w:val="22"/>
          <w:szCs w:val="22"/>
        </w:rPr>
      </w:pPr>
    </w:p>
    <w:p w14:paraId="6DC8CAB7" w14:textId="77777777" w:rsidR="00CB2B66" w:rsidRPr="00CB2B66" w:rsidRDefault="00CB2B66" w:rsidP="00CB2B66">
      <w:pPr>
        <w:pStyle w:val="ListParagraph"/>
        <w:numPr>
          <w:ilvl w:val="0"/>
          <w:numId w:val="11"/>
        </w:numPr>
        <w:tabs>
          <w:tab w:val="left" w:pos="270"/>
        </w:tabs>
        <w:jc w:val="both"/>
        <w:rPr>
          <w:rFonts w:cs="Arial"/>
          <w:sz w:val="22"/>
          <w:szCs w:val="22"/>
        </w:rPr>
      </w:pPr>
      <w:r>
        <w:rPr>
          <w:sz w:val="22"/>
          <w:szCs w:val="22"/>
        </w:rPr>
        <w:t>Dans le cas des membres du personnel des catégories des services généraux et des administrateurs recrutés sur le plan national, l’examen des postes disponibles et appropriés se limitera aux postes disponibles et appropriés dans leur lieu d’affectation.</w:t>
      </w:r>
    </w:p>
    <w:p w14:paraId="6DC8CAB8" w14:textId="77777777" w:rsidR="00CB2B66" w:rsidRPr="00CB2B66" w:rsidRDefault="00CB2B66" w:rsidP="00CB2B66">
      <w:pPr>
        <w:ind w:hanging="360"/>
        <w:jc w:val="both"/>
        <w:rPr>
          <w:rFonts w:asciiTheme="minorHAnsi" w:hAnsiTheme="minorHAnsi" w:cs="Arial"/>
          <w:sz w:val="22"/>
          <w:szCs w:val="22"/>
        </w:rPr>
      </w:pPr>
    </w:p>
    <w:p w14:paraId="6DC8CAB9" w14:textId="7EA4F214" w:rsidR="00CB2B66" w:rsidRPr="00CB2B66" w:rsidRDefault="00CB2B66" w:rsidP="00CB2B66">
      <w:pPr>
        <w:pStyle w:val="ListParagraph"/>
        <w:numPr>
          <w:ilvl w:val="0"/>
          <w:numId w:val="11"/>
        </w:numPr>
        <w:tabs>
          <w:tab w:val="left" w:pos="0"/>
        </w:tabs>
        <w:jc w:val="both"/>
        <w:rPr>
          <w:rFonts w:cs="Arial"/>
          <w:sz w:val="22"/>
          <w:szCs w:val="22"/>
        </w:rPr>
      </w:pPr>
      <w:r>
        <w:rPr>
          <w:sz w:val="22"/>
          <w:szCs w:val="22"/>
        </w:rPr>
        <w:t xml:space="preserve">Un « poste disponible » est défini comme un poste du PNUD vacant ou un poste qui devient vacant et qui doit être pourvu </w:t>
      </w:r>
      <w:r w:rsidR="00E07DE4">
        <w:rPr>
          <w:sz w:val="22"/>
          <w:szCs w:val="22"/>
        </w:rPr>
        <w:t>avant</w:t>
      </w:r>
      <w:r>
        <w:rPr>
          <w:sz w:val="22"/>
          <w:szCs w:val="22"/>
        </w:rPr>
        <w:t xml:space="preserve"> le délai de préavis. La source de financement du poste peut différer de celle du poste supprimé.</w:t>
      </w:r>
      <w:r w:rsidR="004D1386">
        <w:rPr>
          <w:sz w:val="22"/>
          <w:szCs w:val="22"/>
        </w:rPr>
        <w:t xml:space="preserve"> </w:t>
      </w:r>
      <w:r w:rsidR="004D1386" w:rsidRPr="004D1386">
        <w:rPr>
          <w:sz w:val="22"/>
          <w:szCs w:val="22"/>
        </w:rPr>
        <w:t>Aux fins de la présente définition, un poste disponible ne comprend pas les affectations temporaires ou les affectations de détail, bien qu'il soit reconnu que l'exercice de fonctions dans ces cas peut suspendre la fin d'un engagement.</w:t>
      </w:r>
    </w:p>
    <w:p w14:paraId="6DC8CABA" w14:textId="77777777" w:rsidR="00CB2B66" w:rsidRPr="00CB2B66" w:rsidRDefault="00CB2B66" w:rsidP="00CB2B66">
      <w:pPr>
        <w:jc w:val="both"/>
        <w:rPr>
          <w:rFonts w:asciiTheme="minorHAnsi" w:hAnsiTheme="minorHAnsi" w:cs="Arial"/>
          <w:sz w:val="22"/>
          <w:szCs w:val="22"/>
        </w:rPr>
      </w:pPr>
    </w:p>
    <w:p w14:paraId="6DC8CABB" w14:textId="7ED305B6" w:rsidR="00CB2B66" w:rsidRPr="00CB2B66" w:rsidRDefault="00CB2B66" w:rsidP="00CB2B66">
      <w:pPr>
        <w:pStyle w:val="ListParagraph"/>
        <w:numPr>
          <w:ilvl w:val="0"/>
          <w:numId w:val="11"/>
        </w:numPr>
        <w:jc w:val="both"/>
        <w:rPr>
          <w:rFonts w:cs="Arial"/>
          <w:sz w:val="22"/>
          <w:szCs w:val="22"/>
        </w:rPr>
      </w:pPr>
      <w:r>
        <w:rPr>
          <w:sz w:val="22"/>
          <w:szCs w:val="22"/>
        </w:rPr>
        <w:t>Un poste est « approprié » lorsque le titulaire</w:t>
      </w:r>
      <w:r w:rsidR="004D1386">
        <w:rPr>
          <w:sz w:val="22"/>
          <w:szCs w:val="22"/>
        </w:rPr>
        <w:t>s</w:t>
      </w:r>
      <w:r>
        <w:rPr>
          <w:sz w:val="22"/>
          <w:szCs w:val="22"/>
        </w:rPr>
        <w:t xml:space="preserve"> d’un poste supprimé possède toutes les conditions et les qualifications requises pour un poste vacant où </w:t>
      </w:r>
      <w:r w:rsidR="004D1386">
        <w:rPr>
          <w:sz w:val="22"/>
          <w:szCs w:val="22"/>
        </w:rPr>
        <w:t>leur</w:t>
      </w:r>
      <w:r>
        <w:rPr>
          <w:sz w:val="22"/>
          <w:szCs w:val="22"/>
        </w:rPr>
        <w:t xml:space="preserve"> services peuvent être effectivement </w:t>
      </w:r>
      <w:r>
        <w:rPr>
          <w:sz w:val="22"/>
          <w:szCs w:val="22"/>
        </w:rPr>
        <w:lastRenderedPageBreak/>
        <w:t>utilisés</w:t>
      </w:r>
      <w:r w:rsidR="008C4210">
        <w:rPr>
          <w:sz w:val="22"/>
          <w:szCs w:val="22"/>
        </w:rPr>
        <w:t xml:space="preserve"> </w:t>
      </w:r>
      <w:r w:rsidR="008C4210" w:rsidRPr="008C4210">
        <w:rPr>
          <w:sz w:val="22"/>
          <w:szCs w:val="22"/>
        </w:rPr>
        <w:t>et avoir postulé ou démontré un intérêt spécifique et sans équivoque pour le poste concerné</w:t>
      </w:r>
      <w:r>
        <w:rPr>
          <w:sz w:val="22"/>
          <w:szCs w:val="22"/>
        </w:rPr>
        <w:t xml:space="preserve">.  </w:t>
      </w:r>
    </w:p>
    <w:p w14:paraId="6DC8CABC" w14:textId="77777777" w:rsidR="00CB2B66" w:rsidRPr="00CB2B66" w:rsidRDefault="00CB2B66" w:rsidP="00CB2B66">
      <w:pPr>
        <w:ind w:hanging="360"/>
        <w:jc w:val="both"/>
        <w:rPr>
          <w:rFonts w:asciiTheme="minorHAnsi" w:hAnsiTheme="minorHAnsi" w:cs="Arial"/>
          <w:sz w:val="22"/>
          <w:szCs w:val="22"/>
        </w:rPr>
      </w:pPr>
    </w:p>
    <w:p w14:paraId="6DC8CABD"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Si un contrat d’engagement est résilié à la suite de la suppression d’un poste en raison d’une compression du personnel, les membres du personnel également qualifiés seront conservés dans l’ordre de préférence suivant : </w:t>
      </w:r>
    </w:p>
    <w:p w14:paraId="6DC8CABE" w14:textId="77777777" w:rsidR="00CB2B66" w:rsidRPr="00CB2B66" w:rsidRDefault="00CB2B66" w:rsidP="00CB2B66">
      <w:pPr>
        <w:tabs>
          <w:tab w:val="left" w:pos="0"/>
        </w:tabs>
        <w:ind w:left="360" w:hanging="360"/>
        <w:jc w:val="both"/>
        <w:rPr>
          <w:rFonts w:asciiTheme="minorHAnsi" w:hAnsiTheme="minorHAnsi" w:cs="Arial"/>
          <w:sz w:val="22"/>
          <w:szCs w:val="22"/>
        </w:rPr>
      </w:pPr>
    </w:p>
    <w:p w14:paraId="6DC8CABF" w14:textId="1F37BFB3" w:rsidR="00CB2B66" w:rsidRPr="00CB2B66" w:rsidRDefault="00C906B0" w:rsidP="00CB2B66">
      <w:pPr>
        <w:pStyle w:val="ListParagraph"/>
        <w:numPr>
          <w:ilvl w:val="0"/>
          <w:numId w:val="2"/>
        </w:numPr>
        <w:tabs>
          <w:tab w:val="clear" w:pos="1170"/>
          <w:tab w:val="num" w:pos="1530"/>
        </w:tabs>
        <w:ind w:left="1530"/>
        <w:jc w:val="both"/>
        <w:rPr>
          <w:rFonts w:cs="Arial"/>
          <w:sz w:val="22"/>
          <w:szCs w:val="22"/>
        </w:rPr>
      </w:pPr>
      <w:r>
        <w:rPr>
          <w:sz w:val="22"/>
          <w:szCs w:val="22"/>
        </w:rPr>
        <w:t>L</w:t>
      </w:r>
      <w:r w:rsidR="00CB2B66">
        <w:rPr>
          <w:sz w:val="22"/>
          <w:szCs w:val="22"/>
        </w:rPr>
        <w:t xml:space="preserve">es membres du personnel titulaires d’un contrat d’engagement permanent; </w:t>
      </w:r>
    </w:p>
    <w:p w14:paraId="6DC8CAC0" w14:textId="77777777" w:rsidR="00CB2B66" w:rsidRPr="00CB2B66" w:rsidRDefault="00CB2B66" w:rsidP="00CB2B66">
      <w:pPr>
        <w:pStyle w:val="ListParagraph"/>
        <w:ind w:left="1710"/>
        <w:jc w:val="both"/>
        <w:rPr>
          <w:rFonts w:cs="Arial"/>
          <w:sz w:val="22"/>
          <w:szCs w:val="22"/>
        </w:rPr>
      </w:pPr>
    </w:p>
    <w:p w14:paraId="6DC8CAC1" w14:textId="60583B3F" w:rsidR="00CB2B66" w:rsidRPr="00CB2B66" w:rsidRDefault="00C906B0" w:rsidP="00CB2B66">
      <w:pPr>
        <w:pStyle w:val="ListParagraph"/>
        <w:numPr>
          <w:ilvl w:val="0"/>
          <w:numId w:val="2"/>
        </w:numPr>
        <w:tabs>
          <w:tab w:val="clear" w:pos="1170"/>
          <w:tab w:val="num" w:pos="1530"/>
        </w:tabs>
        <w:ind w:left="1530"/>
        <w:jc w:val="both"/>
        <w:rPr>
          <w:rFonts w:cs="Arial"/>
          <w:sz w:val="22"/>
          <w:szCs w:val="22"/>
        </w:rPr>
      </w:pPr>
      <w:r>
        <w:rPr>
          <w:sz w:val="22"/>
          <w:szCs w:val="22"/>
        </w:rPr>
        <w:t>L</w:t>
      </w:r>
      <w:r w:rsidR="00CB2B66">
        <w:rPr>
          <w:sz w:val="22"/>
          <w:szCs w:val="22"/>
        </w:rPr>
        <w:t xml:space="preserve">es membres du personnel titulaires d’un contrat d’engagement continu ; </w:t>
      </w:r>
    </w:p>
    <w:p w14:paraId="6DC8CAC2" w14:textId="77777777" w:rsidR="00CB2B66" w:rsidRPr="00CB2B66" w:rsidRDefault="00CB2B66" w:rsidP="00CB2B66">
      <w:pPr>
        <w:pStyle w:val="ListParagraph"/>
        <w:ind w:left="1710"/>
        <w:jc w:val="both"/>
        <w:rPr>
          <w:rFonts w:cs="Arial"/>
          <w:sz w:val="22"/>
          <w:szCs w:val="22"/>
        </w:rPr>
      </w:pPr>
    </w:p>
    <w:p w14:paraId="6DC8CAC3" w14:textId="5A07D136" w:rsidR="00CB2B66" w:rsidRPr="00CB2B66" w:rsidRDefault="00C906B0" w:rsidP="00CB2B66">
      <w:pPr>
        <w:pStyle w:val="ListParagraph"/>
        <w:numPr>
          <w:ilvl w:val="0"/>
          <w:numId w:val="2"/>
        </w:numPr>
        <w:tabs>
          <w:tab w:val="clear" w:pos="1170"/>
          <w:tab w:val="num" w:pos="1530"/>
        </w:tabs>
        <w:ind w:left="1530"/>
        <w:jc w:val="both"/>
        <w:rPr>
          <w:rFonts w:cs="Arial"/>
          <w:sz w:val="22"/>
          <w:szCs w:val="22"/>
        </w:rPr>
      </w:pPr>
      <w:r>
        <w:rPr>
          <w:sz w:val="22"/>
          <w:szCs w:val="22"/>
        </w:rPr>
        <w:t>L</w:t>
      </w:r>
      <w:r w:rsidR="00CB2B66">
        <w:rPr>
          <w:sz w:val="22"/>
          <w:szCs w:val="22"/>
        </w:rPr>
        <w:t>es membres du personnel titulaires d’un contrat d’engagement à durée déterminée ;</w:t>
      </w:r>
    </w:p>
    <w:p w14:paraId="6DC8CAC4" w14:textId="77777777" w:rsidR="00CB2B66" w:rsidRPr="00CB2B66" w:rsidRDefault="00CB2B66" w:rsidP="00CB2B66">
      <w:pPr>
        <w:pStyle w:val="ListParagraph"/>
        <w:rPr>
          <w:rFonts w:cs="Arial"/>
          <w:sz w:val="22"/>
          <w:szCs w:val="22"/>
        </w:rPr>
      </w:pPr>
    </w:p>
    <w:p w14:paraId="6DC8CAC6" w14:textId="77777777" w:rsidR="00CB2B66" w:rsidRPr="00CB2B66" w:rsidRDefault="00CB2B66" w:rsidP="00CB2B66">
      <w:pPr>
        <w:ind w:left="360" w:hanging="360"/>
        <w:jc w:val="both"/>
        <w:rPr>
          <w:rFonts w:asciiTheme="minorHAnsi" w:hAnsiTheme="minorHAnsi" w:cs="Arial"/>
          <w:sz w:val="22"/>
          <w:szCs w:val="22"/>
        </w:rPr>
      </w:pPr>
    </w:p>
    <w:p w14:paraId="6DC8CAC7" w14:textId="77777777" w:rsidR="00CB2B66" w:rsidRPr="00CB2B66" w:rsidRDefault="00CB2B66" w:rsidP="00CB2B66">
      <w:pPr>
        <w:pStyle w:val="ListParagraph"/>
        <w:numPr>
          <w:ilvl w:val="0"/>
          <w:numId w:val="11"/>
        </w:numPr>
        <w:jc w:val="both"/>
        <w:rPr>
          <w:bCs/>
          <w:sz w:val="22"/>
          <w:szCs w:val="22"/>
        </w:rPr>
      </w:pPr>
      <w:r>
        <w:rPr>
          <w:sz w:val="22"/>
          <w:szCs w:val="22"/>
        </w:rPr>
        <w:t>Pour déterminer si les candidats sont également qualifiés, la compétence relative, l’intégrité et la durée du service sont dûment pris en compte.</w:t>
      </w:r>
      <w:r>
        <w:rPr>
          <w:bCs/>
          <w:sz w:val="22"/>
          <w:szCs w:val="22"/>
        </w:rPr>
        <w:t xml:space="preserve"> </w:t>
      </w:r>
    </w:p>
    <w:p w14:paraId="6DC8CAC8" w14:textId="77777777" w:rsidR="00CB2B66" w:rsidRPr="00CB2B66" w:rsidRDefault="00CB2B66" w:rsidP="00CB2B66">
      <w:pPr>
        <w:ind w:left="360" w:hanging="360"/>
        <w:jc w:val="both"/>
        <w:rPr>
          <w:rFonts w:asciiTheme="minorHAnsi" w:hAnsiTheme="minorHAnsi" w:cs="Arial"/>
          <w:sz w:val="22"/>
          <w:szCs w:val="22"/>
        </w:rPr>
      </w:pPr>
    </w:p>
    <w:p w14:paraId="6DC8CAC9" w14:textId="77777777" w:rsidR="00CB2B66" w:rsidRPr="00CB2B66" w:rsidRDefault="00CB2B66" w:rsidP="00CB2B66">
      <w:pPr>
        <w:pStyle w:val="ListParagraph"/>
        <w:numPr>
          <w:ilvl w:val="0"/>
          <w:numId w:val="11"/>
        </w:numPr>
        <w:tabs>
          <w:tab w:val="left" w:pos="0"/>
        </w:tabs>
        <w:jc w:val="both"/>
        <w:rPr>
          <w:rFonts w:cs="Arial"/>
          <w:sz w:val="22"/>
          <w:szCs w:val="22"/>
        </w:rPr>
      </w:pPr>
      <w:r>
        <w:rPr>
          <w:sz w:val="22"/>
          <w:szCs w:val="22"/>
        </w:rPr>
        <w:t xml:space="preserve">La date d’entrée en vigueur de la cessation de service est la suivante : </w:t>
      </w:r>
    </w:p>
    <w:p w14:paraId="6DC8CACA" w14:textId="77777777" w:rsidR="00CB2B66" w:rsidRPr="00CB2B66" w:rsidRDefault="00CB2B66" w:rsidP="00CB2B66">
      <w:pPr>
        <w:ind w:hanging="360"/>
        <w:jc w:val="both"/>
        <w:rPr>
          <w:rFonts w:asciiTheme="minorHAnsi" w:hAnsiTheme="minorHAnsi" w:cs="Arial"/>
          <w:sz w:val="22"/>
          <w:szCs w:val="22"/>
        </w:rPr>
      </w:pPr>
    </w:p>
    <w:p w14:paraId="6DC8CACB" w14:textId="0725CD78" w:rsidR="00CB2B66" w:rsidRPr="00CB2B66" w:rsidRDefault="00CB2B66" w:rsidP="00CB2B66">
      <w:pPr>
        <w:pStyle w:val="ListParagraph"/>
        <w:numPr>
          <w:ilvl w:val="0"/>
          <w:numId w:val="3"/>
        </w:numPr>
        <w:ind w:left="1530"/>
        <w:jc w:val="both"/>
        <w:rPr>
          <w:rFonts w:cs="Arial"/>
          <w:sz w:val="22"/>
          <w:szCs w:val="22"/>
        </w:rPr>
      </w:pPr>
      <w:r>
        <w:rPr>
          <w:sz w:val="22"/>
          <w:szCs w:val="22"/>
        </w:rPr>
        <w:t xml:space="preserve">Pour un membre du personnel titulaire d’un contrat d’engagement permanent, la date de cessation de service est la date d’expiration du préavis ; </w:t>
      </w:r>
    </w:p>
    <w:p w14:paraId="6DC8CACE" w14:textId="77777777" w:rsidR="00CB2B66" w:rsidRPr="00CB2B66" w:rsidRDefault="00CB2B66" w:rsidP="00CB2B66">
      <w:pPr>
        <w:ind w:left="360"/>
        <w:jc w:val="both"/>
        <w:rPr>
          <w:rFonts w:asciiTheme="minorHAnsi" w:hAnsiTheme="minorHAnsi" w:cs="Arial"/>
          <w:sz w:val="22"/>
          <w:szCs w:val="22"/>
        </w:rPr>
      </w:pPr>
    </w:p>
    <w:p w14:paraId="6DC8CACF" w14:textId="77777777" w:rsidR="00CB2B66" w:rsidRPr="00CB2B66" w:rsidRDefault="00CB2B66" w:rsidP="00CB2B66">
      <w:pPr>
        <w:pStyle w:val="ListParagraph"/>
        <w:numPr>
          <w:ilvl w:val="0"/>
          <w:numId w:val="3"/>
        </w:numPr>
        <w:ind w:left="1530"/>
        <w:jc w:val="both"/>
        <w:rPr>
          <w:rFonts w:cs="Arial"/>
          <w:sz w:val="22"/>
          <w:szCs w:val="22"/>
        </w:rPr>
      </w:pPr>
      <w:r>
        <w:rPr>
          <w:sz w:val="22"/>
          <w:szCs w:val="22"/>
        </w:rPr>
        <w:t xml:space="preserve">Pour un membre du personnel titulaire d’un contrat d’engagement à durée déterminée qui expire après la fin de la période de préavis, la date de cessation de service est la date d’expiration de la période de préavis. </w:t>
      </w:r>
    </w:p>
    <w:p w14:paraId="6DC8CAD0" w14:textId="77777777" w:rsidR="00CB2B66" w:rsidRPr="00CB2B66" w:rsidRDefault="00CB2B66" w:rsidP="00CB2B66">
      <w:pPr>
        <w:ind w:left="720"/>
        <w:jc w:val="both"/>
        <w:rPr>
          <w:rFonts w:asciiTheme="minorHAnsi" w:hAnsiTheme="minorHAnsi" w:cs="Arial"/>
          <w:b/>
          <w:sz w:val="22"/>
          <w:szCs w:val="22"/>
        </w:rPr>
      </w:pPr>
    </w:p>
    <w:p w14:paraId="6DC8CAD8" w14:textId="77777777" w:rsidR="00CB2B66" w:rsidRPr="00CB2B66" w:rsidRDefault="00CB2B66" w:rsidP="00CB2B66">
      <w:pPr>
        <w:pStyle w:val="ListParagraph"/>
        <w:ind w:left="720"/>
        <w:jc w:val="both"/>
        <w:rPr>
          <w:rFonts w:cs="Arial"/>
          <w:sz w:val="22"/>
          <w:szCs w:val="22"/>
        </w:rPr>
      </w:pPr>
    </w:p>
    <w:p w14:paraId="6DC8CAD9"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Dans le cas des membres du personnel occupant des postes supprimés, des options de report de la cessation de service en congé spécial sans traitement pour une période maximale de deux ans peuvent être demandées pour répondre aux besoins en matière d’ancienneté de service aux fins de la pension ou de l’assurance maladie après la cessation de service (ASHI). </w:t>
      </w:r>
    </w:p>
    <w:p w14:paraId="6DC8CADA" w14:textId="77777777" w:rsidR="00CB2B66" w:rsidRPr="00CB2B66" w:rsidRDefault="00CB2B66" w:rsidP="00CB2B66">
      <w:pPr>
        <w:ind w:left="-180"/>
        <w:jc w:val="both"/>
        <w:rPr>
          <w:rFonts w:asciiTheme="minorHAnsi" w:hAnsiTheme="minorHAnsi" w:cs="Arial"/>
          <w:sz w:val="22"/>
          <w:szCs w:val="22"/>
        </w:rPr>
      </w:pPr>
    </w:p>
    <w:p w14:paraId="6DC8CADB" w14:textId="77777777" w:rsidR="00CB2B66" w:rsidRPr="00CB2B66" w:rsidRDefault="00CB2B66" w:rsidP="00CB2B66">
      <w:pPr>
        <w:ind w:left="-180"/>
        <w:jc w:val="both"/>
        <w:rPr>
          <w:rFonts w:asciiTheme="minorHAnsi" w:hAnsiTheme="minorHAnsi" w:cs="Arial"/>
          <w:sz w:val="22"/>
          <w:szCs w:val="22"/>
        </w:rPr>
      </w:pPr>
    </w:p>
    <w:p w14:paraId="6DC8CADC" w14:textId="5C4886AF" w:rsidR="00CB2B66" w:rsidRPr="00CB2B66" w:rsidRDefault="009A2ACB" w:rsidP="00CB2B66">
      <w:pPr>
        <w:jc w:val="both"/>
        <w:rPr>
          <w:rFonts w:asciiTheme="minorHAnsi" w:hAnsiTheme="minorHAnsi" w:cs="Arial"/>
          <w:b/>
          <w:sz w:val="22"/>
          <w:szCs w:val="22"/>
        </w:rPr>
      </w:pPr>
      <w:r>
        <w:rPr>
          <w:rFonts w:asciiTheme="minorHAnsi" w:hAnsiTheme="minorHAnsi"/>
          <w:b/>
          <w:sz w:val="22"/>
          <w:szCs w:val="22"/>
        </w:rPr>
        <w:t>Licenciement pour</w:t>
      </w:r>
      <w:r w:rsidR="00CB2B66">
        <w:rPr>
          <w:rFonts w:asciiTheme="minorHAnsi" w:hAnsiTheme="minorHAnsi"/>
          <w:b/>
          <w:sz w:val="22"/>
          <w:szCs w:val="22"/>
        </w:rPr>
        <w:t xml:space="preserve"> service insatisfaisant</w:t>
      </w:r>
    </w:p>
    <w:p w14:paraId="6DC8CADD" w14:textId="77777777" w:rsidR="00CB2B66" w:rsidRPr="00CB2B66" w:rsidRDefault="00CB2B66" w:rsidP="00CB2B66">
      <w:pPr>
        <w:jc w:val="both"/>
        <w:rPr>
          <w:rFonts w:asciiTheme="minorHAnsi" w:hAnsiTheme="minorHAnsi" w:cs="Arial"/>
          <w:b/>
          <w:sz w:val="22"/>
          <w:szCs w:val="22"/>
        </w:rPr>
      </w:pPr>
    </w:p>
    <w:p w14:paraId="6DC8CADE" w14:textId="1D02A832" w:rsidR="00CB2B66" w:rsidRPr="00CB2B66" w:rsidRDefault="002867E0" w:rsidP="00CB2B66">
      <w:pPr>
        <w:pStyle w:val="ListParagraph"/>
        <w:numPr>
          <w:ilvl w:val="0"/>
          <w:numId w:val="11"/>
        </w:numPr>
        <w:jc w:val="both"/>
        <w:rPr>
          <w:rFonts w:cs="Arial"/>
          <w:sz w:val="22"/>
          <w:szCs w:val="22"/>
        </w:rPr>
      </w:pPr>
      <w:r w:rsidRPr="002867E0">
        <w:rPr>
          <w:sz w:val="22"/>
          <w:szCs w:val="22"/>
        </w:rPr>
        <w:t>Les cadres doivent utiliser les outils de gestion des performances appropriés, conformément à la politique de gestion et de développement des performances, pour enregistrer les services insatisfaisants et les porter à l'attention des membres du personnel en temps utile, afin de leur offrir la possibilité d'améliorer leurs performances.</w:t>
      </w:r>
      <w:r w:rsidR="00CB2B66">
        <w:rPr>
          <w:sz w:val="22"/>
          <w:szCs w:val="22"/>
        </w:rPr>
        <w:t xml:space="preserve">. </w:t>
      </w:r>
    </w:p>
    <w:p w14:paraId="6DC8CADF" w14:textId="77777777" w:rsidR="00CB2B66" w:rsidRPr="00CB2B66" w:rsidRDefault="00CB2B66" w:rsidP="00CB2B66">
      <w:pPr>
        <w:ind w:left="270" w:hanging="720"/>
        <w:jc w:val="both"/>
        <w:rPr>
          <w:rFonts w:asciiTheme="minorHAnsi" w:hAnsiTheme="minorHAnsi" w:cs="Arial"/>
          <w:sz w:val="22"/>
          <w:szCs w:val="22"/>
        </w:rPr>
      </w:pPr>
    </w:p>
    <w:p w14:paraId="6DC8CAE0" w14:textId="5F8A1E4A" w:rsidR="00CB2B66" w:rsidRPr="00CB2B66" w:rsidRDefault="002867E0" w:rsidP="00CB2B66">
      <w:pPr>
        <w:pStyle w:val="ListParagraph"/>
        <w:numPr>
          <w:ilvl w:val="0"/>
          <w:numId w:val="11"/>
        </w:numPr>
        <w:jc w:val="both"/>
        <w:rPr>
          <w:rFonts w:cs="Arial"/>
          <w:sz w:val="22"/>
          <w:szCs w:val="22"/>
        </w:rPr>
      </w:pPr>
      <w:r>
        <w:rPr>
          <w:snapToGrid w:val="0"/>
          <w:sz w:val="22"/>
          <w:szCs w:val="22"/>
        </w:rPr>
        <w:t>S</w:t>
      </w:r>
      <w:r w:rsidR="00CB2B66">
        <w:rPr>
          <w:snapToGrid w:val="0"/>
          <w:sz w:val="22"/>
          <w:szCs w:val="22"/>
        </w:rPr>
        <w:t xml:space="preserve">i l’amélioration des performances n’est pas réalisée conformément aux attentes et dans les délais convenus, le membre du personnel peut être </w:t>
      </w:r>
      <w:r w:rsidR="009A2ACB">
        <w:rPr>
          <w:snapToGrid w:val="0"/>
          <w:sz w:val="22"/>
          <w:szCs w:val="22"/>
        </w:rPr>
        <w:t>licencié.</w:t>
      </w:r>
    </w:p>
    <w:p w14:paraId="6DC8CAE1" w14:textId="77777777" w:rsidR="00CB2B66" w:rsidRPr="00CB2B66" w:rsidRDefault="00CB2B66" w:rsidP="00CB2B66">
      <w:pPr>
        <w:jc w:val="both"/>
        <w:rPr>
          <w:rFonts w:asciiTheme="minorHAnsi" w:hAnsiTheme="minorHAnsi" w:cs="Arial"/>
          <w:sz w:val="22"/>
          <w:szCs w:val="22"/>
        </w:rPr>
      </w:pPr>
    </w:p>
    <w:p w14:paraId="6DC8CAE2" w14:textId="0272037D" w:rsidR="00CB2B66" w:rsidRPr="00CB2B66" w:rsidRDefault="00CB2B66" w:rsidP="00CB2B66">
      <w:pPr>
        <w:pStyle w:val="ListParagraph"/>
        <w:numPr>
          <w:ilvl w:val="0"/>
          <w:numId w:val="11"/>
        </w:numPr>
        <w:jc w:val="both"/>
        <w:rPr>
          <w:rFonts w:cs="Arial"/>
          <w:sz w:val="22"/>
          <w:szCs w:val="22"/>
        </w:rPr>
      </w:pPr>
      <w:r>
        <w:rPr>
          <w:sz w:val="22"/>
          <w:szCs w:val="22"/>
        </w:rPr>
        <w:t xml:space="preserve">Dans le cas d’un membre du personnel titulaire d’un contrat d’engagement permanent qu’il est prévu de </w:t>
      </w:r>
      <w:r w:rsidR="009A2ACB">
        <w:rPr>
          <w:sz w:val="22"/>
          <w:szCs w:val="22"/>
        </w:rPr>
        <w:t xml:space="preserve">licencier </w:t>
      </w:r>
      <w:r>
        <w:rPr>
          <w:sz w:val="22"/>
          <w:szCs w:val="22"/>
        </w:rPr>
        <w:t>pour service insatisfaisant, la mesure proposée sera examinée conformément à l’article 13.1 (b) (i) par un organe créé à cette fin et qui fera une recommandation à l’Administrateur ou à son fonctionnaire délégué.</w:t>
      </w:r>
    </w:p>
    <w:p w14:paraId="6DC8CAE3" w14:textId="77777777" w:rsidR="00CB2B66" w:rsidRPr="00CB2B66" w:rsidRDefault="00CB2B66" w:rsidP="00CB2B66">
      <w:pPr>
        <w:jc w:val="both"/>
        <w:rPr>
          <w:rFonts w:asciiTheme="minorHAnsi" w:hAnsiTheme="minorHAnsi" w:cs="Arial"/>
          <w:sz w:val="22"/>
          <w:szCs w:val="22"/>
        </w:rPr>
      </w:pPr>
    </w:p>
    <w:p w14:paraId="6DC8CAE4" w14:textId="5B8CB13E" w:rsidR="00CB2B66" w:rsidRPr="00CB2B66" w:rsidRDefault="00B604D9" w:rsidP="00CB2B66">
      <w:pPr>
        <w:pStyle w:val="ListParagraph"/>
        <w:numPr>
          <w:ilvl w:val="0"/>
          <w:numId w:val="11"/>
        </w:numPr>
        <w:jc w:val="both"/>
        <w:rPr>
          <w:rFonts w:cs="Arial"/>
          <w:sz w:val="22"/>
          <w:szCs w:val="22"/>
        </w:rPr>
      </w:pPr>
      <w:r w:rsidRPr="00B604D9">
        <w:rPr>
          <w:sz w:val="22"/>
          <w:szCs w:val="22"/>
        </w:rPr>
        <w:lastRenderedPageBreak/>
        <w:t>Si aucune évaluation des performances n'a été effectuée pour un membre du personnel titulaire d'un engagement temporaire de six mois ou moins, en raison de la courte durée du service, des performances insatisfaisantes peuvent être attestées par écrit par le superviseur et confirmées par le directeur du bureau ou le chef de bureau. Un tel membre du personnel peut être licencié pour services insatisfaisants en mettant fin à son engagement plus tôt, sans autre examen</w:t>
      </w:r>
      <w:r w:rsidR="00CB2B66">
        <w:rPr>
          <w:sz w:val="22"/>
          <w:szCs w:val="22"/>
        </w:rPr>
        <w:t xml:space="preserve">. </w:t>
      </w:r>
    </w:p>
    <w:p w14:paraId="6DC8CAE5" w14:textId="77777777" w:rsidR="00CB2B66" w:rsidRPr="00CB2B66" w:rsidRDefault="00CB2B66" w:rsidP="00CB2B66">
      <w:pPr>
        <w:ind w:hanging="435"/>
        <w:jc w:val="both"/>
        <w:rPr>
          <w:rFonts w:asciiTheme="minorHAnsi" w:hAnsiTheme="minorHAnsi" w:cs="Arial"/>
          <w:sz w:val="22"/>
          <w:szCs w:val="22"/>
        </w:rPr>
      </w:pPr>
    </w:p>
    <w:p w14:paraId="6DC8CAE6" w14:textId="23820242" w:rsidR="00CB2B66" w:rsidRPr="00CB2B66" w:rsidRDefault="00B604D9" w:rsidP="00CB2B66">
      <w:pPr>
        <w:pStyle w:val="ListParagraph"/>
        <w:numPr>
          <w:ilvl w:val="0"/>
          <w:numId w:val="11"/>
        </w:numPr>
        <w:jc w:val="both"/>
        <w:rPr>
          <w:rFonts w:cs="Arial"/>
          <w:sz w:val="22"/>
          <w:szCs w:val="22"/>
        </w:rPr>
      </w:pPr>
      <w:r w:rsidRPr="00B604D9">
        <w:rPr>
          <w:sz w:val="22"/>
          <w:szCs w:val="22"/>
        </w:rPr>
        <w:t xml:space="preserve">En cas de licenciement pour services insatisfaisants, à la discrétion de l'administrateur ou du fonctionnaire délégué </w:t>
      </w:r>
      <w:r>
        <w:rPr>
          <w:sz w:val="22"/>
          <w:szCs w:val="22"/>
        </w:rPr>
        <w:t xml:space="preserve">, </w:t>
      </w:r>
      <w:r w:rsidRPr="00B604D9">
        <w:rPr>
          <w:sz w:val="22"/>
          <w:szCs w:val="22"/>
        </w:rPr>
        <w:t>le membre du personnel recevra un préavis conformément aux conditions applicables à son type de nomination, ou recevra une indemnité en lieu et place de la période de préavis.</w:t>
      </w:r>
      <w:r w:rsidR="00CB2B66">
        <w:rPr>
          <w:sz w:val="22"/>
          <w:szCs w:val="22"/>
        </w:rPr>
        <w:t xml:space="preserve">. </w:t>
      </w:r>
    </w:p>
    <w:p w14:paraId="6DC8CAE7" w14:textId="77777777" w:rsidR="00CB2B66" w:rsidRPr="00CB2B66" w:rsidRDefault="00CB2B66" w:rsidP="00CB2B66">
      <w:pPr>
        <w:pStyle w:val="ListParagraph"/>
        <w:rPr>
          <w:rFonts w:cs="Arial"/>
          <w:sz w:val="22"/>
          <w:szCs w:val="22"/>
        </w:rPr>
      </w:pPr>
    </w:p>
    <w:p w14:paraId="6DC8CAE8" w14:textId="738C93F1" w:rsidR="00CB2B66" w:rsidRPr="00CB2B66" w:rsidRDefault="00CB2B66" w:rsidP="00CB2B66">
      <w:pPr>
        <w:pStyle w:val="ListParagraph"/>
        <w:numPr>
          <w:ilvl w:val="0"/>
          <w:numId w:val="11"/>
        </w:numPr>
        <w:jc w:val="both"/>
        <w:rPr>
          <w:rFonts w:cs="Arial"/>
          <w:sz w:val="22"/>
          <w:szCs w:val="22"/>
        </w:rPr>
      </w:pPr>
      <w:r>
        <w:rPr>
          <w:sz w:val="22"/>
          <w:szCs w:val="22"/>
        </w:rPr>
        <w:t xml:space="preserve">Tout membre du personnel </w:t>
      </w:r>
      <w:r w:rsidR="009A2ACB">
        <w:rPr>
          <w:sz w:val="22"/>
          <w:szCs w:val="22"/>
        </w:rPr>
        <w:t>licencié</w:t>
      </w:r>
      <w:r>
        <w:rPr>
          <w:sz w:val="22"/>
          <w:szCs w:val="22"/>
        </w:rPr>
        <w:t xml:space="preserve"> pour service insatisfaisant peut recevoir une indemnité de cessation de service conformément au paragraphe c) de l’annexe III d</w:t>
      </w:r>
      <w:r w:rsidR="009A2ACB">
        <w:rPr>
          <w:sz w:val="22"/>
          <w:szCs w:val="22"/>
        </w:rPr>
        <w:t>u Statut</w:t>
      </w:r>
      <w:r>
        <w:rPr>
          <w:sz w:val="22"/>
          <w:szCs w:val="22"/>
        </w:rPr>
        <w:t xml:space="preserve"> du personnel. </w:t>
      </w:r>
    </w:p>
    <w:p w14:paraId="6DC8CAE9" w14:textId="77777777" w:rsidR="00CB2B66" w:rsidRPr="00CB2B66" w:rsidRDefault="00CB2B66" w:rsidP="00CB2B66">
      <w:pPr>
        <w:jc w:val="both"/>
        <w:rPr>
          <w:rFonts w:asciiTheme="minorHAnsi" w:hAnsiTheme="minorHAnsi" w:cs="Arial"/>
          <w:sz w:val="22"/>
          <w:szCs w:val="22"/>
        </w:rPr>
      </w:pPr>
    </w:p>
    <w:p w14:paraId="6DC8CAEA" w14:textId="77777777" w:rsidR="00CB2B66" w:rsidRPr="00CB2B66" w:rsidRDefault="00CB2B66" w:rsidP="00CB2B66">
      <w:pPr>
        <w:jc w:val="both"/>
        <w:rPr>
          <w:rFonts w:asciiTheme="minorHAnsi" w:hAnsiTheme="minorHAnsi" w:cs="Arial"/>
          <w:sz w:val="22"/>
          <w:szCs w:val="22"/>
        </w:rPr>
      </w:pPr>
    </w:p>
    <w:p w14:paraId="6DC8CAEB" w14:textId="731466EE" w:rsidR="00CB2B66" w:rsidRPr="00CB2B66" w:rsidRDefault="009A2ACB" w:rsidP="00CB2B66">
      <w:pPr>
        <w:jc w:val="both"/>
        <w:rPr>
          <w:rFonts w:asciiTheme="minorHAnsi" w:hAnsiTheme="minorHAnsi" w:cs="Arial"/>
          <w:b/>
          <w:sz w:val="22"/>
          <w:szCs w:val="22"/>
        </w:rPr>
      </w:pPr>
      <w:r>
        <w:rPr>
          <w:rFonts w:asciiTheme="minorHAnsi" w:hAnsiTheme="minorHAnsi"/>
          <w:b/>
          <w:sz w:val="22"/>
          <w:szCs w:val="22"/>
        </w:rPr>
        <w:t xml:space="preserve">Licenciement </w:t>
      </w:r>
      <w:r w:rsidR="00CB2B66">
        <w:rPr>
          <w:rFonts w:asciiTheme="minorHAnsi" w:hAnsiTheme="minorHAnsi"/>
          <w:b/>
          <w:sz w:val="22"/>
          <w:szCs w:val="22"/>
        </w:rPr>
        <w:t>pour raisons de santé</w:t>
      </w:r>
    </w:p>
    <w:p w14:paraId="6DC8CAEC" w14:textId="77777777" w:rsidR="00CB2B66" w:rsidRPr="00CB2B66" w:rsidRDefault="00CB2B66" w:rsidP="00CB2B66">
      <w:pPr>
        <w:jc w:val="both"/>
        <w:rPr>
          <w:rFonts w:asciiTheme="minorHAnsi" w:hAnsiTheme="minorHAnsi" w:cs="Arial"/>
          <w:b/>
          <w:sz w:val="22"/>
          <w:szCs w:val="22"/>
        </w:rPr>
      </w:pPr>
    </w:p>
    <w:p w14:paraId="6DC8CAED" w14:textId="7FA29795" w:rsidR="00CB2B66" w:rsidRPr="00C906B0" w:rsidRDefault="00CB2B66" w:rsidP="00CB2B66">
      <w:pPr>
        <w:pStyle w:val="ListParagraph"/>
        <w:numPr>
          <w:ilvl w:val="0"/>
          <w:numId w:val="11"/>
        </w:numPr>
        <w:ind w:left="795"/>
        <w:jc w:val="both"/>
        <w:rPr>
          <w:rFonts w:cs="Arial"/>
          <w:sz w:val="22"/>
          <w:szCs w:val="22"/>
        </w:rPr>
      </w:pPr>
      <w:r w:rsidRPr="00C906B0">
        <w:rPr>
          <w:sz w:val="22"/>
          <w:szCs w:val="22"/>
        </w:rPr>
        <w:t>Veuillez consulter le contenu actuel du PNUD sur la « </w:t>
      </w:r>
      <w:hyperlink r:id="rId16" w:history="1">
        <w:r w:rsidRPr="00C906B0">
          <w:rPr>
            <w:rStyle w:val="Hyperlink"/>
            <w:sz w:val="22"/>
            <w:szCs w:val="22"/>
          </w:rPr>
          <w:t>Résiliation de contrat d’engagement pour raisons de santé</w:t>
        </w:r>
      </w:hyperlink>
      <w:r w:rsidRPr="00C906B0">
        <w:rPr>
          <w:rStyle w:val="Hyperlink"/>
          <w:color w:val="auto"/>
          <w:sz w:val="22"/>
          <w:szCs w:val="22"/>
        </w:rPr>
        <w:t> »</w:t>
      </w:r>
      <w:r w:rsidRPr="00C906B0">
        <w:rPr>
          <w:sz w:val="22"/>
          <w:szCs w:val="22"/>
        </w:rPr>
        <w:t xml:space="preserve"> dans les POPP. </w:t>
      </w:r>
    </w:p>
    <w:p w14:paraId="6DC8CAEE" w14:textId="77777777" w:rsidR="00CB2B66" w:rsidRPr="00CB2B66" w:rsidRDefault="00CB2B66" w:rsidP="00CB2B66">
      <w:pPr>
        <w:ind w:left="-375"/>
        <w:jc w:val="both"/>
        <w:rPr>
          <w:rFonts w:asciiTheme="minorHAnsi" w:hAnsiTheme="minorHAnsi" w:cs="Arial"/>
          <w:sz w:val="22"/>
          <w:szCs w:val="22"/>
        </w:rPr>
      </w:pPr>
    </w:p>
    <w:p w14:paraId="6DC8CAEF" w14:textId="77777777" w:rsidR="00CB2B66" w:rsidRPr="00CB2B66" w:rsidRDefault="00CB2B66" w:rsidP="00CB2B66">
      <w:pPr>
        <w:ind w:left="-375"/>
        <w:jc w:val="both"/>
        <w:rPr>
          <w:rFonts w:asciiTheme="minorHAnsi" w:hAnsiTheme="minorHAnsi" w:cs="Arial"/>
          <w:sz w:val="22"/>
          <w:szCs w:val="22"/>
        </w:rPr>
      </w:pPr>
    </w:p>
    <w:p w14:paraId="6DC8CAF0"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Cessation de service en raison de faits antérieurs au contrat d’engagement</w:t>
      </w:r>
    </w:p>
    <w:p w14:paraId="6DC8CAF1" w14:textId="77777777" w:rsidR="00CB2B66" w:rsidRPr="00CB2B66" w:rsidRDefault="00CB2B66" w:rsidP="00CB2B66">
      <w:pPr>
        <w:pStyle w:val="ListParagraph"/>
        <w:ind w:left="720"/>
        <w:jc w:val="both"/>
        <w:rPr>
          <w:rFonts w:cs="Arial"/>
          <w:sz w:val="22"/>
          <w:szCs w:val="22"/>
        </w:rPr>
      </w:pPr>
    </w:p>
    <w:p w14:paraId="6DC8CAF2" w14:textId="70BDA554" w:rsidR="00CB2B66" w:rsidRPr="00CB2B66" w:rsidRDefault="00CB2B66" w:rsidP="00CB2B66">
      <w:pPr>
        <w:pStyle w:val="ListParagraph"/>
        <w:numPr>
          <w:ilvl w:val="0"/>
          <w:numId w:val="11"/>
        </w:numPr>
        <w:jc w:val="both"/>
        <w:rPr>
          <w:rFonts w:cs="Arial"/>
          <w:sz w:val="22"/>
          <w:szCs w:val="22"/>
        </w:rPr>
      </w:pPr>
      <w:r>
        <w:rPr>
          <w:sz w:val="22"/>
          <w:szCs w:val="22"/>
        </w:rPr>
        <w:t xml:space="preserve">L’Administrateur ou son fonctionnaire délégué peut </w:t>
      </w:r>
      <w:r w:rsidR="009A2ACB">
        <w:rPr>
          <w:sz w:val="22"/>
          <w:szCs w:val="22"/>
        </w:rPr>
        <w:t xml:space="preserve"> licencier </w:t>
      </w:r>
      <w:r>
        <w:rPr>
          <w:sz w:val="22"/>
          <w:szCs w:val="22"/>
        </w:rPr>
        <w:t>un membre du service si des faits antérieurs au contrat d’engagement et se rapportant à l’aptitude du membre du personnel sont apparus après l’engagement et si ces faits, s’ils avaient été connus, avaient empêché l’engagement.</w:t>
      </w:r>
    </w:p>
    <w:p w14:paraId="6DC8CAF3" w14:textId="77777777" w:rsidR="00CB2B66" w:rsidRPr="00CB2B66" w:rsidRDefault="00CB2B66" w:rsidP="00CB2B66">
      <w:pPr>
        <w:jc w:val="both"/>
        <w:rPr>
          <w:rFonts w:asciiTheme="minorHAnsi" w:hAnsiTheme="minorHAnsi" w:cs="Arial"/>
          <w:sz w:val="22"/>
          <w:szCs w:val="22"/>
        </w:rPr>
      </w:pPr>
    </w:p>
    <w:p w14:paraId="6DC8CAF4" w14:textId="77777777" w:rsidR="00CB2B66" w:rsidRPr="00CB2B66" w:rsidRDefault="00CB2B66" w:rsidP="00CB2B66">
      <w:pPr>
        <w:jc w:val="both"/>
        <w:rPr>
          <w:rFonts w:asciiTheme="minorHAnsi" w:hAnsiTheme="minorHAnsi" w:cs="Arial"/>
          <w:sz w:val="22"/>
          <w:szCs w:val="22"/>
        </w:rPr>
      </w:pPr>
    </w:p>
    <w:p w14:paraId="6DC8CAF5" w14:textId="367C84DF" w:rsidR="00CB2B66" w:rsidRPr="00CB2B66" w:rsidRDefault="009A2ACB" w:rsidP="00CB2B66">
      <w:pPr>
        <w:ind w:left="435" w:hanging="435"/>
        <w:jc w:val="both"/>
        <w:rPr>
          <w:rFonts w:asciiTheme="minorHAnsi" w:hAnsiTheme="minorHAnsi" w:cs="Arial"/>
          <w:b/>
          <w:sz w:val="22"/>
          <w:szCs w:val="22"/>
        </w:rPr>
      </w:pPr>
      <w:r>
        <w:rPr>
          <w:rFonts w:asciiTheme="minorHAnsi" w:hAnsiTheme="minorHAnsi"/>
          <w:b/>
          <w:sz w:val="22"/>
          <w:szCs w:val="22"/>
        </w:rPr>
        <w:t xml:space="preserve">Licenciement </w:t>
      </w:r>
      <w:r w:rsidR="00CB2B66">
        <w:rPr>
          <w:rFonts w:asciiTheme="minorHAnsi" w:hAnsiTheme="minorHAnsi"/>
          <w:b/>
          <w:sz w:val="22"/>
          <w:szCs w:val="22"/>
        </w:rPr>
        <w:t>pour raisons disciplinaires</w:t>
      </w:r>
    </w:p>
    <w:p w14:paraId="6DC8CAF6" w14:textId="77777777" w:rsidR="00CB2B66" w:rsidRPr="00CB2B66" w:rsidRDefault="00CB2B66" w:rsidP="00CB2B66">
      <w:pPr>
        <w:ind w:left="435" w:hanging="435"/>
        <w:jc w:val="both"/>
        <w:rPr>
          <w:rFonts w:asciiTheme="minorHAnsi" w:hAnsiTheme="minorHAnsi" w:cs="Arial"/>
          <w:b/>
          <w:sz w:val="22"/>
          <w:szCs w:val="22"/>
        </w:rPr>
      </w:pPr>
    </w:p>
    <w:p w14:paraId="6DC8CAF7" w14:textId="20E16CCF" w:rsidR="00CB2B66" w:rsidRPr="00CB2B66" w:rsidRDefault="00CB2B66" w:rsidP="00CB2B66">
      <w:pPr>
        <w:pStyle w:val="ListParagraph"/>
        <w:numPr>
          <w:ilvl w:val="0"/>
          <w:numId w:val="11"/>
        </w:numPr>
        <w:jc w:val="both"/>
        <w:rPr>
          <w:rFonts w:cs="Arial"/>
          <w:sz w:val="22"/>
          <w:szCs w:val="22"/>
        </w:rPr>
      </w:pPr>
      <w:r>
        <w:rPr>
          <w:sz w:val="22"/>
          <w:szCs w:val="22"/>
        </w:rPr>
        <w:t xml:space="preserve">Un contrat d’engagement peut être résilié pour acte répréhensible conformément au </w:t>
      </w:r>
      <w:hyperlink r:id="rId17" w:history="1">
        <w:r>
          <w:rPr>
            <w:rStyle w:val="Hyperlink"/>
            <w:sz w:val="22"/>
            <w:szCs w:val="22"/>
          </w:rPr>
          <w:t>Cadre juridique du PNUD pour remédier au non-respect des normes de conduite des Nations Unies</w:t>
        </w:r>
      </w:hyperlink>
      <w:r>
        <w:rPr>
          <w:sz w:val="22"/>
          <w:szCs w:val="22"/>
        </w:rPr>
        <w:t xml:space="preserve">. </w:t>
      </w:r>
    </w:p>
    <w:p w14:paraId="6DC8CAF8" w14:textId="77777777" w:rsidR="00CB2B66" w:rsidRPr="00CB2B66" w:rsidRDefault="00CB2B66" w:rsidP="00CB2B66">
      <w:pPr>
        <w:jc w:val="both"/>
        <w:rPr>
          <w:rFonts w:asciiTheme="minorHAnsi" w:hAnsiTheme="minorHAnsi" w:cs="Arial"/>
          <w:b/>
          <w:sz w:val="22"/>
          <w:szCs w:val="22"/>
        </w:rPr>
      </w:pPr>
    </w:p>
    <w:p w14:paraId="6DC8CAF9" w14:textId="77777777" w:rsidR="00CB2B66" w:rsidRPr="00CB2B66" w:rsidRDefault="00CB2B66" w:rsidP="00CB2B66">
      <w:pPr>
        <w:jc w:val="both"/>
        <w:rPr>
          <w:rFonts w:asciiTheme="minorHAnsi" w:hAnsiTheme="minorHAnsi" w:cs="Arial"/>
          <w:b/>
          <w:sz w:val="22"/>
          <w:szCs w:val="22"/>
        </w:rPr>
      </w:pPr>
    </w:p>
    <w:p w14:paraId="6DC8CAFA" w14:textId="62023481" w:rsidR="00CB2B66" w:rsidRPr="00CB2B66" w:rsidRDefault="009A2ACB" w:rsidP="00CB2B66">
      <w:pPr>
        <w:jc w:val="both"/>
        <w:rPr>
          <w:rFonts w:asciiTheme="minorHAnsi" w:hAnsiTheme="minorHAnsi" w:cs="Arial"/>
          <w:b/>
          <w:sz w:val="22"/>
          <w:szCs w:val="22"/>
        </w:rPr>
      </w:pPr>
      <w:r>
        <w:rPr>
          <w:rFonts w:asciiTheme="minorHAnsi" w:hAnsiTheme="minorHAnsi"/>
          <w:b/>
          <w:sz w:val="22"/>
          <w:szCs w:val="22"/>
        </w:rPr>
        <w:t>Licenciement</w:t>
      </w:r>
      <w:r w:rsidR="00CB2B66">
        <w:rPr>
          <w:rFonts w:asciiTheme="minorHAnsi" w:hAnsiTheme="minorHAnsi"/>
          <w:b/>
          <w:sz w:val="22"/>
          <w:szCs w:val="22"/>
        </w:rPr>
        <w:t xml:space="preserve"> dans l’intérêt de la bonne marche de l’Organisation (résiliation à l’amiable)</w:t>
      </w:r>
    </w:p>
    <w:p w14:paraId="6DC8CAFB" w14:textId="77777777" w:rsidR="00CB2B66" w:rsidRPr="00CB2B66" w:rsidRDefault="00CB2B66" w:rsidP="00CB2B66">
      <w:pPr>
        <w:jc w:val="both"/>
        <w:rPr>
          <w:rFonts w:asciiTheme="minorHAnsi" w:hAnsiTheme="minorHAnsi" w:cs="Arial"/>
          <w:b/>
          <w:sz w:val="22"/>
          <w:szCs w:val="22"/>
        </w:rPr>
      </w:pPr>
    </w:p>
    <w:p w14:paraId="6DC8CAFC" w14:textId="13C1E553" w:rsidR="00CB2B66" w:rsidRPr="00CB2B66" w:rsidRDefault="00CB2B66" w:rsidP="00CB2B66">
      <w:pPr>
        <w:pStyle w:val="ListParagraph"/>
        <w:numPr>
          <w:ilvl w:val="0"/>
          <w:numId w:val="11"/>
        </w:numPr>
        <w:jc w:val="both"/>
        <w:rPr>
          <w:rFonts w:cs="Arial"/>
          <w:sz w:val="22"/>
          <w:szCs w:val="22"/>
        </w:rPr>
      </w:pPr>
      <w:r>
        <w:rPr>
          <w:sz w:val="22"/>
          <w:szCs w:val="22"/>
        </w:rPr>
        <w:t xml:space="preserve">L’Administrateur ou son fonctionnaire délégué peut </w:t>
      </w:r>
      <w:r w:rsidR="009A2ACB">
        <w:rPr>
          <w:sz w:val="22"/>
          <w:szCs w:val="22"/>
        </w:rPr>
        <w:t>licencier un</w:t>
      </w:r>
      <w:r>
        <w:rPr>
          <w:sz w:val="22"/>
          <w:szCs w:val="22"/>
        </w:rPr>
        <w:t xml:space="preserve"> membre du personnel dans l’intérêt de la bonne marche de l’Organisation et conformément aux normes de la Charte, si le membre du personnel et l’Administrateur ou son fonctionnaire délégué en conviennent mutuellement, et à condition que le membre du personnel concerné ne conteste pas cette mesure. C’est ce que l’on appelle aussi une « résiliation à l’amiable .  </w:t>
      </w:r>
    </w:p>
    <w:p w14:paraId="6DC8CAFD" w14:textId="77777777" w:rsidR="00CB2B66" w:rsidRPr="00CB2B66" w:rsidRDefault="00CB2B66" w:rsidP="00CB2B66">
      <w:pPr>
        <w:jc w:val="both"/>
        <w:rPr>
          <w:rFonts w:asciiTheme="minorHAnsi" w:hAnsiTheme="minorHAnsi" w:cs="Arial"/>
          <w:sz w:val="22"/>
          <w:szCs w:val="22"/>
        </w:rPr>
      </w:pPr>
    </w:p>
    <w:p w14:paraId="6DC8CAFE" w14:textId="1205C70B" w:rsidR="00CB2B66" w:rsidRPr="00CB2B66" w:rsidRDefault="00CB2B66" w:rsidP="00CB2B66">
      <w:pPr>
        <w:pStyle w:val="ListParagraph"/>
        <w:numPr>
          <w:ilvl w:val="0"/>
          <w:numId w:val="11"/>
        </w:numPr>
        <w:jc w:val="both"/>
        <w:rPr>
          <w:rFonts w:cs="Arial"/>
          <w:sz w:val="22"/>
          <w:szCs w:val="22"/>
        </w:rPr>
      </w:pPr>
      <w:r>
        <w:rPr>
          <w:sz w:val="22"/>
          <w:szCs w:val="22"/>
        </w:rPr>
        <w:t xml:space="preserve">Toute résiliation </w:t>
      </w:r>
      <w:r w:rsidR="009A2ACB">
        <w:rPr>
          <w:sz w:val="22"/>
          <w:szCs w:val="22"/>
        </w:rPr>
        <w:t xml:space="preserve">de contrat d’engagement </w:t>
      </w:r>
      <w:r>
        <w:rPr>
          <w:sz w:val="22"/>
          <w:szCs w:val="22"/>
        </w:rPr>
        <w:t>convenue d’un commun accord exige que le membre du personnel signe une déclaration selon laquelle il accepte la mesure et ne la contestera pas.</w:t>
      </w:r>
    </w:p>
    <w:p w14:paraId="6DC8CAFF" w14:textId="77777777" w:rsidR="00CB2B66" w:rsidRPr="00CB2B66" w:rsidRDefault="00CB2B66" w:rsidP="00CB2B66">
      <w:pPr>
        <w:jc w:val="both"/>
        <w:rPr>
          <w:rFonts w:asciiTheme="minorHAnsi" w:hAnsiTheme="minorHAnsi" w:cs="Arial"/>
          <w:sz w:val="22"/>
          <w:szCs w:val="22"/>
        </w:rPr>
      </w:pPr>
    </w:p>
    <w:p w14:paraId="6DC8CB00" w14:textId="77777777" w:rsidR="00CB2B66" w:rsidRPr="00CB2B66" w:rsidRDefault="00CB2B66" w:rsidP="00CB2B66">
      <w:pPr>
        <w:pStyle w:val="ListParagraph"/>
        <w:numPr>
          <w:ilvl w:val="0"/>
          <w:numId w:val="11"/>
        </w:numPr>
        <w:jc w:val="both"/>
        <w:rPr>
          <w:rFonts w:cs="Arial"/>
          <w:sz w:val="22"/>
          <w:szCs w:val="22"/>
        </w:rPr>
      </w:pPr>
      <w:r>
        <w:rPr>
          <w:sz w:val="22"/>
          <w:szCs w:val="22"/>
        </w:rPr>
        <w:lastRenderedPageBreak/>
        <w:t>Dans le cas d’une cessation de service convenue d’un commun accord, des options de report de la cessation de service et des restrictions de réembauche peuvent s’appliquer. Ces restrictions sont stipulées dans l’accord de résiliation signé entre le membre du personnel et l’Organisation.</w:t>
      </w:r>
    </w:p>
    <w:p w14:paraId="6DC8CB01" w14:textId="77777777" w:rsidR="00CB2B66" w:rsidRPr="00CB2B66" w:rsidRDefault="00CB2B66" w:rsidP="00CB2B66">
      <w:pPr>
        <w:jc w:val="both"/>
        <w:rPr>
          <w:rFonts w:asciiTheme="minorHAnsi" w:hAnsiTheme="minorHAnsi" w:cs="Arial"/>
          <w:sz w:val="22"/>
          <w:szCs w:val="22"/>
        </w:rPr>
      </w:pPr>
    </w:p>
    <w:p w14:paraId="6DC8CB02" w14:textId="7D57FB54" w:rsidR="00CB2B66" w:rsidRPr="00CB2B66" w:rsidRDefault="00CB2B66" w:rsidP="00CB2B66">
      <w:pPr>
        <w:pStyle w:val="ListParagraph"/>
        <w:numPr>
          <w:ilvl w:val="0"/>
          <w:numId w:val="11"/>
        </w:numPr>
        <w:jc w:val="both"/>
        <w:rPr>
          <w:rFonts w:cs="Arial"/>
          <w:sz w:val="22"/>
          <w:szCs w:val="22"/>
        </w:rPr>
      </w:pPr>
      <w:r>
        <w:rPr>
          <w:sz w:val="22"/>
          <w:szCs w:val="22"/>
        </w:rPr>
        <w:t>Lors de la résiliation du contrat d’engagement, le PNUD verse l’indemnité de résiliation prévue à l’annexe III d</w:t>
      </w:r>
      <w:r w:rsidR="00567F8A">
        <w:rPr>
          <w:sz w:val="22"/>
          <w:szCs w:val="22"/>
        </w:rPr>
        <w:t xml:space="preserve">u statut </w:t>
      </w:r>
      <w:r>
        <w:rPr>
          <w:sz w:val="22"/>
          <w:szCs w:val="22"/>
        </w:rPr>
        <w:t xml:space="preserve"> du personnel.</w:t>
      </w:r>
      <w:r w:rsidR="005D10F4" w:rsidRPr="005D10F4">
        <w:t xml:space="preserve"> </w:t>
      </w:r>
      <w:r w:rsidR="005D10F4" w:rsidRPr="005D10F4">
        <w:rPr>
          <w:sz w:val="22"/>
          <w:szCs w:val="22"/>
        </w:rPr>
        <w:t>Une résiliation convenue d'un commun accord peut donner lieu à un montant différent, conformément à l'article 9.3(d) du Statut du personnel des Nations Unies.</w:t>
      </w:r>
    </w:p>
    <w:p w14:paraId="6DC8CB03" w14:textId="77777777" w:rsidR="00CB2B66" w:rsidRPr="00CB2B66" w:rsidRDefault="00CB2B66" w:rsidP="00CB2B66">
      <w:pPr>
        <w:jc w:val="both"/>
        <w:rPr>
          <w:rFonts w:asciiTheme="minorHAnsi" w:hAnsiTheme="minorHAnsi" w:cs="Arial"/>
          <w:sz w:val="22"/>
          <w:szCs w:val="22"/>
        </w:rPr>
      </w:pPr>
    </w:p>
    <w:p w14:paraId="6DC8CB04" w14:textId="4F9195EB" w:rsidR="00CB2B66" w:rsidRPr="00CB2B66" w:rsidRDefault="00CB2B66" w:rsidP="00CB2B66">
      <w:pPr>
        <w:pStyle w:val="ListParagraph"/>
        <w:numPr>
          <w:ilvl w:val="0"/>
          <w:numId w:val="11"/>
        </w:numPr>
        <w:jc w:val="both"/>
        <w:rPr>
          <w:rFonts w:cs="Arial"/>
          <w:sz w:val="22"/>
          <w:szCs w:val="22"/>
        </w:rPr>
      </w:pPr>
      <w:r>
        <w:rPr>
          <w:sz w:val="22"/>
          <w:szCs w:val="22"/>
        </w:rPr>
        <w:t>L’approbation des résiliations</w:t>
      </w:r>
      <w:r w:rsidR="00DC6DC3">
        <w:rPr>
          <w:sz w:val="22"/>
          <w:szCs w:val="22"/>
        </w:rPr>
        <w:t xml:space="preserve"> de contrats d’engagement</w:t>
      </w:r>
      <w:r>
        <w:rPr>
          <w:sz w:val="22"/>
          <w:szCs w:val="22"/>
        </w:rPr>
        <w:t xml:space="preserve"> </w:t>
      </w:r>
      <w:r w:rsidR="005D10F4">
        <w:rPr>
          <w:sz w:val="22"/>
          <w:szCs w:val="22"/>
        </w:rPr>
        <w:t xml:space="preserve">d’un commun accord </w:t>
      </w:r>
      <w:r>
        <w:rPr>
          <w:sz w:val="22"/>
          <w:szCs w:val="22"/>
        </w:rPr>
        <w:t xml:space="preserve">reste une décision discrétionnaire du PNUD et n’est pas un droit. Les facteurs pris en compte dans l’approbation des résiliations </w:t>
      </w:r>
      <w:r w:rsidR="005D10F4">
        <w:rPr>
          <w:sz w:val="22"/>
          <w:szCs w:val="22"/>
        </w:rPr>
        <w:t xml:space="preserve">d’un commun accord </w:t>
      </w:r>
      <w:r>
        <w:rPr>
          <w:sz w:val="22"/>
          <w:szCs w:val="22"/>
        </w:rPr>
        <w:t>comprennent, entre autres, la disponibilité des fonds, des services satisfaisants et l’absence de dossier disciplinaire.</w:t>
      </w:r>
    </w:p>
    <w:p w14:paraId="6DC8CB05" w14:textId="77777777" w:rsidR="00CB2B66" w:rsidRPr="00CB2B66" w:rsidRDefault="00CB2B66" w:rsidP="00CB2B66">
      <w:pPr>
        <w:ind w:left="435" w:hanging="435"/>
        <w:jc w:val="both"/>
        <w:rPr>
          <w:rFonts w:asciiTheme="minorHAnsi" w:hAnsiTheme="minorHAnsi" w:cs="Arial"/>
          <w:sz w:val="22"/>
          <w:szCs w:val="22"/>
        </w:rPr>
      </w:pPr>
    </w:p>
    <w:p w14:paraId="6DC8CB06" w14:textId="77777777" w:rsidR="00CB2B66" w:rsidRPr="00CB2B66" w:rsidRDefault="00CB2B66" w:rsidP="00CB2B66">
      <w:pPr>
        <w:ind w:left="435" w:hanging="435"/>
        <w:jc w:val="both"/>
        <w:rPr>
          <w:rFonts w:asciiTheme="minorHAnsi" w:hAnsiTheme="minorHAnsi" w:cs="Arial"/>
          <w:sz w:val="22"/>
          <w:szCs w:val="22"/>
        </w:rPr>
      </w:pPr>
    </w:p>
    <w:p w14:paraId="6DC8CB07" w14:textId="51067C19"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 xml:space="preserve">Contrepartie des indemnités de </w:t>
      </w:r>
      <w:r w:rsidR="00DC6DC3">
        <w:rPr>
          <w:rFonts w:asciiTheme="minorHAnsi" w:hAnsiTheme="minorHAnsi"/>
          <w:b/>
          <w:sz w:val="22"/>
          <w:szCs w:val="22"/>
        </w:rPr>
        <w:t xml:space="preserve">licenciement </w:t>
      </w:r>
      <w:r>
        <w:rPr>
          <w:rFonts w:asciiTheme="minorHAnsi" w:hAnsiTheme="minorHAnsi"/>
          <w:b/>
          <w:sz w:val="22"/>
          <w:szCs w:val="22"/>
        </w:rPr>
        <w:t xml:space="preserve"> supplémentaires</w:t>
      </w:r>
    </w:p>
    <w:p w14:paraId="6DC8CB08" w14:textId="77777777" w:rsidR="00CB2B66" w:rsidRPr="00CB2B66" w:rsidRDefault="00CB2B66" w:rsidP="00CB2B66">
      <w:pPr>
        <w:ind w:left="435" w:hanging="435"/>
        <w:jc w:val="both"/>
        <w:rPr>
          <w:rFonts w:asciiTheme="minorHAnsi" w:hAnsiTheme="minorHAnsi" w:cs="Arial"/>
          <w:sz w:val="22"/>
          <w:szCs w:val="22"/>
        </w:rPr>
      </w:pPr>
    </w:p>
    <w:p w14:paraId="6DC8CB09" w14:textId="2D55A0A6" w:rsidR="00CB2B66" w:rsidRPr="00CB2B66" w:rsidRDefault="005D10F4" w:rsidP="00CB2B66">
      <w:pPr>
        <w:pStyle w:val="ListParagraph"/>
        <w:numPr>
          <w:ilvl w:val="0"/>
          <w:numId w:val="11"/>
        </w:numPr>
        <w:jc w:val="both"/>
        <w:rPr>
          <w:rFonts w:cs="Arial"/>
          <w:sz w:val="22"/>
          <w:szCs w:val="22"/>
        </w:rPr>
      </w:pPr>
      <w:r w:rsidRPr="005D10F4">
        <w:rPr>
          <w:sz w:val="22"/>
          <w:szCs w:val="22"/>
        </w:rPr>
        <w:t>Dans les cas où le poste d'un membre du personnel a été supprimé, où il est devenu sans affectation, où les membres du personnel sont revenus de leur détachement en tant que coordinateur résident, ou dans les cas de résiliation d'un commun accord, le directeur de BMS peut autoriser une indemnité de résiliation allant jusqu'à 50 pour cent en plus de ce qui serait payé conformément à l'annexe III du statut du personnel des Nations unies. Le montant des indemnités de licenciement supplémentaires pouvant être autorisées par le directeur de BMS est limité au barème figurant à l'annexe I et calculé conformément à ce barème.</w:t>
      </w:r>
      <w:r w:rsidR="00CB2B66">
        <w:rPr>
          <w:sz w:val="22"/>
          <w:szCs w:val="22"/>
        </w:rPr>
        <w:t>.</w:t>
      </w:r>
    </w:p>
    <w:p w14:paraId="6DC8CB0A" w14:textId="77777777" w:rsidR="00CB2B66" w:rsidRPr="00CB2B66" w:rsidRDefault="00CB2B66" w:rsidP="00CB2B66">
      <w:pPr>
        <w:pStyle w:val="ListParagraph"/>
        <w:ind w:left="720"/>
        <w:jc w:val="both"/>
        <w:rPr>
          <w:rFonts w:cs="Arial"/>
          <w:sz w:val="22"/>
          <w:szCs w:val="22"/>
        </w:rPr>
      </w:pPr>
    </w:p>
    <w:p w14:paraId="6DC8CB0B" w14:textId="730B040C" w:rsidR="00CB2B66" w:rsidRPr="00CB2B66" w:rsidRDefault="00CB2B66" w:rsidP="00CB2B66">
      <w:pPr>
        <w:pStyle w:val="ListParagraph"/>
        <w:ind w:left="720"/>
        <w:jc w:val="both"/>
        <w:rPr>
          <w:rFonts w:cs="Arial"/>
          <w:sz w:val="22"/>
          <w:szCs w:val="22"/>
        </w:rPr>
      </w:pPr>
      <w:r>
        <w:rPr>
          <w:sz w:val="22"/>
          <w:szCs w:val="22"/>
        </w:rPr>
        <w:t>En outre, le membre du personnel doit s’engager par écrit à ne pas contester la mesure et répondre aux critères suivants :</w:t>
      </w:r>
    </w:p>
    <w:p w14:paraId="6DC8CB0C" w14:textId="77777777" w:rsidR="00CB2B66" w:rsidRPr="00CB2B66" w:rsidRDefault="00CB2B66" w:rsidP="00CB2B66">
      <w:pPr>
        <w:jc w:val="both"/>
        <w:rPr>
          <w:rFonts w:asciiTheme="minorHAnsi" w:hAnsiTheme="minorHAnsi" w:cs="Arial"/>
          <w:sz w:val="22"/>
          <w:szCs w:val="22"/>
        </w:rPr>
      </w:pPr>
    </w:p>
    <w:p w14:paraId="6DC8CB0D" w14:textId="0E1025EC" w:rsidR="00CB2B66" w:rsidRPr="00CB2B66" w:rsidRDefault="00CB2B66" w:rsidP="00CB2B66">
      <w:pPr>
        <w:pStyle w:val="ListParagraph"/>
        <w:numPr>
          <w:ilvl w:val="0"/>
          <w:numId w:val="5"/>
        </w:numPr>
        <w:ind w:left="1515"/>
        <w:jc w:val="both"/>
        <w:rPr>
          <w:rFonts w:cs="Arial"/>
          <w:sz w:val="22"/>
          <w:szCs w:val="22"/>
        </w:rPr>
      </w:pPr>
      <w:r>
        <w:rPr>
          <w:sz w:val="22"/>
          <w:szCs w:val="22"/>
        </w:rPr>
        <w:t xml:space="preserve">Le membre du personnel est titulaire d’un </w:t>
      </w:r>
      <w:r w:rsidR="005D10F4" w:rsidRPr="005D10F4">
        <w:rPr>
          <w:sz w:val="22"/>
          <w:szCs w:val="22"/>
        </w:rPr>
        <w:t>contrat d’engagement permanent</w:t>
      </w:r>
      <w:r>
        <w:rPr>
          <w:sz w:val="22"/>
          <w:szCs w:val="22"/>
        </w:rPr>
        <w:t xml:space="preserve">, </w:t>
      </w:r>
      <w:r w:rsidR="00D44180">
        <w:rPr>
          <w:sz w:val="22"/>
          <w:szCs w:val="22"/>
        </w:rPr>
        <w:t xml:space="preserve">contrat d’engagement continu ou contrat d’engagement  </w:t>
      </w:r>
      <w:r w:rsidR="00D44180" w:rsidRPr="00D44180">
        <w:rPr>
          <w:sz w:val="22"/>
          <w:szCs w:val="22"/>
        </w:rPr>
        <w:t>à durée déterminée</w:t>
      </w:r>
      <w:r>
        <w:rPr>
          <w:sz w:val="22"/>
          <w:szCs w:val="22"/>
        </w:rPr>
        <w:t xml:space="preserve"> et a accompli au moins 10 ans de service continu au PNUD</w:t>
      </w:r>
      <w:r w:rsidRPr="00CB2B66">
        <w:rPr>
          <w:rStyle w:val="FootnoteReference"/>
          <w:rFonts w:cs="Arial"/>
          <w:sz w:val="22"/>
          <w:szCs w:val="22"/>
        </w:rPr>
        <w:footnoteReference w:id="1"/>
      </w:r>
      <w:r>
        <w:rPr>
          <w:sz w:val="22"/>
          <w:szCs w:val="22"/>
        </w:rPr>
        <w:t xml:space="preserve">. La période de 10 ans ou plus comprend le temps de service d’un membre du personnel titulaire d’un </w:t>
      </w:r>
      <w:r w:rsidR="00D44180" w:rsidRPr="005D10F4">
        <w:rPr>
          <w:sz w:val="22"/>
          <w:szCs w:val="22"/>
        </w:rPr>
        <w:t>d’engagement permanent</w:t>
      </w:r>
      <w:r w:rsidR="00D44180">
        <w:rPr>
          <w:sz w:val="22"/>
          <w:szCs w:val="22"/>
        </w:rPr>
        <w:t xml:space="preserve">, contrat d’engagement continu ou contrat d’engagement  </w:t>
      </w:r>
      <w:r w:rsidR="00D44180" w:rsidRPr="00D44180">
        <w:rPr>
          <w:sz w:val="22"/>
          <w:szCs w:val="22"/>
        </w:rPr>
        <w:t>à durée déterminée</w:t>
      </w:r>
      <w:r w:rsidR="00D44180">
        <w:rPr>
          <w:sz w:val="22"/>
          <w:szCs w:val="22"/>
        </w:rPr>
        <w:t xml:space="preserve"> </w:t>
      </w:r>
      <w:r>
        <w:rPr>
          <w:sz w:val="22"/>
          <w:szCs w:val="22"/>
        </w:rPr>
        <w:t>qui a été transféré d’une autre organisation du régime commun des traitements et allocations des Nations Unies au PNUD à la suite d’un contrat d’engagement permanent, continu ou à durée déterminée.</w:t>
      </w:r>
    </w:p>
    <w:p w14:paraId="6DC8CB0E" w14:textId="77777777" w:rsidR="00CB2B66" w:rsidRPr="00CB2B66" w:rsidRDefault="00CB2B66" w:rsidP="00CB2B66">
      <w:pPr>
        <w:rPr>
          <w:rFonts w:asciiTheme="minorHAnsi" w:hAnsiTheme="minorHAnsi"/>
          <w:sz w:val="22"/>
          <w:szCs w:val="22"/>
        </w:rPr>
      </w:pPr>
    </w:p>
    <w:p w14:paraId="6DC8CB0F" w14:textId="20A0B0EC" w:rsidR="00CB2B66" w:rsidRPr="00CB2B66" w:rsidRDefault="00CB2B66" w:rsidP="00CB2B66">
      <w:pPr>
        <w:pStyle w:val="ListParagraph"/>
        <w:numPr>
          <w:ilvl w:val="0"/>
          <w:numId w:val="11"/>
        </w:numPr>
        <w:jc w:val="both"/>
        <w:rPr>
          <w:rFonts w:cs="Arial"/>
          <w:sz w:val="22"/>
          <w:szCs w:val="22"/>
        </w:rPr>
      </w:pPr>
      <w:r>
        <w:rPr>
          <w:sz w:val="22"/>
          <w:szCs w:val="22"/>
        </w:rPr>
        <w:t xml:space="preserve">Les personnes suivantes ne peuvent prétendre à des indemnités de </w:t>
      </w:r>
      <w:r w:rsidR="00DC6DC3">
        <w:rPr>
          <w:sz w:val="22"/>
          <w:szCs w:val="22"/>
        </w:rPr>
        <w:t xml:space="preserve">licenciement </w:t>
      </w:r>
      <w:r w:rsidRPr="001B433C">
        <w:rPr>
          <w:sz w:val="22"/>
          <w:szCs w:val="22"/>
        </w:rPr>
        <w:t>supplémentaire</w:t>
      </w:r>
      <w:r>
        <w:rPr>
          <w:sz w:val="22"/>
          <w:szCs w:val="22"/>
          <w:u w:val="single"/>
        </w:rPr>
        <w:t>s</w:t>
      </w:r>
      <w:r>
        <w:rPr>
          <w:sz w:val="22"/>
          <w:szCs w:val="22"/>
        </w:rPr>
        <w:t>:</w:t>
      </w:r>
    </w:p>
    <w:p w14:paraId="6DC8CB10" w14:textId="77777777" w:rsidR="00CB2B66" w:rsidRPr="00CB2B66" w:rsidRDefault="00CB2B66" w:rsidP="00CB2B66">
      <w:pPr>
        <w:jc w:val="both"/>
        <w:rPr>
          <w:rFonts w:asciiTheme="minorHAnsi" w:hAnsiTheme="minorHAnsi" w:cs="Arial"/>
          <w:sz w:val="22"/>
          <w:szCs w:val="22"/>
        </w:rPr>
      </w:pPr>
    </w:p>
    <w:p w14:paraId="2F9575FF" w14:textId="363C37E9" w:rsidR="001B433C" w:rsidRPr="001B433C" w:rsidRDefault="001B433C" w:rsidP="00CB2B66">
      <w:pPr>
        <w:pStyle w:val="ListParagraph"/>
        <w:numPr>
          <w:ilvl w:val="0"/>
          <w:numId w:val="6"/>
        </w:numPr>
        <w:ind w:left="1515"/>
        <w:jc w:val="both"/>
        <w:rPr>
          <w:rFonts w:cs="Arial"/>
          <w:sz w:val="22"/>
          <w:szCs w:val="22"/>
        </w:rPr>
      </w:pPr>
      <w:r w:rsidRPr="001B433C">
        <w:rPr>
          <w:rFonts w:cs="Arial"/>
          <w:sz w:val="22"/>
          <w:szCs w:val="22"/>
        </w:rPr>
        <w:t>Les membres du personnel nommés à titre temporaire ;</w:t>
      </w:r>
    </w:p>
    <w:p w14:paraId="6DC8CB11" w14:textId="4FB00AA7" w:rsidR="00CB2B66" w:rsidRPr="00CB2B66" w:rsidRDefault="00CB2B66" w:rsidP="00CB2B66">
      <w:pPr>
        <w:pStyle w:val="ListParagraph"/>
        <w:numPr>
          <w:ilvl w:val="0"/>
          <w:numId w:val="6"/>
        </w:numPr>
        <w:ind w:left="1515"/>
        <w:jc w:val="both"/>
        <w:rPr>
          <w:rFonts w:cs="Arial"/>
          <w:sz w:val="22"/>
          <w:szCs w:val="22"/>
        </w:rPr>
      </w:pPr>
      <w:r>
        <w:rPr>
          <w:sz w:val="22"/>
          <w:szCs w:val="22"/>
        </w:rPr>
        <w:t>Les membres du personnel qui ont moins de 10 ans de service continu dans le cadre d’un contrat d’engagement permanent, continu ou à durée déterminée ;</w:t>
      </w:r>
    </w:p>
    <w:p w14:paraId="6DC8CB12" w14:textId="77777777" w:rsidR="00CB2B66" w:rsidRPr="00CB2B66" w:rsidRDefault="00CB2B66" w:rsidP="00CB2B66">
      <w:pPr>
        <w:ind w:left="795"/>
        <w:jc w:val="both"/>
        <w:rPr>
          <w:rFonts w:asciiTheme="minorHAnsi" w:hAnsiTheme="minorHAnsi" w:cs="Arial"/>
          <w:sz w:val="22"/>
          <w:szCs w:val="22"/>
        </w:rPr>
      </w:pPr>
    </w:p>
    <w:p w14:paraId="6DC8CB13" w14:textId="77777777" w:rsidR="00CB2B66" w:rsidRPr="001B433C" w:rsidRDefault="00CB2B66" w:rsidP="00CB2B66">
      <w:pPr>
        <w:pStyle w:val="ListParagraph"/>
        <w:numPr>
          <w:ilvl w:val="0"/>
          <w:numId w:val="6"/>
        </w:numPr>
        <w:ind w:left="1515"/>
        <w:jc w:val="both"/>
        <w:rPr>
          <w:rFonts w:cs="Arial"/>
          <w:sz w:val="22"/>
          <w:szCs w:val="22"/>
        </w:rPr>
      </w:pPr>
      <w:r>
        <w:rPr>
          <w:sz w:val="22"/>
          <w:szCs w:val="22"/>
        </w:rPr>
        <w:t>Les membres du personnel qui ont atteint l’âge obligatoire de cessation de service ;</w:t>
      </w:r>
    </w:p>
    <w:p w14:paraId="09B83034" w14:textId="77777777" w:rsidR="001B433C" w:rsidRPr="001B433C" w:rsidRDefault="001B433C" w:rsidP="001B433C">
      <w:pPr>
        <w:pStyle w:val="ListParagraph"/>
        <w:rPr>
          <w:rFonts w:cs="Arial"/>
          <w:sz w:val="22"/>
          <w:szCs w:val="22"/>
        </w:rPr>
      </w:pPr>
    </w:p>
    <w:p w14:paraId="39AF00A3" w14:textId="6FADCDD6" w:rsidR="001B433C" w:rsidRPr="00CB2B66" w:rsidRDefault="001B433C" w:rsidP="00CB2B66">
      <w:pPr>
        <w:pStyle w:val="ListParagraph"/>
        <w:numPr>
          <w:ilvl w:val="0"/>
          <w:numId w:val="6"/>
        </w:numPr>
        <w:ind w:left="1515"/>
        <w:jc w:val="both"/>
        <w:rPr>
          <w:rFonts w:cs="Arial"/>
          <w:sz w:val="22"/>
          <w:szCs w:val="22"/>
        </w:rPr>
      </w:pPr>
      <w:r w:rsidRPr="001B433C">
        <w:rPr>
          <w:rFonts w:cs="Arial"/>
          <w:sz w:val="22"/>
          <w:szCs w:val="22"/>
        </w:rPr>
        <w:t>Les membres du personnel qui retournent au PNUD sans lien spécifique avec un poste et qui n'ont pas pu obtenir un nouveau poste après une période de congé spécial sans solde ou après un prêt ou un détachement auprès d'une autre organisation des Nations unies, à moins qu'ils n'aient été détachés en tant que coordinateur résident ou qu'ils n'aient été licenciés d'un commun accord ;</w:t>
      </w:r>
    </w:p>
    <w:p w14:paraId="6DC8CB14" w14:textId="77777777" w:rsidR="00CB2B66" w:rsidRPr="00CB2B66" w:rsidRDefault="00CB2B66" w:rsidP="00CB2B66">
      <w:pPr>
        <w:ind w:left="795"/>
        <w:jc w:val="both"/>
        <w:rPr>
          <w:rFonts w:asciiTheme="minorHAnsi" w:hAnsiTheme="minorHAnsi" w:cs="Arial"/>
          <w:sz w:val="22"/>
          <w:szCs w:val="22"/>
        </w:rPr>
      </w:pPr>
    </w:p>
    <w:p w14:paraId="6DC8CB15" w14:textId="77777777" w:rsidR="00CB2B66" w:rsidRPr="00CB2B66" w:rsidRDefault="00CB2B66" w:rsidP="00CB2B66">
      <w:pPr>
        <w:pStyle w:val="ListParagraph"/>
        <w:numPr>
          <w:ilvl w:val="0"/>
          <w:numId w:val="6"/>
        </w:numPr>
        <w:ind w:left="1515"/>
        <w:jc w:val="both"/>
        <w:rPr>
          <w:rFonts w:cs="Arial"/>
          <w:sz w:val="22"/>
          <w:szCs w:val="22"/>
        </w:rPr>
      </w:pPr>
      <w:r>
        <w:rPr>
          <w:sz w:val="22"/>
          <w:szCs w:val="22"/>
        </w:rPr>
        <w:t>Les membres du personnel qui ont cessé leur service au PNUD pour faute professionnelle ou service insatisfaisant ;</w:t>
      </w:r>
    </w:p>
    <w:p w14:paraId="6DC8CB19" w14:textId="15451F26" w:rsidR="00CB2B66" w:rsidRPr="00CB2B66" w:rsidRDefault="00CB2B66" w:rsidP="00CB2B66">
      <w:pPr>
        <w:pStyle w:val="ListParagraph"/>
        <w:numPr>
          <w:ilvl w:val="0"/>
          <w:numId w:val="6"/>
        </w:numPr>
        <w:ind w:left="1515"/>
        <w:jc w:val="both"/>
        <w:rPr>
          <w:rFonts w:cs="Arial"/>
          <w:sz w:val="22"/>
          <w:szCs w:val="22"/>
        </w:rPr>
      </w:pPr>
      <w:r>
        <w:rPr>
          <w:sz w:val="22"/>
          <w:szCs w:val="22"/>
        </w:rPr>
        <w:t>Les membres du personnel administrés par le PNUD pour le compte d’une autre institution ou entité des Nations Unies et les membres du personnel dont les contrats d’engagements sont limités à une autre institution ou entité à moins que l’institution ou l’entité ne l’autorise ;</w:t>
      </w:r>
      <w:r w:rsidR="00ED65D0" w:rsidRPr="00ED65D0">
        <w:t xml:space="preserve"> </w:t>
      </w:r>
      <w:r w:rsidR="00ED65D0" w:rsidRPr="00ED65D0">
        <w:rPr>
          <w:sz w:val="22"/>
          <w:szCs w:val="22"/>
        </w:rPr>
        <w:t>Y compris les périodes de service accomplies au titre des anciennes règles du personnel des séries 100 et 200, mais à l'exclusion des règles du personnel de la série 300. Les périodes de service accomplies au titre des règles du personnel de la série 300 ne sont pas prises en compte dans le calcul de l'indemnité, mais la continuité du service n'est pas considérée comme interrompue par les périodes de service de l'agent dans le cadre d'une nomination au titre de la série 300</w:t>
      </w:r>
    </w:p>
    <w:p w14:paraId="6DC8CB1A" w14:textId="77777777" w:rsidR="00CB2B66" w:rsidRPr="00CB2B66" w:rsidRDefault="00CB2B66" w:rsidP="00CB2B66">
      <w:pPr>
        <w:pStyle w:val="ListParagraph"/>
        <w:rPr>
          <w:rFonts w:cs="Arial"/>
          <w:sz w:val="22"/>
          <w:szCs w:val="22"/>
        </w:rPr>
      </w:pPr>
    </w:p>
    <w:p w14:paraId="6DC8CB1B" w14:textId="072540E1" w:rsidR="00CB2B66" w:rsidRPr="00CB2B66" w:rsidRDefault="00CB2B66" w:rsidP="00CB2B66">
      <w:pPr>
        <w:pStyle w:val="ListParagraph"/>
        <w:numPr>
          <w:ilvl w:val="0"/>
          <w:numId w:val="6"/>
        </w:numPr>
        <w:ind w:left="1515"/>
        <w:jc w:val="both"/>
        <w:rPr>
          <w:rFonts w:cs="Arial"/>
          <w:sz w:val="22"/>
          <w:szCs w:val="22"/>
        </w:rPr>
      </w:pPr>
      <w:r>
        <w:rPr>
          <w:sz w:val="22"/>
          <w:szCs w:val="22"/>
        </w:rPr>
        <w:t>Les membres du personnel titulaires d’un contrat d’engagement à durée déterminée qui sont nommés à des postes dont la durée de service est limitée à ces postes</w:t>
      </w:r>
      <w:r w:rsidR="00ED65D0">
        <w:rPr>
          <w:sz w:val="22"/>
          <w:szCs w:val="22"/>
        </w:rPr>
        <w:t xml:space="preserve"> y</w:t>
      </w:r>
      <w:r w:rsidR="00ED65D0" w:rsidRPr="00ED65D0">
        <w:rPr>
          <w:sz w:val="22"/>
          <w:szCs w:val="22"/>
        </w:rPr>
        <w:t xml:space="preserve"> compris les périodes de service accomplies au titre des anciennes règles du personnel des séries 100 et 200, mais à l'exclusion des règles du personnel de la série 300. Les périodes de service accomplies au titre des règles du personnel de la série 300 ne sont pas prises en compte dans le calcul de l'indemnité, mais la continuité du service n'est pas considérée comme interrompue par les périodes de service de l'agent dans le cadre d'une nomination au titre de la série 300</w:t>
      </w:r>
    </w:p>
    <w:p w14:paraId="6DC8CB1C" w14:textId="77777777" w:rsidR="00CB2B66" w:rsidRPr="00CB2B66" w:rsidRDefault="00CB2B66" w:rsidP="00CB2B66">
      <w:pPr>
        <w:ind w:left="795"/>
        <w:jc w:val="both"/>
        <w:rPr>
          <w:rFonts w:asciiTheme="minorHAnsi" w:hAnsiTheme="minorHAnsi" w:cs="Arial"/>
          <w:sz w:val="22"/>
          <w:szCs w:val="22"/>
        </w:rPr>
      </w:pPr>
    </w:p>
    <w:p w14:paraId="6DC8CB1D" w14:textId="77777777" w:rsidR="00CB2B66" w:rsidRPr="00CB2B66" w:rsidRDefault="00CB2B66" w:rsidP="00CB2B66">
      <w:pPr>
        <w:pStyle w:val="ListParagraph"/>
        <w:numPr>
          <w:ilvl w:val="0"/>
          <w:numId w:val="6"/>
        </w:numPr>
        <w:ind w:left="1515"/>
        <w:jc w:val="both"/>
        <w:rPr>
          <w:rFonts w:cs="Arial"/>
          <w:sz w:val="22"/>
          <w:szCs w:val="22"/>
        </w:rPr>
      </w:pPr>
      <w:r>
        <w:rPr>
          <w:sz w:val="22"/>
          <w:szCs w:val="22"/>
        </w:rPr>
        <w:t>Volontaires des Nations Unies (VNU) ;</w:t>
      </w:r>
    </w:p>
    <w:p w14:paraId="6DC8CB1E" w14:textId="77777777" w:rsidR="00CB2B66" w:rsidRPr="00CB2B66" w:rsidRDefault="00CB2B66" w:rsidP="00CB2B66">
      <w:pPr>
        <w:ind w:left="795"/>
        <w:jc w:val="both"/>
        <w:rPr>
          <w:rFonts w:asciiTheme="minorHAnsi" w:hAnsiTheme="minorHAnsi" w:cs="Arial"/>
          <w:sz w:val="22"/>
          <w:szCs w:val="22"/>
        </w:rPr>
      </w:pPr>
    </w:p>
    <w:p w14:paraId="6DC8CB1F" w14:textId="77777777" w:rsidR="00CB2B66" w:rsidRPr="00CB2B66" w:rsidRDefault="00CB2B66" w:rsidP="00CB2B66">
      <w:pPr>
        <w:pStyle w:val="ListParagraph"/>
        <w:numPr>
          <w:ilvl w:val="0"/>
          <w:numId w:val="6"/>
        </w:numPr>
        <w:ind w:left="1515"/>
        <w:jc w:val="both"/>
        <w:rPr>
          <w:rFonts w:cs="Arial"/>
          <w:sz w:val="22"/>
          <w:szCs w:val="22"/>
        </w:rPr>
      </w:pPr>
      <w:r>
        <w:rPr>
          <w:sz w:val="22"/>
          <w:szCs w:val="22"/>
        </w:rPr>
        <w:t>Les fonctionnaires titulaires de contrats de services (SC) et de contrats individuels (IC).</w:t>
      </w:r>
    </w:p>
    <w:p w14:paraId="6DC8CB20" w14:textId="77777777" w:rsidR="00CB2B66" w:rsidRPr="00CB2B66" w:rsidRDefault="00CB2B66" w:rsidP="00CB2B66">
      <w:pPr>
        <w:jc w:val="both"/>
        <w:rPr>
          <w:rFonts w:asciiTheme="minorHAnsi" w:hAnsiTheme="minorHAnsi" w:cs="Arial"/>
          <w:sz w:val="22"/>
          <w:szCs w:val="22"/>
        </w:rPr>
      </w:pPr>
    </w:p>
    <w:p w14:paraId="6DC8CB21" w14:textId="3E44E891" w:rsidR="00CB2B66" w:rsidRPr="00CB2B66" w:rsidRDefault="00ED65D0" w:rsidP="00CB2B66">
      <w:pPr>
        <w:pStyle w:val="ListParagraph"/>
        <w:numPr>
          <w:ilvl w:val="0"/>
          <w:numId w:val="11"/>
        </w:numPr>
        <w:jc w:val="both"/>
        <w:rPr>
          <w:rFonts w:cs="Arial"/>
          <w:sz w:val="22"/>
          <w:szCs w:val="22"/>
        </w:rPr>
      </w:pPr>
      <w:r>
        <w:rPr>
          <w:sz w:val="22"/>
          <w:szCs w:val="22"/>
        </w:rPr>
        <w:t>À sa discrétion,  l</w:t>
      </w:r>
      <w:r w:rsidR="00CB2B66">
        <w:rPr>
          <w:sz w:val="22"/>
          <w:szCs w:val="22"/>
        </w:rPr>
        <w:t>’Organisation peut mettre en œuvre des programmes particuliers de cessation de service si elle le juge nécessaire.</w:t>
      </w:r>
    </w:p>
    <w:p w14:paraId="6DC8CB22" w14:textId="77777777" w:rsidR="00CB2B66" w:rsidRPr="00CB2B66" w:rsidRDefault="00CB2B66" w:rsidP="00CB2B66">
      <w:pPr>
        <w:pStyle w:val="ListParagraph"/>
        <w:ind w:left="720"/>
        <w:jc w:val="both"/>
        <w:rPr>
          <w:rFonts w:cs="Arial"/>
          <w:sz w:val="22"/>
          <w:szCs w:val="22"/>
        </w:rPr>
      </w:pPr>
    </w:p>
    <w:p w14:paraId="6DC8CB23" w14:textId="70F9C8EE" w:rsidR="00CB2B66" w:rsidRPr="00CB2B66" w:rsidRDefault="00CB2B66" w:rsidP="00CB2B66">
      <w:pPr>
        <w:pStyle w:val="ListParagraph"/>
        <w:numPr>
          <w:ilvl w:val="0"/>
          <w:numId w:val="11"/>
        </w:numPr>
        <w:jc w:val="both"/>
        <w:rPr>
          <w:rFonts w:cs="Arial"/>
          <w:sz w:val="22"/>
          <w:szCs w:val="22"/>
        </w:rPr>
      </w:pPr>
      <w:r>
        <w:rPr>
          <w:sz w:val="22"/>
          <w:szCs w:val="22"/>
        </w:rPr>
        <w:t>Nonobstant les restrictions énoncées au paragraphe 3</w:t>
      </w:r>
      <w:r w:rsidR="00ED65D0">
        <w:rPr>
          <w:sz w:val="22"/>
          <w:szCs w:val="22"/>
        </w:rPr>
        <w:t>0</w:t>
      </w:r>
      <w:r>
        <w:rPr>
          <w:sz w:val="22"/>
          <w:szCs w:val="22"/>
        </w:rPr>
        <w:t xml:space="preserve"> ci-dessus, l’Organisation peut négocier et conclure des accords individuels de cessation de service avec </w:t>
      </w:r>
      <w:r>
        <w:rPr>
          <w:sz w:val="22"/>
          <w:szCs w:val="22"/>
          <w:u w:val="single"/>
        </w:rPr>
        <w:t>toute catégorie</w:t>
      </w:r>
      <w:r>
        <w:rPr>
          <w:sz w:val="22"/>
          <w:szCs w:val="22"/>
        </w:rPr>
        <w:t xml:space="preserve"> de membres du personnel si elle le juge nécessaire pour régler les réclamations individuelles sur le lieu de travail.</w:t>
      </w:r>
    </w:p>
    <w:p w14:paraId="6DC8CB24" w14:textId="77777777" w:rsidR="00CB2B66" w:rsidRPr="00CB2B66" w:rsidRDefault="00CB2B66" w:rsidP="00CB2B66">
      <w:pPr>
        <w:jc w:val="both"/>
        <w:rPr>
          <w:rFonts w:asciiTheme="minorHAnsi" w:hAnsiTheme="minorHAnsi" w:cs="Arial"/>
          <w:b/>
          <w:sz w:val="22"/>
          <w:szCs w:val="22"/>
        </w:rPr>
      </w:pPr>
    </w:p>
    <w:p w14:paraId="6DC8CB25" w14:textId="77777777" w:rsidR="00CB2B66" w:rsidRPr="00CB2B66" w:rsidRDefault="00CB2B66" w:rsidP="00CB2B66">
      <w:pPr>
        <w:jc w:val="both"/>
        <w:rPr>
          <w:rFonts w:asciiTheme="minorHAnsi" w:hAnsiTheme="minorHAnsi" w:cs="Arial"/>
          <w:b/>
          <w:sz w:val="22"/>
          <w:szCs w:val="22"/>
        </w:rPr>
      </w:pPr>
    </w:p>
    <w:p w14:paraId="6DC8CB26" w14:textId="05E802C6"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Options de mise en œuvre – Somme forfaitaire/congé spécial sans traitement</w:t>
      </w:r>
    </w:p>
    <w:p w14:paraId="6DC8CB27" w14:textId="77777777" w:rsidR="00CB2B66" w:rsidRPr="00CB2B66" w:rsidRDefault="00CB2B66" w:rsidP="00CB2B66">
      <w:pPr>
        <w:jc w:val="both"/>
        <w:rPr>
          <w:rFonts w:asciiTheme="minorHAnsi" w:hAnsiTheme="minorHAnsi" w:cs="Arial"/>
          <w:b/>
          <w:sz w:val="22"/>
          <w:szCs w:val="22"/>
        </w:rPr>
      </w:pPr>
    </w:p>
    <w:p w14:paraId="6DC8CB28" w14:textId="2CE86BD8" w:rsidR="00CB2B66" w:rsidRPr="00CB2B66" w:rsidRDefault="00CB2B66" w:rsidP="00CB2B66">
      <w:pPr>
        <w:pStyle w:val="ListParagraph"/>
        <w:numPr>
          <w:ilvl w:val="0"/>
          <w:numId w:val="11"/>
        </w:numPr>
        <w:jc w:val="both"/>
        <w:rPr>
          <w:rFonts w:cs="Arial"/>
          <w:sz w:val="22"/>
          <w:szCs w:val="22"/>
        </w:rPr>
      </w:pPr>
      <w:r>
        <w:rPr>
          <w:sz w:val="22"/>
          <w:szCs w:val="22"/>
        </w:rPr>
        <w:t xml:space="preserve">L’indemnité de </w:t>
      </w:r>
      <w:r w:rsidR="00DC6DC3">
        <w:rPr>
          <w:sz w:val="22"/>
          <w:szCs w:val="22"/>
        </w:rPr>
        <w:t xml:space="preserve">licenciement </w:t>
      </w:r>
      <w:r>
        <w:rPr>
          <w:sz w:val="22"/>
          <w:szCs w:val="22"/>
        </w:rPr>
        <w:t xml:space="preserve"> est versée au moment de la cessation de service avec la dernière rémunération du membre du personnel ou sous forme d’une somme forfaitaire combinée à un congé spécial sans traitement.</w:t>
      </w:r>
    </w:p>
    <w:p w14:paraId="6DC8CB29" w14:textId="77777777" w:rsidR="00CB2B66" w:rsidRPr="00CB2B66" w:rsidRDefault="00CB2B66" w:rsidP="00CB2B66">
      <w:pPr>
        <w:ind w:left="720"/>
        <w:jc w:val="both"/>
        <w:rPr>
          <w:rFonts w:asciiTheme="minorHAnsi" w:hAnsiTheme="minorHAnsi" w:cs="Arial"/>
          <w:b/>
          <w:sz w:val="22"/>
          <w:szCs w:val="22"/>
        </w:rPr>
      </w:pPr>
    </w:p>
    <w:p w14:paraId="6DC8CB2A" w14:textId="77777777" w:rsidR="00CB2B66" w:rsidRPr="00CB2B66" w:rsidRDefault="00CB2B66" w:rsidP="00CB2B66">
      <w:pPr>
        <w:ind w:left="720"/>
        <w:jc w:val="both"/>
        <w:rPr>
          <w:rFonts w:asciiTheme="minorHAnsi" w:hAnsiTheme="minorHAnsi" w:cs="Arial"/>
          <w:b/>
          <w:sz w:val="22"/>
          <w:szCs w:val="22"/>
        </w:rPr>
      </w:pPr>
    </w:p>
    <w:p w14:paraId="6DC8CB2D" w14:textId="62048BF3" w:rsidR="00CB2B66" w:rsidRPr="00CB2B66" w:rsidRDefault="00CB2B66" w:rsidP="00556CC2">
      <w:pPr>
        <w:ind w:left="142" w:hanging="142"/>
        <w:jc w:val="both"/>
        <w:rPr>
          <w:rFonts w:cs="Arial"/>
          <w:sz w:val="22"/>
          <w:szCs w:val="22"/>
        </w:rPr>
      </w:pPr>
    </w:p>
    <w:p w14:paraId="6DC8CB2E" w14:textId="77777777" w:rsidR="00CB2B66" w:rsidRPr="00CB2B66" w:rsidRDefault="00CB2B66" w:rsidP="00CB2B66">
      <w:pPr>
        <w:pStyle w:val="ListParagraph"/>
        <w:ind w:left="720"/>
        <w:jc w:val="both"/>
        <w:rPr>
          <w:rFonts w:cs="Arial"/>
          <w:sz w:val="22"/>
          <w:szCs w:val="22"/>
        </w:rPr>
      </w:pPr>
    </w:p>
    <w:p w14:paraId="6DC8CB2F" w14:textId="77777777" w:rsidR="00CB2B66" w:rsidRPr="00CB2B66" w:rsidRDefault="00CB2B66" w:rsidP="00CB2B66">
      <w:pPr>
        <w:ind w:left="435" w:hanging="435"/>
        <w:jc w:val="both"/>
        <w:rPr>
          <w:rFonts w:asciiTheme="minorHAnsi" w:hAnsiTheme="minorHAnsi" w:cs="Arial"/>
          <w:b/>
          <w:sz w:val="22"/>
          <w:szCs w:val="22"/>
        </w:rPr>
      </w:pPr>
    </w:p>
    <w:p w14:paraId="6DC8CB30" w14:textId="1C7A347F"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 xml:space="preserve">Calcul de l’indemnité de </w:t>
      </w:r>
      <w:r w:rsidR="00655406">
        <w:rPr>
          <w:rFonts w:asciiTheme="minorHAnsi" w:hAnsiTheme="minorHAnsi"/>
          <w:b/>
          <w:sz w:val="22"/>
          <w:szCs w:val="22"/>
        </w:rPr>
        <w:t>licenciement</w:t>
      </w:r>
    </w:p>
    <w:p w14:paraId="6DC8CB31" w14:textId="77777777" w:rsidR="00CB2B66" w:rsidRPr="00CB2B66" w:rsidRDefault="00CB2B66" w:rsidP="00CB2B66">
      <w:pPr>
        <w:ind w:left="435" w:hanging="435"/>
        <w:jc w:val="both"/>
        <w:rPr>
          <w:rFonts w:asciiTheme="minorHAnsi" w:hAnsiTheme="minorHAnsi" w:cs="Arial"/>
          <w:b/>
          <w:sz w:val="22"/>
          <w:szCs w:val="22"/>
        </w:rPr>
      </w:pPr>
    </w:p>
    <w:p w14:paraId="6DC8CB32" w14:textId="173CA9E1" w:rsidR="00CB2B66" w:rsidRPr="00CB2B66" w:rsidRDefault="00CB2B66" w:rsidP="00CB2B66">
      <w:pPr>
        <w:pStyle w:val="ListParagraph"/>
        <w:numPr>
          <w:ilvl w:val="0"/>
          <w:numId w:val="11"/>
        </w:numPr>
        <w:jc w:val="both"/>
        <w:rPr>
          <w:rFonts w:cs="Arial"/>
          <w:sz w:val="22"/>
          <w:szCs w:val="22"/>
        </w:rPr>
      </w:pPr>
      <w:r>
        <w:rPr>
          <w:sz w:val="22"/>
          <w:szCs w:val="22"/>
        </w:rPr>
        <w:t xml:space="preserve">L’indemnité de </w:t>
      </w:r>
      <w:r w:rsidR="00655406">
        <w:rPr>
          <w:sz w:val="22"/>
          <w:szCs w:val="22"/>
        </w:rPr>
        <w:t xml:space="preserve">licenciement </w:t>
      </w:r>
      <w:r>
        <w:rPr>
          <w:sz w:val="22"/>
          <w:szCs w:val="22"/>
        </w:rPr>
        <w:t>est calculée :</w:t>
      </w:r>
    </w:p>
    <w:p w14:paraId="6DC8CB33" w14:textId="77777777" w:rsidR="00CB2B66" w:rsidRPr="00CB2B66" w:rsidRDefault="00CB2B66" w:rsidP="00CB2B66">
      <w:pPr>
        <w:jc w:val="both"/>
        <w:rPr>
          <w:rFonts w:asciiTheme="minorHAnsi" w:hAnsiTheme="minorHAnsi" w:cs="Arial"/>
          <w:sz w:val="22"/>
          <w:szCs w:val="22"/>
        </w:rPr>
      </w:pPr>
    </w:p>
    <w:p w14:paraId="6DC8CB34" w14:textId="0D70D83B" w:rsidR="00CB2B66" w:rsidRPr="00CB2B66" w:rsidRDefault="00C906B0" w:rsidP="00CB2B66">
      <w:pPr>
        <w:pStyle w:val="ListParagraph"/>
        <w:numPr>
          <w:ilvl w:val="0"/>
          <w:numId w:val="7"/>
        </w:numPr>
        <w:ind w:left="1530"/>
        <w:jc w:val="both"/>
        <w:rPr>
          <w:rFonts w:cs="Arial"/>
          <w:sz w:val="22"/>
          <w:szCs w:val="22"/>
        </w:rPr>
      </w:pPr>
      <w:r>
        <w:rPr>
          <w:sz w:val="22"/>
          <w:szCs w:val="22"/>
        </w:rPr>
        <w:t>D</w:t>
      </w:r>
      <w:r w:rsidR="00CB2B66">
        <w:rPr>
          <w:sz w:val="22"/>
          <w:szCs w:val="22"/>
        </w:rPr>
        <w:t>ans le cas d’un membre du personnel recruté sur le plan local : sur le traitement brut du membre du personnel, y compris l’allocation de connaissances linguistiques, le cas échéant, déduction faite des contributions du personnel ;</w:t>
      </w:r>
    </w:p>
    <w:p w14:paraId="6DC8CB35" w14:textId="77777777" w:rsidR="00CB2B66" w:rsidRPr="00CB2B66" w:rsidRDefault="00CB2B66" w:rsidP="00CB2B66">
      <w:pPr>
        <w:ind w:left="810"/>
        <w:jc w:val="both"/>
        <w:rPr>
          <w:rFonts w:asciiTheme="minorHAnsi" w:hAnsiTheme="minorHAnsi" w:cs="Arial"/>
          <w:sz w:val="22"/>
          <w:szCs w:val="22"/>
        </w:rPr>
      </w:pPr>
    </w:p>
    <w:p w14:paraId="6DC8CB36" w14:textId="385ADF4F" w:rsidR="00CB2B66" w:rsidRPr="00CB2B66" w:rsidRDefault="00C906B0" w:rsidP="00CB2B66">
      <w:pPr>
        <w:pStyle w:val="ListParagraph"/>
        <w:numPr>
          <w:ilvl w:val="0"/>
          <w:numId w:val="7"/>
        </w:numPr>
        <w:ind w:left="1530"/>
        <w:jc w:val="both"/>
        <w:rPr>
          <w:rFonts w:cs="Arial"/>
          <w:sz w:val="22"/>
          <w:szCs w:val="22"/>
        </w:rPr>
      </w:pPr>
      <w:r>
        <w:rPr>
          <w:sz w:val="22"/>
          <w:szCs w:val="22"/>
        </w:rPr>
        <w:t>D</w:t>
      </w:r>
      <w:r w:rsidR="00CB2B66">
        <w:rPr>
          <w:sz w:val="22"/>
          <w:szCs w:val="22"/>
        </w:rPr>
        <w:t>ans le cas d’un membre du personnel recruté sur le plan international : le traitement brut du membre du personnel, déduction faite des contributions du personnel et à l’exclusion de l’ajustement de poste.</w:t>
      </w:r>
    </w:p>
    <w:p w14:paraId="6DC8CB37" w14:textId="77777777" w:rsidR="00CB2B66" w:rsidRPr="00CB2B66" w:rsidRDefault="00CB2B66" w:rsidP="00CB2B66">
      <w:pPr>
        <w:pStyle w:val="ListParagraph"/>
        <w:rPr>
          <w:rFonts w:cs="Arial"/>
          <w:sz w:val="22"/>
          <w:szCs w:val="22"/>
        </w:rPr>
      </w:pPr>
    </w:p>
    <w:p w14:paraId="6DC8CB38" w14:textId="77777777" w:rsidR="00CB2B66" w:rsidRPr="00CB2B66" w:rsidRDefault="00CB2B66" w:rsidP="00CB2B66">
      <w:pPr>
        <w:pStyle w:val="ListParagraph"/>
        <w:numPr>
          <w:ilvl w:val="0"/>
          <w:numId w:val="11"/>
        </w:numPr>
        <w:jc w:val="both"/>
        <w:rPr>
          <w:rFonts w:cs="Arial"/>
          <w:sz w:val="22"/>
          <w:szCs w:val="22"/>
        </w:rPr>
      </w:pPr>
      <w:r>
        <w:rPr>
          <w:sz w:val="22"/>
          <w:szCs w:val="22"/>
        </w:rPr>
        <w:t>L’ancienneté est la durée totale du service continu à plein temps d’un membre du personnel au PNUD, dans le cadre d’un contrat d’engagement permanent, d’un contrat d’engagement continu ou d’un contrat d’engagement à durée déterminée, y compris en cas de transfert d’une autre organisation du régime commun des traitements et allocations des Nations Unies d’un contrat d’engagement permanent, continu ou à durée déterminée.  La continuité du service n’est pas considérée comme interrompue par des périodes de congé spécial non payé ou partiellement payé de moins de trente (30) jours consécutifs, mais des mois complets ne seront pas crédités à titre de service aux fins d’indemnisation.</w:t>
      </w:r>
    </w:p>
    <w:p w14:paraId="6DC8CB39" w14:textId="77777777" w:rsidR="00CB2B66" w:rsidRPr="00CB2B66" w:rsidRDefault="00CB2B66" w:rsidP="00CB2B66">
      <w:pPr>
        <w:jc w:val="both"/>
        <w:rPr>
          <w:rFonts w:asciiTheme="minorHAnsi" w:hAnsiTheme="minorHAnsi" w:cs="Arial"/>
          <w:sz w:val="22"/>
          <w:szCs w:val="22"/>
        </w:rPr>
      </w:pPr>
    </w:p>
    <w:p w14:paraId="6DC8CB3A" w14:textId="0D4DE9FE" w:rsidR="00CB2B66" w:rsidRPr="00CB2B66" w:rsidRDefault="00CB2B66" w:rsidP="00CB2B66">
      <w:pPr>
        <w:pStyle w:val="ListParagraph"/>
        <w:numPr>
          <w:ilvl w:val="0"/>
          <w:numId w:val="11"/>
        </w:numPr>
        <w:jc w:val="both"/>
        <w:rPr>
          <w:rFonts w:cs="Arial"/>
          <w:sz w:val="22"/>
          <w:szCs w:val="22"/>
        </w:rPr>
      </w:pPr>
      <w:r>
        <w:rPr>
          <w:sz w:val="22"/>
          <w:szCs w:val="22"/>
        </w:rPr>
        <w:t xml:space="preserve">L’indemnité de </w:t>
      </w:r>
      <w:r w:rsidR="00655406">
        <w:rPr>
          <w:sz w:val="22"/>
          <w:szCs w:val="22"/>
        </w:rPr>
        <w:t xml:space="preserve">licenciement </w:t>
      </w:r>
      <w:r>
        <w:rPr>
          <w:sz w:val="22"/>
          <w:szCs w:val="22"/>
        </w:rPr>
        <w:t>n’ouvre pas droit à pension.</w:t>
      </w:r>
    </w:p>
    <w:p w14:paraId="6DC8CB3B" w14:textId="77777777" w:rsidR="00CB2B66" w:rsidRPr="00CB2B66" w:rsidRDefault="00CB2B66" w:rsidP="00CB2B66">
      <w:pPr>
        <w:jc w:val="both"/>
        <w:rPr>
          <w:rFonts w:asciiTheme="minorHAnsi" w:hAnsiTheme="minorHAnsi" w:cs="Arial"/>
          <w:sz w:val="22"/>
          <w:szCs w:val="22"/>
        </w:rPr>
      </w:pPr>
    </w:p>
    <w:p w14:paraId="6DC8CB3D" w14:textId="30F6B011" w:rsidR="00CB2B66" w:rsidRPr="00CB2B66" w:rsidRDefault="00CB2B66" w:rsidP="00CB2B66">
      <w:pPr>
        <w:pStyle w:val="ListParagraph"/>
        <w:numPr>
          <w:ilvl w:val="0"/>
          <w:numId w:val="11"/>
        </w:numPr>
        <w:jc w:val="both"/>
        <w:rPr>
          <w:rFonts w:cs="Arial"/>
          <w:sz w:val="22"/>
          <w:szCs w:val="22"/>
        </w:rPr>
      </w:pPr>
      <w:r>
        <w:rPr>
          <w:sz w:val="22"/>
          <w:szCs w:val="22"/>
        </w:rPr>
        <w:t xml:space="preserve">Afin d’éviter la double indemnisation, la période servant au calcul de l’indemnité de </w:t>
      </w:r>
      <w:r w:rsidR="00655406">
        <w:rPr>
          <w:sz w:val="22"/>
          <w:szCs w:val="22"/>
        </w:rPr>
        <w:t xml:space="preserve">licenciement </w:t>
      </w:r>
      <w:r>
        <w:rPr>
          <w:sz w:val="22"/>
          <w:szCs w:val="22"/>
        </w:rPr>
        <w:t xml:space="preserve">(y compris, le cas échéant, toute indemnité de </w:t>
      </w:r>
      <w:r w:rsidR="00655406">
        <w:rPr>
          <w:sz w:val="22"/>
          <w:szCs w:val="22"/>
        </w:rPr>
        <w:t xml:space="preserve">licenciement </w:t>
      </w:r>
      <w:r>
        <w:rPr>
          <w:sz w:val="22"/>
          <w:szCs w:val="22"/>
        </w:rPr>
        <w:t>supplémentaire versée en sus de celle qui serait versée conformément à l’annexe III d</w:t>
      </w:r>
      <w:r w:rsidR="00567F8A">
        <w:rPr>
          <w:sz w:val="22"/>
          <w:szCs w:val="22"/>
        </w:rPr>
        <w:t>u Statut</w:t>
      </w:r>
      <w:r>
        <w:rPr>
          <w:sz w:val="22"/>
          <w:szCs w:val="22"/>
        </w:rPr>
        <w:t xml:space="preserve"> du personnel des Nations Unies et les indemnités tenant lieu de préavis) ne peut </w:t>
      </w:r>
      <w:r w:rsidR="00556CC2" w:rsidRPr="00556CC2">
        <w:rPr>
          <w:sz w:val="22"/>
          <w:szCs w:val="22"/>
        </w:rPr>
        <w:t>dépasser la période restant à jusqu'à ce que le membre du personnel atteigne l'âge obligatoire de la cessation de service</w:t>
      </w:r>
      <w:r>
        <w:rPr>
          <w:sz w:val="22"/>
          <w:szCs w:val="22"/>
        </w:rPr>
        <w:t xml:space="preserve"> </w:t>
      </w:r>
    </w:p>
    <w:p w14:paraId="6DC8CB3E" w14:textId="77777777" w:rsidR="00CB2B66" w:rsidRPr="00CB2B66" w:rsidRDefault="00CB2B66" w:rsidP="00CB2B66">
      <w:pPr>
        <w:pStyle w:val="ListParagraph"/>
        <w:rPr>
          <w:rFonts w:cs="Arial"/>
          <w:sz w:val="22"/>
          <w:szCs w:val="22"/>
        </w:rPr>
      </w:pPr>
    </w:p>
    <w:p w14:paraId="6DC8CB3F" w14:textId="7AF8DB8D" w:rsidR="00CB2B66" w:rsidRPr="00CB2B66" w:rsidRDefault="00CB2B66" w:rsidP="00CB2B66">
      <w:pPr>
        <w:pStyle w:val="ListParagraph"/>
        <w:numPr>
          <w:ilvl w:val="0"/>
          <w:numId w:val="11"/>
        </w:numPr>
        <w:jc w:val="both"/>
        <w:rPr>
          <w:rFonts w:cs="Arial"/>
          <w:sz w:val="22"/>
          <w:szCs w:val="22"/>
        </w:rPr>
      </w:pPr>
      <w:r>
        <w:rPr>
          <w:sz w:val="22"/>
          <w:szCs w:val="22"/>
        </w:rPr>
        <w:t xml:space="preserve">Aucune indemnité de </w:t>
      </w:r>
      <w:r w:rsidR="00655406">
        <w:rPr>
          <w:sz w:val="22"/>
          <w:szCs w:val="22"/>
        </w:rPr>
        <w:t xml:space="preserve">licenciement </w:t>
      </w:r>
      <w:r>
        <w:rPr>
          <w:sz w:val="22"/>
          <w:szCs w:val="22"/>
        </w:rPr>
        <w:t>n’est versée à un membre du personnel qui, au moment de sa cessation de service, bénéficie d’une pension de retraite au titre de l’article 28 d</w:t>
      </w:r>
      <w:r w:rsidR="00567F8A">
        <w:rPr>
          <w:sz w:val="22"/>
          <w:szCs w:val="22"/>
        </w:rPr>
        <w:t xml:space="preserve">u </w:t>
      </w:r>
      <w:r>
        <w:rPr>
          <w:sz w:val="22"/>
          <w:szCs w:val="22"/>
        </w:rPr>
        <w:t>Règlement de la Caisse commune des pensions du personnel des Nations Unies ou d’une indemnité pour invalidité totale au titre de l’article 6.4 d</w:t>
      </w:r>
      <w:r w:rsidR="00655406">
        <w:rPr>
          <w:sz w:val="22"/>
          <w:szCs w:val="22"/>
        </w:rPr>
        <w:t>u</w:t>
      </w:r>
      <w:r>
        <w:rPr>
          <w:sz w:val="22"/>
          <w:szCs w:val="22"/>
        </w:rPr>
        <w:t xml:space="preserve"> Règle</w:t>
      </w:r>
      <w:r w:rsidR="00655406">
        <w:rPr>
          <w:sz w:val="22"/>
          <w:szCs w:val="22"/>
        </w:rPr>
        <w:t>ment</w:t>
      </w:r>
      <w:r>
        <w:rPr>
          <w:sz w:val="22"/>
          <w:szCs w:val="22"/>
        </w:rPr>
        <w:t xml:space="preserve"> du </w:t>
      </w:r>
      <w:r w:rsidR="00556CC2">
        <w:rPr>
          <w:sz w:val="22"/>
          <w:szCs w:val="22"/>
        </w:rPr>
        <w:t>personnel de l’ONU</w:t>
      </w:r>
      <w:r>
        <w:rPr>
          <w:sz w:val="22"/>
          <w:szCs w:val="22"/>
        </w:rPr>
        <w:t xml:space="preserve">. </w:t>
      </w:r>
    </w:p>
    <w:p w14:paraId="6DC8CB40" w14:textId="3443B173" w:rsidR="00CB2B66" w:rsidRDefault="00CB2B66" w:rsidP="00CB2B66">
      <w:pPr>
        <w:jc w:val="both"/>
        <w:rPr>
          <w:rFonts w:asciiTheme="minorHAnsi" w:hAnsiTheme="minorHAnsi" w:cs="Arial"/>
          <w:b/>
          <w:sz w:val="22"/>
          <w:szCs w:val="22"/>
        </w:rPr>
      </w:pPr>
    </w:p>
    <w:p w14:paraId="23FB5641" w14:textId="77777777" w:rsidR="00C906B0" w:rsidRPr="00CB2B66" w:rsidRDefault="00C906B0" w:rsidP="00CB2B66">
      <w:pPr>
        <w:jc w:val="both"/>
        <w:rPr>
          <w:rFonts w:asciiTheme="minorHAnsi" w:hAnsiTheme="minorHAnsi" w:cs="Arial"/>
          <w:b/>
          <w:sz w:val="22"/>
          <w:szCs w:val="22"/>
        </w:rPr>
      </w:pPr>
    </w:p>
    <w:p w14:paraId="6DC8CB41" w14:textId="77777777" w:rsidR="00CB2B66" w:rsidRPr="00CB2B66" w:rsidRDefault="00CB2B66" w:rsidP="00CB2B66">
      <w:pPr>
        <w:jc w:val="both"/>
        <w:rPr>
          <w:rFonts w:asciiTheme="minorHAnsi" w:hAnsiTheme="minorHAnsi" w:cs="Arial"/>
          <w:b/>
          <w:sz w:val="22"/>
          <w:szCs w:val="22"/>
        </w:rPr>
      </w:pPr>
    </w:p>
    <w:p w14:paraId="6DC8CB43" w14:textId="60FF96FD" w:rsidR="00CB2B66" w:rsidRDefault="00556CC2" w:rsidP="00CB2B66">
      <w:pPr>
        <w:jc w:val="both"/>
        <w:rPr>
          <w:rFonts w:asciiTheme="minorHAnsi" w:hAnsiTheme="minorHAnsi"/>
          <w:b/>
          <w:sz w:val="22"/>
          <w:szCs w:val="22"/>
        </w:rPr>
      </w:pPr>
      <w:r w:rsidRPr="00556CC2">
        <w:rPr>
          <w:rFonts w:asciiTheme="minorHAnsi" w:hAnsiTheme="minorHAnsi"/>
          <w:b/>
          <w:sz w:val="22"/>
          <w:szCs w:val="22"/>
        </w:rPr>
        <w:t xml:space="preserve">Financement </w:t>
      </w:r>
      <w:r>
        <w:rPr>
          <w:rFonts w:asciiTheme="minorHAnsi" w:hAnsiTheme="minorHAnsi"/>
          <w:b/>
          <w:sz w:val="22"/>
          <w:szCs w:val="22"/>
        </w:rPr>
        <w:t>des</w:t>
      </w:r>
      <w:r w:rsidRPr="00556CC2">
        <w:rPr>
          <w:rFonts w:asciiTheme="minorHAnsi" w:hAnsiTheme="minorHAnsi"/>
          <w:b/>
          <w:sz w:val="22"/>
          <w:szCs w:val="22"/>
        </w:rPr>
        <w:t xml:space="preserve"> convenus d'un commun accord</w:t>
      </w:r>
    </w:p>
    <w:p w14:paraId="0FB37B92" w14:textId="77777777" w:rsidR="00556CC2" w:rsidRPr="00CB2B66" w:rsidRDefault="00556CC2" w:rsidP="00CB2B66">
      <w:pPr>
        <w:jc w:val="both"/>
        <w:rPr>
          <w:rFonts w:asciiTheme="minorHAnsi" w:hAnsiTheme="minorHAnsi" w:cs="Arial"/>
          <w:b/>
          <w:sz w:val="22"/>
          <w:szCs w:val="22"/>
        </w:rPr>
      </w:pPr>
    </w:p>
    <w:p w14:paraId="6DC8CB44" w14:textId="4664885F" w:rsidR="00CB2B66" w:rsidRPr="00CB2B66" w:rsidRDefault="00CB2B66" w:rsidP="00CB2B66">
      <w:pPr>
        <w:pStyle w:val="ListParagraph"/>
        <w:numPr>
          <w:ilvl w:val="0"/>
          <w:numId w:val="11"/>
        </w:numPr>
        <w:jc w:val="both"/>
        <w:rPr>
          <w:rFonts w:cs="Arial"/>
          <w:sz w:val="22"/>
          <w:szCs w:val="22"/>
        </w:rPr>
      </w:pPr>
      <w:r>
        <w:rPr>
          <w:sz w:val="22"/>
          <w:szCs w:val="22"/>
        </w:rPr>
        <w:t xml:space="preserve">Une provision limitée pour le financement de ces résiliations est établie dans le cadre du budget institutionnel approuvé par le </w:t>
      </w:r>
      <w:r w:rsidR="00556CC2" w:rsidRPr="00556CC2">
        <w:rPr>
          <w:sz w:val="22"/>
          <w:szCs w:val="22"/>
        </w:rPr>
        <w:t>groupe exécutif</w:t>
      </w:r>
      <w:r>
        <w:rPr>
          <w:sz w:val="22"/>
          <w:szCs w:val="22"/>
        </w:rPr>
        <w:t xml:space="preserve">. Le crédit institutionnel s’applique à tous les Bureaux et, par conséquent, son utilisation dépendra des prévisions des Bureaux au sein des règles et de la gouvernance actuelles. Les coûts de cessation de service en sus de ce budget institutionnel limité seront assujettis à une décision du GD. </w:t>
      </w:r>
    </w:p>
    <w:p w14:paraId="6DC8CB45" w14:textId="77777777" w:rsidR="00CB2B66" w:rsidRPr="00CB2B66" w:rsidRDefault="00CB2B66" w:rsidP="00CB2B66">
      <w:pPr>
        <w:pStyle w:val="ListParagraph"/>
        <w:ind w:left="360"/>
        <w:jc w:val="both"/>
        <w:rPr>
          <w:rFonts w:cs="Arial"/>
          <w:sz w:val="22"/>
          <w:szCs w:val="22"/>
        </w:rPr>
      </w:pPr>
    </w:p>
    <w:p w14:paraId="6DC8CB46" w14:textId="77777777" w:rsidR="00CB2B66" w:rsidRPr="00CB2B66" w:rsidRDefault="00CB2B66" w:rsidP="00CB2B66">
      <w:pPr>
        <w:pStyle w:val="ListParagraph"/>
        <w:ind w:left="360"/>
        <w:jc w:val="both"/>
        <w:rPr>
          <w:rFonts w:cs="Arial"/>
          <w:sz w:val="22"/>
          <w:szCs w:val="22"/>
        </w:rPr>
      </w:pPr>
    </w:p>
    <w:p w14:paraId="6DC8CB47" w14:textId="7E2A2AB1"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 xml:space="preserve">Préavis de </w:t>
      </w:r>
      <w:r w:rsidR="00655406">
        <w:rPr>
          <w:rFonts w:asciiTheme="minorHAnsi" w:hAnsiTheme="minorHAnsi"/>
          <w:b/>
          <w:sz w:val="22"/>
          <w:szCs w:val="22"/>
        </w:rPr>
        <w:t xml:space="preserve">licenciement </w:t>
      </w:r>
    </w:p>
    <w:p w14:paraId="6DC8CB48" w14:textId="77777777" w:rsidR="00CB2B66" w:rsidRPr="00CB2B66" w:rsidRDefault="00CB2B66" w:rsidP="00CB2B66">
      <w:pPr>
        <w:ind w:left="435" w:hanging="435"/>
        <w:jc w:val="both"/>
        <w:rPr>
          <w:rFonts w:asciiTheme="minorHAnsi" w:hAnsiTheme="minorHAnsi" w:cs="Arial"/>
          <w:b/>
          <w:sz w:val="22"/>
          <w:szCs w:val="22"/>
        </w:rPr>
      </w:pPr>
    </w:p>
    <w:p w14:paraId="6DC8CB49" w14:textId="0B284C9F" w:rsidR="00CB2B66" w:rsidRPr="00CB2B66" w:rsidRDefault="00CB2B66" w:rsidP="00CB2B66">
      <w:pPr>
        <w:pStyle w:val="ListParagraph"/>
        <w:numPr>
          <w:ilvl w:val="0"/>
          <w:numId w:val="11"/>
        </w:numPr>
        <w:jc w:val="both"/>
        <w:rPr>
          <w:rFonts w:cs="Arial"/>
          <w:sz w:val="22"/>
          <w:szCs w:val="22"/>
        </w:rPr>
      </w:pPr>
      <w:r>
        <w:rPr>
          <w:sz w:val="22"/>
          <w:szCs w:val="22"/>
        </w:rPr>
        <w:t xml:space="preserve">Si l’Administrateur ou son fonctionnaire délégué </w:t>
      </w:r>
      <w:r w:rsidR="00655406">
        <w:rPr>
          <w:sz w:val="22"/>
          <w:szCs w:val="22"/>
        </w:rPr>
        <w:t>licencie un</w:t>
      </w:r>
      <w:r>
        <w:rPr>
          <w:sz w:val="22"/>
          <w:szCs w:val="22"/>
        </w:rPr>
        <w:t xml:space="preserve"> membre du personnel</w:t>
      </w:r>
      <w:r w:rsidR="00655406">
        <w:rPr>
          <w:sz w:val="22"/>
          <w:szCs w:val="22"/>
        </w:rPr>
        <w:t>, celui-ci</w:t>
      </w:r>
      <w:r>
        <w:rPr>
          <w:sz w:val="22"/>
          <w:szCs w:val="22"/>
        </w:rPr>
        <w:t xml:space="preserve"> reçoit le préavis prévu et toute indemnité de résiliation applicable en vertu d</w:t>
      </w:r>
      <w:r w:rsidR="00655406">
        <w:rPr>
          <w:sz w:val="22"/>
          <w:szCs w:val="22"/>
        </w:rPr>
        <w:t xml:space="preserve">u Statut et </w:t>
      </w:r>
      <w:r>
        <w:rPr>
          <w:sz w:val="22"/>
          <w:szCs w:val="22"/>
        </w:rPr>
        <w:t xml:space="preserve"> Règlement du personnel des Nations Unies. </w:t>
      </w:r>
    </w:p>
    <w:p w14:paraId="6DC8CB4A" w14:textId="77777777" w:rsidR="00CB2B66" w:rsidRPr="00CB2B66" w:rsidRDefault="00CB2B66" w:rsidP="00CB2B66">
      <w:pPr>
        <w:jc w:val="both"/>
        <w:rPr>
          <w:rFonts w:asciiTheme="minorHAnsi" w:hAnsiTheme="minorHAnsi" w:cs="Arial"/>
          <w:sz w:val="22"/>
          <w:szCs w:val="22"/>
        </w:rPr>
      </w:pPr>
    </w:p>
    <w:p w14:paraId="6DC8CB4B" w14:textId="6414E79A" w:rsidR="00CB2B66" w:rsidRPr="00CB2B66" w:rsidRDefault="00CB2B66" w:rsidP="00CB2B66">
      <w:pPr>
        <w:pStyle w:val="ListParagraph"/>
        <w:numPr>
          <w:ilvl w:val="0"/>
          <w:numId w:val="11"/>
        </w:numPr>
        <w:jc w:val="both"/>
        <w:rPr>
          <w:rFonts w:cs="Arial"/>
          <w:sz w:val="22"/>
          <w:szCs w:val="22"/>
        </w:rPr>
      </w:pPr>
      <w:r>
        <w:rPr>
          <w:sz w:val="22"/>
          <w:szCs w:val="22"/>
        </w:rPr>
        <w:t>Les délais de préavis</w:t>
      </w:r>
      <w:r w:rsidR="00655406">
        <w:rPr>
          <w:sz w:val="22"/>
          <w:szCs w:val="22"/>
        </w:rPr>
        <w:t xml:space="preserve"> de licenciement</w:t>
      </w:r>
      <w:r>
        <w:rPr>
          <w:sz w:val="22"/>
          <w:szCs w:val="22"/>
        </w:rPr>
        <w:t xml:space="preserve"> suivants s’appliquent :</w:t>
      </w:r>
    </w:p>
    <w:p w14:paraId="6DC8CB4C" w14:textId="77777777" w:rsidR="00CB2B66" w:rsidRPr="00CB2B66" w:rsidRDefault="00CB2B66" w:rsidP="00CB2B66">
      <w:pPr>
        <w:jc w:val="both"/>
        <w:rPr>
          <w:rFonts w:asciiTheme="minorHAnsi" w:hAnsiTheme="minorHAnsi" w:cs="Arial"/>
          <w:sz w:val="22"/>
          <w:szCs w:val="22"/>
        </w:rPr>
      </w:pPr>
    </w:p>
    <w:p w14:paraId="6DC8CB4D" w14:textId="366BC321" w:rsidR="00CB2B66" w:rsidRPr="00CB2B66" w:rsidRDefault="00C906B0"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A</w:t>
      </w:r>
      <w:r w:rsidR="00CB2B66">
        <w:rPr>
          <w:rFonts w:asciiTheme="minorHAnsi" w:hAnsiTheme="minorHAnsi"/>
          <w:sz w:val="22"/>
          <w:szCs w:val="22"/>
        </w:rPr>
        <w:t>u contrat d’engagement permanent et continu : préavis écrit d’au moins trois mois ;</w:t>
      </w:r>
    </w:p>
    <w:p w14:paraId="6DC8CB4E" w14:textId="77777777" w:rsidR="00CB2B66" w:rsidRPr="00CB2B66" w:rsidRDefault="00CB2B66" w:rsidP="00CB2B66">
      <w:pPr>
        <w:ind w:left="1710" w:hanging="720"/>
        <w:jc w:val="both"/>
        <w:rPr>
          <w:rFonts w:asciiTheme="minorHAnsi" w:hAnsiTheme="minorHAnsi" w:cs="Arial"/>
          <w:sz w:val="22"/>
          <w:szCs w:val="22"/>
        </w:rPr>
      </w:pPr>
    </w:p>
    <w:p w14:paraId="6DC8CB4F" w14:textId="33708644" w:rsidR="00CB2B66" w:rsidRPr="00CB2B66" w:rsidRDefault="00C906B0"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A</w:t>
      </w:r>
      <w:r w:rsidR="00CB2B66">
        <w:rPr>
          <w:rFonts w:asciiTheme="minorHAnsi" w:hAnsiTheme="minorHAnsi"/>
          <w:sz w:val="22"/>
          <w:szCs w:val="22"/>
        </w:rPr>
        <w:t xml:space="preserve">u contrat d’engagement à durée déterminée : préavis écrit d’au moins 30 jours (ou toute autre période de préavis stipulée dans la lettre de nomination) ; </w:t>
      </w:r>
    </w:p>
    <w:p w14:paraId="6DC8CB50" w14:textId="77777777" w:rsidR="00CB2B66" w:rsidRPr="00CB2B66" w:rsidRDefault="00CB2B66" w:rsidP="00CB2B66">
      <w:pPr>
        <w:ind w:left="1710"/>
        <w:jc w:val="both"/>
        <w:rPr>
          <w:rFonts w:asciiTheme="minorHAnsi" w:hAnsiTheme="minorHAnsi" w:cs="Arial"/>
          <w:sz w:val="22"/>
          <w:szCs w:val="22"/>
        </w:rPr>
      </w:pPr>
    </w:p>
    <w:p w14:paraId="6DC8CB51" w14:textId="6539BC83" w:rsidR="00CB2B66" w:rsidRPr="00CB2B66" w:rsidRDefault="00C906B0"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A</w:t>
      </w:r>
      <w:r w:rsidR="00CB2B66">
        <w:rPr>
          <w:rFonts w:asciiTheme="minorHAnsi" w:hAnsiTheme="minorHAnsi"/>
          <w:sz w:val="22"/>
          <w:szCs w:val="22"/>
        </w:rPr>
        <w:t>u contrat d’engagement temporaire : préavis écrit d’au moins 15 jours (ou toute autre période de préavis stipulée dans la lettre de nomination).</w:t>
      </w:r>
    </w:p>
    <w:p w14:paraId="6DC8CB52" w14:textId="77777777" w:rsidR="00CB2B66" w:rsidRPr="00CB2B66" w:rsidRDefault="00CB2B66" w:rsidP="00CB2B66">
      <w:pPr>
        <w:ind w:left="435" w:hanging="435"/>
        <w:jc w:val="both"/>
        <w:rPr>
          <w:rFonts w:asciiTheme="minorHAnsi" w:hAnsiTheme="minorHAnsi" w:cs="Arial"/>
          <w:sz w:val="22"/>
          <w:szCs w:val="22"/>
        </w:rPr>
      </w:pPr>
    </w:p>
    <w:p w14:paraId="6DC8CB53" w14:textId="6D3F09E7" w:rsidR="00CB2B66" w:rsidRPr="00CB2B66" w:rsidRDefault="00CB2B66" w:rsidP="00CB2B66">
      <w:pPr>
        <w:pStyle w:val="ListParagraph"/>
        <w:numPr>
          <w:ilvl w:val="0"/>
          <w:numId w:val="11"/>
        </w:numPr>
        <w:jc w:val="both"/>
        <w:rPr>
          <w:rFonts w:cs="Arial"/>
          <w:sz w:val="22"/>
          <w:szCs w:val="22"/>
        </w:rPr>
      </w:pPr>
      <w:r>
        <w:rPr>
          <w:sz w:val="22"/>
          <w:szCs w:val="22"/>
        </w:rPr>
        <w:t>Les périodes de préavis</w:t>
      </w:r>
      <w:r w:rsidR="00655406">
        <w:rPr>
          <w:sz w:val="22"/>
          <w:szCs w:val="22"/>
        </w:rPr>
        <w:t xml:space="preserve"> de licenciement</w:t>
      </w:r>
      <w:r>
        <w:rPr>
          <w:sz w:val="22"/>
          <w:szCs w:val="22"/>
        </w:rPr>
        <w:t xml:space="preserve"> stipulées prennent effet à compter de la date de réception de la notification écrite par le membre du personnel. </w:t>
      </w:r>
    </w:p>
    <w:p w14:paraId="6DC8CB54" w14:textId="77777777" w:rsidR="00CB2B66" w:rsidRPr="00CB2B66" w:rsidRDefault="00CB2B66" w:rsidP="00CB2B66">
      <w:pPr>
        <w:jc w:val="both"/>
        <w:rPr>
          <w:rFonts w:asciiTheme="minorHAnsi" w:hAnsiTheme="minorHAnsi" w:cs="Arial"/>
          <w:sz w:val="22"/>
          <w:szCs w:val="22"/>
        </w:rPr>
      </w:pPr>
    </w:p>
    <w:p w14:paraId="6DC8CB55" w14:textId="46B4BC41" w:rsidR="00CB2B66" w:rsidRPr="008F1896" w:rsidRDefault="00CB2B66" w:rsidP="005049F3">
      <w:pPr>
        <w:pStyle w:val="ListParagraph"/>
        <w:numPr>
          <w:ilvl w:val="0"/>
          <w:numId w:val="11"/>
        </w:numPr>
        <w:jc w:val="both"/>
        <w:rPr>
          <w:rFonts w:cs="Arial"/>
          <w:sz w:val="22"/>
          <w:szCs w:val="22"/>
        </w:rPr>
      </w:pPr>
      <w:r>
        <w:rPr>
          <w:sz w:val="22"/>
          <w:szCs w:val="22"/>
        </w:rPr>
        <w:t xml:space="preserve">Au lieu de la période de préavis légale accordée au membre du personnel </w:t>
      </w:r>
      <w:r w:rsidR="00E4199A">
        <w:rPr>
          <w:sz w:val="22"/>
          <w:szCs w:val="22"/>
        </w:rPr>
        <w:t xml:space="preserve">qui doit être licencié, </w:t>
      </w:r>
      <w:r>
        <w:rPr>
          <w:sz w:val="22"/>
          <w:szCs w:val="22"/>
        </w:rPr>
        <w:t>l’Administrateur ou son fonctionnaire délégué peut</w:t>
      </w:r>
      <w:r w:rsidR="00556CC2">
        <w:rPr>
          <w:sz w:val="22"/>
          <w:szCs w:val="22"/>
        </w:rPr>
        <w:t xml:space="preserve"> décider d’</w:t>
      </w:r>
      <w:r>
        <w:rPr>
          <w:sz w:val="22"/>
          <w:szCs w:val="22"/>
        </w:rPr>
        <w:t xml:space="preserve"> autoriser </w:t>
      </w:r>
      <w:r w:rsidR="00E4199A">
        <w:rPr>
          <w:sz w:val="22"/>
          <w:szCs w:val="22"/>
        </w:rPr>
        <w:t>le paiement d’</w:t>
      </w:r>
      <w:r>
        <w:rPr>
          <w:sz w:val="22"/>
          <w:szCs w:val="22"/>
        </w:rPr>
        <w:t>une indemnité équivalente au traitement, l’ajustement de poste applicable et les allocations correspondant à la période de préavis en question, au taux en vigueur le dernier jour de service (« indemnité tenant lieu de préavis »). Si l</w:t>
      </w:r>
      <w:r w:rsidR="00E4199A">
        <w:rPr>
          <w:sz w:val="22"/>
          <w:szCs w:val="22"/>
        </w:rPr>
        <w:t>’indemnité est versée</w:t>
      </w:r>
      <w:r>
        <w:rPr>
          <w:sz w:val="22"/>
          <w:szCs w:val="22"/>
        </w:rPr>
        <w:t xml:space="preserve"> en remplacement d’un préavis, la période de préavis n’est pas comptée comme temps de service à quelque fin que ce soit.</w:t>
      </w:r>
    </w:p>
    <w:p w14:paraId="3F57E3AB" w14:textId="77777777" w:rsidR="008F1896" w:rsidRPr="008F1896" w:rsidRDefault="008F1896" w:rsidP="008F1896">
      <w:pPr>
        <w:pStyle w:val="ListParagraph"/>
        <w:rPr>
          <w:rFonts w:cs="Arial"/>
          <w:sz w:val="22"/>
          <w:szCs w:val="22"/>
        </w:rPr>
      </w:pPr>
    </w:p>
    <w:p w14:paraId="4BD82D8A" w14:textId="0E188B2E" w:rsidR="008F1896" w:rsidRDefault="008F1896" w:rsidP="005049F3">
      <w:pPr>
        <w:pStyle w:val="ListParagraph"/>
        <w:numPr>
          <w:ilvl w:val="0"/>
          <w:numId w:val="11"/>
        </w:numPr>
        <w:jc w:val="both"/>
        <w:rPr>
          <w:rFonts w:cs="Arial"/>
          <w:sz w:val="22"/>
          <w:szCs w:val="22"/>
        </w:rPr>
      </w:pPr>
      <w:r w:rsidRPr="008F1896">
        <w:rPr>
          <w:rFonts w:cs="Arial"/>
          <w:sz w:val="22"/>
          <w:szCs w:val="22"/>
        </w:rPr>
        <w:t>Les membres du personnel en période de préavis qui souhaitent quitter l'Organisation avant la fin de la période de préavis peuvent également bénéficier d'une conversion du reste du préavis en espèces à la discrétion de l'Organisation en soumettant une demande écrite à leur supérieur hiérarchique dès réception de l'avis de cessation d'emploi. Le pouvoir d'approuver ou de refuser la demande est exercé par le chef de bureau (dans le cas des membres du personnel recrutés localement et travaillant en dehors du siège de New York) ou par le directeur de BMS/OHR (dans le cas des membres du personnel recrutés au niveau international et des membres du personnel recrutés localement et travaillant au siège de New York), en tenant compte des besoins de l'Organisation, de la recommandation du superviseur et des souhaits du membre du personnel.</w:t>
      </w:r>
    </w:p>
    <w:p w14:paraId="6DC8CB56" w14:textId="77777777" w:rsidR="005049F3" w:rsidRPr="005049F3" w:rsidRDefault="005049F3" w:rsidP="005049F3">
      <w:pPr>
        <w:jc w:val="both"/>
        <w:rPr>
          <w:rFonts w:cs="Arial"/>
          <w:sz w:val="22"/>
          <w:szCs w:val="22"/>
        </w:rPr>
      </w:pPr>
    </w:p>
    <w:p w14:paraId="6DC8CB57" w14:textId="77777777" w:rsidR="00CB2B66" w:rsidRPr="00CB2B66" w:rsidRDefault="00CB2B66" w:rsidP="00CB2B66">
      <w:pPr>
        <w:ind w:left="-90"/>
        <w:jc w:val="both"/>
        <w:rPr>
          <w:rFonts w:asciiTheme="minorHAnsi" w:hAnsiTheme="minorHAnsi" w:cs="Arial"/>
          <w:sz w:val="22"/>
          <w:szCs w:val="22"/>
        </w:rPr>
      </w:pPr>
    </w:p>
    <w:p w14:paraId="6DC8CB58" w14:textId="77777777" w:rsidR="00CB2B66" w:rsidRDefault="00CB2B66" w:rsidP="00CB2B66">
      <w:pPr>
        <w:jc w:val="both"/>
        <w:rPr>
          <w:rFonts w:asciiTheme="minorHAnsi" w:hAnsiTheme="minorHAnsi" w:cs="Arial"/>
          <w:b/>
          <w:sz w:val="22"/>
          <w:szCs w:val="22"/>
        </w:rPr>
      </w:pPr>
      <w:r>
        <w:rPr>
          <w:rFonts w:asciiTheme="minorHAnsi" w:hAnsiTheme="minorHAnsi"/>
          <w:b/>
          <w:sz w:val="22"/>
          <w:szCs w:val="22"/>
        </w:rPr>
        <w:t>Réembauche après la cessation de service</w:t>
      </w:r>
    </w:p>
    <w:p w14:paraId="6DC8CB59" w14:textId="77777777" w:rsidR="005049F3" w:rsidRPr="00CB2B66" w:rsidRDefault="005049F3" w:rsidP="00CB2B66">
      <w:pPr>
        <w:jc w:val="both"/>
        <w:rPr>
          <w:rFonts w:asciiTheme="minorHAnsi" w:hAnsiTheme="minorHAnsi" w:cs="Arial"/>
          <w:b/>
          <w:sz w:val="22"/>
          <w:szCs w:val="22"/>
        </w:rPr>
      </w:pPr>
    </w:p>
    <w:p w14:paraId="6DC8CB5A" w14:textId="77777777" w:rsidR="00CB2B66" w:rsidRPr="00CB2B66" w:rsidRDefault="00CB2B66" w:rsidP="00CB2B66">
      <w:pPr>
        <w:jc w:val="both"/>
        <w:rPr>
          <w:rFonts w:asciiTheme="minorHAnsi" w:hAnsiTheme="minorHAnsi" w:cs="Arial"/>
          <w:b/>
          <w:sz w:val="22"/>
          <w:szCs w:val="22"/>
        </w:rPr>
      </w:pPr>
    </w:p>
    <w:p w14:paraId="6DC8CB5B" w14:textId="77777777" w:rsidR="00CB2B66" w:rsidRPr="00CB2B66" w:rsidRDefault="00CB2B66" w:rsidP="00CB2B66">
      <w:pPr>
        <w:pStyle w:val="ListParagraph"/>
        <w:numPr>
          <w:ilvl w:val="0"/>
          <w:numId w:val="11"/>
        </w:numPr>
        <w:jc w:val="both"/>
        <w:rPr>
          <w:rFonts w:cs="Arial"/>
          <w:sz w:val="22"/>
          <w:szCs w:val="22"/>
        </w:rPr>
      </w:pPr>
      <w:r>
        <w:rPr>
          <w:sz w:val="22"/>
          <w:szCs w:val="22"/>
        </w:rPr>
        <w:t>Un membre du personnel dont le contrat d’engagement est résilié à la suite d’une résiliation à l’amiable ne peut être réembauché en tant que membre du personnel dans la période prévue dans l’accord de résiliation.</w:t>
      </w:r>
    </w:p>
    <w:p w14:paraId="6DC8CB5C" w14:textId="77777777" w:rsidR="00CB2B66" w:rsidRPr="00CB2B66" w:rsidRDefault="00CB2B66" w:rsidP="00CB2B66">
      <w:pPr>
        <w:pStyle w:val="ListParagraph"/>
        <w:ind w:left="720"/>
        <w:jc w:val="both"/>
        <w:rPr>
          <w:rFonts w:cs="Arial"/>
          <w:sz w:val="22"/>
          <w:szCs w:val="22"/>
        </w:rPr>
      </w:pPr>
    </w:p>
    <w:p w14:paraId="6DC8CB5D" w14:textId="11CD779E" w:rsidR="00CB2B66" w:rsidRPr="00CB2B66" w:rsidRDefault="00CB2B66" w:rsidP="00CB2B66">
      <w:pPr>
        <w:pStyle w:val="ListParagraph"/>
        <w:numPr>
          <w:ilvl w:val="0"/>
          <w:numId w:val="11"/>
        </w:numPr>
        <w:jc w:val="both"/>
        <w:rPr>
          <w:rFonts w:cs="Arial"/>
          <w:sz w:val="22"/>
          <w:szCs w:val="22"/>
        </w:rPr>
      </w:pPr>
      <w:r>
        <w:rPr>
          <w:sz w:val="22"/>
          <w:szCs w:val="22"/>
        </w:rPr>
        <w:t xml:space="preserve">Si un </w:t>
      </w:r>
      <w:r w:rsidR="008F1896" w:rsidRPr="008F1896">
        <w:rPr>
          <w:sz w:val="22"/>
          <w:szCs w:val="22"/>
        </w:rPr>
        <w:t>l'ancien membre du personnel</w:t>
      </w:r>
      <w:r>
        <w:rPr>
          <w:sz w:val="22"/>
          <w:szCs w:val="22"/>
        </w:rPr>
        <w:t xml:space="preserve"> du personnel est réembauché après sa cessation de service dans le cadre d’un nouveau contrat d’engagement, il n’est pas tenu de rembourser les jours de congé annuel accumulés, la prime de rapatriement ou l’indemnité de résiliation normale.  Toutefois, les droits, prestations ou accumulations acquis par le membre du personnel sont, en cas de deuxième cessation de service, ajustés de manière à ce que le montant total des </w:t>
      </w:r>
      <w:r>
        <w:rPr>
          <w:sz w:val="22"/>
          <w:szCs w:val="22"/>
        </w:rPr>
        <w:lastRenderedPageBreak/>
        <w:t>versements au titre des première et deuxième cessations de service ne dépasse pas les montants qui auraient été dus si le service avait été continu (voir l’article 4.17 [b] d</w:t>
      </w:r>
      <w:r w:rsidR="00E4199A">
        <w:rPr>
          <w:sz w:val="22"/>
          <w:szCs w:val="22"/>
        </w:rPr>
        <w:t>u r</w:t>
      </w:r>
      <w:r>
        <w:rPr>
          <w:sz w:val="22"/>
          <w:szCs w:val="22"/>
        </w:rPr>
        <w:t>ègle</w:t>
      </w:r>
      <w:r w:rsidR="00E4199A">
        <w:rPr>
          <w:sz w:val="22"/>
          <w:szCs w:val="22"/>
        </w:rPr>
        <w:t>ment</w:t>
      </w:r>
      <w:r>
        <w:rPr>
          <w:sz w:val="22"/>
          <w:szCs w:val="22"/>
        </w:rPr>
        <w:t xml:space="preserve"> du personnel des Nations Unies). Un membre du personnel qui est réembauché après sa cessation de service verra son entrée en fonction (EEF) remise à la date d’entrée en vigueur de sa nouvelle nomination. </w:t>
      </w:r>
    </w:p>
    <w:p w14:paraId="6DC8CB5E" w14:textId="77777777" w:rsidR="00CB2B66" w:rsidRPr="00CB2B66" w:rsidRDefault="00CB2B66" w:rsidP="00CB2B66">
      <w:pPr>
        <w:jc w:val="both"/>
        <w:rPr>
          <w:rFonts w:asciiTheme="minorHAnsi" w:hAnsiTheme="minorHAnsi" w:cs="Arial"/>
          <w:sz w:val="22"/>
          <w:szCs w:val="22"/>
        </w:rPr>
      </w:pPr>
    </w:p>
    <w:p w14:paraId="6DC8CB5F" w14:textId="6111FA79" w:rsidR="00CB2B66" w:rsidRPr="00CB2B66" w:rsidRDefault="00CB2B66" w:rsidP="00CB2B66">
      <w:pPr>
        <w:pStyle w:val="ListParagraph"/>
        <w:numPr>
          <w:ilvl w:val="0"/>
          <w:numId w:val="11"/>
        </w:numPr>
        <w:jc w:val="both"/>
        <w:rPr>
          <w:rFonts w:cs="Arial"/>
          <w:sz w:val="22"/>
          <w:szCs w:val="22"/>
        </w:rPr>
      </w:pPr>
      <w:r>
        <w:rPr>
          <w:sz w:val="22"/>
          <w:szCs w:val="22"/>
        </w:rPr>
        <w:t xml:space="preserve">Lorsqu’un ancien membre du personnel </w:t>
      </w:r>
      <w:r w:rsidR="00E4199A">
        <w:rPr>
          <w:sz w:val="22"/>
          <w:szCs w:val="22"/>
        </w:rPr>
        <w:t xml:space="preserve"> a reçu une indemnité de licenciement en </w:t>
      </w:r>
      <w:r>
        <w:rPr>
          <w:sz w:val="22"/>
          <w:szCs w:val="22"/>
        </w:rPr>
        <w:t>sus de ce qui serait versé conformément à l’annexe III d</w:t>
      </w:r>
      <w:r w:rsidR="00E4199A">
        <w:rPr>
          <w:sz w:val="22"/>
          <w:szCs w:val="22"/>
        </w:rPr>
        <w:t>u Statut</w:t>
      </w:r>
      <w:r>
        <w:rPr>
          <w:sz w:val="22"/>
          <w:szCs w:val="22"/>
        </w:rPr>
        <w:t xml:space="preserve"> du personnel des Nations Unies, il ne peut être réembauché pour un contrat d’engagement à durée déterminée dans les 12 mois suivant la date de cessation de service que s’il </w:t>
      </w:r>
      <w:r w:rsidR="00E4199A">
        <w:rPr>
          <w:sz w:val="22"/>
          <w:szCs w:val="22"/>
        </w:rPr>
        <w:t xml:space="preserve">rembourse </w:t>
      </w:r>
      <w:r>
        <w:rPr>
          <w:sz w:val="22"/>
          <w:szCs w:val="22"/>
        </w:rPr>
        <w:t xml:space="preserve">l’indemnité de </w:t>
      </w:r>
      <w:r w:rsidR="00E4199A">
        <w:rPr>
          <w:sz w:val="22"/>
          <w:szCs w:val="22"/>
        </w:rPr>
        <w:t>licenciement</w:t>
      </w:r>
      <w:r>
        <w:rPr>
          <w:sz w:val="22"/>
          <w:szCs w:val="22"/>
        </w:rPr>
        <w:t xml:space="preserve"> supplémentaire, sauf disposition contraire de l’accord de résiliation</w:t>
      </w:r>
      <w:r w:rsidR="00E4199A">
        <w:rPr>
          <w:sz w:val="22"/>
          <w:szCs w:val="22"/>
        </w:rPr>
        <w:t xml:space="preserve"> à l’amiable</w:t>
      </w:r>
      <w:r>
        <w:rPr>
          <w:sz w:val="22"/>
          <w:szCs w:val="22"/>
        </w:rPr>
        <w:t>.</w:t>
      </w:r>
    </w:p>
    <w:p w14:paraId="6DC8CB60" w14:textId="77777777" w:rsidR="00CB2B66" w:rsidRPr="00CB2B66" w:rsidRDefault="00CB2B66" w:rsidP="00CB2B66">
      <w:pPr>
        <w:jc w:val="both"/>
        <w:rPr>
          <w:rFonts w:asciiTheme="minorHAnsi" w:hAnsiTheme="minorHAnsi" w:cs="Arial"/>
          <w:sz w:val="22"/>
          <w:szCs w:val="22"/>
        </w:rPr>
      </w:pPr>
      <w:r>
        <w:rPr>
          <w:rFonts w:asciiTheme="minorHAnsi" w:hAnsiTheme="minorHAnsi"/>
          <w:sz w:val="22"/>
          <w:szCs w:val="22"/>
        </w:rPr>
        <w:t xml:space="preserve"> </w:t>
      </w:r>
    </w:p>
    <w:p w14:paraId="6DC8CB61" w14:textId="3D714216" w:rsidR="00CB2B66" w:rsidRPr="00CB2B66" w:rsidRDefault="00CB2B66" w:rsidP="00CB2B66">
      <w:pPr>
        <w:pStyle w:val="ListParagraph"/>
        <w:numPr>
          <w:ilvl w:val="0"/>
          <w:numId w:val="11"/>
        </w:numPr>
        <w:jc w:val="both"/>
        <w:rPr>
          <w:rFonts w:cs="Arial"/>
          <w:b/>
          <w:sz w:val="22"/>
          <w:szCs w:val="22"/>
        </w:rPr>
      </w:pPr>
      <w:r>
        <w:t xml:space="preserve">Les dispositions relatives à l’engagement d’un ancien membre du personnel titulaire d’un contrat de services </w:t>
      </w:r>
      <w:r w:rsidR="00E4199A">
        <w:t xml:space="preserve">, d’accord de service personnel </w:t>
      </w:r>
      <w:r>
        <w:t xml:space="preserve"> et d’un contrat individuel  figurent dans la</w:t>
      </w:r>
      <w:r>
        <w:rPr>
          <w:sz w:val="22"/>
          <w:szCs w:val="22"/>
        </w:rPr>
        <w:t xml:space="preserve"> </w:t>
      </w:r>
      <w:hyperlink r:id="rId18" w:history="1">
        <w:r>
          <w:rPr>
            <w:rStyle w:val="Hyperlink"/>
            <w:sz w:val="22"/>
            <w:szCs w:val="22"/>
          </w:rPr>
          <w:t>section POPP sur les modalités contractuelles de non-fonctionnaires.</w:t>
        </w:r>
      </w:hyperlink>
      <w:r>
        <w:rPr>
          <w:sz w:val="22"/>
          <w:szCs w:val="22"/>
        </w:rPr>
        <w:t xml:space="preserve"> </w:t>
      </w:r>
    </w:p>
    <w:p w14:paraId="6DC8CB62" w14:textId="77777777" w:rsidR="00CB2B66" w:rsidRPr="00CB2B66" w:rsidRDefault="00CB2B66" w:rsidP="00CB2B66">
      <w:pPr>
        <w:jc w:val="both"/>
        <w:rPr>
          <w:rFonts w:asciiTheme="minorHAnsi" w:hAnsiTheme="minorHAnsi" w:cs="Arial"/>
          <w:b/>
          <w:sz w:val="22"/>
          <w:szCs w:val="22"/>
        </w:rPr>
      </w:pPr>
    </w:p>
    <w:p w14:paraId="6DC8CB63" w14:textId="77777777" w:rsidR="00CB2B66" w:rsidRPr="00CB2B66" w:rsidRDefault="00CB2B66" w:rsidP="00CB2B66">
      <w:pPr>
        <w:jc w:val="both"/>
        <w:rPr>
          <w:rFonts w:asciiTheme="minorHAnsi" w:hAnsiTheme="minorHAnsi" w:cs="Arial"/>
          <w:b/>
          <w:sz w:val="22"/>
          <w:szCs w:val="22"/>
        </w:rPr>
      </w:pPr>
    </w:p>
    <w:p w14:paraId="6DC8CB64"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Certification de service</w:t>
      </w:r>
    </w:p>
    <w:p w14:paraId="6DC8CB65" w14:textId="77777777" w:rsidR="00CB2B66" w:rsidRPr="00CB2B66" w:rsidRDefault="00CB2B66" w:rsidP="00CB2B66">
      <w:pPr>
        <w:jc w:val="both"/>
        <w:rPr>
          <w:rFonts w:asciiTheme="minorHAnsi" w:hAnsiTheme="minorHAnsi" w:cs="Arial"/>
          <w:b/>
          <w:sz w:val="22"/>
          <w:szCs w:val="22"/>
        </w:rPr>
      </w:pPr>
    </w:p>
    <w:p w14:paraId="6DC8CB66" w14:textId="0946D32B" w:rsidR="00CB2B66" w:rsidRPr="00C906B0" w:rsidRDefault="00CB2B66" w:rsidP="00CB2B66">
      <w:pPr>
        <w:pStyle w:val="ListParagraph"/>
        <w:numPr>
          <w:ilvl w:val="0"/>
          <w:numId w:val="11"/>
        </w:numPr>
        <w:jc w:val="both"/>
        <w:rPr>
          <w:rFonts w:cs="Arial"/>
          <w:sz w:val="22"/>
          <w:szCs w:val="22"/>
        </w:rPr>
      </w:pPr>
      <w:r w:rsidRPr="00C906B0">
        <w:rPr>
          <w:sz w:val="22"/>
          <w:szCs w:val="22"/>
        </w:rPr>
        <w:t>Veuillez consulter le contenu actuel du PNUD sur la « </w:t>
      </w:r>
      <w:hyperlink r:id="rId19" w:history="1">
        <w:r w:rsidRPr="00C906B0">
          <w:rPr>
            <w:rStyle w:val="Hyperlink"/>
            <w:sz w:val="22"/>
            <w:szCs w:val="22"/>
          </w:rPr>
          <w:t>Certification de service</w:t>
        </w:r>
      </w:hyperlink>
      <w:r w:rsidRPr="00C906B0">
        <w:rPr>
          <w:sz w:val="22"/>
          <w:szCs w:val="22"/>
        </w:rPr>
        <w:t> » dans les POPP.</w:t>
      </w:r>
    </w:p>
    <w:p w14:paraId="6DC8CB67" w14:textId="77777777" w:rsidR="00CB2B66" w:rsidRPr="00CB2B66" w:rsidRDefault="00CB2B66" w:rsidP="00CB2B66">
      <w:pPr>
        <w:jc w:val="both"/>
        <w:rPr>
          <w:rFonts w:asciiTheme="minorHAnsi" w:hAnsiTheme="minorHAnsi" w:cs="Arial"/>
          <w:b/>
          <w:sz w:val="22"/>
          <w:szCs w:val="22"/>
        </w:rPr>
      </w:pPr>
    </w:p>
    <w:p w14:paraId="6DC8CB68" w14:textId="77777777" w:rsidR="00CB2B66" w:rsidRPr="00CB2B66" w:rsidRDefault="00CB2B66" w:rsidP="00CB2B66">
      <w:pPr>
        <w:jc w:val="both"/>
        <w:rPr>
          <w:rFonts w:asciiTheme="minorHAnsi" w:hAnsiTheme="minorHAnsi" w:cs="Arial"/>
          <w:b/>
          <w:sz w:val="22"/>
          <w:szCs w:val="22"/>
        </w:rPr>
      </w:pPr>
    </w:p>
    <w:p w14:paraId="6DC8CB69"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Indemnités pour cessation de service</w:t>
      </w:r>
    </w:p>
    <w:p w14:paraId="6DC8CB6A" w14:textId="77777777" w:rsidR="00CB2B66" w:rsidRPr="00CB2B66" w:rsidRDefault="00CB2B66" w:rsidP="00CB2B66">
      <w:pPr>
        <w:jc w:val="both"/>
        <w:rPr>
          <w:rFonts w:asciiTheme="minorHAnsi" w:hAnsiTheme="minorHAnsi" w:cs="Arial"/>
          <w:b/>
          <w:sz w:val="22"/>
          <w:szCs w:val="22"/>
        </w:rPr>
      </w:pPr>
    </w:p>
    <w:p w14:paraId="6DC8CB6B" w14:textId="281D132E" w:rsidR="00CB2B66" w:rsidRPr="00C906B0" w:rsidRDefault="00CB2B66" w:rsidP="00CB2B66">
      <w:pPr>
        <w:pStyle w:val="ListParagraph"/>
        <w:numPr>
          <w:ilvl w:val="0"/>
          <w:numId w:val="11"/>
        </w:numPr>
        <w:jc w:val="both"/>
        <w:rPr>
          <w:rFonts w:cs="Arial"/>
          <w:sz w:val="22"/>
          <w:szCs w:val="22"/>
        </w:rPr>
      </w:pPr>
      <w:r w:rsidRPr="00C906B0">
        <w:rPr>
          <w:sz w:val="22"/>
          <w:szCs w:val="22"/>
        </w:rPr>
        <w:t>Veuillez consulter le contenu actuel du PNUD sur les « </w:t>
      </w:r>
      <w:hyperlink r:id="rId20" w:history="1">
        <w:r w:rsidRPr="00C906B0">
          <w:rPr>
            <w:rStyle w:val="Hyperlink"/>
            <w:sz w:val="22"/>
            <w:szCs w:val="22"/>
          </w:rPr>
          <w:t>indemnités pour cessation de service</w:t>
        </w:r>
      </w:hyperlink>
      <w:r w:rsidRPr="00C906B0">
        <w:rPr>
          <w:sz w:val="22"/>
          <w:szCs w:val="22"/>
        </w:rPr>
        <w:t> » dans les POPP.</w:t>
      </w:r>
    </w:p>
    <w:p w14:paraId="6DC8CB6C" w14:textId="77777777" w:rsidR="00CB2B66" w:rsidRPr="00CB2B66" w:rsidRDefault="00CB2B66" w:rsidP="00CB2B66">
      <w:pPr>
        <w:jc w:val="both"/>
        <w:rPr>
          <w:rFonts w:asciiTheme="minorHAnsi" w:hAnsiTheme="minorHAnsi" w:cs="Arial"/>
          <w:sz w:val="22"/>
          <w:szCs w:val="22"/>
        </w:rPr>
      </w:pPr>
    </w:p>
    <w:p w14:paraId="0F8CE4CF" w14:textId="77777777" w:rsidR="00FE5243" w:rsidRDefault="00FE5243" w:rsidP="00CB2B66">
      <w:pPr>
        <w:rPr>
          <w:rFonts w:asciiTheme="minorHAnsi" w:hAnsiTheme="minorHAnsi" w:cs="Arial"/>
          <w:b/>
          <w:bCs/>
          <w:sz w:val="22"/>
          <w:szCs w:val="22"/>
        </w:rPr>
      </w:pPr>
    </w:p>
    <w:p w14:paraId="6DC8CB6E" w14:textId="77777777" w:rsidR="00CB2B66" w:rsidRPr="00CB2B66" w:rsidRDefault="00CB2B66" w:rsidP="00CB2B66">
      <w:pPr>
        <w:rPr>
          <w:rFonts w:asciiTheme="minorHAnsi" w:hAnsiTheme="minorHAnsi" w:cs="Arial"/>
          <w:b/>
          <w:bCs/>
          <w:sz w:val="22"/>
          <w:szCs w:val="22"/>
        </w:rPr>
      </w:pPr>
      <w:r>
        <w:rPr>
          <w:rFonts w:asciiTheme="minorHAnsi" w:hAnsiTheme="minorHAnsi"/>
          <w:b/>
          <w:bCs/>
          <w:sz w:val="22"/>
          <w:szCs w:val="22"/>
        </w:rPr>
        <w:t>ANNEXE I</w:t>
      </w:r>
    </w:p>
    <w:p w14:paraId="6DC8CB6F" w14:textId="77777777" w:rsidR="00CB2B66" w:rsidRPr="00CB2B66" w:rsidRDefault="00CB2B66" w:rsidP="00CB2B66">
      <w:pPr>
        <w:rPr>
          <w:rFonts w:asciiTheme="minorHAnsi" w:hAnsiTheme="minorHAnsi" w:cs="Arial"/>
          <w:b/>
          <w:bCs/>
          <w:sz w:val="22"/>
          <w:szCs w:val="22"/>
        </w:rPr>
      </w:pPr>
    </w:p>
    <w:p w14:paraId="6DC8CB70" w14:textId="77777777" w:rsidR="00CB2B66" w:rsidRPr="00CB2B66" w:rsidRDefault="00CB2B66" w:rsidP="00CB2B66">
      <w:pPr>
        <w:rPr>
          <w:rFonts w:asciiTheme="minorHAnsi" w:hAnsiTheme="minorHAnsi" w:cs="Arial"/>
          <w:bCs/>
          <w:sz w:val="22"/>
          <w:szCs w:val="22"/>
        </w:rPr>
      </w:pPr>
    </w:p>
    <w:p w14:paraId="6DC8CB71" w14:textId="0BD4E77D" w:rsidR="00CB2B66" w:rsidRPr="00CB2B66" w:rsidRDefault="00CB2B66" w:rsidP="00CB2B66">
      <w:pPr>
        <w:rPr>
          <w:rFonts w:asciiTheme="minorHAnsi" w:hAnsiTheme="minorHAnsi" w:cs="Arial"/>
          <w:bCs/>
          <w:sz w:val="22"/>
          <w:szCs w:val="22"/>
        </w:rPr>
      </w:pPr>
      <w:r>
        <w:rPr>
          <w:rFonts w:asciiTheme="minorHAnsi" w:hAnsiTheme="minorHAnsi"/>
          <w:bCs/>
          <w:sz w:val="22"/>
          <w:szCs w:val="22"/>
        </w:rPr>
        <w:t xml:space="preserve">Le montant </w:t>
      </w:r>
      <w:r w:rsidR="008F1896" w:rsidRPr="008F1896">
        <w:rPr>
          <w:rFonts w:asciiTheme="minorHAnsi" w:hAnsiTheme="minorHAnsi"/>
          <w:bCs/>
          <w:sz w:val="22"/>
          <w:szCs w:val="22"/>
        </w:rPr>
        <w:t xml:space="preserve">maximal </w:t>
      </w:r>
      <w:r>
        <w:rPr>
          <w:rFonts w:asciiTheme="minorHAnsi" w:hAnsiTheme="minorHAnsi"/>
          <w:bCs/>
          <w:sz w:val="22"/>
          <w:szCs w:val="22"/>
        </w:rPr>
        <w:t>des indemnités de résiliation supplémentaires qui peuvent être offertes est calculé selon les modalités suivantes :</w:t>
      </w:r>
    </w:p>
    <w:p w14:paraId="6DC8CB72" w14:textId="77777777" w:rsidR="00CB2B66" w:rsidRPr="00CB2B66" w:rsidRDefault="00CB2B66" w:rsidP="00CB2B66">
      <w:pPr>
        <w:rPr>
          <w:rFonts w:asciiTheme="minorHAnsi" w:hAnsiTheme="minorHAnsi" w:cs="Arial"/>
          <w:bCs/>
          <w:sz w:val="22"/>
          <w:szCs w:val="22"/>
        </w:rPr>
      </w:pPr>
    </w:p>
    <w:tbl>
      <w:tblPr>
        <w:tblStyle w:val="TableGrid"/>
        <w:tblW w:w="6573" w:type="dxa"/>
        <w:tblInd w:w="1327" w:type="dxa"/>
        <w:tblLook w:val="04A0" w:firstRow="1" w:lastRow="0" w:firstColumn="1" w:lastColumn="0" w:noHBand="0" w:noVBand="1"/>
      </w:tblPr>
      <w:tblGrid>
        <w:gridCol w:w="4412"/>
        <w:gridCol w:w="2161"/>
      </w:tblGrid>
      <w:tr w:rsidR="00CB2B66" w:rsidRPr="00CB2B66" w14:paraId="6DC8CB75" w14:textId="77777777" w:rsidTr="00F77677">
        <w:tc>
          <w:tcPr>
            <w:tcW w:w="4412" w:type="dxa"/>
          </w:tcPr>
          <w:p w14:paraId="6DC8CB73"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 xml:space="preserve">Années de service continu </w:t>
            </w:r>
            <w:r>
              <w:rPr>
                <w:rFonts w:asciiTheme="minorHAnsi" w:hAnsiTheme="minorHAnsi"/>
                <w:b/>
                <w:sz w:val="22"/>
                <w:szCs w:val="22"/>
                <w:u w:val="single"/>
              </w:rPr>
              <w:t>terminées</w:t>
            </w:r>
          </w:p>
        </w:tc>
        <w:tc>
          <w:tcPr>
            <w:tcW w:w="2161" w:type="dxa"/>
          </w:tcPr>
          <w:p w14:paraId="6DC8CB74"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Montant des indemnités de résiliation supplémentaires</w:t>
            </w:r>
          </w:p>
        </w:tc>
      </w:tr>
      <w:tr w:rsidR="00CB2B66" w:rsidRPr="00CB2B66" w14:paraId="6DC8CB78" w14:textId="77777777" w:rsidTr="00F77677">
        <w:tc>
          <w:tcPr>
            <w:tcW w:w="4412" w:type="dxa"/>
          </w:tcPr>
          <w:p w14:paraId="6DC8CB76"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10-14</w:t>
            </w:r>
          </w:p>
        </w:tc>
        <w:tc>
          <w:tcPr>
            <w:tcW w:w="2161" w:type="dxa"/>
          </w:tcPr>
          <w:p w14:paraId="6DC8CB77"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3 mois</w:t>
            </w:r>
          </w:p>
        </w:tc>
      </w:tr>
      <w:tr w:rsidR="00CB2B66" w:rsidRPr="00CB2B66" w14:paraId="6DC8CB7B" w14:textId="77777777" w:rsidTr="00F77677">
        <w:tc>
          <w:tcPr>
            <w:tcW w:w="4412" w:type="dxa"/>
          </w:tcPr>
          <w:p w14:paraId="6DC8CB79"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15-19</w:t>
            </w:r>
          </w:p>
        </w:tc>
        <w:tc>
          <w:tcPr>
            <w:tcW w:w="2161" w:type="dxa"/>
          </w:tcPr>
          <w:p w14:paraId="6DC8CB7A"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4,5 mois</w:t>
            </w:r>
          </w:p>
        </w:tc>
      </w:tr>
      <w:tr w:rsidR="00CB2B66" w:rsidRPr="00CB2B66" w14:paraId="6DC8CB7E" w14:textId="77777777" w:rsidTr="00F77677">
        <w:tc>
          <w:tcPr>
            <w:tcW w:w="4412" w:type="dxa"/>
          </w:tcPr>
          <w:p w14:paraId="6DC8CB7C"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20 et plus</w:t>
            </w:r>
          </w:p>
        </w:tc>
        <w:tc>
          <w:tcPr>
            <w:tcW w:w="2161" w:type="dxa"/>
          </w:tcPr>
          <w:p w14:paraId="6DC8CB7D"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6 mois</w:t>
            </w:r>
          </w:p>
        </w:tc>
      </w:tr>
    </w:tbl>
    <w:p w14:paraId="6DC8CB7F" w14:textId="77777777" w:rsidR="00CB2B66" w:rsidRPr="00CB2B66" w:rsidRDefault="00CB2B66" w:rsidP="00CB2B66">
      <w:pPr>
        <w:rPr>
          <w:rFonts w:asciiTheme="minorHAnsi" w:hAnsiTheme="minorHAnsi" w:cs="Arial"/>
          <w:b/>
          <w:bCs/>
          <w:sz w:val="22"/>
          <w:szCs w:val="22"/>
        </w:rPr>
      </w:pPr>
    </w:p>
    <w:p w14:paraId="6DC8CB80" w14:textId="77777777" w:rsidR="00CB2B66" w:rsidRPr="00CB2B66" w:rsidRDefault="00CB2B66" w:rsidP="00CB2B66">
      <w:pPr>
        <w:rPr>
          <w:rFonts w:asciiTheme="minorHAnsi" w:hAnsiTheme="minorHAnsi" w:cs="Arial"/>
          <w:b/>
          <w:bCs/>
          <w:sz w:val="22"/>
          <w:szCs w:val="22"/>
        </w:rPr>
      </w:pPr>
    </w:p>
    <w:p w14:paraId="6DC8CB81" w14:textId="77777777" w:rsidR="00CB2B66" w:rsidRPr="00CB2B66" w:rsidRDefault="00CB2B66" w:rsidP="00CB2B66">
      <w:pPr>
        <w:rPr>
          <w:rFonts w:asciiTheme="minorHAnsi" w:hAnsiTheme="minorHAnsi" w:cs="Arial"/>
          <w:b/>
          <w:bCs/>
          <w:sz w:val="22"/>
          <w:szCs w:val="22"/>
        </w:rPr>
      </w:pPr>
    </w:p>
    <w:p w14:paraId="6DC8CB82" w14:textId="77777777" w:rsidR="00CB2B66" w:rsidRPr="00CB2B66" w:rsidRDefault="00CB2B66" w:rsidP="00CB2B66">
      <w:pPr>
        <w:pStyle w:val="ListParagraph"/>
        <w:ind w:left="720"/>
        <w:jc w:val="both"/>
        <w:rPr>
          <w:rFonts w:cs="Arial"/>
          <w:sz w:val="22"/>
          <w:szCs w:val="22"/>
        </w:rPr>
      </w:pPr>
      <w:r>
        <w:rPr>
          <w:bCs/>
          <w:sz w:val="22"/>
          <w:szCs w:val="22"/>
        </w:rPr>
        <w:t>Le montant des indemnités de résiliation supplémentaires fournies ci-dessus est soumis à une révision et des modifications périodiques.</w:t>
      </w:r>
    </w:p>
    <w:p w14:paraId="6DC8CB83" w14:textId="16E3E598" w:rsidR="00FE5243" w:rsidRDefault="00FE5243">
      <w:pPr>
        <w:rPr>
          <w:rFonts w:asciiTheme="minorHAnsi" w:hAnsiTheme="minorHAnsi"/>
          <w:sz w:val="22"/>
          <w:szCs w:val="22"/>
        </w:rPr>
      </w:pPr>
    </w:p>
    <w:p w14:paraId="50886D32" w14:textId="77777777" w:rsidR="00FE5243" w:rsidRPr="00FE5243" w:rsidRDefault="00FE5243" w:rsidP="00FE5243">
      <w:pPr>
        <w:rPr>
          <w:rFonts w:asciiTheme="minorHAnsi" w:hAnsiTheme="minorHAnsi"/>
          <w:sz w:val="22"/>
          <w:szCs w:val="22"/>
        </w:rPr>
      </w:pPr>
    </w:p>
    <w:sectPr w:rsidR="00FE5243" w:rsidRPr="00FE524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EC58" w14:textId="77777777" w:rsidR="00E97093" w:rsidRDefault="00E97093" w:rsidP="00CB2B66">
      <w:r>
        <w:separator/>
      </w:r>
    </w:p>
  </w:endnote>
  <w:endnote w:type="continuationSeparator" w:id="0">
    <w:p w14:paraId="623FA52A" w14:textId="77777777" w:rsidR="00E97093" w:rsidRDefault="00E97093" w:rsidP="00CB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D4CB" w14:textId="66121503" w:rsidR="00FE5243" w:rsidRPr="00C906B0" w:rsidRDefault="00000000" w:rsidP="00081AD2">
    <w:pPr>
      <w:pStyle w:val="Footer"/>
      <w:tabs>
        <w:tab w:val="clear" w:pos="4680"/>
        <w:tab w:val="clear" w:pos="9360"/>
        <w:tab w:val="center" w:pos="5103"/>
        <w:tab w:val="left" w:pos="7680"/>
      </w:tabs>
      <w:rPr>
        <w:rFonts w:asciiTheme="minorHAnsi" w:hAnsiTheme="minorHAnsi" w:cstheme="minorHAnsi"/>
        <w:sz w:val="22"/>
        <w:szCs w:val="22"/>
      </w:rPr>
    </w:pPr>
    <w:sdt>
      <w:sdtPr>
        <w:id w:val="1766270112"/>
        <w:docPartObj>
          <w:docPartGallery w:val="Page Numbers (Bottom of Page)"/>
          <w:docPartUnique/>
        </w:docPartObj>
      </w:sdtPr>
      <w:sdtEndPr>
        <w:rPr>
          <w:rFonts w:asciiTheme="minorHAnsi" w:hAnsiTheme="minorHAnsi" w:cstheme="minorHAnsi"/>
          <w:sz w:val="22"/>
          <w:szCs w:val="22"/>
        </w:rPr>
      </w:sdtEndPr>
      <w:sdtContent>
        <w:sdt>
          <w:sdtPr>
            <w:id w:val="-1705238520"/>
            <w:docPartObj>
              <w:docPartGallery w:val="Page Numbers (Top of Page)"/>
              <w:docPartUnique/>
            </w:docPartObj>
          </w:sdtPr>
          <w:sdtEndPr>
            <w:rPr>
              <w:rFonts w:asciiTheme="minorHAnsi" w:hAnsiTheme="minorHAnsi" w:cstheme="minorHAnsi"/>
              <w:sz w:val="22"/>
              <w:szCs w:val="22"/>
            </w:rPr>
          </w:sdtEndPr>
          <w:sdtContent>
            <w:r w:rsidR="00FE5243" w:rsidRPr="00C906B0">
              <w:rPr>
                <w:rFonts w:asciiTheme="minorHAnsi" w:hAnsiTheme="minorHAnsi" w:cstheme="minorHAnsi"/>
                <w:sz w:val="22"/>
                <w:szCs w:val="22"/>
              </w:rPr>
              <w:t xml:space="preserve">Page </w:t>
            </w:r>
            <w:r w:rsidR="00FE5243" w:rsidRPr="00C906B0">
              <w:rPr>
                <w:rFonts w:asciiTheme="minorHAnsi" w:hAnsiTheme="minorHAnsi" w:cstheme="minorHAnsi"/>
                <w:b/>
                <w:bCs/>
                <w:sz w:val="22"/>
                <w:szCs w:val="22"/>
              </w:rPr>
              <w:fldChar w:fldCharType="begin"/>
            </w:r>
            <w:r w:rsidR="00FE5243" w:rsidRPr="00C906B0">
              <w:rPr>
                <w:rFonts w:asciiTheme="minorHAnsi" w:hAnsiTheme="minorHAnsi" w:cstheme="minorHAnsi"/>
                <w:b/>
                <w:bCs/>
                <w:sz w:val="22"/>
                <w:szCs w:val="22"/>
              </w:rPr>
              <w:instrText xml:space="preserve"> PAGE </w:instrText>
            </w:r>
            <w:r w:rsidR="00FE5243" w:rsidRPr="00C906B0">
              <w:rPr>
                <w:rFonts w:asciiTheme="minorHAnsi" w:hAnsiTheme="minorHAnsi" w:cstheme="minorHAnsi"/>
                <w:b/>
                <w:bCs/>
                <w:sz w:val="22"/>
                <w:szCs w:val="22"/>
              </w:rPr>
              <w:fldChar w:fldCharType="separate"/>
            </w:r>
            <w:r w:rsidR="00C906B0">
              <w:rPr>
                <w:rFonts w:asciiTheme="minorHAnsi" w:hAnsiTheme="minorHAnsi" w:cstheme="minorHAnsi"/>
                <w:b/>
                <w:bCs/>
                <w:noProof/>
                <w:sz w:val="22"/>
                <w:szCs w:val="22"/>
              </w:rPr>
              <w:t>9</w:t>
            </w:r>
            <w:r w:rsidR="00FE5243" w:rsidRPr="00C906B0">
              <w:rPr>
                <w:rFonts w:asciiTheme="minorHAnsi" w:hAnsiTheme="minorHAnsi" w:cstheme="minorHAnsi"/>
                <w:b/>
                <w:bCs/>
                <w:sz w:val="22"/>
                <w:szCs w:val="22"/>
              </w:rPr>
              <w:fldChar w:fldCharType="end"/>
            </w:r>
            <w:r w:rsidR="00FE5243" w:rsidRPr="00C906B0">
              <w:rPr>
                <w:rFonts w:asciiTheme="minorHAnsi" w:hAnsiTheme="minorHAnsi" w:cstheme="minorHAnsi"/>
                <w:sz w:val="22"/>
                <w:szCs w:val="22"/>
              </w:rPr>
              <w:t xml:space="preserve"> sur </w:t>
            </w:r>
            <w:r w:rsidR="00FE5243" w:rsidRPr="00C906B0">
              <w:rPr>
                <w:rFonts w:asciiTheme="minorHAnsi" w:hAnsiTheme="minorHAnsi" w:cstheme="minorHAnsi"/>
                <w:b/>
                <w:bCs/>
                <w:sz w:val="22"/>
                <w:szCs w:val="22"/>
              </w:rPr>
              <w:fldChar w:fldCharType="begin"/>
            </w:r>
            <w:r w:rsidR="00FE5243" w:rsidRPr="00C906B0">
              <w:rPr>
                <w:rFonts w:asciiTheme="minorHAnsi" w:hAnsiTheme="minorHAnsi" w:cstheme="minorHAnsi"/>
                <w:b/>
                <w:bCs/>
                <w:sz w:val="22"/>
                <w:szCs w:val="22"/>
              </w:rPr>
              <w:instrText xml:space="preserve"> NUMPAGES  </w:instrText>
            </w:r>
            <w:r w:rsidR="00FE5243" w:rsidRPr="00C906B0">
              <w:rPr>
                <w:rFonts w:asciiTheme="minorHAnsi" w:hAnsiTheme="minorHAnsi" w:cstheme="minorHAnsi"/>
                <w:b/>
                <w:bCs/>
                <w:sz w:val="22"/>
                <w:szCs w:val="22"/>
              </w:rPr>
              <w:fldChar w:fldCharType="separate"/>
            </w:r>
            <w:r w:rsidR="00C906B0">
              <w:rPr>
                <w:rFonts w:asciiTheme="minorHAnsi" w:hAnsiTheme="minorHAnsi" w:cstheme="minorHAnsi"/>
                <w:b/>
                <w:bCs/>
                <w:noProof/>
                <w:sz w:val="22"/>
                <w:szCs w:val="22"/>
              </w:rPr>
              <w:t>9</w:t>
            </w:r>
            <w:r w:rsidR="00FE5243" w:rsidRPr="00C906B0">
              <w:rPr>
                <w:rFonts w:asciiTheme="minorHAnsi" w:hAnsiTheme="minorHAnsi" w:cstheme="minorHAnsi"/>
                <w:b/>
                <w:bCs/>
                <w:sz w:val="22"/>
                <w:szCs w:val="22"/>
              </w:rPr>
              <w:fldChar w:fldCharType="end"/>
            </w:r>
            <w:r w:rsidR="00C906B0" w:rsidRPr="00C906B0">
              <w:rPr>
                <w:rFonts w:asciiTheme="minorHAnsi" w:hAnsiTheme="minorHAnsi" w:cstheme="minorHAnsi"/>
                <w:sz w:val="22"/>
                <w:szCs w:val="22"/>
              </w:rPr>
              <w:tab/>
            </w:r>
            <w:r w:rsidR="00FE5243" w:rsidRPr="00C906B0">
              <w:rPr>
                <w:rFonts w:asciiTheme="minorHAnsi" w:hAnsiTheme="minorHAnsi" w:cstheme="minorHAnsi"/>
                <w:b/>
                <w:sz w:val="22"/>
                <w:szCs w:val="22"/>
              </w:rPr>
              <w:t>Date d’entrée en vigueur</w:t>
            </w:r>
            <w:r w:rsidR="00FE5243" w:rsidRPr="00C906B0">
              <w:rPr>
                <w:rFonts w:asciiTheme="minorHAnsi" w:hAnsiTheme="minorHAnsi" w:cstheme="minorHAnsi"/>
                <w:sz w:val="22"/>
                <w:szCs w:val="22"/>
              </w:rPr>
              <w:t xml:space="preserve"> : </w:t>
            </w:r>
            <w:r w:rsidR="00081AD2">
              <w:rPr>
                <w:rFonts w:asciiTheme="minorHAnsi" w:hAnsiTheme="minorHAnsi" w:cstheme="minorHAnsi"/>
                <w:sz w:val="22"/>
                <w:szCs w:val="22"/>
              </w:rPr>
              <w:t>01/07/2023</w:t>
            </w:r>
          </w:sdtContent>
        </w:sdt>
      </w:sdtContent>
    </w:sdt>
  </w:p>
  <w:sdt>
    <w:sdtPr>
      <w:rPr>
        <w:rFonts w:asciiTheme="minorHAnsi" w:hAnsiTheme="minorHAnsi" w:cstheme="minorHAnsi"/>
        <w:sz w:val="22"/>
        <w:szCs w:val="22"/>
      </w:rPr>
      <w:alias w:val="POPPRefItemVersion"/>
      <w:tag w:val="UNDP_POPP_REFITEM_VERSION"/>
      <w:id w:val="1949894668"/>
      <w:placeholder>
        <w:docPart w:val="A9EBC34A7EE549A0B354DE6594F449F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BBF01E5-A5CD-4A2B-A31D-70B0AFCC25F2}"/>
      <w:text/>
    </w:sdtPr>
    <w:sdtContent>
      <w:p w14:paraId="7A5CE7AA" w14:textId="53A76E62" w:rsidR="00FE5243" w:rsidRPr="00C906B0" w:rsidRDefault="00121767" w:rsidP="0070211A">
        <w:pPr>
          <w:pStyle w:val="Footer"/>
          <w:jc w:val="right"/>
          <w:rPr>
            <w:rFonts w:asciiTheme="minorHAnsi" w:hAnsiTheme="minorHAnsi" w:cstheme="minorHAnsi"/>
            <w:sz w:val="22"/>
            <w:szCs w:val="22"/>
          </w:rPr>
        </w:pPr>
        <w:r>
          <w:rPr>
            <w:rFonts w:asciiTheme="minorHAnsi" w:hAnsiTheme="minorHAnsi" w:cstheme="minorHAnsi"/>
            <w:sz w:val="22"/>
            <w:szCs w:val="22"/>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0727" w14:textId="77777777" w:rsidR="00E97093" w:rsidRDefault="00E97093" w:rsidP="00CB2B66">
      <w:r>
        <w:separator/>
      </w:r>
    </w:p>
  </w:footnote>
  <w:footnote w:type="continuationSeparator" w:id="0">
    <w:p w14:paraId="0136FA9E" w14:textId="77777777" w:rsidR="00E97093" w:rsidRDefault="00E97093" w:rsidP="00CB2B66">
      <w:r>
        <w:continuationSeparator/>
      </w:r>
    </w:p>
  </w:footnote>
  <w:footnote w:id="1">
    <w:p w14:paraId="6DC8CB8A" w14:textId="77777777" w:rsidR="00CB2B66" w:rsidRPr="00EF5258" w:rsidRDefault="00CB2B66" w:rsidP="00CB2B66">
      <w:pPr>
        <w:pStyle w:val="FootnoteText"/>
      </w:pPr>
      <w:r>
        <w:rPr>
          <w:rStyle w:val="FootnoteReference"/>
        </w:rPr>
        <w:footnoteRef/>
      </w:r>
      <w:r>
        <w:t xml:space="preserve"> Y compris les périodes de service accomplies au titre des anciennes séries 100 et 200 des Règles du personnel, mais non celles accomplies au titre de la série 300.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D37"/>
    <w:multiLevelType w:val="hybridMultilevel"/>
    <w:tmpl w:val="AF280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401A8"/>
    <w:multiLevelType w:val="hybridMultilevel"/>
    <w:tmpl w:val="6A9A1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80320"/>
    <w:multiLevelType w:val="hybridMultilevel"/>
    <w:tmpl w:val="9A88E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566ED2"/>
    <w:multiLevelType w:val="hybridMultilevel"/>
    <w:tmpl w:val="78AE10A8"/>
    <w:lvl w:ilvl="0" w:tplc="4B8495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C5AC1"/>
    <w:multiLevelType w:val="hybridMultilevel"/>
    <w:tmpl w:val="D85AB0A6"/>
    <w:lvl w:ilvl="0" w:tplc="33CECD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D7DE3"/>
    <w:multiLevelType w:val="hybridMultilevel"/>
    <w:tmpl w:val="A240E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0281C"/>
    <w:multiLevelType w:val="hybridMultilevel"/>
    <w:tmpl w:val="02FE291A"/>
    <w:lvl w:ilvl="0" w:tplc="2CC298F2">
      <w:start w:val="6"/>
      <w:numFmt w:val="decimal"/>
      <w:lvlText w:val="%1."/>
      <w:lvlJc w:val="left"/>
      <w:pPr>
        <w:ind w:left="72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5ED25EC0"/>
    <w:multiLevelType w:val="hybridMultilevel"/>
    <w:tmpl w:val="591A91B4"/>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235732"/>
    <w:multiLevelType w:val="hybridMultilevel"/>
    <w:tmpl w:val="9DFC4EE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6D856463"/>
    <w:multiLevelType w:val="hybridMultilevel"/>
    <w:tmpl w:val="0694B956"/>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5E211B"/>
    <w:multiLevelType w:val="hybridMultilevel"/>
    <w:tmpl w:val="77B24646"/>
    <w:lvl w:ilvl="0" w:tplc="04090017">
      <w:start w:val="1"/>
      <w:numFmt w:val="lowerLetter"/>
      <w:lvlText w:val="%1)"/>
      <w:lvlJc w:val="left"/>
      <w:pPr>
        <w:tabs>
          <w:tab w:val="num" w:pos="1170"/>
        </w:tabs>
        <w:ind w:left="1170" w:hanging="360"/>
      </w:pPr>
      <w:rPr>
        <w:rFonts w:hint="default"/>
      </w:rPr>
    </w:lvl>
    <w:lvl w:ilvl="1" w:tplc="C97C50EA">
      <w:start w:val="6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0193360">
    <w:abstractNumId w:val="10"/>
  </w:num>
  <w:num w:numId="2" w16cid:durableId="680159949">
    <w:abstractNumId w:val="7"/>
  </w:num>
  <w:num w:numId="3" w16cid:durableId="1020015035">
    <w:abstractNumId w:val="5"/>
  </w:num>
  <w:num w:numId="4" w16cid:durableId="823475939">
    <w:abstractNumId w:val="9"/>
  </w:num>
  <w:num w:numId="5" w16cid:durableId="766313522">
    <w:abstractNumId w:val="2"/>
  </w:num>
  <w:num w:numId="6" w16cid:durableId="1259171147">
    <w:abstractNumId w:val="1"/>
  </w:num>
  <w:num w:numId="7" w16cid:durableId="1287001872">
    <w:abstractNumId w:val="0"/>
  </w:num>
  <w:num w:numId="8" w16cid:durableId="1266115464">
    <w:abstractNumId w:val="8"/>
  </w:num>
  <w:num w:numId="9" w16cid:durableId="21173521">
    <w:abstractNumId w:val="3"/>
  </w:num>
  <w:num w:numId="10" w16cid:durableId="265113336">
    <w:abstractNumId w:val="4"/>
  </w:num>
  <w:num w:numId="11" w16cid:durableId="1052509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66"/>
    <w:rsid w:val="000317F1"/>
    <w:rsid w:val="00081AD2"/>
    <w:rsid w:val="00121767"/>
    <w:rsid w:val="001B433C"/>
    <w:rsid w:val="001D138C"/>
    <w:rsid w:val="00244DEB"/>
    <w:rsid w:val="002867E0"/>
    <w:rsid w:val="003D2E43"/>
    <w:rsid w:val="00425771"/>
    <w:rsid w:val="004740E1"/>
    <w:rsid w:val="004C1B13"/>
    <w:rsid w:val="004D1386"/>
    <w:rsid w:val="005049F3"/>
    <w:rsid w:val="00556CC2"/>
    <w:rsid w:val="00567F8A"/>
    <w:rsid w:val="00587E36"/>
    <w:rsid w:val="005D10F4"/>
    <w:rsid w:val="006474E8"/>
    <w:rsid w:val="00655406"/>
    <w:rsid w:val="00656A4D"/>
    <w:rsid w:val="006F19A7"/>
    <w:rsid w:val="0070211A"/>
    <w:rsid w:val="0073001C"/>
    <w:rsid w:val="00795E99"/>
    <w:rsid w:val="007B0353"/>
    <w:rsid w:val="007B182A"/>
    <w:rsid w:val="007F0D7E"/>
    <w:rsid w:val="00855CB7"/>
    <w:rsid w:val="00860010"/>
    <w:rsid w:val="008C4210"/>
    <w:rsid w:val="008F1896"/>
    <w:rsid w:val="009A2ACB"/>
    <w:rsid w:val="00A42E06"/>
    <w:rsid w:val="00AE3984"/>
    <w:rsid w:val="00AF0492"/>
    <w:rsid w:val="00B604D9"/>
    <w:rsid w:val="00B748F6"/>
    <w:rsid w:val="00BF40E4"/>
    <w:rsid w:val="00C906B0"/>
    <w:rsid w:val="00CB2B66"/>
    <w:rsid w:val="00CE2884"/>
    <w:rsid w:val="00D44180"/>
    <w:rsid w:val="00D81F4D"/>
    <w:rsid w:val="00DA65F2"/>
    <w:rsid w:val="00DC6DC3"/>
    <w:rsid w:val="00E07DE4"/>
    <w:rsid w:val="00E111B6"/>
    <w:rsid w:val="00E4199A"/>
    <w:rsid w:val="00E97093"/>
    <w:rsid w:val="00EB198B"/>
    <w:rsid w:val="00ED65D0"/>
    <w:rsid w:val="00EE7848"/>
    <w:rsid w:val="00FE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8CA8B"/>
  <w15:chartTrackingRefBased/>
  <w15:docId w15:val="{9676EEAD-06F1-4FFE-8BA4-73F74C9A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B66"/>
    <w:rPr>
      <w:color w:val="3366FF"/>
      <w:u w:val="none"/>
    </w:rPr>
  </w:style>
  <w:style w:type="paragraph" w:styleId="FootnoteText">
    <w:name w:val="footnote text"/>
    <w:basedOn w:val="Normal"/>
    <w:link w:val="FootnoteTextChar"/>
    <w:uiPriority w:val="99"/>
    <w:rsid w:val="00CB2B66"/>
    <w:rPr>
      <w:sz w:val="20"/>
      <w:szCs w:val="20"/>
    </w:rPr>
  </w:style>
  <w:style w:type="character" w:customStyle="1" w:styleId="FootnoteTextChar">
    <w:name w:val="Footnote Text Char"/>
    <w:basedOn w:val="DefaultParagraphFont"/>
    <w:link w:val="FootnoteText"/>
    <w:uiPriority w:val="99"/>
    <w:rsid w:val="00CB2B66"/>
    <w:rPr>
      <w:rFonts w:ascii="Times New Roman" w:eastAsia="Times New Roman" w:hAnsi="Times New Roman" w:cs="Times New Roman"/>
      <w:sz w:val="20"/>
      <w:szCs w:val="20"/>
    </w:rPr>
  </w:style>
  <w:style w:type="character" w:styleId="FootnoteReference">
    <w:name w:val="footnote reference"/>
    <w:uiPriority w:val="99"/>
    <w:rsid w:val="00CB2B66"/>
    <w:rPr>
      <w:vertAlign w:val="superscript"/>
    </w:rPr>
  </w:style>
  <w:style w:type="paragraph" w:styleId="ListParagraph">
    <w:name w:val="List Paragraph"/>
    <w:basedOn w:val="Normal"/>
    <w:qFormat/>
    <w:rsid w:val="00CB2B66"/>
    <w:pPr>
      <w:contextualSpacing/>
    </w:pPr>
    <w:rPr>
      <w:rFonts w:asciiTheme="minorHAnsi" w:eastAsiaTheme="minorEastAsia" w:hAnsiTheme="minorHAnsi" w:cstheme="minorBidi"/>
    </w:rPr>
  </w:style>
  <w:style w:type="table" w:styleId="TableGrid">
    <w:name w:val="Table Grid"/>
    <w:basedOn w:val="TableNormal"/>
    <w:uiPriority w:val="39"/>
    <w:rsid w:val="00CB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243"/>
    <w:pPr>
      <w:tabs>
        <w:tab w:val="center" w:pos="4680"/>
        <w:tab w:val="right" w:pos="9360"/>
      </w:tabs>
    </w:pPr>
  </w:style>
  <w:style w:type="character" w:customStyle="1" w:styleId="HeaderChar">
    <w:name w:val="Header Char"/>
    <w:basedOn w:val="DefaultParagraphFont"/>
    <w:link w:val="Header"/>
    <w:uiPriority w:val="99"/>
    <w:rsid w:val="00FE5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243"/>
    <w:pPr>
      <w:tabs>
        <w:tab w:val="center" w:pos="4680"/>
        <w:tab w:val="right" w:pos="9360"/>
      </w:tabs>
    </w:pPr>
  </w:style>
  <w:style w:type="character" w:customStyle="1" w:styleId="FooterChar">
    <w:name w:val="Footer Char"/>
    <w:basedOn w:val="DefaultParagraphFont"/>
    <w:link w:val="Footer"/>
    <w:uiPriority w:val="99"/>
    <w:rsid w:val="00FE524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317F1"/>
    <w:rPr>
      <w:color w:val="808080"/>
    </w:rPr>
  </w:style>
  <w:style w:type="character" w:styleId="CommentReference">
    <w:name w:val="annotation reference"/>
    <w:basedOn w:val="DefaultParagraphFont"/>
    <w:uiPriority w:val="99"/>
    <w:semiHidden/>
    <w:unhideWhenUsed/>
    <w:rsid w:val="006474E8"/>
    <w:rPr>
      <w:sz w:val="16"/>
      <w:szCs w:val="16"/>
    </w:rPr>
  </w:style>
  <w:style w:type="paragraph" w:styleId="CommentText">
    <w:name w:val="annotation text"/>
    <w:basedOn w:val="Normal"/>
    <w:link w:val="CommentTextChar"/>
    <w:uiPriority w:val="99"/>
    <w:semiHidden/>
    <w:unhideWhenUsed/>
    <w:rsid w:val="006474E8"/>
    <w:rPr>
      <w:sz w:val="20"/>
      <w:szCs w:val="20"/>
    </w:rPr>
  </w:style>
  <w:style w:type="character" w:customStyle="1" w:styleId="CommentTextChar">
    <w:name w:val="Comment Text Char"/>
    <w:basedOn w:val="DefaultParagraphFont"/>
    <w:link w:val="CommentText"/>
    <w:uiPriority w:val="99"/>
    <w:semiHidden/>
    <w:rsid w:val="006474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74E8"/>
    <w:rPr>
      <w:b/>
      <w:bCs/>
    </w:rPr>
  </w:style>
  <w:style w:type="character" w:customStyle="1" w:styleId="CommentSubjectChar">
    <w:name w:val="Comment Subject Char"/>
    <w:basedOn w:val="CommentTextChar"/>
    <w:link w:val="CommentSubject"/>
    <w:uiPriority w:val="99"/>
    <w:semiHidden/>
    <w:rsid w:val="006474E8"/>
    <w:rPr>
      <w:rFonts w:ascii="Times New Roman" w:eastAsia="Times New Roman" w:hAnsi="Times New Roman" w:cs="Times New Roman"/>
      <w:b/>
      <w:bCs/>
      <w:sz w:val="20"/>
      <w:szCs w:val="20"/>
    </w:rPr>
  </w:style>
  <w:style w:type="paragraph" w:styleId="Revision">
    <w:name w:val="Revision"/>
    <w:hidden/>
    <w:uiPriority w:val="99"/>
    <w:semiHidden/>
    <w:rsid w:val="00EB198B"/>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3001C"/>
    <w:rPr>
      <w:color w:val="605E5C"/>
      <w:shd w:val="clear" w:color="auto" w:fill="E1DFDD"/>
    </w:rPr>
  </w:style>
  <w:style w:type="character" w:styleId="FollowedHyperlink">
    <w:name w:val="FollowedHyperlink"/>
    <w:basedOn w:val="DefaultParagraphFont"/>
    <w:uiPriority w:val="99"/>
    <w:semiHidden/>
    <w:unhideWhenUsed/>
    <w:rsid w:val="001D1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7346">
      <w:bodyDiv w:val="1"/>
      <w:marLeft w:val="0"/>
      <w:marRight w:val="0"/>
      <w:marTop w:val="0"/>
      <w:marBottom w:val="0"/>
      <w:divBdr>
        <w:top w:val="none" w:sz="0" w:space="0" w:color="auto"/>
        <w:left w:val="none" w:sz="0" w:space="0" w:color="auto"/>
        <w:bottom w:val="none" w:sz="0" w:space="0" w:color="auto"/>
        <w:right w:val="none" w:sz="0" w:space="0" w:color="auto"/>
      </w:divBdr>
    </w:div>
    <w:div w:id="2059284569">
      <w:bodyDiv w:val="1"/>
      <w:marLeft w:val="0"/>
      <w:marRight w:val="0"/>
      <w:marTop w:val="0"/>
      <w:marBottom w:val="0"/>
      <w:divBdr>
        <w:top w:val="none" w:sz="0" w:space="0" w:color="auto"/>
        <w:left w:val="none" w:sz="0" w:space="0" w:color="auto"/>
        <w:bottom w:val="none" w:sz="0" w:space="0" w:color="auto"/>
        <w:right w:val="none" w:sz="0" w:space="0" w:color="auto"/>
      </w:divBdr>
      <w:divsChild>
        <w:div w:id="1240366092">
          <w:marLeft w:val="0"/>
          <w:marRight w:val="0"/>
          <w:marTop w:val="0"/>
          <w:marBottom w:val="0"/>
          <w:divBdr>
            <w:top w:val="none" w:sz="0" w:space="0" w:color="auto"/>
            <w:left w:val="none" w:sz="0" w:space="0" w:color="auto"/>
            <w:bottom w:val="none" w:sz="0" w:space="0" w:color="auto"/>
            <w:right w:val="none" w:sz="0" w:space="0" w:color="auto"/>
          </w:divBdr>
          <w:divsChild>
            <w:div w:id="219903486">
              <w:marLeft w:val="0"/>
              <w:marRight w:val="0"/>
              <w:marTop w:val="0"/>
              <w:marBottom w:val="0"/>
              <w:divBdr>
                <w:top w:val="none" w:sz="0" w:space="0" w:color="auto"/>
                <w:left w:val="none" w:sz="0" w:space="0" w:color="auto"/>
                <w:bottom w:val="none" w:sz="0" w:space="0" w:color="auto"/>
                <w:right w:val="none" w:sz="0" w:space="0" w:color="auto"/>
              </w:divBdr>
              <w:divsChild>
                <w:div w:id="268129887">
                  <w:marLeft w:val="0"/>
                  <w:marRight w:val="0"/>
                  <w:marTop w:val="0"/>
                  <w:marBottom w:val="0"/>
                  <w:divBdr>
                    <w:top w:val="none" w:sz="0" w:space="0" w:color="auto"/>
                    <w:left w:val="none" w:sz="0" w:space="0" w:color="auto"/>
                    <w:bottom w:val="none" w:sz="0" w:space="0" w:color="auto"/>
                    <w:right w:val="none" w:sz="0" w:space="0" w:color="auto"/>
                  </w:divBdr>
                  <w:divsChild>
                    <w:div w:id="1428454599">
                      <w:marLeft w:val="0"/>
                      <w:marRight w:val="0"/>
                      <w:marTop w:val="0"/>
                      <w:marBottom w:val="0"/>
                      <w:divBdr>
                        <w:top w:val="none" w:sz="0" w:space="0" w:color="auto"/>
                        <w:left w:val="none" w:sz="0" w:space="0" w:color="auto"/>
                        <w:bottom w:val="none" w:sz="0" w:space="0" w:color="auto"/>
                        <w:right w:val="none" w:sz="0" w:space="0" w:color="auto"/>
                      </w:divBdr>
                      <w:divsChild>
                        <w:div w:id="68890379">
                          <w:marLeft w:val="0"/>
                          <w:marRight w:val="0"/>
                          <w:marTop w:val="0"/>
                          <w:marBottom w:val="0"/>
                          <w:divBdr>
                            <w:top w:val="none" w:sz="0" w:space="0" w:color="auto"/>
                            <w:left w:val="none" w:sz="0" w:space="0" w:color="auto"/>
                            <w:bottom w:val="none" w:sz="0" w:space="0" w:color="auto"/>
                            <w:right w:val="none" w:sz="0" w:space="0" w:color="auto"/>
                          </w:divBdr>
                          <w:divsChild>
                            <w:div w:id="1022707920">
                              <w:marLeft w:val="15"/>
                              <w:marRight w:val="195"/>
                              <w:marTop w:val="0"/>
                              <w:marBottom w:val="0"/>
                              <w:divBdr>
                                <w:top w:val="none" w:sz="0" w:space="0" w:color="auto"/>
                                <w:left w:val="none" w:sz="0" w:space="0" w:color="auto"/>
                                <w:bottom w:val="none" w:sz="0" w:space="0" w:color="auto"/>
                                <w:right w:val="none" w:sz="0" w:space="0" w:color="auto"/>
                              </w:divBdr>
                              <w:divsChild>
                                <w:div w:id="520242529">
                                  <w:marLeft w:val="0"/>
                                  <w:marRight w:val="0"/>
                                  <w:marTop w:val="0"/>
                                  <w:marBottom w:val="0"/>
                                  <w:divBdr>
                                    <w:top w:val="none" w:sz="0" w:space="0" w:color="auto"/>
                                    <w:left w:val="none" w:sz="0" w:space="0" w:color="auto"/>
                                    <w:bottom w:val="none" w:sz="0" w:space="0" w:color="auto"/>
                                    <w:right w:val="none" w:sz="0" w:space="0" w:color="auto"/>
                                  </w:divBdr>
                                  <w:divsChild>
                                    <w:div w:id="344984821">
                                      <w:marLeft w:val="0"/>
                                      <w:marRight w:val="0"/>
                                      <w:marTop w:val="0"/>
                                      <w:marBottom w:val="0"/>
                                      <w:divBdr>
                                        <w:top w:val="none" w:sz="0" w:space="0" w:color="auto"/>
                                        <w:left w:val="none" w:sz="0" w:space="0" w:color="auto"/>
                                        <w:bottom w:val="none" w:sz="0" w:space="0" w:color="auto"/>
                                        <w:right w:val="none" w:sz="0" w:space="0" w:color="auto"/>
                                      </w:divBdr>
                                      <w:divsChild>
                                        <w:div w:id="2129617604">
                                          <w:marLeft w:val="0"/>
                                          <w:marRight w:val="0"/>
                                          <w:marTop w:val="0"/>
                                          <w:marBottom w:val="0"/>
                                          <w:divBdr>
                                            <w:top w:val="none" w:sz="0" w:space="0" w:color="auto"/>
                                            <w:left w:val="none" w:sz="0" w:space="0" w:color="auto"/>
                                            <w:bottom w:val="none" w:sz="0" w:space="0" w:color="auto"/>
                                            <w:right w:val="none" w:sz="0" w:space="0" w:color="auto"/>
                                          </w:divBdr>
                                          <w:divsChild>
                                            <w:div w:id="1816944356">
                                              <w:marLeft w:val="0"/>
                                              <w:marRight w:val="0"/>
                                              <w:marTop w:val="0"/>
                                              <w:marBottom w:val="0"/>
                                              <w:divBdr>
                                                <w:top w:val="none" w:sz="0" w:space="0" w:color="auto"/>
                                                <w:left w:val="none" w:sz="0" w:space="0" w:color="auto"/>
                                                <w:bottom w:val="none" w:sz="0" w:space="0" w:color="auto"/>
                                                <w:right w:val="none" w:sz="0" w:space="0" w:color="auto"/>
                                              </w:divBdr>
                                              <w:divsChild>
                                                <w:div w:id="1145198587">
                                                  <w:marLeft w:val="0"/>
                                                  <w:marRight w:val="0"/>
                                                  <w:marTop w:val="0"/>
                                                  <w:marBottom w:val="0"/>
                                                  <w:divBdr>
                                                    <w:top w:val="none" w:sz="0" w:space="0" w:color="auto"/>
                                                    <w:left w:val="none" w:sz="0" w:space="0" w:color="auto"/>
                                                    <w:bottom w:val="none" w:sz="0" w:space="0" w:color="auto"/>
                                                    <w:right w:val="none" w:sz="0" w:space="0" w:color="auto"/>
                                                  </w:divBdr>
                                                  <w:divsChild>
                                                    <w:div w:id="472869243">
                                                      <w:marLeft w:val="0"/>
                                                      <w:marRight w:val="0"/>
                                                      <w:marTop w:val="0"/>
                                                      <w:marBottom w:val="0"/>
                                                      <w:divBdr>
                                                        <w:top w:val="none" w:sz="0" w:space="0" w:color="auto"/>
                                                        <w:left w:val="none" w:sz="0" w:space="0" w:color="auto"/>
                                                        <w:bottom w:val="none" w:sz="0" w:space="0" w:color="auto"/>
                                                        <w:right w:val="none" w:sz="0" w:space="0" w:color="auto"/>
                                                      </w:divBdr>
                                                      <w:divsChild>
                                                        <w:div w:id="1614938236">
                                                          <w:marLeft w:val="0"/>
                                                          <w:marRight w:val="0"/>
                                                          <w:marTop w:val="0"/>
                                                          <w:marBottom w:val="0"/>
                                                          <w:divBdr>
                                                            <w:top w:val="none" w:sz="0" w:space="0" w:color="auto"/>
                                                            <w:left w:val="none" w:sz="0" w:space="0" w:color="auto"/>
                                                            <w:bottom w:val="none" w:sz="0" w:space="0" w:color="auto"/>
                                                            <w:right w:val="none" w:sz="0" w:space="0" w:color="auto"/>
                                                          </w:divBdr>
                                                          <w:divsChild>
                                                            <w:div w:id="1487474154">
                                                              <w:marLeft w:val="0"/>
                                                              <w:marRight w:val="0"/>
                                                              <w:marTop w:val="0"/>
                                                              <w:marBottom w:val="0"/>
                                                              <w:divBdr>
                                                                <w:top w:val="none" w:sz="0" w:space="0" w:color="auto"/>
                                                                <w:left w:val="none" w:sz="0" w:space="0" w:color="auto"/>
                                                                <w:bottom w:val="none" w:sz="0" w:space="0" w:color="auto"/>
                                                                <w:right w:val="none" w:sz="0" w:space="0" w:color="auto"/>
                                                              </w:divBdr>
                                                              <w:divsChild>
                                                                <w:div w:id="2072801003">
                                                                  <w:marLeft w:val="0"/>
                                                                  <w:marRight w:val="0"/>
                                                                  <w:marTop w:val="735"/>
                                                                  <w:marBottom w:val="0"/>
                                                                  <w:divBdr>
                                                                    <w:top w:val="none" w:sz="0" w:space="0" w:color="auto"/>
                                                                    <w:left w:val="none" w:sz="0" w:space="0" w:color="auto"/>
                                                                    <w:bottom w:val="none" w:sz="0" w:space="0" w:color="auto"/>
                                                                    <w:right w:val="none" w:sz="0" w:space="0" w:color="auto"/>
                                                                  </w:divBdr>
                                                                  <w:divsChild>
                                                                    <w:div w:id="267466025">
                                                                      <w:marLeft w:val="450"/>
                                                                      <w:marRight w:val="450"/>
                                                                      <w:marTop w:val="0"/>
                                                                      <w:marBottom w:val="0"/>
                                                                      <w:divBdr>
                                                                        <w:top w:val="none" w:sz="0" w:space="0" w:color="auto"/>
                                                                        <w:left w:val="none" w:sz="0" w:space="0" w:color="auto"/>
                                                                        <w:bottom w:val="none" w:sz="0" w:space="0" w:color="auto"/>
                                                                        <w:right w:val="none" w:sz="0" w:space="0" w:color="auto"/>
                                                                      </w:divBdr>
                                                                      <w:divsChild>
                                                                        <w:div w:id="741759353">
                                                                          <w:marLeft w:val="0"/>
                                                                          <w:marRight w:val="45"/>
                                                                          <w:marTop w:val="45"/>
                                                                          <w:marBottom w:val="0"/>
                                                                          <w:divBdr>
                                                                            <w:top w:val="none" w:sz="0" w:space="0" w:color="auto"/>
                                                                            <w:left w:val="none" w:sz="0" w:space="0" w:color="auto"/>
                                                                            <w:bottom w:val="none" w:sz="0" w:space="0" w:color="auto"/>
                                                                            <w:right w:val="none" w:sz="0" w:space="0" w:color="auto"/>
                                                                          </w:divBdr>
                                                                          <w:divsChild>
                                                                            <w:div w:id="812793815">
                                                                              <w:marLeft w:val="0"/>
                                                                              <w:marRight w:val="0"/>
                                                                              <w:marTop w:val="0"/>
                                                                              <w:marBottom w:val="0"/>
                                                                              <w:divBdr>
                                                                                <w:top w:val="none" w:sz="0" w:space="0" w:color="auto"/>
                                                                                <w:left w:val="none" w:sz="0" w:space="0" w:color="auto"/>
                                                                                <w:bottom w:val="none" w:sz="0" w:space="0" w:color="auto"/>
                                                                                <w:right w:val="none" w:sz="0" w:space="0" w:color="auto"/>
                                                                              </w:divBdr>
                                                                              <w:divsChild>
                                                                                <w:div w:id="16277051">
                                                                                  <w:marLeft w:val="0"/>
                                                                                  <w:marRight w:val="0"/>
                                                                                  <w:marTop w:val="0"/>
                                                                                  <w:marBottom w:val="0"/>
                                                                                  <w:divBdr>
                                                                                    <w:top w:val="none" w:sz="0" w:space="0" w:color="auto"/>
                                                                                    <w:left w:val="none" w:sz="0" w:space="0" w:color="auto"/>
                                                                                    <w:bottom w:val="none" w:sz="0" w:space="0" w:color="auto"/>
                                                                                    <w:right w:val="none" w:sz="0" w:space="0" w:color="auto"/>
                                                                                  </w:divBdr>
                                                                                  <w:divsChild>
                                                                                    <w:div w:id="1449861092">
                                                                                      <w:marLeft w:val="0"/>
                                                                                      <w:marRight w:val="0"/>
                                                                                      <w:marTop w:val="0"/>
                                                                                      <w:marBottom w:val="0"/>
                                                                                      <w:divBdr>
                                                                                        <w:top w:val="none" w:sz="0" w:space="0" w:color="auto"/>
                                                                                        <w:left w:val="single" w:sz="6" w:space="0" w:color="auto"/>
                                                                                        <w:bottom w:val="none" w:sz="0" w:space="0" w:color="auto"/>
                                                                                        <w:right w:val="single" w:sz="6" w:space="0" w:color="auto"/>
                                                                                      </w:divBdr>
                                                                                      <w:divsChild>
                                                                                        <w:div w:id="679936876">
                                                                                          <w:marLeft w:val="150"/>
                                                                                          <w:marRight w:val="150"/>
                                                                                          <w:marTop w:val="0"/>
                                                                                          <w:marBottom w:val="0"/>
                                                                                          <w:divBdr>
                                                                                            <w:top w:val="none" w:sz="0" w:space="0" w:color="auto"/>
                                                                                            <w:left w:val="none" w:sz="0" w:space="0" w:color="auto"/>
                                                                                            <w:bottom w:val="none" w:sz="0" w:space="0" w:color="auto"/>
                                                                                            <w:right w:val="none" w:sz="0" w:space="0" w:color="auto"/>
                                                                                          </w:divBdr>
                                                                                          <w:divsChild>
                                                                                            <w:div w:id="1894656201">
                                                                                              <w:marLeft w:val="0"/>
                                                                                              <w:marRight w:val="0"/>
                                                                                              <w:marTop w:val="0"/>
                                                                                              <w:marBottom w:val="0"/>
                                                                                              <w:divBdr>
                                                                                                <w:top w:val="none" w:sz="0" w:space="0" w:color="auto"/>
                                                                                                <w:left w:val="none" w:sz="0" w:space="0" w:color="auto"/>
                                                                                                <w:bottom w:val="none" w:sz="0" w:space="0" w:color="auto"/>
                                                                                                <w:right w:val="none" w:sz="0" w:space="0" w:color="auto"/>
                                                                                              </w:divBdr>
                                                                                              <w:divsChild>
                                                                                                <w:div w:id="1796098453">
                                                                                                  <w:marLeft w:val="0"/>
                                                                                                  <w:marRight w:val="0"/>
                                                                                                  <w:marTop w:val="0"/>
                                                                                                  <w:marBottom w:val="0"/>
                                                                                                  <w:divBdr>
                                                                                                    <w:top w:val="none" w:sz="0" w:space="0" w:color="auto"/>
                                                                                                    <w:left w:val="none" w:sz="0" w:space="0" w:color="auto"/>
                                                                                                    <w:bottom w:val="none" w:sz="0" w:space="0" w:color="auto"/>
                                                                                                    <w:right w:val="none" w:sz="0" w:space="0" w:color="auto"/>
                                                                                                  </w:divBdr>
                                                                                                  <w:divsChild>
                                                                                                    <w:div w:id="1774157806">
                                                                                                      <w:marLeft w:val="0"/>
                                                                                                      <w:marRight w:val="0"/>
                                                                                                      <w:marTop w:val="0"/>
                                                                                                      <w:marBottom w:val="0"/>
                                                                                                      <w:divBdr>
                                                                                                        <w:top w:val="none" w:sz="0" w:space="0" w:color="auto"/>
                                                                                                        <w:left w:val="none" w:sz="0" w:space="0" w:color="auto"/>
                                                                                                        <w:bottom w:val="none" w:sz="0" w:space="0" w:color="auto"/>
                                                                                                        <w:right w:val="none" w:sz="0" w:space="0" w:color="auto"/>
                                                                                                      </w:divBdr>
                                                                                                      <w:divsChild>
                                                                                                        <w:div w:id="217398496">
                                                                                                          <w:marLeft w:val="0"/>
                                                                                                          <w:marRight w:val="0"/>
                                                                                                          <w:marTop w:val="0"/>
                                                                                                          <w:marBottom w:val="0"/>
                                                                                                          <w:divBdr>
                                                                                                            <w:top w:val="none" w:sz="0" w:space="0" w:color="auto"/>
                                                                                                            <w:left w:val="none" w:sz="0" w:space="0" w:color="auto"/>
                                                                                                            <w:bottom w:val="none" w:sz="0" w:space="0" w:color="auto"/>
                                                                                                            <w:right w:val="none" w:sz="0" w:space="0" w:color="auto"/>
                                                                                                          </w:divBdr>
                                                                                                          <w:divsChild>
                                                                                                            <w:div w:id="761416916">
                                                                                                              <w:marLeft w:val="0"/>
                                                                                                              <w:marRight w:val="0"/>
                                                                                                              <w:marTop w:val="0"/>
                                                                                                              <w:marBottom w:val="0"/>
                                                                                                              <w:divBdr>
                                                                                                                <w:top w:val="none" w:sz="0" w:space="0" w:color="auto"/>
                                                                                                                <w:left w:val="none" w:sz="0" w:space="0" w:color="auto"/>
                                                                                                                <w:bottom w:val="none" w:sz="0" w:space="0" w:color="auto"/>
                                                                                                                <w:right w:val="none" w:sz="0" w:space="0" w:color="auto"/>
                                                                                                              </w:divBdr>
                                                                                                              <w:divsChild>
                                                                                                                <w:div w:id="883177877">
                                                                                                                  <w:marLeft w:val="0"/>
                                                                                                                  <w:marRight w:val="0"/>
                                                                                                                  <w:marTop w:val="0"/>
                                                                                                                  <w:marBottom w:val="0"/>
                                                                                                                  <w:divBdr>
                                                                                                                    <w:top w:val="none" w:sz="0" w:space="0" w:color="auto"/>
                                                                                                                    <w:left w:val="none" w:sz="0" w:space="0" w:color="auto"/>
                                                                                                                    <w:bottom w:val="none" w:sz="0" w:space="0" w:color="auto"/>
                                                                                                                    <w:right w:val="none" w:sz="0" w:space="0" w:color="auto"/>
                                                                                                                  </w:divBdr>
                                                                                                                  <w:divsChild>
                                                                                                                    <w:div w:id="17030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opp.undp.org/fr/taxonomy/term/17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fr/node/11686" TargetMode="External"/><Relationship Id="rId2" Type="http://schemas.openxmlformats.org/officeDocument/2006/relationships/customXml" Target="../customXml/item2.xml"/><Relationship Id="rId16" Type="http://schemas.openxmlformats.org/officeDocument/2006/relationships/hyperlink" Target="https://intranet.undp.org/global/popp/hrm/Pages/reasons-of-health.aspx" TargetMode="External"/><Relationship Id="rId20" Type="http://schemas.openxmlformats.org/officeDocument/2006/relationships/hyperlink" Target="https://popp.undp.org/fr/node/1072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fr/taxonomy/term/616/"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popp.undp.org/fr/node/1047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r.un.org/handbook/index/8278"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EBC34A7EE549A0B354DE6594F449F5"/>
        <w:category>
          <w:name w:val="General"/>
          <w:gallery w:val="placeholder"/>
        </w:category>
        <w:types>
          <w:type w:val="bbPlcHdr"/>
        </w:types>
        <w:behaviors>
          <w:behavior w:val="content"/>
        </w:behaviors>
        <w:guid w:val="{39551643-013A-411C-8598-38098FA480A6}"/>
      </w:docPartPr>
      <w:docPartBody>
        <w:p w:rsidR="00297571" w:rsidRDefault="00BB25D3">
          <w:r w:rsidRPr="0015361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1A"/>
    <w:rsid w:val="001407A1"/>
    <w:rsid w:val="00297571"/>
    <w:rsid w:val="006E2131"/>
    <w:rsid w:val="00B17C1A"/>
    <w:rsid w:val="00BB25D3"/>
    <w:rsid w:val="00EF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1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5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6</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Licenciement et résiliation de contrat d’engagement</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2023-06-30T22:00:00Z</UNDP_POPP_EFFECTIVEDATE>
    <DLCPolicyLabelLock xmlns="e560140e-7b2f-4392-90df-e7567e3021a3" xsi:nil="true"/>
    <DLCPolicyLabelClientValue xmlns="e560140e-7b2f-4392-90df-e7567e3021a3">Effective Date: 01/07/2023                                                Version #: 6.0</DLCPolicyLabelClientValue>
    <UNDP_POPP_BUSINESSUNITID_HIDDEN xmlns="8264c5cc-ec60-4b56-8111-ce635d3d139a" xsi:nil="true"/>
    <_dlc_DocId xmlns="8264c5cc-ec60-4b56-8111-ce635d3d139a">POPP-11-3668</_dlc_DocId>
    <_dlc_DocIdUrl xmlns="8264c5cc-ec60-4b56-8111-ce635d3d139a">
      <Url>https://popp.undp.org/_layouts/15/DocIdRedir.aspx?ID=POPP-11-3668</Url>
      <Description>POPP-11-3668</Description>
    </_dlc_DocIdUrl>
    <DLCPolicyLabelValue xmlns="e560140e-7b2f-4392-90df-e7567e3021a3">Effective Date: 01/07/2023                                                Version #: 6.0</DLCPolicyLabelValue>
  </documentManagement>
</p:properties>
</file>

<file path=customXml/itemProps1.xml><?xml version="1.0" encoding="utf-8"?>
<ds:datastoreItem xmlns:ds="http://schemas.openxmlformats.org/officeDocument/2006/customXml" ds:itemID="{0F5B53BC-F9E0-412B-B538-A9448BFA6256}">
  <ds:schemaRefs>
    <ds:schemaRef ds:uri="http://schemas.openxmlformats.org/officeDocument/2006/bibliography"/>
  </ds:schemaRefs>
</ds:datastoreItem>
</file>

<file path=customXml/itemProps2.xml><?xml version="1.0" encoding="utf-8"?>
<ds:datastoreItem xmlns:ds="http://schemas.openxmlformats.org/officeDocument/2006/customXml" ds:itemID="{0C3D2C7C-6CA2-42E7-88AF-D2485E7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054F3-206E-465C-BA7C-1F053D53CF8E}">
  <ds:schemaRefs>
    <ds:schemaRef ds:uri="office.server.policy"/>
  </ds:schemaRefs>
</ds:datastoreItem>
</file>

<file path=customXml/itemProps4.xml><?xml version="1.0" encoding="utf-8"?>
<ds:datastoreItem xmlns:ds="http://schemas.openxmlformats.org/officeDocument/2006/customXml" ds:itemID="{B9E4F751-0A69-4D2F-BB76-9F2B0ABB62A0}">
  <ds:schemaRefs>
    <ds:schemaRef ds:uri="http://schemas.microsoft.com/sharepoint/v3/contenttype/forms"/>
  </ds:schemaRefs>
</ds:datastoreItem>
</file>

<file path=customXml/itemProps5.xml><?xml version="1.0" encoding="utf-8"?>
<ds:datastoreItem xmlns:ds="http://schemas.openxmlformats.org/officeDocument/2006/customXml" ds:itemID="{5BAA6607-83AE-4C6C-8607-3FCF18A29DBC}">
  <ds:schemaRefs>
    <ds:schemaRef ds:uri="http://schemas.microsoft.com/sharepoint/events"/>
  </ds:schemaRefs>
</ds:datastoreItem>
</file>

<file path=customXml/itemProps6.xml><?xml version="1.0" encoding="utf-8"?>
<ds:datastoreItem xmlns:ds="http://schemas.openxmlformats.org/officeDocument/2006/customXml" ds:itemID="{9BBF01E5-A5CD-4A2B-A31D-70B0AFCC25F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4017</TotalTime>
  <Pages>9</Pages>
  <Words>3522</Words>
  <Characters>18917</Characters>
  <Application>Microsoft Office Word</Application>
  <DocSecurity>0</DocSecurity>
  <Lines>326</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12</cp:revision>
  <dcterms:created xsi:type="dcterms:W3CDTF">2021-12-08T16:59:00Z</dcterms:created>
  <dcterms:modified xsi:type="dcterms:W3CDTF">2023-09-01T08:07:00Z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871c4cc4-7db1-4c97-8294-30022d6f68e9</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y fmtid="{D5CDD505-2E9C-101B-9397-08002B2CF9AE}" pid="6" name="UNDP_POPP_BUSINESSPROCESS_HIDDEN">
    <vt:lpwstr/>
  </property>
  <property fmtid="{D5CDD505-2E9C-101B-9397-08002B2CF9AE}" pid="7" name="l0e6ef0c43e74560bd7f3acd1f5e8571">
    <vt:lpwstr/>
  </property>
  <property fmtid="{D5CDD505-2E9C-101B-9397-08002B2CF9AE}" pid="8" name="Location">
    <vt:lpwstr>Public</vt:lpwstr>
  </property>
  <property fmtid="{D5CDD505-2E9C-101B-9397-08002B2CF9AE}" pid="9" name="TaxCatchAll">
    <vt:lpwstr/>
  </property>
</Properties>
</file>