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CA8B" w14:textId="77777777" w:rsidR="00656A4D" w:rsidRDefault="00656A4D" w:rsidP="00656A4D">
      <w:pPr>
        <w:jc w:val="right"/>
        <w:rPr>
          <w:rFonts w:asciiTheme="minorHAnsi" w:hAnsiTheme="minorHAnsi" w:cs="Arial"/>
          <w:b/>
          <w:bCs/>
          <w:sz w:val="28"/>
          <w:szCs w:val="28"/>
        </w:rPr>
      </w:pPr>
      <w:r>
        <w:rPr>
          <w:noProof/>
        </w:rPr>
        <w:drawing>
          <wp:inline distT="0" distB="0" distL="0" distR="0" wp14:anchorId="6DC8CB84" wp14:editId="16E79095">
            <wp:extent cx="457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57200" cy="914400"/>
                    </a:xfrm>
                    <a:prstGeom prst="rect">
                      <a:avLst/>
                    </a:prstGeom>
                  </pic:spPr>
                </pic:pic>
              </a:graphicData>
            </a:graphic>
          </wp:inline>
        </w:drawing>
      </w:r>
    </w:p>
    <w:p w14:paraId="6DC8CA8C" w14:textId="77777777" w:rsidR="00656A4D" w:rsidRDefault="00656A4D" w:rsidP="00CB2B66">
      <w:pPr>
        <w:jc w:val="center"/>
        <w:rPr>
          <w:rFonts w:asciiTheme="minorHAnsi" w:hAnsiTheme="minorHAnsi" w:cs="Arial"/>
          <w:b/>
          <w:bCs/>
          <w:sz w:val="28"/>
          <w:szCs w:val="28"/>
        </w:rPr>
      </w:pPr>
    </w:p>
    <w:p w14:paraId="6DC8CA8D" w14:textId="77777777" w:rsidR="00CB2B66" w:rsidRDefault="00CB2B66" w:rsidP="00CB2B66">
      <w:pPr>
        <w:jc w:val="center"/>
        <w:rPr>
          <w:rFonts w:asciiTheme="minorHAnsi" w:hAnsiTheme="minorHAnsi" w:cs="Arial"/>
          <w:b/>
          <w:bCs/>
          <w:sz w:val="28"/>
          <w:szCs w:val="28"/>
        </w:rPr>
      </w:pPr>
      <w:r>
        <w:rPr>
          <w:rFonts w:asciiTheme="minorHAnsi" w:hAnsiTheme="minorHAnsi"/>
          <w:b/>
          <w:bCs/>
          <w:sz w:val="28"/>
          <w:szCs w:val="28"/>
        </w:rPr>
        <w:t>Rescisión del nombramiento</w:t>
      </w:r>
    </w:p>
    <w:p w14:paraId="1F6505E0" w14:textId="77777777" w:rsidR="003D2E43" w:rsidRDefault="003D2E43" w:rsidP="00CB2B66">
      <w:pPr>
        <w:jc w:val="center"/>
        <w:rPr>
          <w:rFonts w:asciiTheme="minorHAnsi" w:hAnsiTheme="minorHAnsi" w:cs="Arial"/>
          <w:b/>
          <w:bCs/>
          <w:sz w:val="28"/>
          <w:szCs w:val="28"/>
        </w:rPr>
      </w:pPr>
    </w:p>
    <w:p w14:paraId="0B2B9207" w14:textId="6DA422A1" w:rsidR="003D2E43" w:rsidRPr="003D2E43" w:rsidRDefault="003D2E43" w:rsidP="000C6719">
      <w:pPr>
        <w:tabs>
          <w:tab w:val="left" w:pos="840"/>
        </w:tabs>
        <w:rPr>
          <w:rFonts w:asciiTheme="minorHAnsi" w:hAnsiTheme="minorHAnsi" w:cs="Arial"/>
          <w:b/>
          <w:bCs/>
          <w:sz w:val="22"/>
          <w:szCs w:val="22"/>
        </w:rPr>
      </w:pPr>
      <w:r>
        <w:rPr>
          <w:rFonts w:asciiTheme="minorHAnsi" w:hAnsiTheme="minorHAnsi"/>
          <w:b/>
          <w:bCs/>
          <w:sz w:val="22"/>
          <w:szCs w:val="22"/>
        </w:rPr>
        <w:t>1.0</w:t>
      </w:r>
      <w:r w:rsidR="000C6719">
        <w:rPr>
          <w:rFonts w:asciiTheme="minorHAnsi" w:hAnsiTheme="minorHAnsi"/>
          <w:b/>
          <w:bCs/>
          <w:sz w:val="22"/>
          <w:szCs w:val="22"/>
        </w:rPr>
        <w:tab/>
      </w:r>
      <w:r>
        <w:rPr>
          <w:rFonts w:asciiTheme="minorHAnsi" w:hAnsiTheme="minorHAnsi"/>
          <w:b/>
          <w:bCs/>
          <w:sz w:val="22"/>
          <w:szCs w:val="22"/>
        </w:rPr>
        <w:t>Normas y reglamentos</w:t>
      </w:r>
    </w:p>
    <w:p w14:paraId="218DBC9C" w14:textId="77777777" w:rsidR="003D2E43" w:rsidRPr="003D2E43" w:rsidRDefault="003D2E43" w:rsidP="003D2E43">
      <w:pPr>
        <w:rPr>
          <w:rFonts w:asciiTheme="minorHAnsi" w:hAnsiTheme="minorHAnsi" w:cs="Arial"/>
          <w:b/>
          <w:bCs/>
          <w:sz w:val="22"/>
          <w:szCs w:val="22"/>
        </w:rPr>
      </w:pPr>
    </w:p>
    <w:p w14:paraId="33890167" w14:textId="4E83A888" w:rsidR="003D2E43" w:rsidRPr="003D2E43" w:rsidRDefault="003D2E43" w:rsidP="003D2E43">
      <w:pPr>
        <w:rPr>
          <w:rFonts w:asciiTheme="minorHAnsi" w:hAnsiTheme="minorHAnsi" w:cs="Arial"/>
          <w:bCs/>
          <w:sz w:val="22"/>
          <w:szCs w:val="22"/>
        </w:rPr>
      </w:pPr>
      <w:r>
        <w:rPr>
          <w:rFonts w:asciiTheme="minorHAnsi" w:hAnsiTheme="minorHAnsi"/>
          <w:bCs/>
          <w:sz w:val="22"/>
          <w:szCs w:val="22"/>
        </w:rPr>
        <w:t>La presente política implementa el artículo IX del Estatuto del Personal de la ONU y el capítulo IX del Reglamento del Personal de la ONU sobre la Separación del servicio.</w:t>
      </w:r>
    </w:p>
    <w:p w14:paraId="2A07A8BB" w14:textId="77777777" w:rsidR="003D2E43" w:rsidRPr="003D2E43" w:rsidRDefault="003D2E43" w:rsidP="003D2E43">
      <w:pPr>
        <w:rPr>
          <w:rFonts w:asciiTheme="minorHAnsi" w:hAnsiTheme="minorHAnsi" w:cs="Arial"/>
          <w:b/>
          <w:bCs/>
          <w:sz w:val="22"/>
          <w:szCs w:val="22"/>
        </w:rPr>
      </w:pPr>
    </w:p>
    <w:p w14:paraId="019F24C4" w14:textId="56508B8B" w:rsidR="003D2E43" w:rsidRPr="003D2E43" w:rsidRDefault="003D2E43" w:rsidP="000C6719">
      <w:pPr>
        <w:tabs>
          <w:tab w:val="left" w:pos="840"/>
        </w:tabs>
        <w:rPr>
          <w:rFonts w:asciiTheme="minorHAnsi" w:hAnsiTheme="minorHAnsi" w:cs="Arial"/>
          <w:b/>
          <w:bCs/>
          <w:sz w:val="22"/>
          <w:szCs w:val="22"/>
        </w:rPr>
      </w:pPr>
      <w:r>
        <w:rPr>
          <w:rFonts w:asciiTheme="minorHAnsi" w:hAnsiTheme="minorHAnsi"/>
          <w:b/>
          <w:bCs/>
          <w:sz w:val="22"/>
          <w:szCs w:val="22"/>
        </w:rPr>
        <w:t>2.0</w:t>
      </w:r>
      <w:r w:rsidR="000C6719">
        <w:rPr>
          <w:rFonts w:asciiTheme="minorHAnsi" w:hAnsiTheme="minorHAnsi"/>
          <w:b/>
          <w:bCs/>
          <w:sz w:val="22"/>
          <w:szCs w:val="22"/>
        </w:rPr>
        <w:tab/>
      </w:r>
      <w:r>
        <w:rPr>
          <w:rFonts w:asciiTheme="minorHAnsi" w:hAnsiTheme="minorHAnsi"/>
          <w:b/>
          <w:bCs/>
          <w:sz w:val="22"/>
          <w:szCs w:val="22"/>
        </w:rPr>
        <w:t>Política</w:t>
      </w:r>
    </w:p>
    <w:p w14:paraId="6DC8CA8E" w14:textId="77777777" w:rsidR="00CB2B66" w:rsidRPr="00C92949" w:rsidRDefault="00CB2B66" w:rsidP="01F60E22">
      <w:pPr>
        <w:rPr>
          <w:rFonts w:asciiTheme="minorHAnsi" w:eastAsiaTheme="minorEastAsia" w:hAnsiTheme="minorHAnsi" w:cstheme="minorBidi"/>
          <w:b/>
          <w:bCs/>
          <w:sz w:val="22"/>
          <w:szCs w:val="22"/>
        </w:rPr>
      </w:pPr>
    </w:p>
    <w:p w14:paraId="6DC8CA8F" w14:textId="0585F363" w:rsidR="00CB2B66" w:rsidRPr="00CB2B66" w:rsidRDefault="00CB2B66" w:rsidP="00CB2B66">
      <w:pPr>
        <w:pStyle w:val="ListParagraph"/>
        <w:numPr>
          <w:ilvl w:val="0"/>
          <w:numId w:val="9"/>
        </w:numPr>
        <w:jc w:val="both"/>
        <w:rPr>
          <w:rFonts w:cs="Arial"/>
          <w:sz w:val="22"/>
          <w:szCs w:val="22"/>
        </w:rPr>
      </w:pPr>
      <w:r w:rsidRPr="01F60E22">
        <w:rPr>
          <w:sz w:val="22"/>
          <w:szCs w:val="22"/>
        </w:rPr>
        <w:t>La presente política trata los diferentes tipos de rescisión del nombramiento y es aplicable a todos los miembros del personal del PNUD (Programa de las Naciones Unidas para el Desarrollo) regidos por el</w:t>
      </w:r>
      <w:r>
        <w:t xml:space="preserve"> </w:t>
      </w:r>
      <w:hyperlink r:id="rId14">
        <w:r w:rsidRPr="01F60E22">
          <w:rPr>
            <w:rStyle w:val="Hyperlink"/>
            <w:sz w:val="22"/>
            <w:szCs w:val="22"/>
          </w:rPr>
          <w:t>Reglamento y Estatuto del Personal de la ONU</w:t>
        </w:r>
      </w:hyperlink>
      <w:r>
        <w:t>.</w:t>
      </w:r>
    </w:p>
    <w:p w14:paraId="6DC8CA90" w14:textId="77777777" w:rsidR="00CB2B66" w:rsidRPr="00CB2B66" w:rsidRDefault="00CB2B66" w:rsidP="00CB2B66">
      <w:pPr>
        <w:jc w:val="both"/>
        <w:rPr>
          <w:rFonts w:asciiTheme="minorHAnsi" w:hAnsiTheme="minorHAnsi" w:cs="Arial"/>
          <w:bCs/>
          <w:sz w:val="22"/>
          <w:szCs w:val="22"/>
        </w:rPr>
      </w:pPr>
    </w:p>
    <w:p w14:paraId="6DC8CA91"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 xml:space="preserve">Tipos de separación </w:t>
      </w:r>
    </w:p>
    <w:p w14:paraId="6DC8CA92" w14:textId="77777777" w:rsidR="00CB2B66" w:rsidRPr="00CB2B66" w:rsidRDefault="00CB2B66" w:rsidP="00CB2B66">
      <w:pPr>
        <w:ind w:left="720"/>
        <w:jc w:val="both"/>
        <w:rPr>
          <w:rFonts w:asciiTheme="minorHAnsi" w:hAnsiTheme="minorHAnsi" w:cs="Arial"/>
          <w:b/>
          <w:sz w:val="22"/>
          <w:szCs w:val="22"/>
        </w:rPr>
      </w:pPr>
    </w:p>
    <w:p w14:paraId="6DC8CA93" w14:textId="02731A37" w:rsidR="00CB2B66" w:rsidRPr="00CB2B66" w:rsidRDefault="00CB2B66" w:rsidP="00CB2B66">
      <w:pPr>
        <w:pStyle w:val="ListParagraph"/>
        <w:numPr>
          <w:ilvl w:val="0"/>
          <w:numId w:val="9"/>
        </w:numPr>
        <w:jc w:val="both"/>
        <w:rPr>
          <w:rFonts w:cs="Arial"/>
          <w:b/>
          <w:sz w:val="22"/>
          <w:szCs w:val="22"/>
        </w:rPr>
      </w:pPr>
      <w:r>
        <w:rPr>
          <w:sz w:val="22"/>
          <w:szCs w:val="22"/>
        </w:rPr>
        <w:t>Para separaciones que no sean la rescisión del nombramiento, véanse los «</w:t>
      </w:r>
      <w:hyperlink r:id="rId15" w:history="1">
        <w:r w:rsidRPr="003F75E3">
          <w:rPr>
            <w:rStyle w:val="Hyperlink"/>
            <w:sz w:val="22"/>
            <w:szCs w:val="22"/>
          </w:rPr>
          <w:t>Tipos de separación</w:t>
        </w:r>
      </w:hyperlink>
      <w:r>
        <w:rPr>
          <w:sz w:val="22"/>
          <w:szCs w:val="22"/>
        </w:rPr>
        <w:t xml:space="preserve">» del PNUD en las Políticas y Procedimientos de Operaciones y Programas (POPP, </w:t>
      </w:r>
      <w:proofErr w:type="spellStart"/>
      <w:r>
        <w:rPr>
          <w:i/>
          <w:sz w:val="22"/>
          <w:szCs w:val="22"/>
        </w:rPr>
        <w:t>Programme</w:t>
      </w:r>
      <w:proofErr w:type="spellEnd"/>
      <w:r>
        <w:rPr>
          <w:i/>
          <w:sz w:val="22"/>
          <w:szCs w:val="22"/>
        </w:rPr>
        <w:t xml:space="preserve"> and </w:t>
      </w:r>
      <w:proofErr w:type="spellStart"/>
      <w:r>
        <w:rPr>
          <w:i/>
          <w:sz w:val="22"/>
          <w:szCs w:val="22"/>
        </w:rPr>
        <w:t>Operations</w:t>
      </w:r>
      <w:proofErr w:type="spellEnd"/>
      <w:r>
        <w:rPr>
          <w:i/>
          <w:sz w:val="22"/>
          <w:szCs w:val="22"/>
        </w:rPr>
        <w:t xml:space="preserve"> </w:t>
      </w:r>
      <w:proofErr w:type="spellStart"/>
      <w:r>
        <w:rPr>
          <w:i/>
          <w:sz w:val="22"/>
          <w:szCs w:val="22"/>
        </w:rPr>
        <w:t>Policies</w:t>
      </w:r>
      <w:proofErr w:type="spellEnd"/>
      <w:r>
        <w:rPr>
          <w:i/>
          <w:sz w:val="22"/>
          <w:szCs w:val="22"/>
        </w:rPr>
        <w:t xml:space="preserve"> and </w:t>
      </w:r>
      <w:proofErr w:type="spellStart"/>
      <w:r>
        <w:rPr>
          <w:i/>
          <w:sz w:val="22"/>
          <w:szCs w:val="22"/>
        </w:rPr>
        <w:t>Procedures</w:t>
      </w:r>
      <w:proofErr w:type="spellEnd"/>
      <w:r>
        <w:rPr>
          <w:sz w:val="22"/>
          <w:szCs w:val="22"/>
        </w:rPr>
        <w:t>, por sus siglas en inglés).</w:t>
      </w:r>
    </w:p>
    <w:p w14:paraId="6DC8CA94" w14:textId="77777777" w:rsidR="00CB2B66" w:rsidRPr="00CB2B66" w:rsidRDefault="00CB2B66" w:rsidP="00CB2B66">
      <w:pPr>
        <w:pStyle w:val="ListParagraph"/>
        <w:ind w:left="720"/>
        <w:jc w:val="both"/>
        <w:rPr>
          <w:rFonts w:cs="Arial"/>
          <w:b/>
          <w:sz w:val="22"/>
          <w:szCs w:val="22"/>
        </w:rPr>
      </w:pPr>
    </w:p>
    <w:p w14:paraId="6DC8CA95" w14:textId="77777777" w:rsidR="00CB2B66" w:rsidRPr="00CB2B66" w:rsidRDefault="00CB2B66" w:rsidP="00CB2B66">
      <w:pPr>
        <w:pStyle w:val="ListParagraph"/>
        <w:numPr>
          <w:ilvl w:val="0"/>
          <w:numId w:val="9"/>
        </w:numPr>
        <w:jc w:val="both"/>
        <w:rPr>
          <w:rFonts w:cs="Arial"/>
          <w:sz w:val="22"/>
          <w:szCs w:val="22"/>
        </w:rPr>
      </w:pPr>
      <w:r>
        <w:rPr>
          <w:sz w:val="22"/>
          <w:szCs w:val="22"/>
        </w:rPr>
        <w:t>La separación como resultado de la renuncia, el abandono de un puesto, el vencimiento del nombramiento, la jubilación o el fallecimiento no debe considerarse como una rescisión dentro del significado del Reglamento del Personal.</w:t>
      </w:r>
    </w:p>
    <w:p w14:paraId="6DC8CA96" w14:textId="77777777" w:rsidR="00CB2B66" w:rsidRPr="00CB2B66" w:rsidRDefault="00CB2B66" w:rsidP="00CB2B66">
      <w:pPr>
        <w:ind w:left="720"/>
        <w:jc w:val="both"/>
        <w:rPr>
          <w:rFonts w:asciiTheme="minorHAnsi" w:hAnsiTheme="minorHAnsi" w:cs="Arial"/>
          <w:b/>
          <w:sz w:val="22"/>
          <w:szCs w:val="22"/>
        </w:rPr>
      </w:pPr>
    </w:p>
    <w:p w14:paraId="6DC8CA97"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 xml:space="preserve">Rescisión del nombramiento </w:t>
      </w:r>
    </w:p>
    <w:p w14:paraId="6DC8CA98" w14:textId="77777777" w:rsidR="00CB2B66" w:rsidRPr="00CB2B66" w:rsidRDefault="00CB2B66" w:rsidP="00CB2B66">
      <w:pPr>
        <w:jc w:val="both"/>
        <w:rPr>
          <w:rFonts w:asciiTheme="minorHAnsi" w:hAnsiTheme="minorHAnsi"/>
          <w:sz w:val="22"/>
          <w:szCs w:val="22"/>
        </w:rPr>
      </w:pPr>
    </w:p>
    <w:p w14:paraId="6DC8CA99" w14:textId="77777777" w:rsidR="00CB2B66" w:rsidRPr="00CB2B66" w:rsidRDefault="00CB2B66" w:rsidP="00CB2B66">
      <w:pPr>
        <w:pStyle w:val="ListParagraph"/>
        <w:numPr>
          <w:ilvl w:val="0"/>
          <w:numId w:val="9"/>
        </w:numPr>
        <w:jc w:val="both"/>
        <w:rPr>
          <w:rFonts w:cs="Arial"/>
          <w:sz w:val="22"/>
          <w:szCs w:val="22"/>
        </w:rPr>
      </w:pPr>
      <w:r>
        <w:rPr>
          <w:sz w:val="22"/>
          <w:szCs w:val="22"/>
        </w:rPr>
        <w:t>La rescisión de un nombramiento es una separación del servicio iniciada por la Organización (véanse la cláusula del Estatuto del Personal de la ONU 9.3 y la regla del Reglamento del Personal 9.6) con el propósito de lo siguiente:</w:t>
      </w:r>
    </w:p>
    <w:p w14:paraId="6DC8CA9A" w14:textId="77777777" w:rsidR="00CB2B66" w:rsidRPr="00CB2B66" w:rsidRDefault="00CB2B66" w:rsidP="00CB2B66">
      <w:pPr>
        <w:jc w:val="both"/>
        <w:rPr>
          <w:rFonts w:asciiTheme="minorHAnsi" w:hAnsiTheme="minorHAnsi" w:cs="Arial"/>
          <w:sz w:val="22"/>
          <w:szCs w:val="22"/>
        </w:rPr>
      </w:pPr>
    </w:p>
    <w:p w14:paraId="6DC8CA9B" w14:textId="5748F6D3" w:rsidR="00CB2B66" w:rsidRPr="00CB2B66" w:rsidRDefault="000C6719" w:rsidP="00CB2B66">
      <w:pPr>
        <w:pStyle w:val="ListParagraph"/>
        <w:numPr>
          <w:ilvl w:val="0"/>
          <w:numId w:val="1"/>
        </w:numPr>
        <w:tabs>
          <w:tab w:val="clear" w:pos="1170"/>
          <w:tab w:val="num" w:pos="1530"/>
        </w:tabs>
        <w:ind w:left="1530"/>
        <w:jc w:val="both"/>
        <w:rPr>
          <w:rFonts w:cs="Arial"/>
          <w:sz w:val="22"/>
          <w:szCs w:val="22"/>
        </w:rPr>
      </w:pPr>
      <w:r>
        <w:rPr>
          <w:sz w:val="22"/>
          <w:szCs w:val="22"/>
        </w:rPr>
        <w:t>F</w:t>
      </w:r>
      <w:r w:rsidR="00CB2B66">
        <w:rPr>
          <w:sz w:val="22"/>
          <w:szCs w:val="22"/>
        </w:rPr>
        <w:t xml:space="preserve">inalizar el nombramiento continuo o </w:t>
      </w:r>
      <w:r w:rsidR="00A73239">
        <w:rPr>
          <w:sz w:val="22"/>
          <w:szCs w:val="22"/>
        </w:rPr>
        <w:t xml:space="preserve">el nombramiento </w:t>
      </w:r>
      <w:r w:rsidR="00CB2B66">
        <w:rPr>
          <w:sz w:val="22"/>
          <w:szCs w:val="22"/>
        </w:rPr>
        <w:t>permanente de un miembro del personal antes de la edad obligatoria de separación; o</w:t>
      </w:r>
    </w:p>
    <w:p w14:paraId="6DC8CA9C" w14:textId="77777777" w:rsidR="00CB2B66" w:rsidRPr="00CB2B66" w:rsidRDefault="00CB2B66" w:rsidP="00CB2B66">
      <w:pPr>
        <w:pStyle w:val="ListParagraph"/>
        <w:ind w:left="1710" w:hanging="540"/>
        <w:jc w:val="both"/>
        <w:rPr>
          <w:rFonts w:cs="Arial"/>
          <w:sz w:val="22"/>
          <w:szCs w:val="22"/>
        </w:rPr>
      </w:pPr>
    </w:p>
    <w:p w14:paraId="6DC8CA9D" w14:textId="30E146D9" w:rsidR="00CB2B66" w:rsidRPr="00CB2B66" w:rsidRDefault="000C6719" w:rsidP="00CB2B66">
      <w:pPr>
        <w:pStyle w:val="ListParagraph"/>
        <w:numPr>
          <w:ilvl w:val="0"/>
          <w:numId w:val="1"/>
        </w:numPr>
        <w:tabs>
          <w:tab w:val="clear" w:pos="1170"/>
          <w:tab w:val="num" w:pos="1530"/>
        </w:tabs>
        <w:ind w:left="1530"/>
        <w:jc w:val="both"/>
        <w:rPr>
          <w:rFonts w:cs="Arial"/>
          <w:sz w:val="22"/>
          <w:szCs w:val="22"/>
        </w:rPr>
      </w:pPr>
      <w:r>
        <w:rPr>
          <w:sz w:val="22"/>
          <w:szCs w:val="22"/>
        </w:rPr>
        <w:t>F</w:t>
      </w:r>
      <w:r w:rsidR="00CB2B66">
        <w:rPr>
          <w:sz w:val="22"/>
          <w:szCs w:val="22"/>
        </w:rPr>
        <w:t xml:space="preserve">inalizar el nombramiento temporal o </w:t>
      </w:r>
      <w:r w:rsidR="00A73239">
        <w:rPr>
          <w:sz w:val="22"/>
          <w:szCs w:val="22"/>
        </w:rPr>
        <w:t xml:space="preserve">el nombramiento </w:t>
      </w:r>
      <w:r w:rsidR="00CB2B66">
        <w:rPr>
          <w:sz w:val="22"/>
          <w:szCs w:val="22"/>
        </w:rPr>
        <w:t>de plazo fijo de un miembro del personal antes de la fecha de vencimiento estipulada en la carta de nombramiento.</w:t>
      </w:r>
    </w:p>
    <w:p w14:paraId="6DC8CA9E" w14:textId="77777777" w:rsidR="00CB2B66" w:rsidRPr="00CB2B66" w:rsidRDefault="00CB2B66" w:rsidP="00CB2B66">
      <w:pPr>
        <w:pStyle w:val="ListParagraph"/>
        <w:rPr>
          <w:rFonts w:cs="Arial"/>
          <w:sz w:val="22"/>
          <w:szCs w:val="22"/>
        </w:rPr>
      </w:pPr>
    </w:p>
    <w:p w14:paraId="6DC8CA9F" w14:textId="77777777" w:rsidR="00CB2B66" w:rsidRPr="00CB2B66" w:rsidRDefault="00CB2B66" w:rsidP="00CB2B66">
      <w:pPr>
        <w:pStyle w:val="ListParagraph"/>
        <w:ind w:left="1350"/>
        <w:jc w:val="both"/>
        <w:rPr>
          <w:rFonts w:cs="Arial"/>
          <w:sz w:val="22"/>
          <w:szCs w:val="22"/>
        </w:rPr>
      </w:pPr>
    </w:p>
    <w:p w14:paraId="6DC8CAA0" w14:textId="77777777" w:rsidR="00CB2B66" w:rsidRPr="00CB2B66" w:rsidRDefault="00CB2B66" w:rsidP="00CB2B66">
      <w:pPr>
        <w:pStyle w:val="ListParagraph"/>
        <w:numPr>
          <w:ilvl w:val="0"/>
          <w:numId w:val="10"/>
        </w:numPr>
        <w:jc w:val="both"/>
        <w:rPr>
          <w:rFonts w:cs="Arial"/>
          <w:sz w:val="22"/>
          <w:szCs w:val="22"/>
        </w:rPr>
      </w:pPr>
      <w:r>
        <w:rPr>
          <w:sz w:val="22"/>
          <w:szCs w:val="22"/>
        </w:rPr>
        <w:t>La autoridad para finalizar el nombramiento de cualquier miembro del personal recae en el Administrador o su funcionario delegado quien, siempre que brinde los motivos para su accionar, puede ejercer esta autoridad de conformidad con los términos del nombramiento del miembro del personal, en cualquiera de las siguientes situaciones:</w:t>
      </w:r>
    </w:p>
    <w:p w14:paraId="6DC8CAA1" w14:textId="77777777" w:rsidR="00CB2B66" w:rsidRPr="00CB2B66" w:rsidRDefault="00CB2B66" w:rsidP="00CB2B66">
      <w:pPr>
        <w:ind w:hanging="360"/>
        <w:jc w:val="both"/>
        <w:rPr>
          <w:rFonts w:asciiTheme="minorHAnsi" w:hAnsiTheme="minorHAnsi" w:cs="Arial"/>
          <w:sz w:val="22"/>
          <w:szCs w:val="22"/>
        </w:rPr>
      </w:pPr>
    </w:p>
    <w:p w14:paraId="6DC8CAA2" w14:textId="064D67DD" w:rsidR="00CB2B66" w:rsidRPr="00CB2B66" w:rsidRDefault="000C6719" w:rsidP="00CB2B66">
      <w:pPr>
        <w:pStyle w:val="ListParagraph"/>
        <w:numPr>
          <w:ilvl w:val="0"/>
          <w:numId w:val="8"/>
        </w:numPr>
        <w:ind w:left="1530"/>
        <w:jc w:val="both"/>
        <w:rPr>
          <w:rFonts w:cs="Arial"/>
          <w:sz w:val="22"/>
          <w:szCs w:val="22"/>
        </w:rPr>
      </w:pPr>
      <w:r>
        <w:rPr>
          <w:sz w:val="22"/>
          <w:szCs w:val="22"/>
        </w:rPr>
        <w:t>L</w:t>
      </w:r>
      <w:r w:rsidR="00CB2B66">
        <w:rPr>
          <w:sz w:val="22"/>
          <w:szCs w:val="22"/>
        </w:rPr>
        <w:t>as necesidades de servicios requieren la abolición de puestos o la reducción de personal;</w:t>
      </w:r>
    </w:p>
    <w:p w14:paraId="6DC8CAA3" w14:textId="77777777" w:rsidR="00CB2B66" w:rsidRPr="00CB2B66" w:rsidRDefault="00CB2B66" w:rsidP="00CB2B66">
      <w:pPr>
        <w:pStyle w:val="ListParagraph"/>
        <w:ind w:left="810"/>
        <w:jc w:val="both"/>
        <w:rPr>
          <w:rFonts w:cs="Arial"/>
          <w:sz w:val="22"/>
          <w:szCs w:val="22"/>
        </w:rPr>
      </w:pPr>
    </w:p>
    <w:p w14:paraId="6DC8CAA4" w14:textId="680D92B5" w:rsidR="00CB2B66" w:rsidRPr="00CB2B66" w:rsidRDefault="000C6719" w:rsidP="00CB2B66">
      <w:pPr>
        <w:pStyle w:val="ListParagraph"/>
        <w:numPr>
          <w:ilvl w:val="0"/>
          <w:numId w:val="8"/>
        </w:numPr>
        <w:ind w:left="1530"/>
        <w:jc w:val="both"/>
        <w:rPr>
          <w:rFonts w:cs="Arial"/>
          <w:sz w:val="22"/>
          <w:szCs w:val="22"/>
        </w:rPr>
      </w:pPr>
      <w:r>
        <w:rPr>
          <w:sz w:val="22"/>
          <w:szCs w:val="22"/>
        </w:rPr>
        <w:t>S</w:t>
      </w:r>
      <w:r w:rsidR="00CB2B66">
        <w:rPr>
          <w:sz w:val="22"/>
          <w:szCs w:val="22"/>
        </w:rPr>
        <w:t xml:space="preserve">ervicio insatisfactorio; </w:t>
      </w:r>
    </w:p>
    <w:p w14:paraId="6DC8CAA5" w14:textId="71CFC0D8" w:rsidR="00CB2B66" w:rsidRPr="00CB2B66" w:rsidRDefault="00FE5243" w:rsidP="00FE5243">
      <w:pPr>
        <w:pStyle w:val="ListParagraph"/>
        <w:tabs>
          <w:tab w:val="left" w:pos="8310"/>
        </w:tabs>
        <w:ind w:left="810"/>
        <w:jc w:val="both"/>
        <w:rPr>
          <w:rFonts w:cs="Arial"/>
          <w:sz w:val="22"/>
          <w:szCs w:val="22"/>
        </w:rPr>
      </w:pPr>
      <w:r>
        <w:rPr>
          <w:sz w:val="22"/>
          <w:szCs w:val="22"/>
        </w:rPr>
        <w:tab/>
      </w:r>
    </w:p>
    <w:p w14:paraId="6DC8CAA6" w14:textId="17E7CDE1" w:rsidR="00CB2B66" w:rsidRPr="00CB2B66" w:rsidRDefault="000C6719" w:rsidP="00CB2B66">
      <w:pPr>
        <w:pStyle w:val="ListParagraph"/>
        <w:numPr>
          <w:ilvl w:val="0"/>
          <w:numId w:val="8"/>
        </w:numPr>
        <w:ind w:left="1530"/>
        <w:jc w:val="both"/>
        <w:rPr>
          <w:rFonts w:cs="Arial"/>
          <w:sz w:val="22"/>
          <w:szCs w:val="22"/>
        </w:rPr>
      </w:pPr>
      <w:r>
        <w:rPr>
          <w:sz w:val="22"/>
          <w:szCs w:val="22"/>
        </w:rPr>
        <w:t>I</w:t>
      </w:r>
      <w:r w:rsidR="00CB2B66">
        <w:rPr>
          <w:sz w:val="22"/>
          <w:szCs w:val="22"/>
        </w:rPr>
        <w:t xml:space="preserve">ncapacidad de realizar más servicios debido a razones de salud; </w:t>
      </w:r>
    </w:p>
    <w:p w14:paraId="6DC8CAA7" w14:textId="77777777" w:rsidR="00CB2B66" w:rsidRPr="00CB2B66" w:rsidRDefault="00CB2B66" w:rsidP="00CB2B66">
      <w:pPr>
        <w:pStyle w:val="ListParagraph"/>
        <w:ind w:left="810"/>
        <w:jc w:val="both"/>
        <w:rPr>
          <w:rFonts w:cs="Arial"/>
          <w:sz w:val="22"/>
          <w:szCs w:val="22"/>
        </w:rPr>
      </w:pPr>
    </w:p>
    <w:p w14:paraId="6DC8CAA8" w14:textId="54DA4698" w:rsidR="00CB2B66" w:rsidRPr="00CB2B66" w:rsidRDefault="000C6719" w:rsidP="00CB2B66">
      <w:pPr>
        <w:pStyle w:val="ListParagraph"/>
        <w:numPr>
          <w:ilvl w:val="0"/>
          <w:numId w:val="8"/>
        </w:numPr>
        <w:ind w:left="1530"/>
        <w:jc w:val="both"/>
        <w:rPr>
          <w:rFonts w:cs="Arial"/>
          <w:sz w:val="22"/>
          <w:szCs w:val="22"/>
        </w:rPr>
      </w:pPr>
      <w:r>
        <w:rPr>
          <w:sz w:val="22"/>
          <w:szCs w:val="22"/>
        </w:rPr>
        <w:t>M</w:t>
      </w:r>
      <w:r w:rsidR="00CB2B66">
        <w:rPr>
          <w:sz w:val="22"/>
          <w:szCs w:val="22"/>
        </w:rPr>
        <w:t xml:space="preserve">otivos disciplinarios; </w:t>
      </w:r>
    </w:p>
    <w:p w14:paraId="6DC8CAA9" w14:textId="77777777" w:rsidR="00CB2B66" w:rsidRPr="00CB2B66" w:rsidRDefault="00CB2B66" w:rsidP="00CB2B66">
      <w:pPr>
        <w:pStyle w:val="ListParagraph"/>
        <w:ind w:left="810"/>
        <w:jc w:val="both"/>
        <w:rPr>
          <w:rFonts w:cs="Arial"/>
          <w:sz w:val="22"/>
          <w:szCs w:val="22"/>
        </w:rPr>
      </w:pPr>
    </w:p>
    <w:p w14:paraId="6DC8CAAA" w14:textId="3ABF2A8C" w:rsidR="00CB2B66" w:rsidRPr="00CB2B66" w:rsidRDefault="000C6719" w:rsidP="00CB2B66">
      <w:pPr>
        <w:pStyle w:val="ListParagraph"/>
        <w:numPr>
          <w:ilvl w:val="0"/>
          <w:numId w:val="8"/>
        </w:numPr>
        <w:ind w:left="1530"/>
        <w:jc w:val="both"/>
        <w:rPr>
          <w:rFonts w:cs="Arial"/>
          <w:sz w:val="22"/>
          <w:szCs w:val="22"/>
        </w:rPr>
      </w:pPr>
      <w:r>
        <w:rPr>
          <w:sz w:val="22"/>
          <w:szCs w:val="22"/>
        </w:rPr>
        <w:t>S</w:t>
      </w:r>
      <w:r w:rsidR="00CB2B66">
        <w:rPr>
          <w:sz w:val="22"/>
          <w:szCs w:val="22"/>
        </w:rPr>
        <w:t xml:space="preserve">i se han descubierto hechos previos al nombramiento que hubieran impedido el nombramiento;  </w:t>
      </w:r>
    </w:p>
    <w:p w14:paraId="6DC8CAAB" w14:textId="77777777" w:rsidR="00CB2B66" w:rsidRPr="00CB2B66" w:rsidRDefault="00CB2B66" w:rsidP="00CB2B66">
      <w:pPr>
        <w:pStyle w:val="ListParagraph"/>
        <w:ind w:left="1440" w:hanging="630"/>
        <w:jc w:val="both"/>
        <w:rPr>
          <w:rFonts w:cs="Arial"/>
          <w:sz w:val="22"/>
          <w:szCs w:val="22"/>
        </w:rPr>
      </w:pPr>
    </w:p>
    <w:p w14:paraId="6DC8CAAC" w14:textId="17C8B34D" w:rsidR="00CB2B66" w:rsidRPr="00CB2B66" w:rsidRDefault="000C6719" w:rsidP="00CB2B66">
      <w:pPr>
        <w:pStyle w:val="ListParagraph"/>
        <w:numPr>
          <w:ilvl w:val="0"/>
          <w:numId w:val="8"/>
        </w:numPr>
        <w:ind w:left="1530"/>
        <w:jc w:val="both"/>
        <w:rPr>
          <w:rFonts w:cs="Arial"/>
          <w:sz w:val="22"/>
          <w:szCs w:val="22"/>
        </w:rPr>
      </w:pPr>
      <w:r>
        <w:rPr>
          <w:sz w:val="22"/>
          <w:szCs w:val="22"/>
        </w:rPr>
        <w:t>R</w:t>
      </w:r>
      <w:r w:rsidR="00CB2B66">
        <w:rPr>
          <w:sz w:val="22"/>
          <w:szCs w:val="22"/>
        </w:rPr>
        <w:t>escisión por el interés de la buena administración de la Organización, siempre que la acción sea acordada mutuamente entre el miembro del personal y la Organización, lo que implica que la rescisión no puede ser disputada por el miembro del personal en cuestión («finalización acordada»); o</w:t>
      </w:r>
    </w:p>
    <w:p w14:paraId="6DC8CAAD" w14:textId="77777777" w:rsidR="00CB2B66" w:rsidRPr="00CB2B66" w:rsidRDefault="00CB2B66" w:rsidP="00CB2B66">
      <w:pPr>
        <w:pStyle w:val="ListParagraph"/>
        <w:ind w:left="1530"/>
        <w:jc w:val="both"/>
        <w:rPr>
          <w:rFonts w:cs="Arial"/>
          <w:sz w:val="22"/>
          <w:szCs w:val="22"/>
        </w:rPr>
      </w:pPr>
    </w:p>
    <w:p w14:paraId="6DC8CAAE" w14:textId="70AE4F48" w:rsidR="00CB2B66" w:rsidRPr="00A73239" w:rsidRDefault="000C6719" w:rsidP="00CB2B66">
      <w:pPr>
        <w:pStyle w:val="ListParagraph"/>
        <w:numPr>
          <w:ilvl w:val="0"/>
          <w:numId w:val="8"/>
        </w:numPr>
        <w:ind w:left="1530"/>
        <w:jc w:val="both"/>
        <w:rPr>
          <w:rFonts w:cs="Arial"/>
          <w:sz w:val="22"/>
          <w:szCs w:val="22"/>
        </w:rPr>
      </w:pPr>
      <w:r>
        <w:rPr>
          <w:sz w:val="22"/>
          <w:szCs w:val="22"/>
        </w:rPr>
        <w:t>E</w:t>
      </w:r>
      <w:r w:rsidR="00CB2B66">
        <w:rPr>
          <w:sz w:val="22"/>
          <w:szCs w:val="22"/>
        </w:rPr>
        <w:t xml:space="preserve">n el caso de que un miembro del personal tenga un nombramiento continuo, rescisión por interés de la Organización, sin el acuerdo del miembro del personal, principalmente como resultado de un cambio o la finalización de un mandato. </w:t>
      </w:r>
    </w:p>
    <w:p w14:paraId="72F116C7" w14:textId="77777777" w:rsidR="00A73239" w:rsidRPr="00A73239" w:rsidRDefault="00A73239" w:rsidP="00A73239">
      <w:pPr>
        <w:pStyle w:val="ListParagraph"/>
        <w:rPr>
          <w:rFonts w:cs="Arial"/>
          <w:sz w:val="22"/>
          <w:szCs w:val="22"/>
        </w:rPr>
      </w:pPr>
    </w:p>
    <w:p w14:paraId="1DBCE6DB" w14:textId="019619E6" w:rsidR="00A73239" w:rsidRPr="00CB2B66" w:rsidRDefault="00A73239" w:rsidP="00CB2B66">
      <w:pPr>
        <w:pStyle w:val="ListParagraph"/>
        <w:numPr>
          <w:ilvl w:val="0"/>
          <w:numId w:val="8"/>
        </w:numPr>
        <w:ind w:left="1530"/>
        <w:jc w:val="both"/>
        <w:rPr>
          <w:rFonts w:cs="Arial"/>
          <w:sz w:val="22"/>
          <w:szCs w:val="22"/>
        </w:rPr>
      </w:pPr>
      <w:r w:rsidRPr="00A73239">
        <w:rPr>
          <w:rFonts w:cs="Arial"/>
          <w:sz w:val="22"/>
          <w:szCs w:val="22"/>
        </w:rPr>
        <w:t>Para los funcionarios que se quedan sin destino o que regresan al PNUD sin un derecho específico sobre un puesto y que no han podido conseguir un nuevo puesto tras un período de licencia especial sin sueldo o de un préstamo o comisión de servicio en otra Organización de las Naciones Unidas.</w:t>
      </w:r>
    </w:p>
    <w:p w14:paraId="6DC8CAAF" w14:textId="77777777" w:rsidR="00CB2B66" w:rsidRPr="00CB2B66" w:rsidRDefault="00CB2B66" w:rsidP="00CB2B66">
      <w:pPr>
        <w:pStyle w:val="ListParagraph"/>
        <w:ind w:left="810"/>
        <w:jc w:val="both"/>
        <w:rPr>
          <w:rFonts w:cs="Arial"/>
          <w:sz w:val="22"/>
          <w:szCs w:val="22"/>
        </w:rPr>
      </w:pPr>
    </w:p>
    <w:p w14:paraId="6DC8CAB0" w14:textId="77777777" w:rsidR="00CB2B66" w:rsidRPr="00CB2B66" w:rsidRDefault="00CB2B66" w:rsidP="00CB2B66">
      <w:pPr>
        <w:pStyle w:val="ListParagraph"/>
        <w:ind w:left="810"/>
        <w:jc w:val="both"/>
        <w:rPr>
          <w:rFonts w:cs="Arial"/>
          <w:sz w:val="22"/>
          <w:szCs w:val="22"/>
        </w:rPr>
      </w:pPr>
    </w:p>
    <w:p w14:paraId="6DC8CAB1"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Rescisión del nombramiento por motivos de abolición del puesto o reducción de personal</w:t>
      </w:r>
    </w:p>
    <w:p w14:paraId="6DC8CAB2" w14:textId="77777777" w:rsidR="00CB2B66" w:rsidRPr="00CB2B66" w:rsidRDefault="00CB2B66" w:rsidP="00CB2B66">
      <w:pPr>
        <w:jc w:val="both"/>
        <w:rPr>
          <w:rFonts w:asciiTheme="minorHAnsi" w:hAnsiTheme="minorHAnsi" w:cs="Arial"/>
          <w:sz w:val="22"/>
          <w:szCs w:val="22"/>
        </w:rPr>
      </w:pPr>
    </w:p>
    <w:p w14:paraId="6DC8CAB3"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La reubicación de un puesto en las categorías profesional y superior a otro lugar de destino no constituye la abolición de un puesto.  </w:t>
      </w:r>
    </w:p>
    <w:p w14:paraId="6DC8CAB4" w14:textId="77777777" w:rsidR="00CB2B66" w:rsidRPr="00CB2B66" w:rsidRDefault="00CB2B66" w:rsidP="00CB2B66">
      <w:pPr>
        <w:ind w:hanging="360"/>
        <w:jc w:val="both"/>
        <w:rPr>
          <w:rFonts w:asciiTheme="minorHAnsi" w:hAnsiTheme="minorHAnsi" w:cs="Arial"/>
          <w:sz w:val="22"/>
          <w:szCs w:val="22"/>
        </w:rPr>
      </w:pPr>
    </w:p>
    <w:p w14:paraId="6DC8CAB5" w14:textId="3EC2EE76" w:rsidR="00CB2B66" w:rsidRPr="00CB2B66" w:rsidRDefault="00CB2B66" w:rsidP="00CB2B66">
      <w:pPr>
        <w:pStyle w:val="ListParagraph"/>
        <w:keepLines/>
        <w:numPr>
          <w:ilvl w:val="0"/>
          <w:numId w:val="11"/>
        </w:numPr>
        <w:jc w:val="both"/>
        <w:rPr>
          <w:rFonts w:cs="Arial"/>
          <w:sz w:val="22"/>
          <w:szCs w:val="22"/>
        </w:rPr>
      </w:pPr>
      <w:r>
        <w:rPr>
          <w:sz w:val="22"/>
          <w:szCs w:val="22"/>
        </w:rPr>
        <w:t xml:space="preserve">Un aviso de rescisión  se entregará por escrito al miembro del personal que ocupa el puesto que se abolirá. Esto incluye a un miembro del personal que posee o mantiene un derecho de regresar a un puesto específico que se está aboliendo y que se encuentra en algún tipo de licencia autorizada, una adscripción o un préstamo interinstitucional. </w:t>
      </w:r>
    </w:p>
    <w:p w14:paraId="6DC8CAB6" w14:textId="77777777" w:rsidR="00CB2B66" w:rsidRPr="00CB2B66" w:rsidRDefault="00CB2B66" w:rsidP="00CB2B66">
      <w:pPr>
        <w:tabs>
          <w:tab w:val="left" w:pos="270"/>
        </w:tabs>
        <w:jc w:val="both"/>
        <w:rPr>
          <w:rFonts w:asciiTheme="minorHAnsi" w:hAnsiTheme="minorHAnsi" w:cs="Arial"/>
          <w:sz w:val="22"/>
          <w:szCs w:val="22"/>
        </w:rPr>
      </w:pPr>
    </w:p>
    <w:p w14:paraId="6DC8CAB7" w14:textId="77777777" w:rsidR="00CB2B66" w:rsidRPr="00CB2B66" w:rsidRDefault="00CB2B66" w:rsidP="00CB2B66">
      <w:pPr>
        <w:pStyle w:val="ListParagraph"/>
        <w:numPr>
          <w:ilvl w:val="0"/>
          <w:numId w:val="11"/>
        </w:numPr>
        <w:tabs>
          <w:tab w:val="left" w:pos="270"/>
        </w:tabs>
        <w:jc w:val="both"/>
        <w:rPr>
          <w:rFonts w:cs="Arial"/>
          <w:sz w:val="22"/>
          <w:szCs w:val="22"/>
        </w:rPr>
      </w:pPr>
      <w:r>
        <w:rPr>
          <w:sz w:val="22"/>
          <w:szCs w:val="22"/>
        </w:rPr>
        <w:t>En el caso de los miembros del personal de las categorías de Servicio General y Funcionario Nacional, su consideración para puestos disponibles y adecuados se limitará a los puestos disponibles y adecuados en sus lugares de destino.</w:t>
      </w:r>
    </w:p>
    <w:p w14:paraId="6DC8CAB8" w14:textId="77777777" w:rsidR="00CB2B66" w:rsidRPr="00CB2B66" w:rsidRDefault="00CB2B66" w:rsidP="00CB2B66">
      <w:pPr>
        <w:ind w:hanging="360"/>
        <w:jc w:val="both"/>
        <w:rPr>
          <w:rFonts w:asciiTheme="minorHAnsi" w:hAnsiTheme="minorHAnsi" w:cs="Arial"/>
          <w:sz w:val="22"/>
          <w:szCs w:val="22"/>
        </w:rPr>
      </w:pPr>
    </w:p>
    <w:p w14:paraId="6DC8CAB9" w14:textId="29EE8A57" w:rsidR="00CB2B66" w:rsidRPr="00CB2B66" w:rsidRDefault="00A73239" w:rsidP="01F60E22">
      <w:pPr>
        <w:pStyle w:val="ListParagraph"/>
        <w:numPr>
          <w:ilvl w:val="0"/>
          <w:numId w:val="11"/>
        </w:numPr>
        <w:jc w:val="both"/>
        <w:rPr>
          <w:rFonts w:cs="Arial"/>
          <w:sz w:val="22"/>
          <w:szCs w:val="22"/>
        </w:rPr>
      </w:pPr>
      <w:r w:rsidRPr="00A73239">
        <w:rPr>
          <w:sz w:val="22"/>
          <w:szCs w:val="22"/>
        </w:rPr>
        <w:t>Por "puesto disponible" se</w:t>
      </w:r>
      <w:r>
        <w:rPr>
          <w:sz w:val="22"/>
          <w:szCs w:val="22"/>
        </w:rPr>
        <w:t xml:space="preserve"> define como</w:t>
      </w:r>
      <w:r w:rsidRPr="00A73239">
        <w:rPr>
          <w:sz w:val="22"/>
          <w:szCs w:val="22"/>
        </w:rPr>
        <w:t xml:space="preserve"> un puesto vacante del PNUD, o un puesto que va a quedar vacante y que debe cubrirse antes de que finalice el plazo de preaviso de cese. La fuente de financiación del puesto puede diferir de la del puesto suprimido. A efectos de esta definición, un puesto disponible no incluye las asignaciones temporales ni las asignaciones detalladas, aunque se reconoce que el desempeño de funciones en tales casos puede suspender la terminación de un nombramiento.</w:t>
      </w:r>
      <w:r w:rsidR="00CB2B66" w:rsidRPr="01F60E22">
        <w:rPr>
          <w:sz w:val="22"/>
          <w:szCs w:val="22"/>
        </w:rPr>
        <w:t>.</w:t>
      </w:r>
    </w:p>
    <w:p w14:paraId="6DC8CABA" w14:textId="77777777" w:rsidR="00CB2B66" w:rsidRPr="00CB2B66" w:rsidRDefault="00CB2B66" w:rsidP="00CB2B66">
      <w:pPr>
        <w:jc w:val="both"/>
        <w:rPr>
          <w:rFonts w:asciiTheme="minorHAnsi" w:hAnsiTheme="minorHAnsi" w:cs="Arial"/>
          <w:sz w:val="22"/>
          <w:szCs w:val="22"/>
        </w:rPr>
      </w:pPr>
    </w:p>
    <w:p w14:paraId="6DC8CABB" w14:textId="75169D90" w:rsidR="00CB2B66" w:rsidRPr="00CB2B66" w:rsidRDefault="00CB2B66" w:rsidP="00CB2B66">
      <w:pPr>
        <w:pStyle w:val="ListParagraph"/>
        <w:numPr>
          <w:ilvl w:val="0"/>
          <w:numId w:val="11"/>
        </w:numPr>
        <w:jc w:val="both"/>
        <w:rPr>
          <w:rFonts w:cs="Arial"/>
          <w:sz w:val="22"/>
          <w:szCs w:val="22"/>
        </w:rPr>
      </w:pPr>
      <w:r>
        <w:rPr>
          <w:sz w:val="22"/>
          <w:szCs w:val="22"/>
        </w:rPr>
        <w:t xml:space="preserve">Un puesto es «adecuado» si </w:t>
      </w:r>
      <w:r w:rsidR="00A73239">
        <w:rPr>
          <w:sz w:val="22"/>
          <w:szCs w:val="22"/>
        </w:rPr>
        <w:t>los</w:t>
      </w:r>
      <w:r>
        <w:rPr>
          <w:sz w:val="22"/>
          <w:szCs w:val="22"/>
        </w:rPr>
        <w:t xml:space="preserve"> miembro</w:t>
      </w:r>
      <w:r w:rsidR="00CD3708">
        <w:rPr>
          <w:sz w:val="22"/>
          <w:szCs w:val="22"/>
        </w:rPr>
        <w:t>s</w:t>
      </w:r>
      <w:r>
        <w:rPr>
          <w:sz w:val="22"/>
          <w:szCs w:val="22"/>
        </w:rPr>
        <w:t xml:space="preserve"> del personal que tiene</w:t>
      </w:r>
      <w:r w:rsidR="00A73239">
        <w:rPr>
          <w:sz w:val="22"/>
          <w:szCs w:val="22"/>
        </w:rPr>
        <w:t>n</w:t>
      </w:r>
      <w:r>
        <w:rPr>
          <w:sz w:val="22"/>
          <w:szCs w:val="22"/>
        </w:rPr>
        <w:t xml:space="preserve"> un puesto abolido postula</w:t>
      </w:r>
      <w:r w:rsidR="00CD3708">
        <w:rPr>
          <w:sz w:val="22"/>
          <w:szCs w:val="22"/>
        </w:rPr>
        <w:t>n</w:t>
      </w:r>
      <w:r>
        <w:rPr>
          <w:sz w:val="22"/>
          <w:szCs w:val="22"/>
        </w:rPr>
        <w:t xml:space="preserve"> y cumple</w:t>
      </w:r>
      <w:r w:rsidR="00CD3708">
        <w:rPr>
          <w:sz w:val="22"/>
          <w:szCs w:val="22"/>
        </w:rPr>
        <w:t>n</w:t>
      </w:r>
      <w:r>
        <w:rPr>
          <w:sz w:val="22"/>
          <w:szCs w:val="22"/>
        </w:rPr>
        <w:t xml:space="preserve"> con los requisitos y las aptitudes para ocupar un puesto vacante en el que puedan utilizarse efectivamente sus servicios</w:t>
      </w:r>
      <w:r w:rsidR="00A73239">
        <w:rPr>
          <w:sz w:val="22"/>
          <w:szCs w:val="22"/>
        </w:rPr>
        <w:t xml:space="preserve"> </w:t>
      </w:r>
      <w:r w:rsidR="00A73239" w:rsidRPr="00A73239">
        <w:rPr>
          <w:sz w:val="22"/>
          <w:szCs w:val="22"/>
        </w:rPr>
        <w:t>y hayan presentado su candidatura o demostrado un interés específico e inequívoco documentado por el puesto correspondiente</w:t>
      </w:r>
      <w:r w:rsidR="00A73239">
        <w:rPr>
          <w:sz w:val="22"/>
          <w:szCs w:val="22"/>
        </w:rPr>
        <w:t>.</w:t>
      </w:r>
    </w:p>
    <w:p w14:paraId="6DC8CABC" w14:textId="77777777" w:rsidR="00CB2B66" w:rsidRPr="00CB2B66" w:rsidRDefault="00CB2B66" w:rsidP="00CB2B66">
      <w:pPr>
        <w:ind w:hanging="360"/>
        <w:jc w:val="both"/>
        <w:rPr>
          <w:rFonts w:asciiTheme="minorHAnsi" w:hAnsiTheme="minorHAnsi" w:cs="Arial"/>
          <w:sz w:val="22"/>
          <w:szCs w:val="22"/>
        </w:rPr>
      </w:pPr>
    </w:p>
    <w:p w14:paraId="6DC8CABD" w14:textId="4CB0B12A" w:rsidR="00CB2B66" w:rsidRPr="00CB2B66" w:rsidRDefault="00CB2B66" w:rsidP="00CB2B66">
      <w:pPr>
        <w:pStyle w:val="ListParagraph"/>
        <w:numPr>
          <w:ilvl w:val="0"/>
          <w:numId w:val="11"/>
        </w:numPr>
        <w:jc w:val="both"/>
        <w:rPr>
          <w:rFonts w:cs="Arial"/>
          <w:sz w:val="22"/>
          <w:szCs w:val="22"/>
        </w:rPr>
      </w:pPr>
      <w:r w:rsidRPr="01F60E22">
        <w:rPr>
          <w:sz w:val="22"/>
          <w:szCs w:val="22"/>
        </w:rPr>
        <w:t>Si se finalizar</w:t>
      </w:r>
      <w:r w:rsidR="57619FB3" w:rsidRPr="01F60E22">
        <w:rPr>
          <w:sz w:val="22"/>
          <w:szCs w:val="22"/>
        </w:rPr>
        <w:t>a</w:t>
      </w:r>
      <w:r w:rsidRPr="01F60E22">
        <w:rPr>
          <w:sz w:val="22"/>
          <w:szCs w:val="22"/>
        </w:rPr>
        <w:t xml:space="preserve">n los nombramientos como resultado de la abolición de un puesto debido a la reducción de personal, los miembros del personal igualmente adecuados se conservarán en el siguiente orden de preferencia: </w:t>
      </w:r>
    </w:p>
    <w:p w14:paraId="6DC8CABE" w14:textId="77777777" w:rsidR="00CB2B66" w:rsidRPr="00CB2B66" w:rsidRDefault="00CB2B66" w:rsidP="00CB2B66">
      <w:pPr>
        <w:tabs>
          <w:tab w:val="left" w:pos="0"/>
        </w:tabs>
        <w:ind w:left="360" w:hanging="360"/>
        <w:jc w:val="both"/>
        <w:rPr>
          <w:rFonts w:asciiTheme="minorHAnsi" w:hAnsiTheme="minorHAnsi" w:cs="Arial"/>
          <w:sz w:val="22"/>
          <w:szCs w:val="22"/>
        </w:rPr>
      </w:pPr>
    </w:p>
    <w:p w14:paraId="6DC8CABF" w14:textId="488BFF79" w:rsidR="00CB2B66" w:rsidRPr="00CB2B66" w:rsidRDefault="000C6719" w:rsidP="00CB2B66">
      <w:pPr>
        <w:pStyle w:val="ListParagraph"/>
        <w:numPr>
          <w:ilvl w:val="0"/>
          <w:numId w:val="2"/>
        </w:numPr>
        <w:tabs>
          <w:tab w:val="clear" w:pos="1170"/>
          <w:tab w:val="num" w:pos="1530"/>
        </w:tabs>
        <w:ind w:left="1530"/>
        <w:jc w:val="both"/>
        <w:rPr>
          <w:rFonts w:cs="Arial"/>
          <w:sz w:val="22"/>
          <w:szCs w:val="22"/>
        </w:rPr>
      </w:pPr>
      <w:r>
        <w:rPr>
          <w:sz w:val="22"/>
          <w:szCs w:val="22"/>
        </w:rPr>
        <w:t>M</w:t>
      </w:r>
      <w:r w:rsidR="00CB2B66">
        <w:rPr>
          <w:sz w:val="22"/>
          <w:szCs w:val="22"/>
        </w:rPr>
        <w:t xml:space="preserve">iembros del personal con nombramientos permanentes (PA, </w:t>
      </w:r>
      <w:r w:rsidR="00CB2B66" w:rsidRPr="000C6719">
        <w:rPr>
          <w:i/>
          <w:sz w:val="22"/>
          <w:szCs w:val="22"/>
        </w:rPr>
        <w:t xml:space="preserve">Permanent Appointments, </w:t>
      </w:r>
      <w:r w:rsidR="00CB2B66">
        <w:rPr>
          <w:sz w:val="22"/>
          <w:szCs w:val="22"/>
        </w:rPr>
        <w:t xml:space="preserve">por sus siglas en inglés); </w:t>
      </w:r>
    </w:p>
    <w:p w14:paraId="6DC8CAC0" w14:textId="77777777" w:rsidR="00CB2B66" w:rsidRPr="00CB2B66" w:rsidRDefault="00CB2B66" w:rsidP="00CB2B66">
      <w:pPr>
        <w:pStyle w:val="ListParagraph"/>
        <w:ind w:left="1710"/>
        <w:jc w:val="both"/>
        <w:rPr>
          <w:rFonts w:cs="Arial"/>
          <w:sz w:val="22"/>
          <w:szCs w:val="22"/>
        </w:rPr>
      </w:pPr>
    </w:p>
    <w:p w14:paraId="6DC8CAC1" w14:textId="1E45E469" w:rsidR="00CB2B66" w:rsidRPr="00CB2B66" w:rsidRDefault="000C6719" w:rsidP="00CB2B66">
      <w:pPr>
        <w:pStyle w:val="ListParagraph"/>
        <w:numPr>
          <w:ilvl w:val="0"/>
          <w:numId w:val="2"/>
        </w:numPr>
        <w:tabs>
          <w:tab w:val="clear" w:pos="1170"/>
          <w:tab w:val="num" w:pos="1530"/>
        </w:tabs>
        <w:ind w:left="1530"/>
        <w:jc w:val="both"/>
        <w:rPr>
          <w:rFonts w:cs="Arial"/>
          <w:sz w:val="22"/>
          <w:szCs w:val="22"/>
        </w:rPr>
      </w:pPr>
      <w:r>
        <w:rPr>
          <w:sz w:val="22"/>
          <w:szCs w:val="22"/>
        </w:rPr>
        <w:t>M</w:t>
      </w:r>
      <w:r w:rsidR="00CB2B66">
        <w:rPr>
          <w:sz w:val="22"/>
          <w:szCs w:val="22"/>
        </w:rPr>
        <w:t xml:space="preserve">iembros del personal con nombramientos continuos (CA, </w:t>
      </w:r>
      <w:r w:rsidR="00CB2B66" w:rsidRPr="000C6719">
        <w:rPr>
          <w:i/>
          <w:sz w:val="22"/>
          <w:szCs w:val="22"/>
        </w:rPr>
        <w:t>Continuing Appointments</w:t>
      </w:r>
      <w:r w:rsidR="00CB2B66">
        <w:rPr>
          <w:sz w:val="22"/>
          <w:szCs w:val="22"/>
        </w:rPr>
        <w:t xml:space="preserve">, por sus siglas en inglés); </w:t>
      </w:r>
    </w:p>
    <w:p w14:paraId="6DC8CAC2" w14:textId="77777777" w:rsidR="00CB2B66" w:rsidRPr="00CB2B66" w:rsidRDefault="00CB2B66" w:rsidP="00CB2B66">
      <w:pPr>
        <w:pStyle w:val="ListParagraph"/>
        <w:ind w:left="1710"/>
        <w:jc w:val="both"/>
        <w:rPr>
          <w:rFonts w:cs="Arial"/>
          <w:sz w:val="22"/>
          <w:szCs w:val="22"/>
        </w:rPr>
      </w:pPr>
    </w:p>
    <w:p w14:paraId="6DC8CAC3" w14:textId="550D9DB0" w:rsidR="00CB2B66" w:rsidRPr="00CB2B66" w:rsidRDefault="000C6719" w:rsidP="00CB2B66">
      <w:pPr>
        <w:pStyle w:val="ListParagraph"/>
        <w:numPr>
          <w:ilvl w:val="0"/>
          <w:numId w:val="2"/>
        </w:numPr>
        <w:tabs>
          <w:tab w:val="clear" w:pos="1170"/>
          <w:tab w:val="num" w:pos="1530"/>
        </w:tabs>
        <w:ind w:left="1530"/>
        <w:jc w:val="both"/>
        <w:rPr>
          <w:rFonts w:cs="Arial"/>
          <w:sz w:val="22"/>
          <w:szCs w:val="22"/>
        </w:rPr>
      </w:pPr>
      <w:r>
        <w:rPr>
          <w:sz w:val="22"/>
          <w:szCs w:val="22"/>
        </w:rPr>
        <w:t>M</w:t>
      </w:r>
      <w:r w:rsidR="00CB2B66">
        <w:rPr>
          <w:sz w:val="22"/>
          <w:szCs w:val="22"/>
        </w:rPr>
        <w:t xml:space="preserve">iembros del personal con nombramientos de plazo fijo (FTA, </w:t>
      </w:r>
      <w:r w:rsidR="00CB2B66" w:rsidRPr="000C6719">
        <w:rPr>
          <w:i/>
          <w:sz w:val="22"/>
          <w:szCs w:val="22"/>
        </w:rPr>
        <w:t xml:space="preserve">Fixed-Term Appointments, </w:t>
      </w:r>
      <w:r w:rsidR="00CB2B66">
        <w:rPr>
          <w:sz w:val="22"/>
          <w:szCs w:val="22"/>
        </w:rPr>
        <w:t>por sus siglas en inglés);</w:t>
      </w:r>
    </w:p>
    <w:p w14:paraId="6DC8CAC4" w14:textId="77777777" w:rsidR="00CB2B66" w:rsidRPr="00CB2B66" w:rsidRDefault="00CB2B66" w:rsidP="00CB2B66">
      <w:pPr>
        <w:pStyle w:val="ListParagraph"/>
        <w:rPr>
          <w:rFonts w:cs="Arial"/>
          <w:sz w:val="22"/>
          <w:szCs w:val="22"/>
        </w:rPr>
      </w:pPr>
    </w:p>
    <w:p w14:paraId="6DC8CAC6" w14:textId="77777777" w:rsidR="00CB2B66" w:rsidRPr="00CB2B66" w:rsidRDefault="00CB2B66" w:rsidP="00CB2B66">
      <w:pPr>
        <w:ind w:left="360" w:hanging="360"/>
        <w:jc w:val="both"/>
        <w:rPr>
          <w:rFonts w:asciiTheme="minorHAnsi" w:hAnsiTheme="minorHAnsi" w:cs="Arial"/>
          <w:sz w:val="22"/>
          <w:szCs w:val="22"/>
        </w:rPr>
      </w:pPr>
    </w:p>
    <w:p w14:paraId="6DC8CAC7" w14:textId="77777777" w:rsidR="00CB2B66" w:rsidRPr="00CB2B66" w:rsidRDefault="00CB2B66" w:rsidP="00CB2B66">
      <w:pPr>
        <w:pStyle w:val="ListParagraph"/>
        <w:numPr>
          <w:ilvl w:val="0"/>
          <w:numId w:val="11"/>
        </w:numPr>
        <w:jc w:val="both"/>
        <w:rPr>
          <w:bCs/>
          <w:sz w:val="22"/>
          <w:szCs w:val="22"/>
        </w:rPr>
      </w:pPr>
      <w:r>
        <w:rPr>
          <w:sz w:val="22"/>
          <w:szCs w:val="22"/>
        </w:rPr>
        <w:t>Al considerar a candidatos con el mismo nivel de adecuación para el puesto, se debe tener en cuenta la competencia profesional relativa, la integridad y el tiempo de servicio.</w:t>
      </w:r>
      <w:r>
        <w:rPr>
          <w:bCs/>
          <w:sz w:val="22"/>
          <w:szCs w:val="22"/>
        </w:rPr>
        <w:t xml:space="preserve"> </w:t>
      </w:r>
    </w:p>
    <w:p w14:paraId="6DC8CAC8" w14:textId="77777777" w:rsidR="00CB2B66" w:rsidRPr="00CB2B66" w:rsidRDefault="00CB2B66" w:rsidP="00CB2B66">
      <w:pPr>
        <w:ind w:left="360" w:hanging="360"/>
        <w:jc w:val="both"/>
        <w:rPr>
          <w:rFonts w:asciiTheme="minorHAnsi" w:hAnsiTheme="minorHAnsi" w:cs="Arial"/>
          <w:sz w:val="22"/>
          <w:szCs w:val="22"/>
        </w:rPr>
      </w:pPr>
    </w:p>
    <w:p w14:paraId="6DC8CAC9" w14:textId="77777777" w:rsidR="00CB2B66" w:rsidRPr="00CB2B66" w:rsidRDefault="00CB2B66" w:rsidP="00CB2B66">
      <w:pPr>
        <w:pStyle w:val="ListParagraph"/>
        <w:numPr>
          <w:ilvl w:val="0"/>
          <w:numId w:val="11"/>
        </w:numPr>
        <w:tabs>
          <w:tab w:val="left" w:pos="0"/>
        </w:tabs>
        <w:jc w:val="both"/>
        <w:rPr>
          <w:rFonts w:cs="Arial"/>
          <w:sz w:val="22"/>
          <w:szCs w:val="22"/>
        </w:rPr>
      </w:pPr>
      <w:r>
        <w:rPr>
          <w:sz w:val="22"/>
          <w:szCs w:val="22"/>
        </w:rPr>
        <w:t xml:space="preserve">La fecha de entrada en vigor de la separación es la siguiente: </w:t>
      </w:r>
    </w:p>
    <w:p w14:paraId="6DC8CACA" w14:textId="77777777" w:rsidR="00CB2B66" w:rsidRPr="00CB2B66" w:rsidRDefault="00CB2B66" w:rsidP="00CB2B66">
      <w:pPr>
        <w:ind w:hanging="360"/>
        <w:jc w:val="both"/>
        <w:rPr>
          <w:rFonts w:asciiTheme="minorHAnsi" w:hAnsiTheme="minorHAnsi" w:cs="Arial"/>
          <w:sz w:val="22"/>
          <w:szCs w:val="22"/>
        </w:rPr>
      </w:pPr>
    </w:p>
    <w:p w14:paraId="6DC8CACB" w14:textId="74FA59EF" w:rsidR="00CB2B66" w:rsidRPr="00CB2B66" w:rsidRDefault="000C6719" w:rsidP="00CB2B66">
      <w:pPr>
        <w:pStyle w:val="ListParagraph"/>
        <w:numPr>
          <w:ilvl w:val="0"/>
          <w:numId w:val="3"/>
        </w:numPr>
        <w:ind w:left="1530"/>
        <w:jc w:val="both"/>
        <w:rPr>
          <w:rFonts w:cs="Arial"/>
          <w:sz w:val="22"/>
          <w:szCs w:val="22"/>
        </w:rPr>
      </w:pPr>
      <w:r>
        <w:rPr>
          <w:sz w:val="22"/>
          <w:szCs w:val="22"/>
        </w:rPr>
        <w:t>E</w:t>
      </w:r>
      <w:r w:rsidR="00CB2B66">
        <w:rPr>
          <w:sz w:val="22"/>
          <w:szCs w:val="22"/>
        </w:rPr>
        <w:t xml:space="preserve">n el caso de los miembros del personal con un nombramiento permanente , la fecha de separación es la fecha de vencimiento del período de aviso; </w:t>
      </w:r>
    </w:p>
    <w:p w14:paraId="6DC8CACC" w14:textId="77777777" w:rsidR="00CB2B66" w:rsidRPr="00CB2B66" w:rsidRDefault="00CB2B66" w:rsidP="00CB2B66">
      <w:pPr>
        <w:ind w:left="360"/>
        <w:jc w:val="both"/>
        <w:rPr>
          <w:rFonts w:asciiTheme="minorHAnsi" w:hAnsiTheme="minorHAnsi" w:cs="Arial"/>
          <w:sz w:val="22"/>
          <w:szCs w:val="22"/>
        </w:rPr>
      </w:pPr>
    </w:p>
    <w:p w14:paraId="6DC8CACE" w14:textId="77777777" w:rsidR="00CB2B66" w:rsidRPr="00CB2B66" w:rsidRDefault="00CB2B66" w:rsidP="00CB2B66">
      <w:pPr>
        <w:ind w:left="360"/>
        <w:jc w:val="both"/>
        <w:rPr>
          <w:rFonts w:asciiTheme="minorHAnsi" w:hAnsiTheme="minorHAnsi" w:cs="Arial"/>
          <w:sz w:val="22"/>
          <w:szCs w:val="22"/>
        </w:rPr>
      </w:pPr>
    </w:p>
    <w:p w14:paraId="6DC8CACF" w14:textId="1B340744" w:rsidR="00CB2B66" w:rsidRPr="00CB2B66" w:rsidRDefault="000C6719" w:rsidP="00CB2B66">
      <w:pPr>
        <w:pStyle w:val="ListParagraph"/>
        <w:numPr>
          <w:ilvl w:val="0"/>
          <w:numId w:val="3"/>
        </w:numPr>
        <w:ind w:left="1530"/>
        <w:jc w:val="both"/>
        <w:rPr>
          <w:rFonts w:cs="Arial"/>
          <w:sz w:val="22"/>
          <w:szCs w:val="22"/>
        </w:rPr>
      </w:pPr>
      <w:r>
        <w:rPr>
          <w:sz w:val="22"/>
          <w:szCs w:val="22"/>
        </w:rPr>
        <w:t>P</w:t>
      </w:r>
      <w:r w:rsidR="00CB2B66">
        <w:rPr>
          <w:sz w:val="22"/>
          <w:szCs w:val="22"/>
        </w:rPr>
        <w:t xml:space="preserve">ara un miembro del personal con un nombramiento de plazo fijo que vence después del final del período de aviso, la fecha de separación es la fecha de vencimiento del período del aviso. </w:t>
      </w:r>
    </w:p>
    <w:p w14:paraId="6DC8CAD0" w14:textId="77777777" w:rsidR="00CB2B66" w:rsidRPr="00CB2B66" w:rsidRDefault="00CB2B66" w:rsidP="00CB2B66">
      <w:pPr>
        <w:ind w:left="720"/>
        <w:jc w:val="both"/>
        <w:rPr>
          <w:rFonts w:asciiTheme="minorHAnsi" w:hAnsiTheme="minorHAnsi" w:cs="Arial"/>
          <w:b/>
          <w:sz w:val="22"/>
          <w:szCs w:val="22"/>
        </w:rPr>
      </w:pPr>
    </w:p>
    <w:p w14:paraId="6DC8CAD8" w14:textId="77777777" w:rsidR="00CB2B66" w:rsidRPr="00CB2B66" w:rsidRDefault="00CB2B66" w:rsidP="00CB2B66">
      <w:pPr>
        <w:pStyle w:val="ListParagraph"/>
        <w:ind w:left="720"/>
        <w:jc w:val="both"/>
        <w:rPr>
          <w:rFonts w:cs="Arial"/>
          <w:sz w:val="22"/>
          <w:szCs w:val="22"/>
        </w:rPr>
      </w:pPr>
    </w:p>
    <w:p w14:paraId="6DC8CAD9"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En el caso de los miembros del personal en puestos abolidos, pueden solicitarse opciones de aplazamiento de la separación en forma de licencias especiales sin sueldo (SLWOP, </w:t>
      </w:r>
      <w:r>
        <w:rPr>
          <w:i/>
          <w:sz w:val="22"/>
          <w:szCs w:val="22"/>
        </w:rPr>
        <w:t>Special Leave Without Pay</w:t>
      </w:r>
      <w:r>
        <w:rPr>
          <w:sz w:val="22"/>
          <w:szCs w:val="22"/>
        </w:rPr>
        <w:t xml:space="preserve">, por sus siglas en inglés) durante un período de hasta dos años y no más, con el propósito de reunir el plazo de los requisitos de servicio para la jubilación o el seguro médico posterior a la separación de servicio (ASHI, </w:t>
      </w:r>
      <w:r>
        <w:rPr>
          <w:i/>
          <w:sz w:val="22"/>
          <w:szCs w:val="22"/>
        </w:rPr>
        <w:t xml:space="preserve">After </w:t>
      </w:r>
      <w:proofErr w:type="spellStart"/>
      <w:r>
        <w:rPr>
          <w:i/>
          <w:sz w:val="22"/>
          <w:szCs w:val="22"/>
        </w:rPr>
        <w:t>Service</w:t>
      </w:r>
      <w:proofErr w:type="spellEnd"/>
      <w:r>
        <w:rPr>
          <w:i/>
          <w:sz w:val="22"/>
          <w:szCs w:val="22"/>
        </w:rPr>
        <w:t xml:space="preserve"> </w:t>
      </w:r>
      <w:proofErr w:type="spellStart"/>
      <w:r>
        <w:rPr>
          <w:i/>
          <w:sz w:val="22"/>
          <w:szCs w:val="22"/>
        </w:rPr>
        <w:t>Health</w:t>
      </w:r>
      <w:proofErr w:type="spellEnd"/>
      <w:r>
        <w:rPr>
          <w:i/>
          <w:sz w:val="22"/>
          <w:szCs w:val="22"/>
        </w:rPr>
        <w:t xml:space="preserve"> </w:t>
      </w:r>
      <w:proofErr w:type="spellStart"/>
      <w:r>
        <w:rPr>
          <w:i/>
          <w:sz w:val="22"/>
          <w:szCs w:val="22"/>
        </w:rPr>
        <w:t>Insurance</w:t>
      </w:r>
      <w:proofErr w:type="spellEnd"/>
      <w:r>
        <w:rPr>
          <w:sz w:val="22"/>
          <w:szCs w:val="22"/>
        </w:rPr>
        <w:t xml:space="preserve">, por sus siglas en inglés). </w:t>
      </w:r>
    </w:p>
    <w:p w14:paraId="6DC8CADA" w14:textId="77777777" w:rsidR="00CB2B66" w:rsidRPr="00CB2B66" w:rsidRDefault="00CB2B66" w:rsidP="00CB2B66">
      <w:pPr>
        <w:ind w:left="-180"/>
        <w:jc w:val="both"/>
        <w:rPr>
          <w:rFonts w:asciiTheme="minorHAnsi" w:hAnsiTheme="minorHAnsi" w:cs="Arial"/>
          <w:sz w:val="22"/>
          <w:szCs w:val="22"/>
        </w:rPr>
      </w:pPr>
    </w:p>
    <w:p w14:paraId="6DC8CADB" w14:textId="77777777" w:rsidR="00CB2B66" w:rsidRPr="00CB2B66" w:rsidRDefault="00CB2B66" w:rsidP="00CB2B66">
      <w:pPr>
        <w:ind w:left="-180"/>
        <w:jc w:val="both"/>
        <w:rPr>
          <w:rFonts w:asciiTheme="minorHAnsi" w:hAnsiTheme="minorHAnsi" w:cs="Arial"/>
          <w:sz w:val="22"/>
          <w:szCs w:val="22"/>
        </w:rPr>
      </w:pPr>
    </w:p>
    <w:p w14:paraId="6DC8CADC"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Rescisión del nombramiento por servicio insatisfactorio</w:t>
      </w:r>
    </w:p>
    <w:p w14:paraId="6DC8CADE" w14:textId="24BE306C" w:rsidR="00CB2B66" w:rsidRPr="00CB2B66" w:rsidRDefault="00CB2B66" w:rsidP="00CB2B66">
      <w:pPr>
        <w:pStyle w:val="ListParagraph"/>
        <w:numPr>
          <w:ilvl w:val="0"/>
          <w:numId w:val="11"/>
        </w:numPr>
        <w:jc w:val="both"/>
        <w:rPr>
          <w:rFonts w:cs="Arial"/>
          <w:sz w:val="22"/>
          <w:szCs w:val="22"/>
        </w:rPr>
      </w:pPr>
      <w:r>
        <w:rPr>
          <w:sz w:val="22"/>
          <w:szCs w:val="22"/>
        </w:rPr>
        <w:t xml:space="preserve">Los gerentes deben utilizar la </w:t>
      </w:r>
      <w:r w:rsidR="00CD3708">
        <w:rPr>
          <w:sz w:val="22"/>
          <w:szCs w:val="22"/>
        </w:rPr>
        <w:t xml:space="preserve">herramienta adecuada de acuerdo a la política </w:t>
      </w:r>
      <w:r w:rsidR="002200D0">
        <w:rPr>
          <w:sz w:val="22"/>
          <w:szCs w:val="22"/>
        </w:rPr>
        <w:t xml:space="preserve">de gestión y perfeccionamiento de la actuación profesional </w:t>
      </w:r>
      <w:r>
        <w:rPr>
          <w:sz w:val="22"/>
          <w:szCs w:val="22"/>
        </w:rPr>
        <w:t>para registrar el servicio insatisfactorio y para llamar la atención de miembro</w:t>
      </w:r>
      <w:r w:rsidR="002200D0">
        <w:rPr>
          <w:sz w:val="22"/>
          <w:szCs w:val="22"/>
        </w:rPr>
        <w:t>s</w:t>
      </w:r>
      <w:r>
        <w:rPr>
          <w:sz w:val="22"/>
          <w:szCs w:val="22"/>
        </w:rPr>
        <w:t xml:space="preserve"> del personal en forma oportuna, para poder ofrecer a</w:t>
      </w:r>
      <w:r w:rsidR="002200D0">
        <w:rPr>
          <w:sz w:val="22"/>
          <w:szCs w:val="22"/>
        </w:rPr>
        <w:t xml:space="preserve"> </w:t>
      </w:r>
      <w:r>
        <w:rPr>
          <w:sz w:val="22"/>
          <w:szCs w:val="22"/>
        </w:rPr>
        <w:t>l</w:t>
      </w:r>
      <w:r w:rsidR="002200D0">
        <w:rPr>
          <w:sz w:val="22"/>
          <w:szCs w:val="22"/>
        </w:rPr>
        <w:t>os</w:t>
      </w:r>
      <w:r>
        <w:rPr>
          <w:sz w:val="22"/>
          <w:szCs w:val="22"/>
        </w:rPr>
        <w:t xml:space="preserve"> miembro</w:t>
      </w:r>
      <w:r w:rsidR="002200D0">
        <w:rPr>
          <w:sz w:val="22"/>
          <w:szCs w:val="22"/>
        </w:rPr>
        <w:t>s</w:t>
      </w:r>
      <w:r>
        <w:rPr>
          <w:sz w:val="22"/>
          <w:szCs w:val="22"/>
        </w:rPr>
        <w:t xml:space="preserve"> del personal una oportunidad de mejorar su actuación profesional. </w:t>
      </w:r>
    </w:p>
    <w:p w14:paraId="6DC8CADF" w14:textId="77777777" w:rsidR="00CB2B66" w:rsidRPr="00CB2B66" w:rsidRDefault="00CB2B66" w:rsidP="00CB2B66">
      <w:pPr>
        <w:ind w:left="270" w:hanging="720"/>
        <w:jc w:val="both"/>
        <w:rPr>
          <w:rFonts w:asciiTheme="minorHAnsi" w:hAnsiTheme="minorHAnsi" w:cs="Arial"/>
          <w:sz w:val="22"/>
          <w:szCs w:val="22"/>
        </w:rPr>
      </w:pPr>
    </w:p>
    <w:p w14:paraId="6DC8CAE0" w14:textId="77777777" w:rsidR="00CB2B66" w:rsidRPr="00CB2B66" w:rsidRDefault="00CB2B66" w:rsidP="00CB2B66">
      <w:pPr>
        <w:pStyle w:val="ListParagraph"/>
        <w:numPr>
          <w:ilvl w:val="0"/>
          <w:numId w:val="11"/>
        </w:numPr>
        <w:jc w:val="both"/>
        <w:rPr>
          <w:rFonts w:cs="Arial"/>
          <w:sz w:val="22"/>
          <w:szCs w:val="22"/>
        </w:rPr>
      </w:pPr>
      <w:r>
        <w:rPr>
          <w:snapToGrid w:val="0"/>
          <w:sz w:val="22"/>
          <w:szCs w:val="22"/>
        </w:rPr>
        <w:lastRenderedPageBreak/>
        <w:t>Sin embargo, si no se logra la mejora en la actuación profesional en línea con las expectativas y dentro de un cronograma acordado, puede rescindirse el nombramiento del miembro del personal.</w:t>
      </w:r>
    </w:p>
    <w:p w14:paraId="6DC8CAE1" w14:textId="77777777" w:rsidR="00CB2B66" w:rsidRPr="00CB2B66" w:rsidRDefault="00CB2B66" w:rsidP="00CB2B66">
      <w:pPr>
        <w:jc w:val="both"/>
        <w:rPr>
          <w:rFonts w:asciiTheme="minorHAnsi" w:hAnsiTheme="minorHAnsi" w:cs="Arial"/>
          <w:sz w:val="22"/>
          <w:szCs w:val="22"/>
        </w:rPr>
      </w:pPr>
    </w:p>
    <w:p w14:paraId="6DC8CAE2" w14:textId="77777777" w:rsidR="00CB2B66" w:rsidRPr="00CB2B66" w:rsidRDefault="00CB2B66" w:rsidP="00CB2B66">
      <w:pPr>
        <w:pStyle w:val="ListParagraph"/>
        <w:numPr>
          <w:ilvl w:val="0"/>
          <w:numId w:val="11"/>
        </w:numPr>
        <w:jc w:val="both"/>
        <w:rPr>
          <w:rFonts w:cs="Arial"/>
          <w:sz w:val="22"/>
          <w:szCs w:val="22"/>
        </w:rPr>
      </w:pPr>
      <w:r>
        <w:rPr>
          <w:sz w:val="22"/>
          <w:szCs w:val="22"/>
        </w:rPr>
        <w:t>En el caso de que un miembro del personal tenga un nombramiento permanente propuesto para que se dé por finalizado por servicio insatisfactorio, la acción propuesta se revisará de conformidad con la regla del Reglamento del Personal 13.1 (b) (i) por un órgano establecido para tal revisión y que hará una recomendación al Administrador o a su funcionario delegado.</w:t>
      </w:r>
    </w:p>
    <w:p w14:paraId="6DC8CAE3" w14:textId="77777777" w:rsidR="00CB2B66" w:rsidRPr="00CB2B66" w:rsidRDefault="00CB2B66" w:rsidP="00CB2B66">
      <w:pPr>
        <w:jc w:val="both"/>
        <w:rPr>
          <w:rFonts w:asciiTheme="minorHAnsi" w:hAnsiTheme="minorHAnsi" w:cs="Arial"/>
          <w:sz w:val="22"/>
          <w:szCs w:val="22"/>
        </w:rPr>
      </w:pPr>
    </w:p>
    <w:p w14:paraId="6DC8CAE4"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En el caso de que un miembro del personal con un nombramiento temporal de seis meses o menos, del que no se haya realizado una evaluación de actuación profesional debido a la corta duración del servicio, sea considerado insatisfactorio para los propósitos de la presente política dicha situación debe ser certificada, por escrito, por el supervisor y confirmada por el Director del Buró o el Jefe de Oficina. Dicho miembro del personal puede ser separado de su cargo por prestar un servicio insatisfactorio, mediante la finalización anticipada del nombramiento, sin mayor revisión. </w:t>
      </w:r>
    </w:p>
    <w:p w14:paraId="6DC8CAE5" w14:textId="77777777" w:rsidR="00CB2B66" w:rsidRPr="00CB2B66" w:rsidRDefault="00CB2B66" w:rsidP="00CB2B66">
      <w:pPr>
        <w:ind w:hanging="435"/>
        <w:jc w:val="both"/>
        <w:rPr>
          <w:rFonts w:asciiTheme="minorHAnsi" w:hAnsiTheme="minorHAnsi" w:cs="Arial"/>
          <w:sz w:val="22"/>
          <w:szCs w:val="22"/>
        </w:rPr>
      </w:pPr>
    </w:p>
    <w:p w14:paraId="6DC8CAE6" w14:textId="1B68ED00" w:rsidR="00CB2B66" w:rsidRPr="00CB2B66" w:rsidRDefault="00CB2B66" w:rsidP="00CB2B66">
      <w:pPr>
        <w:pStyle w:val="ListParagraph"/>
        <w:numPr>
          <w:ilvl w:val="0"/>
          <w:numId w:val="11"/>
        </w:numPr>
        <w:jc w:val="both"/>
        <w:rPr>
          <w:rFonts w:cs="Arial"/>
          <w:sz w:val="22"/>
          <w:szCs w:val="22"/>
        </w:rPr>
      </w:pPr>
      <w:r>
        <w:rPr>
          <w:sz w:val="22"/>
          <w:szCs w:val="22"/>
        </w:rPr>
        <w:t>En el caso de rescisión debido a servicio insatisfactorio, el miembro del personal recibirá un aviso de acuerdo con l</w:t>
      </w:r>
      <w:r w:rsidR="002200D0">
        <w:rPr>
          <w:sz w:val="22"/>
          <w:szCs w:val="22"/>
        </w:rPr>
        <w:t xml:space="preserve">as condiciones correspondientes a su tipo de </w:t>
      </w:r>
      <w:r>
        <w:rPr>
          <w:sz w:val="22"/>
          <w:szCs w:val="22"/>
        </w:rPr>
        <w:t xml:space="preserve">nombramiento o se le pagará el </w:t>
      </w:r>
      <w:r w:rsidR="002200D0">
        <w:rPr>
          <w:sz w:val="22"/>
          <w:szCs w:val="22"/>
        </w:rPr>
        <w:t>compensación</w:t>
      </w:r>
      <w:r>
        <w:rPr>
          <w:sz w:val="22"/>
          <w:szCs w:val="22"/>
        </w:rPr>
        <w:t xml:space="preserve"> en lugar de esperar el período de aviso, a discreción del Administrador o su funcionario delegado. </w:t>
      </w:r>
    </w:p>
    <w:p w14:paraId="6DC8CAE7" w14:textId="77777777" w:rsidR="00CB2B66" w:rsidRPr="00CB2B66" w:rsidRDefault="00CB2B66" w:rsidP="00CB2B66">
      <w:pPr>
        <w:pStyle w:val="ListParagraph"/>
        <w:rPr>
          <w:rFonts w:cs="Arial"/>
          <w:sz w:val="22"/>
          <w:szCs w:val="22"/>
        </w:rPr>
      </w:pPr>
    </w:p>
    <w:p w14:paraId="6DC8CAE8"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Un miembro del personal cuyo nombramiento finalice debido a servicio insatisfactorio puede recibir un pago de indemnización por rescisión de acuerdo con el Anexo III, párrafo (c) del Estatuto del Personal. </w:t>
      </w:r>
    </w:p>
    <w:p w14:paraId="6DC8CAE9" w14:textId="77777777" w:rsidR="00CB2B66" w:rsidRPr="00CB2B66" w:rsidRDefault="00CB2B66" w:rsidP="00CB2B66">
      <w:pPr>
        <w:jc w:val="both"/>
        <w:rPr>
          <w:rFonts w:asciiTheme="minorHAnsi" w:hAnsiTheme="minorHAnsi" w:cs="Arial"/>
          <w:sz w:val="22"/>
          <w:szCs w:val="22"/>
        </w:rPr>
      </w:pPr>
    </w:p>
    <w:p w14:paraId="6DC8CAEA" w14:textId="77777777" w:rsidR="00CB2B66" w:rsidRPr="00CB2B66" w:rsidRDefault="00CB2B66" w:rsidP="00CB2B66">
      <w:pPr>
        <w:jc w:val="both"/>
        <w:rPr>
          <w:rFonts w:asciiTheme="minorHAnsi" w:hAnsiTheme="minorHAnsi" w:cs="Arial"/>
          <w:sz w:val="22"/>
          <w:szCs w:val="22"/>
        </w:rPr>
      </w:pPr>
    </w:p>
    <w:p w14:paraId="6DC8CAEB"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Rescisión del nombramiento por razones de salud</w:t>
      </w:r>
    </w:p>
    <w:p w14:paraId="6DC8CAEC" w14:textId="77777777" w:rsidR="00CB2B66" w:rsidRPr="00CB2B66" w:rsidRDefault="00CB2B66" w:rsidP="00CB2B66">
      <w:pPr>
        <w:jc w:val="both"/>
        <w:rPr>
          <w:rFonts w:asciiTheme="minorHAnsi" w:hAnsiTheme="minorHAnsi" w:cs="Arial"/>
          <w:b/>
          <w:sz w:val="22"/>
          <w:szCs w:val="22"/>
        </w:rPr>
      </w:pPr>
    </w:p>
    <w:p w14:paraId="6DC8CAED" w14:textId="2CB7EC80" w:rsidR="00CB2B66" w:rsidRPr="00CB2B66" w:rsidRDefault="00CB2B66" w:rsidP="00CB2B66">
      <w:pPr>
        <w:pStyle w:val="ListParagraph"/>
        <w:numPr>
          <w:ilvl w:val="0"/>
          <w:numId w:val="11"/>
        </w:numPr>
        <w:ind w:left="795"/>
        <w:jc w:val="both"/>
        <w:rPr>
          <w:rFonts w:cs="Arial"/>
          <w:sz w:val="22"/>
          <w:szCs w:val="22"/>
        </w:rPr>
      </w:pPr>
      <w:r w:rsidRPr="01F60E22">
        <w:rPr>
          <w:sz w:val="22"/>
          <w:szCs w:val="22"/>
        </w:rPr>
        <w:t xml:space="preserve">Véase </w:t>
      </w:r>
      <w:r w:rsidR="002200D0">
        <w:rPr>
          <w:sz w:val="22"/>
          <w:szCs w:val="22"/>
        </w:rPr>
        <w:t>la política</w:t>
      </w:r>
      <w:r w:rsidRPr="01F60E22">
        <w:rPr>
          <w:sz w:val="22"/>
          <w:szCs w:val="22"/>
        </w:rPr>
        <w:t xml:space="preserve"> del PNUD en</w:t>
      </w:r>
      <w:r>
        <w:t xml:space="preserve"> «</w:t>
      </w:r>
      <w:hyperlink r:id="rId16" w:history="1">
        <w:r w:rsidRPr="00D85269">
          <w:rPr>
            <w:rStyle w:val="Hyperlink"/>
            <w:sz w:val="22"/>
            <w:szCs w:val="22"/>
          </w:rPr>
          <w:t>Rescisión del nombramiento por razones de salud</w:t>
        </w:r>
        <w:r w:rsidRPr="000A6F0E">
          <w:rPr>
            <w:rStyle w:val="Hyperlink"/>
            <w:color w:val="auto"/>
            <w:sz w:val="22"/>
            <w:szCs w:val="22"/>
          </w:rPr>
          <w:t>»</w:t>
        </w:r>
      </w:hyperlink>
      <w:r w:rsidRPr="01F60E22">
        <w:rPr>
          <w:sz w:val="22"/>
          <w:szCs w:val="22"/>
        </w:rPr>
        <w:t xml:space="preserve"> en las POPP. </w:t>
      </w:r>
    </w:p>
    <w:p w14:paraId="6DC8CAEE" w14:textId="77777777" w:rsidR="00CB2B66" w:rsidRPr="00CB2B66" w:rsidRDefault="00CB2B66" w:rsidP="00CB2B66">
      <w:pPr>
        <w:ind w:left="-375"/>
        <w:jc w:val="both"/>
        <w:rPr>
          <w:rFonts w:asciiTheme="minorHAnsi" w:hAnsiTheme="minorHAnsi" w:cs="Arial"/>
          <w:sz w:val="22"/>
          <w:szCs w:val="22"/>
        </w:rPr>
      </w:pPr>
    </w:p>
    <w:p w14:paraId="6DC8CAEF" w14:textId="77777777" w:rsidR="00CB2B66" w:rsidRPr="00CB2B66" w:rsidRDefault="00CB2B66" w:rsidP="00CB2B66">
      <w:pPr>
        <w:ind w:left="-375"/>
        <w:jc w:val="both"/>
        <w:rPr>
          <w:rFonts w:asciiTheme="minorHAnsi" w:hAnsiTheme="minorHAnsi" w:cs="Arial"/>
          <w:sz w:val="22"/>
          <w:szCs w:val="22"/>
        </w:rPr>
      </w:pPr>
    </w:p>
    <w:p w14:paraId="6DC8CAF0"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Rescisión del nombramiento debido a hechos anteriores al nombramiento</w:t>
      </w:r>
    </w:p>
    <w:p w14:paraId="6DC8CAF1" w14:textId="77777777" w:rsidR="00CB2B66" w:rsidRPr="00CB2B66" w:rsidRDefault="00CB2B66" w:rsidP="00CB2B66">
      <w:pPr>
        <w:pStyle w:val="ListParagraph"/>
        <w:ind w:left="720"/>
        <w:jc w:val="both"/>
        <w:rPr>
          <w:rFonts w:cs="Arial"/>
          <w:sz w:val="22"/>
          <w:szCs w:val="22"/>
        </w:rPr>
      </w:pPr>
    </w:p>
    <w:p w14:paraId="6DC8CAF2" w14:textId="77777777" w:rsidR="00CB2B66" w:rsidRPr="00CB2B66" w:rsidRDefault="00CB2B66" w:rsidP="00CB2B66">
      <w:pPr>
        <w:pStyle w:val="ListParagraph"/>
        <w:numPr>
          <w:ilvl w:val="0"/>
          <w:numId w:val="11"/>
        </w:numPr>
        <w:jc w:val="both"/>
        <w:rPr>
          <w:rFonts w:cs="Arial"/>
          <w:sz w:val="22"/>
          <w:szCs w:val="22"/>
        </w:rPr>
      </w:pPr>
      <w:r>
        <w:rPr>
          <w:sz w:val="22"/>
          <w:szCs w:val="22"/>
        </w:rPr>
        <w:t>El Administrador o su funcionario delegado pueden rescindir el nombramiento de un miembro del personal si se revelaran hechos anteriores al nombramiento, y pertinentes para la aptitud del miembro del personal, luego de su nombramiento, si esos hechos, en el caso de que hubiesen sido conocidos, habrían impedido el nombramiento.</w:t>
      </w:r>
    </w:p>
    <w:p w14:paraId="6DC8CAF3" w14:textId="77777777" w:rsidR="00CB2B66" w:rsidRPr="00CB2B66" w:rsidRDefault="00CB2B66" w:rsidP="00CB2B66">
      <w:pPr>
        <w:jc w:val="both"/>
        <w:rPr>
          <w:rFonts w:asciiTheme="minorHAnsi" w:hAnsiTheme="minorHAnsi" w:cs="Arial"/>
          <w:sz w:val="22"/>
          <w:szCs w:val="22"/>
        </w:rPr>
      </w:pPr>
    </w:p>
    <w:p w14:paraId="6DC8CAF4" w14:textId="77777777" w:rsidR="00CB2B66" w:rsidRPr="00CB2B66" w:rsidRDefault="00CB2B66" w:rsidP="00CB2B66">
      <w:pPr>
        <w:jc w:val="both"/>
        <w:rPr>
          <w:rFonts w:asciiTheme="minorHAnsi" w:hAnsiTheme="minorHAnsi" w:cs="Arial"/>
          <w:sz w:val="22"/>
          <w:szCs w:val="22"/>
        </w:rPr>
      </w:pPr>
    </w:p>
    <w:p w14:paraId="6DC8CAF5"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Rescisión del nombramiento debido a motivos disciplinarios</w:t>
      </w:r>
    </w:p>
    <w:p w14:paraId="6DC8CAF6" w14:textId="77777777" w:rsidR="00CB2B66" w:rsidRPr="00CB2B66" w:rsidRDefault="00CB2B66" w:rsidP="00CB2B66">
      <w:pPr>
        <w:ind w:left="435" w:hanging="435"/>
        <w:jc w:val="both"/>
        <w:rPr>
          <w:rFonts w:asciiTheme="minorHAnsi" w:hAnsiTheme="minorHAnsi" w:cs="Arial"/>
          <w:b/>
          <w:sz w:val="22"/>
          <w:szCs w:val="22"/>
        </w:rPr>
      </w:pPr>
    </w:p>
    <w:p w14:paraId="6DC8CAF7" w14:textId="218E40F4" w:rsidR="00CB2B66" w:rsidRPr="00CB2B66" w:rsidRDefault="00CB2B66" w:rsidP="00CB2B66">
      <w:pPr>
        <w:pStyle w:val="ListParagraph"/>
        <w:numPr>
          <w:ilvl w:val="0"/>
          <w:numId w:val="11"/>
        </w:numPr>
        <w:jc w:val="both"/>
        <w:rPr>
          <w:rFonts w:cs="Arial"/>
          <w:sz w:val="22"/>
          <w:szCs w:val="22"/>
        </w:rPr>
      </w:pPr>
      <w:r w:rsidRPr="01F60E22">
        <w:rPr>
          <w:sz w:val="22"/>
          <w:szCs w:val="22"/>
        </w:rPr>
        <w:t>Un nombramiento puede rescindirse por falta de conducta de conformidad con el</w:t>
      </w:r>
      <w:r>
        <w:t xml:space="preserve"> </w:t>
      </w:r>
      <w:hyperlink r:id="rId17">
        <w:r w:rsidRPr="01F60E22">
          <w:rPr>
            <w:rStyle w:val="Hyperlink"/>
            <w:sz w:val="22"/>
            <w:szCs w:val="22"/>
          </w:rPr>
          <w:t>Marco Jurídico para Casos de Incumplimiento de las Normas de Conducta de las Naciones Unidas del PNUD</w:t>
        </w:r>
      </w:hyperlink>
      <w:r>
        <w:t>.</w:t>
      </w:r>
      <w:r w:rsidRPr="01F60E22">
        <w:rPr>
          <w:sz w:val="22"/>
          <w:szCs w:val="22"/>
        </w:rPr>
        <w:t xml:space="preserve"> </w:t>
      </w:r>
    </w:p>
    <w:p w14:paraId="6DC8CAF8" w14:textId="77777777" w:rsidR="00CB2B66" w:rsidRPr="00CB2B66" w:rsidRDefault="00CB2B66" w:rsidP="00CB2B66">
      <w:pPr>
        <w:jc w:val="both"/>
        <w:rPr>
          <w:rFonts w:asciiTheme="minorHAnsi" w:hAnsiTheme="minorHAnsi" w:cs="Arial"/>
          <w:b/>
          <w:sz w:val="22"/>
          <w:szCs w:val="22"/>
        </w:rPr>
      </w:pPr>
    </w:p>
    <w:p w14:paraId="6DC8CAF9" w14:textId="77777777" w:rsidR="00CB2B66" w:rsidRPr="00CB2B66" w:rsidRDefault="00CB2B66" w:rsidP="00CB2B66">
      <w:pPr>
        <w:jc w:val="both"/>
        <w:rPr>
          <w:rFonts w:asciiTheme="minorHAnsi" w:hAnsiTheme="minorHAnsi" w:cs="Arial"/>
          <w:b/>
          <w:sz w:val="22"/>
          <w:szCs w:val="22"/>
        </w:rPr>
      </w:pPr>
    </w:p>
    <w:p w14:paraId="6DC8CAFA"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Rescisión del nombramiento por el interés de la buena administración de la Organización (rescisión de mutuo acuerdo)</w:t>
      </w:r>
    </w:p>
    <w:p w14:paraId="6DC8CAFB" w14:textId="77777777" w:rsidR="00CB2B66" w:rsidRPr="00CB2B66" w:rsidRDefault="00CB2B66" w:rsidP="00CB2B66">
      <w:pPr>
        <w:jc w:val="both"/>
        <w:rPr>
          <w:rFonts w:asciiTheme="minorHAnsi" w:hAnsiTheme="minorHAnsi" w:cs="Arial"/>
          <w:b/>
          <w:sz w:val="22"/>
          <w:szCs w:val="22"/>
        </w:rPr>
      </w:pPr>
    </w:p>
    <w:p w14:paraId="6DC8CAFC"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El Administrador o su funcionario delegado pueden rescindir el nombramiento de cualquier miembro del personal por el interés de la buena administración de la Organización, y de conformidad con las normas de la Carta, si se llega a un acuerdo mutuo entre el miembro del personal y el Administrador o su funcionario delegado, y siempre que el miembro del personal en cuestión no apele esa medida. Esto también se llama «rescisión de mutuo acuerdo» o «separación de mutuo acuerdo».  </w:t>
      </w:r>
    </w:p>
    <w:p w14:paraId="6DC8CAFD" w14:textId="77777777" w:rsidR="00CB2B66" w:rsidRPr="00CB2B66" w:rsidRDefault="00CB2B66" w:rsidP="00CB2B66">
      <w:pPr>
        <w:jc w:val="both"/>
        <w:rPr>
          <w:rFonts w:asciiTheme="minorHAnsi" w:hAnsiTheme="minorHAnsi" w:cs="Arial"/>
          <w:sz w:val="22"/>
          <w:szCs w:val="22"/>
        </w:rPr>
      </w:pPr>
    </w:p>
    <w:p w14:paraId="6DC8CAFE" w14:textId="77777777" w:rsidR="00CB2B66" w:rsidRPr="00CB2B66" w:rsidRDefault="00CB2B66" w:rsidP="00CB2B66">
      <w:pPr>
        <w:pStyle w:val="ListParagraph"/>
        <w:numPr>
          <w:ilvl w:val="0"/>
          <w:numId w:val="11"/>
        </w:numPr>
        <w:jc w:val="both"/>
        <w:rPr>
          <w:rFonts w:cs="Arial"/>
          <w:sz w:val="22"/>
          <w:szCs w:val="22"/>
        </w:rPr>
      </w:pPr>
      <w:r>
        <w:rPr>
          <w:sz w:val="22"/>
          <w:szCs w:val="22"/>
        </w:rPr>
        <w:t>Toda rescisión de mutuo acuerdo requiere que el miembro del personal firme una declaración de que acepta la decisión y no la apelará.</w:t>
      </w:r>
    </w:p>
    <w:p w14:paraId="6DC8CAFF" w14:textId="77777777" w:rsidR="00CB2B66" w:rsidRPr="00CB2B66" w:rsidRDefault="00CB2B66" w:rsidP="00CB2B66">
      <w:pPr>
        <w:jc w:val="both"/>
        <w:rPr>
          <w:rFonts w:asciiTheme="minorHAnsi" w:hAnsiTheme="minorHAnsi" w:cs="Arial"/>
          <w:sz w:val="22"/>
          <w:szCs w:val="22"/>
        </w:rPr>
      </w:pPr>
    </w:p>
    <w:p w14:paraId="6DC8CB00" w14:textId="77777777" w:rsidR="00CB2B66" w:rsidRPr="00CB2B66" w:rsidRDefault="00CB2B66" w:rsidP="00CB2B66">
      <w:pPr>
        <w:pStyle w:val="ListParagraph"/>
        <w:numPr>
          <w:ilvl w:val="0"/>
          <w:numId w:val="11"/>
        </w:numPr>
        <w:jc w:val="both"/>
        <w:rPr>
          <w:rFonts w:cs="Arial"/>
          <w:sz w:val="22"/>
          <w:szCs w:val="22"/>
        </w:rPr>
      </w:pPr>
      <w:r>
        <w:rPr>
          <w:sz w:val="22"/>
          <w:szCs w:val="22"/>
        </w:rPr>
        <w:t>En el caso de una rescisión de mutuo acuerdo pueden aplicarse las opciones de aplazamiento de la separación y las restricciones de reempleo. Esas restricciones deben estipularse en el acuerdo de rescisión firmado entre el miembro del personal y la Organización.</w:t>
      </w:r>
    </w:p>
    <w:p w14:paraId="6DC8CB01" w14:textId="77777777" w:rsidR="00CB2B66" w:rsidRPr="00CB2B66" w:rsidRDefault="00CB2B66" w:rsidP="00CB2B66">
      <w:pPr>
        <w:jc w:val="both"/>
        <w:rPr>
          <w:rFonts w:asciiTheme="minorHAnsi" w:hAnsiTheme="minorHAnsi" w:cs="Arial"/>
          <w:sz w:val="22"/>
          <w:szCs w:val="22"/>
        </w:rPr>
      </w:pPr>
    </w:p>
    <w:p w14:paraId="6DC8CB02" w14:textId="609A6C57" w:rsidR="00CB2B66" w:rsidRPr="00CB2B66" w:rsidRDefault="00CB2B66" w:rsidP="00CB2B66">
      <w:pPr>
        <w:pStyle w:val="ListParagraph"/>
        <w:numPr>
          <w:ilvl w:val="0"/>
          <w:numId w:val="11"/>
        </w:numPr>
        <w:jc w:val="both"/>
        <w:rPr>
          <w:rFonts w:cs="Arial"/>
          <w:sz w:val="22"/>
          <w:szCs w:val="22"/>
        </w:rPr>
      </w:pPr>
      <w:r>
        <w:rPr>
          <w:sz w:val="22"/>
          <w:szCs w:val="22"/>
        </w:rPr>
        <w:t>Cuando se rescinda el nombramiento, el PNUD pagará la indemnización por rescisión del nombramiento requerida de acuerdo con el Anexo III del Estatuto del Personal</w:t>
      </w:r>
      <w:r w:rsidR="008C6431">
        <w:rPr>
          <w:sz w:val="22"/>
          <w:szCs w:val="22"/>
        </w:rPr>
        <w:t xml:space="preserve">. Una </w:t>
      </w:r>
      <w:proofErr w:type="spellStart"/>
      <w:r w:rsidR="008C6431">
        <w:rPr>
          <w:sz w:val="22"/>
          <w:szCs w:val="22"/>
        </w:rPr>
        <w:t>resición</w:t>
      </w:r>
      <w:proofErr w:type="spellEnd"/>
      <w:r w:rsidR="008C6431">
        <w:rPr>
          <w:sz w:val="22"/>
          <w:szCs w:val="22"/>
        </w:rPr>
        <w:t xml:space="preserve"> de mutuo acuerdo puede resultar en un monto diferente de acuerdo con la Regla del personal 9.3(d)</w:t>
      </w:r>
      <w:r>
        <w:rPr>
          <w:sz w:val="22"/>
          <w:szCs w:val="22"/>
        </w:rPr>
        <w:t>.</w:t>
      </w:r>
    </w:p>
    <w:p w14:paraId="6DC8CB03" w14:textId="77777777" w:rsidR="00CB2B66" w:rsidRPr="00CB2B66" w:rsidRDefault="00CB2B66" w:rsidP="00CB2B66">
      <w:pPr>
        <w:jc w:val="both"/>
        <w:rPr>
          <w:rFonts w:asciiTheme="minorHAnsi" w:hAnsiTheme="minorHAnsi" w:cs="Arial"/>
          <w:sz w:val="22"/>
          <w:szCs w:val="22"/>
        </w:rPr>
      </w:pPr>
    </w:p>
    <w:p w14:paraId="6DC8CB04" w14:textId="77777777" w:rsidR="00CB2B66" w:rsidRPr="00CB2B66" w:rsidRDefault="00CB2B66" w:rsidP="00CB2B66">
      <w:pPr>
        <w:pStyle w:val="ListParagraph"/>
        <w:numPr>
          <w:ilvl w:val="0"/>
          <w:numId w:val="11"/>
        </w:numPr>
        <w:jc w:val="both"/>
        <w:rPr>
          <w:rFonts w:cs="Arial"/>
          <w:sz w:val="22"/>
          <w:szCs w:val="22"/>
        </w:rPr>
      </w:pPr>
      <w:r>
        <w:rPr>
          <w:sz w:val="22"/>
          <w:szCs w:val="22"/>
        </w:rPr>
        <w:t>La aprobación de las rescisiones de mutuo acuerdo son a discreción del PNUD y no constituyen un derecho. Los factores que se consideran para la aprobación de las rescisiones de mutuo acuerdo incluyen, entre otros, la disponibilidad de fondos, el servicio satisfactorio y la ausencia de un registro disciplinario.</w:t>
      </w:r>
    </w:p>
    <w:p w14:paraId="6DC8CB05" w14:textId="77777777" w:rsidR="00CB2B66" w:rsidRPr="00CB2B66" w:rsidRDefault="00CB2B66" w:rsidP="00CB2B66">
      <w:pPr>
        <w:ind w:left="435" w:hanging="435"/>
        <w:jc w:val="both"/>
        <w:rPr>
          <w:rFonts w:asciiTheme="minorHAnsi" w:hAnsiTheme="minorHAnsi" w:cs="Arial"/>
          <w:sz w:val="22"/>
          <w:szCs w:val="22"/>
        </w:rPr>
      </w:pPr>
    </w:p>
    <w:p w14:paraId="6DC8CB06" w14:textId="77777777" w:rsidR="00CB2B66" w:rsidRPr="00CB2B66" w:rsidRDefault="00CB2B66" w:rsidP="00CB2B66">
      <w:pPr>
        <w:ind w:left="435" w:hanging="435"/>
        <w:jc w:val="both"/>
        <w:rPr>
          <w:rFonts w:asciiTheme="minorHAnsi" w:hAnsiTheme="minorHAnsi" w:cs="Arial"/>
          <w:sz w:val="22"/>
          <w:szCs w:val="22"/>
        </w:rPr>
      </w:pPr>
    </w:p>
    <w:p w14:paraId="6DC8CB07"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Consideración para indemnizaciones por rescisión del nombramiento adicionales</w:t>
      </w:r>
    </w:p>
    <w:p w14:paraId="6DC8CB08" w14:textId="77777777" w:rsidR="00CB2B66" w:rsidRPr="00CB2B66" w:rsidRDefault="00CB2B66" w:rsidP="00CB2B66">
      <w:pPr>
        <w:ind w:left="435" w:hanging="435"/>
        <w:jc w:val="both"/>
        <w:rPr>
          <w:rFonts w:asciiTheme="minorHAnsi" w:hAnsiTheme="minorHAnsi" w:cs="Arial"/>
          <w:sz w:val="22"/>
          <w:szCs w:val="22"/>
        </w:rPr>
      </w:pPr>
    </w:p>
    <w:p w14:paraId="6DC8CB09" w14:textId="0FB986C2" w:rsidR="00CB2B66" w:rsidRPr="00CB2B66" w:rsidRDefault="00CB2B66" w:rsidP="00CB2B66">
      <w:pPr>
        <w:pStyle w:val="ListParagraph"/>
        <w:numPr>
          <w:ilvl w:val="0"/>
          <w:numId w:val="11"/>
        </w:numPr>
        <w:jc w:val="both"/>
        <w:rPr>
          <w:rFonts w:cs="Arial"/>
          <w:sz w:val="22"/>
          <w:szCs w:val="22"/>
        </w:rPr>
      </w:pPr>
      <w:r>
        <w:rPr>
          <w:sz w:val="22"/>
          <w:szCs w:val="22"/>
        </w:rPr>
        <w:t xml:space="preserve">En los casos en que el puesto de un miembro del personal se haya abolido, </w:t>
      </w:r>
      <w:r w:rsidR="008C6431" w:rsidRPr="008C6431">
        <w:rPr>
          <w:sz w:val="22"/>
          <w:szCs w:val="22"/>
        </w:rPr>
        <w:t>cuando queden sin destino, cuando los miembros del personal hayan regresado de su comisión de servicio como Coordinador Residente, o en casos de rescisión de mutuo acuerdo,</w:t>
      </w:r>
      <w:r w:rsidR="008C6431">
        <w:rPr>
          <w:sz w:val="22"/>
          <w:szCs w:val="22"/>
        </w:rPr>
        <w:t xml:space="preserve"> </w:t>
      </w:r>
      <w:r>
        <w:rPr>
          <w:sz w:val="22"/>
          <w:szCs w:val="22"/>
        </w:rPr>
        <w:t>el Director de la OHR puede autorizar una indemnización por rescisión del nombramiento de hasta el 50 por ciento sobre y por encima de lo que se hubiera pagado de conformidad con el Anexo III del Estatuto del Personal de la ONU. La cantidad de indemnizaciones por rescisión del nombramiento adicionales que pueden autorizar el Director de la OHR se limita y calcula de conformidad con el calendario proporcionado en el Anexo I.</w:t>
      </w:r>
    </w:p>
    <w:p w14:paraId="6DC8CB0A" w14:textId="024798B2" w:rsidR="00CB2B66" w:rsidRPr="00CB2B66" w:rsidRDefault="008C6431" w:rsidP="00CB2B66">
      <w:pPr>
        <w:pStyle w:val="ListParagraph"/>
        <w:ind w:left="720"/>
        <w:jc w:val="both"/>
        <w:rPr>
          <w:rFonts w:cs="Arial"/>
          <w:sz w:val="22"/>
          <w:szCs w:val="22"/>
        </w:rPr>
      </w:pPr>
      <w:r>
        <w:rPr>
          <w:rFonts w:cs="Arial"/>
          <w:sz w:val="22"/>
          <w:szCs w:val="22"/>
        </w:rPr>
        <w:t xml:space="preserve"> </w:t>
      </w:r>
    </w:p>
    <w:p w14:paraId="6DC8CB0B" w14:textId="77777777" w:rsidR="00CB2B66" w:rsidRPr="00CB2B66" w:rsidRDefault="00CB2B66" w:rsidP="00CB2B66">
      <w:pPr>
        <w:pStyle w:val="ListParagraph"/>
        <w:ind w:left="720"/>
        <w:jc w:val="both"/>
        <w:rPr>
          <w:rFonts w:cs="Arial"/>
          <w:sz w:val="22"/>
          <w:szCs w:val="22"/>
        </w:rPr>
      </w:pPr>
      <w:r>
        <w:rPr>
          <w:sz w:val="22"/>
          <w:szCs w:val="22"/>
        </w:rPr>
        <w:t xml:space="preserve"> Además, el miembro del personal debe declarar por escrito que no apelará la decisión y cumplirá con los siguientes criterios:</w:t>
      </w:r>
    </w:p>
    <w:p w14:paraId="6DC8CB0C" w14:textId="77777777" w:rsidR="00CB2B66" w:rsidRPr="00CB2B66" w:rsidRDefault="00CB2B66" w:rsidP="00CB2B66">
      <w:pPr>
        <w:jc w:val="both"/>
        <w:rPr>
          <w:rFonts w:asciiTheme="minorHAnsi" w:hAnsiTheme="minorHAnsi" w:cs="Arial"/>
          <w:sz w:val="22"/>
          <w:szCs w:val="22"/>
        </w:rPr>
      </w:pPr>
    </w:p>
    <w:p w14:paraId="6DC8CB0D" w14:textId="48E27E88" w:rsidR="00CB2B66" w:rsidRPr="00CB2B66" w:rsidRDefault="00CB2B66" w:rsidP="00CB2B66">
      <w:pPr>
        <w:pStyle w:val="ListParagraph"/>
        <w:numPr>
          <w:ilvl w:val="0"/>
          <w:numId w:val="5"/>
        </w:numPr>
        <w:ind w:left="1515"/>
        <w:jc w:val="both"/>
        <w:rPr>
          <w:rFonts w:cs="Arial"/>
          <w:sz w:val="22"/>
          <w:szCs w:val="22"/>
        </w:rPr>
      </w:pPr>
      <w:r>
        <w:rPr>
          <w:sz w:val="22"/>
          <w:szCs w:val="22"/>
        </w:rPr>
        <w:t xml:space="preserve">El miembro del personal tiene un </w:t>
      </w:r>
      <w:r w:rsidR="008C6431">
        <w:rPr>
          <w:sz w:val="22"/>
          <w:szCs w:val="22"/>
        </w:rPr>
        <w:t>nombramiento permanente</w:t>
      </w:r>
      <w:r>
        <w:rPr>
          <w:sz w:val="22"/>
          <w:szCs w:val="22"/>
        </w:rPr>
        <w:t xml:space="preserve">, </w:t>
      </w:r>
      <w:r w:rsidR="008C6431">
        <w:rPr>
          <w:sz w:val="22"/>
          <w:szCs w:val="22"/>
        </w:rPr>
        <w:t>un nombramiento continuo</w:t>
      </w:r>
      <w:r>
        <w:rPr>
          <w:sz w:val="22"/>
          <w:szCs w:val="22"/>
        </w:rPr>
        <w:t xml:space="preserve"> o </w:t>
      </w:r>
      <w:r w:rsidR="008C6431">
        <w:rPr>
          <w:sz w:val="22"/>
          <w:szCs w:val="22"/>
        </w:rPr>
        <w:t>un nombramiento de plazo fijo</w:t>
      </w:r>
      <w:r>
        <w:rPr>
          <w:sz w:val="22"/>
          <w:szCs w:val="22"/>
        </w:rPr>
        <w:t xml:space="preserve"> y ha completado 10 o más años de servicio continuo con el PNUD</w:t>
      </w:r>
      <w:r w:rsidRPr="00CB2B66">
        <w:rPr>
          <w:rStyle w:val="FootnoteReference"/>
          <w:rFonts w:cs="Arial"/>
          <w:sz w:val="22"/>
          <w:szCs w:val="22"/>
        </w:rPr>
        <w:footnoteReference w:id="1"/>
      </w:r>
      <w:r>
        <w:rPr>
          <w:sz w:val="22"/>
          <w:szCs w:val="22"/>
        </w:rPr>
        <w:t xml:space="preserve">. El período de 10 años o más incluye el tiempo trabajado por un miembro del personal con un </w:t>
      </w:r>
      <w:r w:rsidR="008C6431">
        <w:rPr>
          <w:sz w:val="22"/>
          <w:szCs w:val="22"/>
        </w:rPr>
        <w:t xml:space="preserve">nombramiento permanente, un nombramiento continuo </w:t>
      </w:r>
      <w:r w:rsidR="008C6431">
        <w:rPr>
          <w:sz w:val="22"/>
          <w:szCs w:val="22"/>
        </w:rPr>
        <w:lastRenderedPageBreak/>
        <w:t xml:space="preserve">o un nombramiento de plazo fijo </w:t>
      </w:r>
      <w:r>
        <w:rPr>
          <w:sz w:val="22"/>
          <w:szCs w:val="22"/>
        </w:rPr>
        <w:t>que ha sido transferido al PNUD desde otra organización del Régimen Común de Salarios y Prestaciones de la ONU de un nombramiento permanente, continuo o de plazo fijo.</w:t>
      </w:r>
    </w:p>
    <w:p w14:paraId="6DC8CB0E" w14:textId="77777777" w:rsidR="00CB2B66" w:rsidRPr="00CB2B66" w:rsidRDefault="00CB2B66" w:rsidP="00CB2B66">
      <w:pPr>
        <w:rPr>
          <w:rFonts w:asciiTheme="minorHAnsi" w:hAnsiTheme="minorHAnsi"/>
          <w:sz w:val="22"/>
          <w:szCs w:val="22"/>
        </w:rPr>
      </w:pPr>
    </w:p>
    <w:p w14:paraId="6DC8CB0F" w14:textId="341D0238" w:rsidR="00CB2B66" w:rsidRPr="00CB2B66" w:rsidRDefault="00CB2B66" w:rsidP="00CB2B66">
      <w:pPr>
        <w:pStyle w:val="ListParagraph"/>
        <w:numPr>
          <w:ilvl w:val="0"/>
          <w:numId w:val="11"/>
        </w:numPr>
        <w:jc w:val="both"/>
        <w:rPr>
          <w:rFonts w:cs="Arial"/>
          <w:sz w:val="22"/>
          <w:szCs w:val="22"/>
        </w:rPr>
      </w:pPr>
      <w:r>
        <w:rPr>
          <w:sz w:val="22"/>
          <w:szCs w:val="22"/>
        </w:rPr>
        <w:t>Los siguientes no son elegibles para ser considerados para indemnizaciones por rescisión del nombramiento adicionales:</w:t>
      </w:r>
    </w:p>
    <w:p w14:paraId="6DC8CB10" w14:textId="77777777" w:rsidR="00CB2B66" w:rsidRPr="00CB2B66" w:rsidRDefault="00CB2B66" w:rsidP="00CB2B66">
      <w:pPr>
        <w:jc w:val="both"/>
        <w:rPr>
          <w:rFonts w:asciiTheme="minorHAnsi" w:hAnsiTheme="minorHAnsi" w:cs="Arial"/>
          <w:sz w:val="22"/>
          <w:szCs w:val="22"/>
        </w:rPr>
      </w:pPr>
    </w:p>
    <w:p w14:paraId="347C6B63" w14:textId="697E293E" w:rsidR="00B960E1" w:rsidRPr="00B960E1" w:rsidRDefault="00B960E1" w:rsidP="00CB2B66">
      <w:pPr>
        <w:pStyle w:val="ListParagraph"/>
        <w:numPr>
          <w:ilvl w:val="0"/>
          <w:numId w:val="6"/>
        </w:numPr>
        <w:ind w:left="1515"/>
        <w:jc w:val="both"/>
        <w:rPr>
          <w:rFonts w:cs="Arial"/>
          <w:sz w:val="22"/>
          <w:szCs w:val="22"/>
        </w:rPr>
      </w:pPr>
      <w:r>
        <w:rPr>
          <w:rFonts w:cs="Arial"/>
          <w:sz w:val="22"/>
          <w:szCs w:val="22"/>
        </w:rPr>
        <w:t>Miembros del personal con nombramientos temporario/</w:t>
      </w:r>
    </w:p>
    <w:p w14:paraId="6DC8CB11" w14:textId="363543F2"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que tengan menos de 10 años de servicio continuo con un nombramiento permanente, continuo o de plazo fijo;</w:t>
      </w:r>
    </w:p>
    <w:p w14:paraId="6DC8CB12" w14:textId="77777777" w:rsidR="00CB2B66" w:rsidRPr="00CB2B66" w:rsidRDefault="00CB2B66" w:rsidP="00CB2B66">
      <w:pPr>
        <w:ind w:left="795"/>
        <w:jc w:val="both"/>
        <w:rPr>
          <w:rFonts w:asciiTheme="minorHAnsi" w:hAnsiTheme="minorHAnsi" w:cs="Arial"/>
          <w:sz w:val="22"/>
          <w:szCs w:val="22"/>
        </w:rPr>
      </w:pPr>
    </w:p>
    <w:p w14:paraId="6DC8CB13" w14:textId="3E386B15"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que hayan llegado a una edad obligatoria de separación;</w:t>
      </w:r>
    </w:p>
    <w:p w14:paraId="6DC8CB14" w14:textId="77777777" w:rsidR="00CB2B66" w:rsidRPr="00CB2B66" w:rsidRDefault="00CB2B66" w:rsidP="00CB2B66">
      <w:pPr>
        <w:ind w:left="795"/>
        <w:jc w:val="both"/>
        <w:rPr>
          <w:rFonts w:asciiTheme="minorHAnsi" w:hAnsiTheme="minorHAnsi" w:cs="Arial"/>
          <w:sz w:val="22"/>
          <w:szCs w:val="22"/>
        </w:rPr>
      </w:pPr>
    </w:p>
    <w:p w14:paraId="4A65F656" w14:textId="24577906" w:rsidR="00B36843" w:rsidRPr="00B36843" w:rsidRDefault="00B36843" w:rsidP="00CB2B66">
      <w:pPr>
        <w:pStyle w:val="ListParagraph"/>
        <w:numPr>
          <w:ilvl w:val="0"/>
          <w:numId w:val="6"/>
        </w:numPr>
        <w:ind w:left="1515"/>
        <w:jc w:val="both"/>
        <w:rPr>
          <w:rFonts w:cs="Arial"/>
          <w:sz w:val="22"/>
          <w:szCs w:val="22"/>
        </w:rPr>
      </w:pPr>
      <w:r w:rsidRPr="00B36843">
        <w:rPr>
          <w:rFonts w:cs="Arial"/>
          <w:sz w:val="22"/>
          <w:szCs w:val="22"/>
        </w:rPr>
        <w:t>Funcionarios que regresan al PNUD sin una vinculación específica a un puesto y que no han podido conseguir un nuevo puesto después de un período de licencia especial sin sueldo o de un préstamo o comisión de servicio en otra Organización de las Naciones Unidas, a menos que hayan estado en comisión de servicio como Coordinador Residente o se hayan separado del servicio por una rescisión de mutuo acuerdo;</w:t>
      </w:r>
    </w:p>
    <w:p w14:paraId="44A81DC7" w14:textId="77777777" w:rsidR="00B36843" w:rsidRPr="00B36843" w:rsidRDefault="00B36843" w:rsidP="00B36843">
      <w:pPr>
        <w:pStyle w:val="ListParagraph"/>
        <w:rPr>
          <w:sz w:val="22"/>
          <w:szCs w:val="22"/>
        </w:rPr>
      </w:pPr>
    </w:p>
    <w:p w14:paraId="6DC8CB15" w14:textId="61425FE6"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que hayan sido separados del PNUD por una falta de conducta o servicio insatisfactorio;</w:t>
      </w:r>
    </w:p>
    <w:p w14:paraId="6DC8CB16" w14:textId="77777777" w:rsidR="00CB2B66" w:rsidRPr="00CB2B66" w:rsidRDefault="00CB2B66" w:rsidP="00CB2B66">
      <w:pPr>
        <w:pStyle w:val="ListParagraph"/>
        <w:rPr>
          <w:rFonts w:cs="Arial"/>
          <w:sz w:val="22"/>
          <w:szCs w:val="22"/>
        </w:rPr>
      </w:pPr>
    </w:p>
    <w:p w14:paraId="6DC8CB19" w14:textId="398F0B7B"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administrados por el PNUD por cuenta de otro organismo o entidad de la ONU y miembros del personal con nombramientos limitados a otro organismo o entidad, a menos que lo apruebe el organismo o entidad;</w:t>
      </w:r>
    </w:p>
    <w:p w14:paraId="6DC8CB1A" w14:textId="77777777" w:rsidR="00CB2B66" w:rsidRPr="00CB2B66" w:rsidRDefault="00CB2B66" w:rsidP="00CB2B66">
      <w:pPr>
        <w:pStyle w:val="ListParagraph"/>
        <w:rPr>
          <w:rFonts w:cs="Arial"/>
          <w:sz w:val="22"/>
          <w:szCs w:val="22"/>
        </w:rPr>
      </w:pPr>
    </w:p>
    <w:p w14:paraId="6DC8CB1B" w14:textId="65B2E1C8"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en nombramientos de plazo fijo que reciban nombramientos en puestos con servicios limitados a esos puestos;</w:t>
      </w:r>
      <w:r w:rsidR="00B36843" w:rsidRPr="00B36843">
        <w:t xml:space="preserve"> </w:t>
      </w:r>
      <w:r w:rsidR="00B36843" w:rsidRPr="00B36843">
        <w:rPr>
          <w:sz w:val="22"/>
          <w:szCs w:val="22"/>
        </w:rPr>
        <w:t>Incluidos los servicios prestados en virtud de los anteriores Reglamentos del personal de las series 100 y 200, pero excluidos los de la serie 300. Los servicios prestados en virtud del Reglamento del Personal de la serie 300 no se tendrán en cuenta para el cálculo de la indemnización, aunque la continuidad del servicio no se considerará interrumpida por los periodos de servicio del funcionario en un nombramiento de la serie 300.</w:t>
      </w:r>
    </w:p>
    <w:p w14:paraId="6DC8CB1C" w14:textId="77777777" w:rsidR="00CB2B66" w:rsidRPr="00CB2B66" w:rsidRDefault="00CB2B66" w:rsidP="00CB2B66">
      <w:pPr>
        <w:ind w:left="795"/>
        <w:jc w:val="both"/>
        <w:rPr>
          <w:rFonts w:asciiTheme="minorHAnsi" w:hAnsiTheme="minorHAnsi" w:cs="Arial"/>
          <w:sz w:val="22"/>
          <w:szCs w:val="22"/>
        </w:rPr>
      </w:pPr>
    </w:p>
    <w:p w14:paraId="6DC8CB1D" w14:textId="4776C534" w:rsidR="00CB2B66" w:rsidRPr="00CB2B66" w:rsidRDefault="000C6719" w:rsidP="00CB2B66">
      <w:pPr>
        <w:pStyle w:val="ListParagraph"/>
        <w:numPr>
          <w:ilvl w:val="0"/>
          <w:numId w:val="6"/>
        </w:numPr>
        <w:ind w:left="1515"/>
        <w:jc w:val="both"/>
        <w:rPr>
          <w:rFonts w:cs="Arial"/>
          <w:sz w:val="22"/>
          <w:szCs w:val="22"/>
        </w:rPr>
      </w:pPr>
      <w:r>
        <w:rPr>
          <w:sz w:val="22"/>
          <w:szCs w:val="22"/>
        </w:rPr>
        <w:t>V</w:t>
      </w:r>
      <w:r w:rsidR="00CB2B66">
        <w:rPr>
          <w:sz w:val="22"/>
          <w:szCs w:val="22"/>
        </w:rPr>
        <w:t>oluntarios de las Naciones Unidas (VNU);</w:t>
      </w:r>
    </w:p>
    <w:p w14:paraId="6DC8CB1E" w14:textId="77777777" w:rsidR="00CB2B66" w:rsidRPr="00CB2B66" w:rsidRDefault="00CB2B66" w:rsidP="00CB2B66">
      <w:pPr>
        <w:ind w:left="795"/>
        <w:jc w:val="both"/>
        <w:rPr>
          <w:rFonts w:asciiTheme="minorHAnsi" w:hAnsiTheme="minorHAnsi" w:cs="Arial"/>
          <w:sz w:val="22"/>
          <w:szCs w:val="22"/>
        </w:rPr>
      </w:pPr>
    </w:p>
    <w:p w14:paraId="6DC8CB1F" w14:textId="38569D3D" w:rsidR="00CB2B66" w:rsidRPr="00CB2B66" w:rsidRDefault="000C6719" w:rsidP="00CB2B66">
      <w:pPr>
        <w:pStyle w:val="ListParagraph"/>
        <w:numPr>
          <w:ilvl w:val="0"/>
          <w:numId w:val="6"/>
        </w:numPr>
        <w:ind w:left="1515"/>
        <w:jc w:val="both"/>
        <w:rPr>
          <w:rFonts w:cs="Arial"/>
          <w:sz w:val="22"/>
          <w:szCs w:val="22"/>
        </w:rPr>
      </w:pPr>
      <w:r>
        <w:rPr>
          <w:sz w:val="22"/>
          <w:szCs w:val="22"/>
        </w:rPr>
        <w:t>P</w:t>
      </w:r>
      <w:r w:rsidR="00CB2B66">
        <w:rPr>
          <w:sz w:val="22"/>
          <w:szCs w:val="22"/>
        </w:rPr>
        <w:t>ersonal contratado con Contratos de Servicios</w:t>
      </w:r>
      <w:r w:rsidR="00B36843">
        <w:rPr>
          <w:sz w:val="22"/>
          <w:szCs w:val="22"/>
        </w:rPr>
        <w:t xml:space="preserve"> de Personal</w:t>
      </w:r>
      <w:r w:rsidR="00CB2B66">
        <w:rPr>
          <w:sz w:val="22"/>
          <w:szCs w:val="22"/>
        </w:rPr>
        <w:t xml:space="preserve"> (y Contratos Individuales.</w:t>
      </w:r>
    </w:p>
    <w:p w14:paraId="6DC8CB20" w14:textId="77777777" w:rsidR="00CB2B66" w:rsidRPr="00CB2B66" w:rsidRDefault="00CB2B66" w:rsidP="00CB2B66">
      <w:pPr>
        <w:jc w:val="both"/>
        <w:rPr>
          <w:rFonts w:asciiTheme="minorHAnsi" w:hAnsiTheme="minorHAnsi" w:cs="Arial"/>
          <w:sz w:val="22"/>
          <w:szCs w:val="22"/>
        </w:rPr>
      </w:pPr>
    </w:p>
    <w:p w14:paraId="6DC8CB21" w14:textId="77777777" w:rsidR="00CB2B66" w:rsidRPr="00CB2B66" w:rsidRDefault="00CB2B66" w:rsidP="00CB2B66">
      <w:pPr>
        <w:pStyle w:val="ListParagraph"/>
        <w:numPr>
          <w:ilvl w:val="0"/>
          <w:numId w:val="11"/>
        </w:numPr>
        <w:jc w:val="both"/>
        <w:rPr>
          <w:rFonts w:cs="Arial"/>
          <w:sz w:val="22"/>
          <w:szCs w:val="22"/>
        </w:rPr>
      </w:pPr>
      <w:r>
        <w:rPr>
          <w:sz w:val="22"/>
          <w:szCs w:val="22"/>
        </w:rPr>
        <w:t>La Organización puede implementar, a su discreción, programas específicos de separación según lo considere necesario.</w:t>
      </w:r>
    </w:p>
    <w:p w14:paraId="6DC8CB22" w14:textId="77777777" w:rsidR="00CB2B66" w:rsidRPr="00CB2B66" w:rsidRDefault="00CB2B66" w:rsidP="00CB2B66">
      <w:pPr>
        <w:pStyle w:val="ListParagraph"/>
        <w:ind w:left="720"/>
        <w:jc w:val="both"/>
        <w:rPr>
          <w:rFonts w:cs="Arial"/>
          <w:sz w:val="22"/>
          <w:szCs w:val="22"/>
        </w:rPr>
      </w:pPr>
    </w:p>
    <w:p w14:paraId="6DC8CB23" w14:textId="074395B1" w:rsidR="00CB2B66" w:rsidRPr="00CB2B66" w:rsidRDefault="00CB2B66" w:rsidP="00CB2B66">
      <w:pPr>
        <w:pStyle w:val="ListParagraph"/>
        <w:numPr>
          <w:ilvl w:val="0"/>
          <w:numId w:val="11"/>
        </w:numPr>
        <w:jc w:val="both"/>
        <w:rPr>
          <w:rFonts w:cs="Arial"/>
          <w:sz w:val="22"/>
          <w:szCs w:val="22"/>
        </w:rPr>
      </w:pPr>
      <w:r>
        <w:rPr>
          <w:sz w:val="22"/>
          <w:szCs w:val="22"/>
        </w:rPr>
        <w:t>Sin importar las limitaciones enumeradas en el párrafo 3</w:t>
      </w:r>
      <w:r w:rsidR="00196D0D">
        <w:rPr>
          <w:sz w:val="22"/>
          <w:szCs w:val="22"/>
        </w:rPr>
        <w:t>0</w:t>
      </w:r>
      <w:r>
        <w:rPr>
          <w:sz w:val="22"/>
          <w:szCs w:val="22"/>
        </w:rPr>
        <w:t xml:space="preserve"> anterior, la Organización puede negociar y celebrar acuerdos de separación con miembros del personal </w:t>
      </w:r>
      <w:r>
        <w:rPr>
          <w:sz w:val="22"/>
          <w:szCs w:val="22"/>
          <w:u w:val="single"/>
        </w:rPr>
        <w:t>de cualquier categoría</w:t>
      </w:r>
      <w:r>
        <w:rPr>
          <w:sz w:val="22"/>
          <w:szCs w:val="22"/>
        </w:rPr>
        <w:t>, según sea necesario, para resolver los reclamos individuales en el lugar de trabajo.</w:t>
      </w:r>
    </w:p>
    <w:p w14:paraId="6DC8CB24" w14:textId="77777777" w:rsidR="00CB2B66" w:rsidRPr="00CB2B66" w:rsidRDefault="00CB2B66" w:rsidP="00CB2B66">
      <w:pPr>
        <w:jc w:val="both"/>
        <w:rPr>
          <w:rFonts w:asciiTheme="minorHAnsi" w:hAnsiTheme="minorHAnsi" w:cs="Arial"/>
          <w:b/>
          <w:sz w:val="22"/>
          <w:szCs w:val="22"/>
        </w:rPr>
      </w:pPr>
    </w:p>
    <w:p w14:paraId="6DC8CB25" w14:textId="77777777" w:rsidR="00CB2B66" w:rsidRPr="00CB2B66" w:rsidRDefault="00CB2B66" w:rsidP="00CB2B66">
      <w:pPr>
        <w:jc w:val="both"/>
        <w:rPr>
          <w:rFonts w:asciiTheme="minorHAnsi" w:hAnsiTheme="minorHAnsi" w:cs="Arial"/>
          <w:b/>
          <w:sz w:val="22"/>
          <w:szCs w:val="22"/>
        </w:rPr>
      </w:pPr>
    </w:p>
    <w:p w14:paraId="6DC8CB26" w14:textId="408B9F78"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Opciones de implementación: suma fija/</w:t>
      </w:r>
      <w:r w:rsidR="00196D0D">
        <w:rPr>
          <w:rFonts w:asciiTheme="minorHAnsi" w:hAnsiTheme="minorHAnsi"/>
          <w:b/>
          <w:sz w:val="22"/>
          <w:szCs w:val="22"/>
        </w:rPr>
        <w:t>licencia especial sin sueldo</w:t>
      </w:r>
    </w:p>
    <w:p w14:paraId="6DC8CB27" w14:textId="77777777" w:rsidR="00CB2B66" w:rsidRPr="00CB2B66" w:rsidRDefault="00CB2B66" w:rsidP="00CB2B66">
      <w:pPr>
        <w:jc w:val="both"/>
        <w:rPr>
          <w:rFonts w:asciiTheme="minorHAnsi" w:hAnsiTheme="minorHAnsi" w:cs="Arial"/>
          <w:b/>
          <w:sz w:val="22"/>
          <w:szCs w:val="22"/>
        </w:rPr>
      </w:pPr>
    </w:p>
    <w:p w14:paraId="6DC8CB28" w14:textId="4771833A" w:rsidR="00CB2B66" w:rsidRPr="00CB2B66" w:rsidRDefault="00CB2B66" w:rsidP="00CB2B66">
      <w:pPr>
        <w:pStyle w:val="ListParagraph"/>
        <w:numPr>
          <w:ilvl w:val="0"/>
          <w:numId w:val="11"/>
        </w:numPr>
        <w:jc w:val="both"/>
        <w:rPr>
          <w:rFonts w:cs="Arial"/>
          <w:sz w:val="22"/>
          <w:szCs w:val="22"/>
        </w:rPr>
      </w:pPr>
      <w:r>
        <w:rPr>
          <w:sz w:val="22"/>
          <w:szCs w:val="22"/>
        </w:rPr>
        <w:lastRenderedPageBreak/>
        <w:t>La indemnización por rescisión del nombramiento se paga al miembro del personal con un pago final o como una suma fija combinada con una licencia especial sin sueldo al momento de la separación.</w:t>
      </w:r>
    </w:p>
    <w:p w14:paraId="6DC8CB29" w14:textId="77777777" w:rsidR="00CB2B66" w:rsidRPr="00CB2B66" w:rsidRDefault="00CB2B66" w:rsidP="00CB2B66">
      <w:pPr>
        <w:ind w:left="720"/>
        <w:jc w:val="both"/>
        <w:rPr>
          <w:rFonts w:asciiTheme="minorHAnsi" w:hAnsiTheme="minorHAnsi" w:cs="Arial"/>
          <w:b/>
          <w:sz w:val="22"/>
          <w:szCs w:val="22"/>
        </w:rPr>
      </w:pPr>
    </w:p>
    <w:p w14:paraId="6DC8CB2A" w14:textId="77777777" w:rsidR="00CB2B66" w:rsidRPr="00CB2B66" w:rsidRDefault="00CB2B66" w:rsidP="00CB2B66">
      <w:pPr>
        <w:ind w:left="720"/>
        <w:jc w:val="both"/>
        <w:rPr>
          <w:rFonts w:asciiTheme="minorHAnsi" w:hAnsiTheme="minorHAnsi" w:cs="Arial"/>
          <w:b/>
          <w:sz w:val="22"/>
          <w:szCs w:val="22"/>
        </w:rPr>
      </w:pPr>
    </w:p>
    <w:p w14:paraId="6DC8CB30"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Cálculo de indemnización por rescisión del nombramiento</w:t>
      </w:r>
    </w:p>
    <w:p w14:paraId="6DC8CB31" w14:textId="77777777" w:rsidR="00CB2B66" w:rsidRPr="00CB2B66" w:rsidRDefault="00CB2B66" w:rsidP="00CB2B66">
      <w:pPr>
        <w:ind w:left="435" w:hanging="435"/>
        <w:jc w:val="both"/>
        <w:rPr>
          <w:rFonts w:asciiTheme="minorHAnsi" w:hAnsiTheme="minorHAnsi" w:cs="Arial"/>
          <w:b/>
          <w:sz w:val="22"/>
          <w:szCs w:val="22"/>
        </w:rPr>
      </w:pPr>
    </w:p>
    <w:p w14:paraId="6DC8CB32" w14:textId="77777777" w:rsidR="00CB2B66" w:rsidRPr="00CB2B66" w:rsidRDefault="00CB2B66" w:rsidP="00CB2B66">
      <w:pPr>
        <w:pStyle w:val="ListParagraph"/>
        <w:numPr>
          <w:ilvl w:val="0"/>
          <w:numId w:val="11"/>
        </w:numPr>
        <w:jc w:val="both"/>
        <w:rPr>
          <w:rFonts w:cs="Arial"/>
          <w:sz w:val="22"/>
          <w:szCs w:val="22"/>
        </w:rPr>
      </w:pPr>
      <w:r>
        <w:rPr>
          <w:sz w:val="22"/>
          <w:szCs w:val="22"/>
        </w:rPr>
        <w:t>La indemnización por rescisión del nombramiento se calcula de la siguiente manera:</w:t>
      </w:r>
    </w:p>
    <w:p w14:paraId="6DC8CB33" w14:textId="77777777" w:rsidR="00CB2B66" w:rsidRPr="00CB2B66" w:rsidRDefault="00CB2B66" w:rsidP="00CB2B66">
      <w:pPr>
        <w:jc w:val="both"/>
        <w:rPr>
          <w:rFonts w:asciiTheme="minorHAnsi" w:hAnsiTheme="minorHAnsi" w:cs="Arial"/>
          <w:sz w:val="22"/>
          <w:szCs w:val="22"/>
        </w:rPr>
      </w:pPr>
    </w:p>
    <w:p w14:paraId="6DC8CB34" w14:textId="46986CDE" w:rsidR="00CB2B66" w:rsidRPr="00CB2B66" w:rsidRDefault="000C6719" w:rsidP="00CB2B66">
      <w:pPr>
        <w:pStyle w:val="ListParagraph"/>
        <w:numPr>
          <w:ilvl w:val="0"/>
          <w:numId w:val="7"/>
        </w:numPr>
        <w:ind w:left="1530"/>
        <w:jc w:val="both"/>
        <w:rPr>
          <w:rFonts w:cs="Arial"/>
          <w:sz w:val="22"/>
          <w:szCs w:val="22"/>
        </w:rPr>
      </w:pPr>
      <w:r>
        <w:rPr>
          <w:sz w:val="22"/>
          <w:szCs w:val="22"/>
        </w:rPr>
        <w:t>P</w:t>
      </w:r>
      <w:r w:rsidR="00CB2B66">
        <w:rPr>
          <w:sz w:val="22"/>
          <w:szCs w:val="22"/>
        </w:rPr>
        <w:t>ara un miembro del personal contratado localmente: el sueldo en bruto del miembro del personal, incluida la prestación de idiomas, si hubiere, menos las contribuciones del personal;</w:t>
      </w:r>
    </w:p>
    <w:p w14:paraId="6DC8CB35" w14:textId="77777777" w:rsidR="00CB2B66" w:rsidRPr="00CB2B66" w:rsidRDefault="00CB2B66" w:rsidP="00CB2B66">
      <w:pPr>
        <w:ind w:left="810"/>
        <w:jc w:val="both"/>
        <w:rPr>
          <w:rFonts w:asciiTheme="minorHAnsi" w:hAnsiTheme="minorHAnsi" w:cs="Arial"/>
          <w:sz w:val="22"/>
          <w:szCs w:val="22"/>
        </w:rPr>
      </w:pPr>
    </w:p>
    <w:p w14:paraId="6DC8CB36" w14:textId="4FC71E5B" w:rsidR="00CB2B66" w:rsidRPr="00CB2B66" w:rsidRDefault="000C6719" w:rsidP="00CB2B66">
      <w:pPr>
        <w:pStyle w:val="ListParagraph"/>
        <w:numPr>
          <w:ilvl w:val="0"/>
          <w:numId w:val="7"/>
        </w:numPr>
        <w:ind w:left="1530"/>
        <w:jc w:val="both"/>
        <w:rPr>
          <w:rFonts w:cs="Arial"/>
          <w:sz w:val="22"/>
          <w:szCs w:val="22"/>
        </w:rPr>
      </w:pPr>
      <w:r>
        <w:rPr>
          <w:sz w:val="22"/>
          <w:szCs w:val="22"/>
        </w:rPr>
        <w:t>P</w:t>
      </w:r>
      <w:r w:rsidR="00CB2B66">
        <w:rPr>
          <w:sz w:val="22"/>
          <w:szCs w:val="22"/>
        </w:rPr>
        <w:t>ara un miembro del personal contratado internacionalmente: el sueldo en bruto del miembro del personal menos las contribuciones del personal y sin incluir los ajustes por lugar de destino.</w:t>
      </w:r>
    </w:p>
    <w:p w14:paraId="6DC8CB37" w14:textId="77777777" w:rsidR="00CB2B66" w:rsidRPr="00CB2B66" w:rsidRDefault="00CB2B66" w:rsidP="00CB2B66">
      <w:pPr>
        <w:pStyle w:val="ListParagraph"/>
        <w:rPr>
          <w:rFonts w:cs="Arial"/>
          <w:sz w:val="22"/>
          <w:szCs w:val="22"/>
        </w:rPr>
      </w:pPr>
    </w:p>
    <w:p w14:paraId="6DC8CB38" w14:textId="1FB521B8" w:rsidR="00CB2B66" w:rsidRPr="00CB2B66" w:rsidRDefault="00CB2B66" w:rsidP="00CB2B66">
      <w:pPr>
        <w:pStyle w:val="ListParagraph"/>
        <w:numPr>
          <w:ilvl w:val="0"/>
          <w:numId w:val="11"/>
        </w:numPr>
        <w:jc w:val="both"/>
        <w:rPr>
          <w:rFonts w:cs="Arial"/>
          <w:sz w:val="22"/>
          <w:szCs w:val="22"/>
        </w:rPr>
      </w:pPr>
      <w:r w:rsidRPr="01F60E22">
        <w:rPr>
          <w:sz w:val="22"/>
          <w:szCs w:val="22"/>
        </w:rPr>
        <w:t xml:space="preserve">La duración del servicio es el período total de servicio continuo de tiempo completo del miembro del personal con el PNUD, en nombramientos permanentes o </w:t>
      </w:r>
      <w:r w:rsidR="00196D0D">
        <w:rPr>
          <w:sz w:val="22"/>
          <w:szCs w:val="22"/>
        </w:rPr>
        <w:t xml:space="preserve">nombramientos </w:t>
      </w:r>
      <w:r w:rsidRPr="01F60E22">
        <w:rPr>
          <w:sz w:val="22"/>
          <w:szCs w:val="22"/>
        </w:rPr>
        <w:t>de plazo fijo, incluida la transferencia desde otra organización del Régimen Común de Salarios y Prestaciones de la ONU desde un nombramiento permanente, continuo o de plazo fijo. La continuidad del servicio no se considera interrumpida por períodos de licencia especial sin sueldo o con sueldo parcial por períodos inferiores a los 30 días consecutivos, pero los meses completos no se acreditarán como servicio a efectos de la indemnización.</w:t>
      </w:r>
    </w:p>
    <w:p w14:paraId="6DC8CB39" w14:textId="77777777" w:rsidR="00CB2B66" w:rsidRPr="00CB2B66" w:rsidRDefault="00CB2B66" w:rsidP="00CB2B66">
      <w:pPr>
        <w:jc w:val="both"/>
        <w:rPr>
          <w:rFonts w:asciiTheme="minorHAnsi" w:hAnsiTheme="minorHAnsi" w:cs="Arial"/>
          <w:sz w:val="22"/>
          <w:szCs w:val="22"/>
        </w:rPr>
      </w:pPr>
    </w:p>
    <w:p w14:paraId="6DC8CB3A" w14:textId="77777777" w:rsidR="00CB2B66" w:rsidRPr="00CB2B66" w:rsidRDefault="00CB2B66" w:rsidP="00CB2B66">
      <w:pPr>
        <w:pStyle w:val="ListParagraph"/>
        <w:numPr>
          <w:ilvl w:val="0"/>
          <w:numId w:val="11"/>
        </w:numPr>
        <w:jc w:val="both"/>
        <w:rPr>
          <w:rFonts w:cs="Arial"/>
          <w:sz w:val="22"/>
          <w:szCs w:val="22"/>
        </w:rPr>
      </w:pPr>
      <w:r>
        <w:rPr>
          <w:sz w:val="22"/>
          <w:szCs w:val="22"/>
        </w:rPr>
        <w:t>La indemnización por rescisión del nombramiento no genera aportes jubilatorios.</w:t>
      </w:r>
    </w:p>
    <w:p w14:paraId="6DC8CB3B" w14:textId="77777777" w:rsidR="00CB2B66" w:rsidRPr="00CB2B66" w:rsidRDefault="00CB2B66" w:rsidP="00CB2B66">
      <w:pPr>
        <w:jc w:val="both"/>
        <w:rPr>
          <w:rFonts w:asciiTheme="minorHAnsi" w:hAnsiTheme="minorHAnsi" w:cs="Arial"/>
          <w:sz w:val="22"/>
          <w:szCs w:val="22"/>
        </w:rPr>
      </w:pPr>
    </w:p>
    <w:p w14:paraId="6DC8CB3C" w14:textId="77777777" w:rsidR="00CB2B66" w:rsidRPr="00CB2B66" w:rsidRDefault="00CB2B66" w:rsidP="00CB2B66">
      <w:pPr>
        <w:pStyle w:val="ListParagraph"/>
        <w:rPr>
          <w:rFonts w:cs="Arial"/>
          <w:sz w:val="22"/>
          <w:szCs w:val="22"/>
        </w:rPr>
      </w:pPr>
    </w:p>
    <w:p w14:paraId="6DC8CB3D" w14:textId="096EEF93" w:rsidR="00CB2B66" w:rsidRPr="00CB2B66" w:rsidRDefault="00CB2B66" w:rsidP="00CB2B66">
      <w:pPr>
        <w:pStyle w:val="ListParagraph"/>
        <w:numPr>
          <w:ilvl w:val="0"/>
          <w:numId w:val="11"/>
        </w:numPr>
        <w:jc w:val="both"/>
        <w:rPr>
          <w:rFonts w:cs="Arial"/>
          <w:sz w:val="22"/>
          <w:szCs w:val="22"/>
        </w:rPr>
      </w:pPr>
      <w:r>
        <w:rPr>
          <w:sz w:val="22"/>
          <w:szCs w:val="22"/>
        </w:rPr>
        <w:t>Para evitar la doble compensación, el período que se tomará para calcular la indemnización por rescisión del nombramiento (que incluye, cuando corresponda, las indemnizaciones por rescisión del nombramiento adicionales pagadas en exceso de lo que se hubiera pagado de conformidad con el Anexo III del Estatuto del Personal de la ONU y pagos en lugar del aviso) no puede exceder el período que queda hasta</w:t>
      </w:r>
      <w:r w:rsidR="00922852">
        <w:rPr>
          <w:sz w:val="22"/>
          <w:szCs w:val="22"/>
        </w:rPr>
        <w:t xml:space="preserve"> que el miembro del personal hubiese</w:t>
      </w:r>
      <w:r>
        <w:rPr>
          <w:sz w:val="22"/>
          <w:szCs w:val="22"/>
        </w:rPr>
        <w:t xml:space="preserve"> </w:t>
      </w:r>
      <w:r w:rsidR="00922852">
        <w:rPr>
          <w:sz w:val="22"/>
          <w:szCs w:val="22"/>
        </w:rPr>
        <w:t xml:space="preserve">alcanzado </w:t>
      </w:r>
      <w:r>
        <w:rPr>
          <w:sz w:val="22"/>
          <w:szCs w:val="22"/>
        </w:rPr>
        <w:t xml:space="preserve">la edad obligatoria de separación. </w:t>
      </w:r>
    </w:p>
    <w:p w14:paraId="6DC8CB3E" w14:textId="77777777" w:rsidR="00CB2B66" w:rsidRPr="00CB2B66" w:rsidRDefault="00CB2B66" w:rsidP="00CB2B66">
      <w:pPr>
        <w:pStyle w:val="ListParagraph"/>
        <w:rPr>
          <w:rFonts w:cs="Arial"/>
          <w:sz w:val="22"/>
          <w:szCs w:val="22"/>
        </w:rPr>
      </w:pPr>
    </w:p>
    <w:p w14:paraId="6DC8CB3F" w14:textId="473A1DC6" w:rsidR="00CB2B66" w:rsidRPr="00CB2B66" w:rsidRDefault="00CB2B66" w:rsidP="00CB2B66">
      <w:pPr>
        <w:pStyle w:val="ListParagraph"/>
        <w:numPr>
          <w:ilvl w:val="0"/>
          <w:numId w:val="11"/>
        </w:numPr>
        <w:jc w:val="both"/>
        <w:rPr>
          <w:rFonts w:cs="Arial"/>
          <w:sz w:val="22"/>
          <w:szCs w:val="22"/>
        </w:rPr>
      </w:pPr>
      <w:r>
        <w:rPr>
          <w:sz w:val="22"/>
          <w:szCs w:val="22"/>
        </w:rPr>
        <w:t xml:space="preserve">No se pagará una indemnización por rescisión del nombramiento a un miembro del personal que, cuando se separe del servicio, reciba un beneficio de jubilación de acuerdo con el artículo 28 del Estatuto de la Caja Común de Pensiones del Personal de las Naciones Unidas o una compensación por discapacidad total de acuerdo con la regla </w:t>
      </w:r>
      <w:r w:rsidR="00922852">
        <w:rPr>
          <w:sz w:val="22"/>
          <w:szCs w:val="22"/>
        </w:rPr>
        <w:t xml:space="preserve">6.4 </w:t>
      </w:r>
      <w:r>
        <w:rPr>
          <w:sz w:val="22"/>
          <w:szCs w:val="22"/>
        </w:rPr>
        <w:t>del Reglamento del Personal</w:t>
      </w:r>
      <w:r w:rsidR="00922852">
        <w:rPr>
          <w:sz w:val="22"/>
          <w:szCs w:val="22"/>
        </w:rPr>
        <w:t xml:space="preserve"> de la ONU</w:t>
      </w:r>
      <w:r>
        <w:rPr>
          <w:sz w:val="22"/>
          <w:szCs w:val="22"/>
        </w:rPr>
        <w:t xml:space="preserve">. </w:t>
      </w:r>
    </w:p>
    <w:p w14:paraId="6DC8CB40" w14:textId="77777777" w:rsidR="00CB2B66" w:rsidRPr="00CB2B66" w:rsidRDefault="00CB2B66" w:rsidP="00CB2B66">
      <w:pPr>
        <w:jc w:val="both"/>
        <w:rPr>
          <w:rFonts w:asciiTheme="minorHAnsi" w:hAnsiTheme="minorHAnsi" w:cs="Arial"/>
          <w:b/>
          <w:sz w:val="22"/>
          <w:szCs w:val="22"/>
        </w:rPr>
      </w:pPr>
    </w:p>
    <w:p w14:paraId="6DC8CB41" w14:textId="77777777" w:rsidR="00CB2B66" w:rsidRPr="00CB2B66" w:rsidRDefault="00CB2B66" w:rsidP="00CB2B66">
      <w:pPr>
        <w:jc w:val="both"/>
        <w:rPr>
          <w:rFonts w:asciiTheme="minorHAnsi" w:hAnsiTheme="minorHAnsi" w:cs="Arial"/>
          <w:b/>
          <w:sz w:val="22"/>
          <w:szCs w:val="22"/>
        </w:rPr>
      </w:pPr>
    </w:p>
    <w:p w14:paraId="6DC8CB42"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Financiación de los costos de la rescisión de mutuo acuerdo</w:t>
      </w:r>
    </w:p>
    <w:p w14:paraId="6DC8CB43" w14:textId="77777777" w:rsidR="00CB2B66" w:rsidRPr="00CB2B66" w:rsidRDefault="00CB2B66" w:rsidP="00CB2B66">
      <w:pPr>
        <w:jc w:val="both"/>
        <w:rPr>
          <w:rFonts w:asciiTheme="minorHAnsi" w:hAnsiTheme="minorHAnsi" w:cs="Arial"/>
          <w:b/>
          <w:sz w:val="22"/>
          <w:szCs w:val="22"/>
        </w:rPr>
      </w:pPr>
    </w:p>
    <w:p w14:paraId="6DC8CB44"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Se establece una disposición limitada para la financiación de este tipo de rescisión en el Presupuesto Institucional aprobado por el Grupo Ejecutivo (EG, </w:t>
      </w:r>
      <w:r w:rsidRPr="000C6719">
        <w:rPr>
          <w:i/>
          <w:sz w:val="22"/>
          <w:szCs w:val="22"/>
        </w:rPr>
        <w:t>Executive Group</w:t>
      </w:r>
      <w:r>
        <w:rPr>
          <w:sz w:val="22"/>
          <w:szCs w:val="22"/>
        </w:rPr>
        <w:t xml:space="preserve">, por sus siglas en inglés). La disposición corporativa es para todos los Burós y, por lo tanto, su utilización se encontrará sujeta a las previsiones del Buró dentro de las normas y la gobernanza actuales. Los </w:t>
      </w:r>
      <w:r>
        <w:rPr>
          <w:sz w:val="22"/>
          <w:szCs w:val="22"/>
        </w:rPr>
        <w:lastRenderedPageBreak/>
        <w:t xml:space="preserve">costos de separación de mutuo acuerdo que exceden esta disposición corporativa limitada se encontrarán sujetos a la decisión del EG. </w:t>
      </w:r>
    </w:p>
    <w:p w14:paraId="6DC8CB45" w14:textId="77777777" w:rsidR="00CB2B66" w:rsidRPr="00CB2B66" w:rsidRDefault="00CB2B66" w:rsidP="00CB2B66">
      <w:pPr>
        <w:pStyle w:val="ListParagraph"/>
        <w:ind w:left="360"/>
        <w:jc w:val="both"/>
        <w:rPr>
          <w:rFonts w:cs="Arial"/>
          <w:sz w:val="22"/>
          <w:szCs w:val="22"/>
        </w:rPr>
      </w:pPr>
    </w:p>
    <w:p w14:paraId="6DC8CB46" w14:textId="77777777" w:rsidR="00CB2B66" w:rsidRPr="00CB2B66" w:rsidRDefault="00CB2B66" w:rsidP="00CB2B66">
      <w:pPr>
        <w:pStyle w:val="ListParagraph"/>
        <w:ind w:left="360"/>
        <w:jc w:val="both"/>
        <w:rPr>
          <w:rFonts w:cs="Arial"/>
          <w:sz w:val="22"/>
          <w:szCs w:val="22"/>
        </w:rPr>
      </w:pPr>
    </w:p>
    <w:p w14:paraId="6DC8CB47"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 xml:space="preserve">Aviso de rescisión del nombramiento </w:t>
      </w:r>
    </w:p>
    <w:p w14:paraId="6DC8CB48" w14:textId="77777777" w:rsidR="00CB2B66" w:rsidRPr="00CB2B66" w:rsidRDefault="00CB2B66" w:rsidP="00CB2B66">
      <w:pPr>
        <w:ind w:left="435" w:hanging="435"/>
        <w:jc w:val="both"/>
        <w:rPr>
          <w:rFonts w:asciiTheme="minorHAnsi" w:hAnsiTheme="minorHAnsi" w:cs="Arial"/>
          <w:b/>
          <w:sz w:val="22"/>
          <w:szCs w:val="22"/>
        </w:rPr>
      </w:pPr>
    </w:p>
    <w:p w14:paraId="6DC8CB49"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Si el Administrador o su funcionario delegado rescinden un nombramiento, el miembro del personal recibirá el aviso estipulado y todos los pagos de indemnización por rescisión del nombramiento de acuerdo con el Reglamento y Estatuto del Personal de la ONU. </w:t>
      </w:r>
    </w:p>
    <w:p w14:paraId="6DC8CB4A" w14:textId="77777777" w:rsidR="00CB2B66" w:rsidRPr="00CB2B66" w:rsidRDefault="00CB2B66" w:rsidP="00CB2B66">
      <w:pPr>
        <w:jc w:val="both"/>
        <w:rPr>
          <w:rFonts w:asciiTheme="minorHAnsi" w:hAnsiTheme="minorHAnsi" w:cs="Arial"/>
          <w:sz w:val="22"/>
          <w:szCs w:val="22"/>
        </w:rPr>
      </w:pPr>
    </w:p>
    <w:p w14:paraId="6DC8CB4B" w14:textId="77777777" w:rsidR="00CB2B66" w:rsidRPr="00CB2B66" w:rsidRDefault="00CB2B66" w:rsidP="00CB2B66">
      <w:pPr>
        <w:pStyle w:val="ListParagraph"/>
        <w:numPr>
          <w:ilvl w:val="0"/>
          <w:numId w:val="11"/>
        </w:numPr>
        <w:jc w:val="both"/>
        <w:rPr>
          <w:rFonts w:cs="Arial"/>
          <w:sz w:val="22"/>
          <w:szCs w:val="22"/>
        </w:rPr>
      </w:pPr>
      <w:r>
        <w:rPr>
          <w:sz w:val="22"/>
          <w:szCs w:val="22"/>
        </w:rPr>
        <w:t>Rigen los siguientes períodos de aviso:</w:t>
      </w:r>
    </w:p>
    <w:p w14:paraId="6DC8CB4C" w14:textId="77777777" w:rsidR="00CB2B66" w:rsidRPr="00CB2B66" w:rsidRDefault="00CB2B66" w:rsidP="00CB2B66">
      <w:pPr>
        <w:jc w:val="both"/>
        <w:rPr>
          <w:rFonts w:asciiTheme="minorHAnsi" w:hAnsiTheme="minorHAnsi" w:cs="Arial"/>
          <w:sz w:val="22"/>
          <w:szCs w:val="22"/>
        </w:rPr>
      </w:pPr>
    </w:p>
    <w:p w14:paraId="6DC8CB4D" w14:textId="2DB0C1F9" w:rsidR="00CB2B66" w:rsidRPr="00CB2B66" w:rsidRDefault="000C6719"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N</w:t>
      </w:r>
      <w:r w:rsidR="00CB2B66">
        <w:rPr>
          <w:rFonts w:asciiTheme="minorHAnsi" w:hAnsiTheme="minorHAnsi"/>
          <w:sz w:val="22"/>
          <w:szCs w:val="22"/>
        </w:rPr>
        <w:t>ombramientos permanentes o continuos: aviso por escrito con tres meses de antelación, como mínimo;</w:t>
      </w:r>
    </w:p>
    <w:p w14:paraId="6DC8CB4E" w14:textId="77777777" w:rsidR="00CB2B66" w:rsidRPr="00CB2B66" w:rsidRDefault="00CB2B66" w:rsidP="00CB2B66">
      <w:pPr>
        <w:ind w:left="1710" w:hanging="720"/>
        <w:jc w:val="both"/>
        <w:rPr>
          <w:rFonts w:asciiTheme="minorHAnsi" w:hAnsiTheme="minorHAnsi" w:cs="Arial"/>
          <w:sz w:val="22"/>
          <w:szCs w:val="22"/>
        </w:rPr>
      </w:pPr>
    </w:p>
    <w:p w14:paraId="6DC8CB4F" w14:textId="19B8988F" w:rsidR="00CB2B66" w:rsidRPr="00CB2B66" w:rsidRDefault="000C6719"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N</w:t>
      </w:r>
      <w:r w:rsidR="00CB2B66">
        <w:rPr>
          <w:rFonts w:asciiTheme="minorHAnsi" w:hAnsiTheme="minorHAnsi"/>
          <w:sz w:val="22"/>
          <w:szCs w:val="22"/>
        </w:rPr>
        <w:t xml:space="preserve">ombramiento de plazo fijo: aviso por escrito con 30 días de antelación, como mínimo (o cualquier otro período de aviso estipulado en la carta de nombramiento); </w:t>
      </w:r>
    </w:p>
    <w:p w14:paraId="6DC8CB50" w14:textId="77777777" w:rsidR="00CB2B66" w:rsidRPr="00CB2B66" w:rsidRDefault="00CB2B66" w:rsidP="00CB2B66">
      <w:pPr>
        <w:ind w:left="1710"/>
        <w:jc w:val="both"/>
        <w:rPr>
          <w:rFonts w:asciiTheme="minorHAnsi" w:hAnsiTheme="minorHAnsi" w:cs="Arial"/>
          <w:sz w:val="22"/>
          <w:szCs w:val="22"/>
        </w:rPr>
      </w:pPr>
    </w:p>
    <w:p w14:paraId="6DC8CB51" w14:textId="0590ECB2" w:rsidR="00CB2B66" w:rsidRPr="00CB2B66" w:rsidRDefault="000C6719"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N</w:t>
      </w:r>
      <w:r w:rsidR="00CB2B66">
        <w:rPr>
          <w:rFonts w:asciiTheme="minorHAnsi" w:hAnsiTheme="minorHAnsi"/>
          <w:sz w:val="22"/>
          <w:szCs w:val="22"/>
        </w:rPr>
        <w:t>ombramiento temporal: aviso por escrito con 15 días de antelación, como mínimo (o cualquier otro período de aviso estipulado en la carta de nombramiento).</w:t>
      </w:r>
    </w:p>
    <w:p w14:paraId="6DC8CB52" w14:textId="77777777" w:rsidR="00CB2B66" w:rsidRPr="00CB2B66" w:rsidRDefault="00CB2B66" w:rsidP="00CB2B66">
      <w:pPr>
        <w:ind w:left="435" w:hanging="435"/>
        <w:jc w:val="both"/>
        <w:rPr>
          <w:rFonts w:asciiTheme="minorHAnsi" w:hAnsiTheme="minorHAnsi" w:cs="Arial"/>
          <w:sz w:val="22"/>
          <w:szCs w:val="22"/>
        </w:rPr>
      </w:pPr>
    </w:p>
    <w:p w14:paraId="6DC8CB53"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Los períodos de aviso estipulados entran en vigor desde la fecha de recepción de la notificación escrita por parte del miembro del personal. </w:t>
      </w:r>
    </w:p>
    <w:p w14:paraId="6DC8CB54" w14:textId="77777777" w:rsidR="00CB2B66" w:rsidRPr="00CB2B66" w:rsidRDefault="00CB2B66" w:rsidP="00CB2B66">
      <w:pPr>
        <w:jc w:val="both"/>
        <w:rPr>
          <w:rFonts w:asciiTheme="minorHAnsi" w:hAnsiTheme="minorHAnsi" w:cs="Arial"/>
          <w:sz w:val="22"/>
          <w:szCs w:val="22"/>
        </w:rPr>
      </w:pPr>
    </w:p>
    <w:p w14:paraId="6DC8CB55" w14:textId="77777777" w:rsidR="00CB2B66" w:rsidRPr="007F6294" w:rsidRDefault="00CB2B66" w:rsidP="005049F3">
      <w:pPr>
        <w:pStyle w:val="ListParagraph"/>
        <w:numPr>
          <w:ilvl w:val="0"/>
          <w:numId w:val="11"/>
        </w:numPr>
        <w:jc w:val="both"/>
        <w:rPr>
          <w:rFonts w:cs="Arial"/>
          <w:sz w:val="22"/>
          <w:szCs w:val="22"/>
        </w:rPr>
      </w:pPr>
      <w:r>
        <w:rPr>
          <w:sz w:val="22"/>
          <w:szCs w:val="22"/>
        </w:rPr>
        <w:t>En relación con el período reglamentario de aviso que se le da al miembro del personal cuyo nombramiento se rescindirá, el Administrador o su funcionario delegado pueden autorizar la compensación equivalente al salario y los ajustes por lugar de destino y las prestaciones aplicables correspondientes al período de aviso relevante, con la tarifa que esté en vigencia el último día del servicio («pago en lugar del aviso»). Si el pago se realiza en lugar del aviso, el período de aviso no se cuenta como tiempo de servicio para propósito alguno.</w:t>
      </w:r>
    </w:p>
    <w:p w14:paraId="62E671BD" w14:textId="77777777" w:rsidR="007F6294" w:rsidRPr="007F6294" w:rsidRDefault="007F6294" w:rsidP="007F6294">
      <w:pPr>
        <w:pStyle w:val="ListParagraph"/>
        <w:rPr>
          <w:rFonts w:cs="Arial"/>
          <w:sz w:val="22"/>
          <w:szCs w:val="22"/>
        </w:rPr>
      </w:pPr>
    </w:p>
    <w:p w14:paraId="559226C7" w14:textId="76ABB6D3" w:rsidR="007F6294" w:rsidRDefault="007F6294" w:rsidP="005049F3">
      <w:pPr>
        <w:pStyle w:val="ListParagraph"/>
        <w:numPr>
          <w:ilvl w:val="0"/>
          <w:numId w:val="11"/>
        </w:numPr>
        <w:jc w:val="both"/>
        <w:rPr>
          <w:rFonts w:cs="Arial"/>
          <w:sz w:val="22"/>
          <w:szCs w:val="22"/>
        </w:rPr>
      </w:pPr>
      <w:r w:rsidRPr="007F6294">
        <w:rPr>
          <w:rFonts w:cs="Arial"/>
          <w:sz w:val="22"/>
          <w:szCs w:val="22"/>
        </w:rPr>
        <w:t>Los funcionarios que estén cumpliendo su período de preaviso y que deseen abandonar la Organización antes de que finalice dicho período también podrán hacer que el resto del preaviso se conmute por efectivo a discreción de la Organización, presentando una solicitud por escrito a su supervisor al recibir el aviso de rescisión. La facultad de aprobar o denegar la solicitud corresponde al Jefe de la Oficina (en el caso de los funcionarios contratados localmente que prestan servicio fuera de la Sede de Nueva York) o al Director de BMS/OHR (en el caso de los funcionarios contratados internacionalmente y los contratados localmente que prestan servicio en la Sede de Nueva York), teniendo en cuenta las necesidades de la Organización, la recomendación del supervisor y los deseos del funcionario.</w:t>
      </w:r>
    </w:p>
    <w:p w14:paraId="6DC8CB56" w14:textId="77777777" w:rsidR="005049F3" w:rsidRPr="005049F3" w:rsidRDefault="005049F3" w:rsidP="005049F3">
      <w:pPr>
        <w:jc w:val="both"/>
        <w:rPr>
          <w:rFonts w:cs="Arial"/>
          <w:sz w:val="22"/>
          <w:szCs w:val="22"/>
        </w:rPr>
      </w:pPr>
    </w:p>
    <w:p w14:paraId="6DC8CB57" w14:textId="72C1A55F" w:rsidR="000C6719" w:rsidRDefault="000C6719" w:rsidP="00CB2B66">
      <w:pPr>
        <w:ind w:left="-90"/>
        <w:jc w:val="both"/>
        <w:rPr>
          <w:rFonts w:asciiTheme="minorHAnsi" w:hAnsiTheme="minorHAnsi" w:cs="Arial"/>
          <w:sz w:val="22"/>
          <w:szCs w:val="22"/>
        </w:rPr>
      </w:pPr>
      <w:r>
        <w:rPr>
          <w:rFonts w:asciiTheme="minorHAnsi" w:hAnsiTheme="minorHAnsi" w:cs="Arial"/>
          <w:sz w:val="22"/>
          <w:szCs w:val="22"/>
        </w:rPr>
        <w:br w:type="page"/>
      </w:r>
    </w:p>
    <w:p w14:paraId="6DC8CB58" w14:textId="77777777" w:rsidR="00CB2B66" w:rsidRDefault="00CB2B66" w:rsidP="00CB2B66">
      <w:pPr>
        <w:jc w:val="both"/>
        <w:rPr>
          <w:rFonts w:asciiTheme="minorHAnsi" w:hAnsiTheme="minorHAnsi" w:cs="Arial"/>
          <w:b/>
          <w:sz w:val="22"/>
          <w:szCs w:val="22"/>
        </w:rPr>
      </w:pPr>
      <w:r>
        <w:rPr>
          <w:rFonts w:asciiTheme="minorHAnsi" w:hAnsiTheme="minorHAnsi"/>
          <w:b/>
          <w:sz w:val="22"/>
          <w:szCs w:val="22"/>
        </w:rPr>
        <w:lastRenderedPageBreak/>
        <w:t>Reempleo después de la separación</w:t>
      </w:r>
    </w:p>
    <w:p w14:paraId="6DC8CB5A" w14:textId="77777777" w:rsidR="00CB2B66" w:rsidRPr="00CB2B66" w:rsidRDefault="00CB2B66" w:rsidP="00CB2B66">
      <w:pPr>
        <w:jc w:val="both"/>
        <w:rPr>
          <w:rFonts w:asciiTheme="minorHAnsi" w:hAnsiTheme="minorHAnsi" w:cs="Arial"/>
          <w:b/>
          <w:sz w:val="22"/>
          <w:szCs w:val="22"/>
        </w:rPr>
      </w:pPr>
    </w:p>
    <w:p w14:paraId="6DC8CB5B" w14:textId="3491C300" w:rsidR="00CB2B66" w:rsidRPr="00CB2B66" w:rsidRDefault="00CB2B66" w:rsidP="01F60E22">
      <w:pPr>
        <w:pStyle w:val="ListParagraph"/>
        <w:numPr>
          <w:ilvl w:val="0"/>
          <w:numId w:val="11"/>
        </w:numPr>
        <w:jc w:val="both"/>
        <w:rPr>
          <w:sz w:val="22"/>
          <w:szCs w:val="22"/>
        </w:rPr>
      </w:pPr>
      <w:r w:rsidRPr="01F60E22">
        <w:rPr>
          <w:sz w:val="22"/>
          <w:szCs w:val="22"/>
        </w:rPr>
        <w:t>Un miembro</w:t>
      </w:r>
      <w:r w:rsidR="007F6294">
        <w:rPr>
          <w:sz w:val="22"/>
          <w:szCs w:val="22"/>
        </w:rPr>
        <w:t>s</w:t>
      </w:r>
      <w:r w:rsidRPr="01F60E22">
        <w:rPr>
          <w:sz w:val="22"/>
          <w:szCs w:val="22"/>
        </w:rPr>
        <w:t xml:space="preserve"> del personal cuyo nombramiento se rescindió como resultado de una rescisión de mutuo acuerdo, no puede </w:t>
      </w:r>
      <w:proofErr w:type="spellStart"/>
      <w:r w:rsidRPr="01F60E22">
        <w:rPr>
          <w:sz w:val="22"/>
          <w:szCs w:val="22"/>
        </w:rPr>
        <w:t>reemplearse</w:t>
      </w:r>
      <w:proofErr w:type="spellEnd"/>
      <w:r w:rsidRPr="01F60E22">
        <w:rPr>
          <w:sz w:val="22"/>
          <w:szCs w:val="22"/>
        </w:rPr>
        <w:t xml:space="preserve"> como miembro del personal dentro del período estipulado en el acuerdo de rescisión.</w:t>
      </w:r>
    </w:p>
    <w:p w14:paraId="6DC8CB5C" w14:textId="77777777" w:rsidR="00CB2B66" w:rsidRPr="00F9707B" w:rsidRDefault="00CB2B66" w:rsidP="01F60E22">
      <w:pPr>
        <w:pStyle w:val="ListParagraph"/>
        <w:ind w:left="720"/>
        <w:jc w:val="both"/>
        <w:rPr>
          <w:sz w:val="22"/>
          <w:szCs w:val="22"/>
        </w:rPr>
      </w:pPr>
    </w:p>
    <w:p w14:paraId="6DC8CB5D" w14:textId="5D0CC6A1" w:rsidR="00CB2B66" w:rsidRPr="00CB2B66" w:rsidRDefault="00CB2B66" w:rsidP="01F60E22">
      <w:pPr>
        <w:pStyle w:val="ListParagraph"/>
        <w:numPr>
          <w:ilvl w:val="0"/>
          <w:numId w:val="11"/>
        </w:numPr>
        <w:jc w:val="both"/>
        <w:rPr>
          <w:sz w:val="22"/>
          <w:szCs w:val="22"/>
        </w:rPr>
      </w:pPr>
      <w:r w:rsidRPr="01F60E22">
        <w:rPr>
          <w:sz w:val="22"/>
          <w:szCs w:val="22"/>
        </w:rPr>
        <w:t xml:space="preserve">Si se </w:t>
      </w:r>
      <w:proofErr w:type="spellStart"/>
      <w:r w:rsidRPr="01F60E22">
        <w:rPr>
          <w:sz w:val="22"/>
          <w:szCs w:val="22"/>
        </w:rPr>
        <w:t>reemplea</w:t>
      </w:r>
      <w:r w:rsidR="007F6294">
        <w:rPr>
          <w:sz w:val="22"/>
          <w:szCs w:val="22"/>
        </w:rPr>
        <w:t>n</w:t>
      </w:r>
      <w:proofErr w:type="spellEnd"/>
      <w:r w:rsidRPr="01F60E22">
        <w:rPr>
          <w:sz w:val="22"/>
          <w:szCs w:val="22"/>
        </w:rPr>
        <w:t xml:space="preserve"> miembro</w:t>
      </w:r>
      <w:r w:rsidR="007F6294">
        <w:rPr>
          <w:sz w:val="22"/>
          <w:szCs w:val="22"/>
        </w:rPr>
        <w:t>s</w:t>
      </w:r>
      <w:r w:rsidRPr="01F60E22">
        <w:rPr>
          <w:sz w:val="22"/>
          <w:szCs w:val="22"/>
        </w:rPr>
        <w:t xml:space="preserve"> del personal luego de su separación, con un nuevo nombramiento, el miembro del personal no está obligado a devolver sus vacaciones anuales devengadas, las subvenciones de repatriación ni el pago por indemnización por rescisión del nombramiento normal. Sin embargo, todo derecho, beneficio o devengo que pudiera tener </w:t>
      </w:r>
      <w:r w:rsidR="0026611D">
        <w:rPr>
          <w:sz w:val="22"/>
          <w:szCs w:val="22"/>
        </w:rPr>
        <w:t>los</w:t>
      </w:r>
      <w:r w:rsidRPr="01F60E22">
        <w:rPr>
          <w:sz w:val="22"/>
          <w:szCs w:val="22"/>
        </w:rPr>
        <w:t xml:space="preserve"> miembro</w:t>
      </w:r>
      <w:r w:rsidR="0026611D">
        <w:rPr>
          <w:sz w:val="22"/>
          <w:szCs w:val="22"/>
        </w:rPr>
        <w:t>s</w:t>
      </w:r>
      <w:r w:rsidRPr="01F60E22">
        <w:rPr>
          <w:sz w:val="22"/>
          <w:szCs w:val="22"/>
        </w:rPr>
        <w:t xml:space="preserve"> del personal, cuando se separe por segunda vez, se ajustarán de modo que los pagos totales para la primera y la segunda separación no excedan los montos que se habrían pagado si el servicio hubiera sido continuo (véase la regla del Reglamento del Personal de la ONU 4.17 [b]). La fecha de incorporación al servicio (EOD, </w:t>
      </w:r>
      <w:r w:rsidR="000C6719" w:rsidRPr="01F60E22">
        <w:rPr>
          <w:i/>
          <w:iCs/>
          <w:sz w:val="22"/>
          <w:szCs w:val="22"/>
        </w:rPr>
        <w:t>Entry On D</w:t>
      </w:r>
      <w:r w:rsidRPr="01F60E22">
        <w:rPr>
          <w:i/>
          <w:iCs/>
          <w:sz w:val="22"/>
          <w:szCs w:val="22"/>
        </w:rPr>
        <w:t>uty</w:t>
      </w:r>
      <w:r w:rsidRPr="01F60E22">
        <w:rPr>
          <w:sz w:val="22"/>
          <w:szCs w:val="22"/>
        </w:rPr>
        <w:t>, por sus siglas en inglés) para miembro</w:t>
      </w:r>
      <w:r w:rsidR="007F6294">
        <w:rPr>
          <w:sz w:val="22"/>
          <w:szCs w:val="22"/>
        </w:rPr>
        <w:t>s</w:t>
      </w:r>
      <w:r w:rsidRPr="01F60E22">
        <w:rPr>
          <w:sz w:val="22"/>
          <w:szCs w:val="22"/>
        </w:rPr>
        <w:t xml:space="preserve"> del personal </w:t>
      </w:r>
      <w:proofErr w:type="spellStart"/>
      <w:r w:rsidRPr="01F60E22">
        <w:rPr>
          <w:sz w:val="22"/>
          <w:szCs w:val="22"/>
        </w:rPr>
        <w:t>reempleado</w:t>
      </w:r>
      <w:proofErr w:type="spellEnd"/>
      <w:r w:rsidRPr="01F60E22">
        <w:rPr>
          <w:sz w:val="22"/>
          <w:szCs w:val="22"/>
        </w:rPr>
        <w:t xml:space="preserve"> luego de su separación del servicio, se reiniciará a la fecha de entrada en vigor del nuevo nombramiento. </w:t>
      </w:r>
    </w:p>
    <w:p w14:paraId="6DC8CB5E" w14:textId="77777777" w:rsidR="00CB2B66" w:rsidRPr="00F9707B" w:rsidRDefault="00CB2B66" w:rsidP="01F60E22">
      <w:pPr>
        <w:jc w:val="both"/>
        <w:rPr>
          <w:rFonts w:asciiTheme="minorHAnsi" w:eastAsiaTheme="minorEastAsia" w:hAnsiTheme="minorHAnsi" w:cstheme="minorBidi"/>
          <w:sz w:val="22"/>
          <w:szCs w:val="22"/>
        </w:rPr>
      </w:pPr>
    </w:p>
    <w:p w14:paraId="6DC8CB5F" w14:textId="6D66B8FA" w:rsidR="00CB2B66" w:rsidRPr="00CB2B66" w:rsidRDefault="00CB2B66" w:rsidP="01F60E22">
      <w:pPr>
        <w:pStyle w:val="ListParagraph"/>
        <w:numPr>
          <w:ilvl w:val="0"/>
          <w:numId w:val="11"/>
        </w:numPr>
        <w:jc w:val="both"/>
        <w:rPr>
          <w:sz w:val="22"/>
          <w:szCs w:val="22"/>
        </w:rPr>
      </w:pPr>
      <w:r w:rsidRPr="01F60E22">
        <w:rPr>
          <w:sz w:val="22"/>
          <w:szCs w:val="22"/>
        </w:rPr>
        <w:t xml:space="preserve">Cuando se le pagó a un antiguo miembro del personal por encima de lo que se le pagaría de conformidad con el Anexo III del Estatuto del Personal de la ONU, solo puede ser reempleado con un nombramiento de plazo fijo dentro del período de los 12 meses posteriores a la fecha de separación si </w:t>
      </w:r>
      <w:r w:rsidR="0026611D">
        <w:rPr>
          <w:sz w:val="22"/>
          <w:szCs w:val="22"/>
        </w:rPr>
        <w:t>el miembro del personal</w:t>
      </w:r>
      <w:r w:rsidRPr="01F60E22">
        <w:rPr>
          <w:sz w:val="22"/>
          <w:szCs w:val="22"/>
        </w:rPr>
        <w:t xml:space="preserve"> devuelve la indemnización por rescisión del nombramiento adicional, a menos que se estipule lo contrario en el acuerdo de rescisión del nombramiento.</w:t>
      </w:r>
    </w:p>
    <w:p w14:paraId="6DC8CB60" w14:textId="77777777" w:rsidR="00CB2B66" w:rsidRPr="00F9707B" w:rsidRDefault="00CB2B66" w:rsidP="01F60E22">
      <w:pPr>
        <w:jc w:val="both"/>
        <w:rPr>
          <w:rFonts w:asciiTheme="minorHAnsi" w:eastAsiaTheme="minorEastAsia" w:hAnsiTheme="minorHAnsi" w:cstheme="minorBidi"/>
          <w:sz w:val="22"/>
          <w:szCs w:val="22"/>
        </w:rPr>
      </w:pPr>
      <w:r w:rsidRPr="00F9707B">
        <w:rPr>
          <w:rFonts w:asciiTheme="minorHAnsi" w:eastAsiaTheme="minorEastAsia" w:hAnsiTheme="minorHAnsi" w:cstheme="minorBidi"/>
          <w:sz w:val="22"/>
          <w:szCs w:val="22"/>
        </w:rPr>
        <w:t xml:space="preserve"> </w:t>
      </w:r>
    </w:p>
    <w:p w14:paraId="6DC8CB61" w14:textId="7B7559DA" w:rsidR="00CB2B66" w:rsidRPr="00CB2B66" w:rsidRDefault="00CB2B66" w:rsidP="01F60E22">
      <w:pPr>
        <w:pStyle w:val="ListParagraph"/>
        <w:numPr>
          <w:ilvl w:val="0"/>
          <w:numId w:val="11"/>
        </w:numPr>
        <w:jc w:val="both"/>
        <w:rPr>
          <w:rFonts w:cs="Arial"/>
          <w:b/>
          <w:bCs/>
          <w:sz w:val="22"/>
          <w:szCs w:val="22"/>
        </w:rPr>
      </w:pPr>
      <w:r w:rsidRPr="00F9707B">
        <w:rPr>
          <w:sz w:val="22"/>
          <w:szCs w:val="22"/>
        </w:rPr>
        <w:t>Las disposiciones para la contratación de un antiguo miembro del personal como personal contratado con Contratos de Servicios (SC) y Contratos Individuales (IC) se encuentran en la</w:t>
      </w:r>
      <w:r>
        <w:t xml:space="preserve"> </w:t>
      </w:r>
      <w:hyperlink r:id="rId18">
        <w:r w:rsidRPr="01F60E22">
          <w:rPr>
            <w:rStyle w:val="Hyperlink"/>
            <w:sz w:val="22"/>
            <w:szCs w:val="22"/>
          </w:rPr>
          <w:t>sección de las POPP sobre modalidades contractuales de personal que no es de plantilla.</w:t>
        </w:r>
      </w:hyperlink>
      <w:r w:rsidRPr="01F60E22">
        <w:rPr>
          <w:sz w:val="22"/>
          <w:szCs w:val="22"/>
        </w:rPr>
        <w:t xml:space="preserve"> </w:t>
      </w:r>
    </w:p>
    <w:p w14:paraId="6DC8CB62" w14:textId="77777777" w:rsidR="00CB2B66" w:rsidRPr="00CB2B66" w:rsidRDefault="00CB2B66" w:rsidP="00CB2B66">
      <w:pPr>
        <w:jc w:val="both"/>
        <w:rPr>
          <w:rFonts w:asciiTheme="minorHAnsi" w:hAnsiTheme="minorHAnsi" w:cs="Arial"/>
          <w:b/>
          <w:sz w:val="22"/>
          <w:szCs w:val="22"/>
        </w:rPr>
      </w:pPr>
    </w:p>
    <w:p w14:paraId="6DC8CB63" w14:textId="77777777" w:rsidR="00CB2B66" w:rsidRPr="00CB2B66" w:rsidRDefault="00CB2B66" w:rsidP="00CB2B66">
      <w:pPr>
        <w:jc w:val="both"/>
        <w:rPr>
          <w:rFonts w:asciiTheme="minorHAnsi" w:hAnsiTheme="minorHAnsi" w:cs="Arial"/>
          <w:b/>
          <w:sz w:val="22"/>
          <w:szCs w:val="22"/>
        </w:rPr>
      </w:pPr>
    </w:p>
    <w:p w14:paraId="6DC8CB64"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Certificado de servicio</w:t>
      </w:r>
    </w:p>
    <w:p w14:paraId="6DC8CB65" w14:textId="77777777" w:rsidR="00CB2B66" w:rsidRPr="00F9707B" w:rsidRDefault="00CB2B66" w:rsidP="01F60E22">
      <w:pPr>
        <w:jc w:val="both"/>
        <w:rPr>
          <w:rFonts w:asciiTheme="minorHAnsi" w:eastAsiaTheme="minorEastAsia" w:hAnsiTheme="minorHAnsi" w:cstheme="minorBidi"/>
          <w:b/>
          <w:bCs/>
          <w:sz w:val="22"/>
          <w:szCs w:val="22"/>
        </w:rPr>
      </w:pPr>
    </w:p>
    <w:p w14:paraId="6DC8CB66" w14:textId="12918C78" w:rsidR="00CB2B66" w:rsidRPr="00CB2B66" w:rsidRDefault="00CB2B66" w:rsidP="01F60E22">
      <w:pPr>
        <w:pStyle w:val="ListParagraph"/>
        <w:numPr>
          <w:ilvl w:val="0"/>
          <w:numId w:val="11"/>
        </w:numPr>
        <w:jc w:val="both"/>
        <w:rPr>
          <w:sz w:val="22"/>
          <w:szCs w:val="22"/>
        </w:rPr>
      </w:pPr>
      <w:r w:rsidRPr="00F9707B">
        <w:rPr>
          <w:sz w:val="22"/>
          <w:szCs w:val="22"/>
        </w:rPr>
        <w:t>Véase el contenido existente del PNUD en «</w:t>
      </w:r>
      <w:hyperlink r:id="rId19">
        <w:r w:rsidRPr="01F60E22">
          <w:rPr>
            <w:rStyle w:val="Hyperlink"/>
            <w:sz w:val="22"/>
            <w:szCs w:val="22"/>
          </w:rPr>
          <w:t>Certificado de servicio</w:t>
        </w:r>
      </w:hyperlink>
      <w:r w:rsidRPr="00F9707B">
        <w:rPr>
          <w:sz w:val="22"/>
          <w:szCs w:val="22"/>
        </w:rPr>
        <w:t>» en las POPP.</w:t>
      </w:r>
    </w:p>
    <w:p w14:paraId="6DC8CB67" w14:textId="77777777" w:rsidR="00CB2B66" w:rsidRPr="00CB2B66" w:rsidRDefault="00CB2B66" w:rsidP="00CB2B66">
      <w:pPr>
        <w:jc w:val="both"/>
        <w:rPr>
          <w:rFonts w:asciiTheme="minorHAnsi" w:hAnsiTheme="minorHAnsi" w:cs="Arial"/>
          <w:b/>
          <w:sz w:val="22"/>
          <w:szCs w:val="22"/>
        </w:rPr>
      </w:pPr>
    </w:p>
    <w:p w14:paraId="6DC8CB68" w14:textId="77777777" w:rsidR="00CB2B66" w:rsidRPr="00CB2B66" w:rsidRDefault="00CB2B66" w:rsidP="00CB2B66">
      <w:pPr>
        <w:jc w:val="both"/>
        <w:rPr>
          <w:rFonts w:asciiTheme="minorHAnsi" w:hAnsiTheme="minorHAnsi" w:cs="Arial"/>
          <w:b/>
          <w:sz w:val="22"/>
          <w:szCs w:val="22"/>
        </w:rPr>
      </w:pPr>
    </w:p>
    <w:p w14:paraId="6DC8CB69"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Prestaciones en caso de separación</w:t>
      </w:r>
    </w:p>
    <w:p w14:paraId="6DC8CB6A" w14:textId="77777777" w:rsidR="00CB2B66" w:rsidRPr="00CB2B66" w:rsidRDefault="00CB2B66" w:rsidP="00CB2B66">
      <w:pPr>
        <w:jc w:val="both"/>
        <w:rPr>
          <w:rFonts w:asciiTheme="minorHAnsi" w:hAnsiTheme="minorHAnsi" w:cs="Arial"/>
          <w:b/>
          <w:sz w:val="22"/>
          <w:szCs w:val="22"/>
        </w:rPr>
      </w:pPr>
    </w:p>
    <w:p w14:paraId="6DC8CB6B" w14:textId="17702152" w:rsidR="00CB2B66" w:rsidRPr="00CB2B66" w:rsidRDefault="00CB2B66" w:rsidP="01F60E22">
      <w:pPr>
        <w:pStyle w:val="ListParagraph"/>
        <w:numPr>
          <w:ilvl w:val="0"/>
          <w:numId w:val="11"/>
        </w:numPr>
        <w:jc w:val="both"/>
        <w:rPr>
          <w:sz w:val="22"/>
          <w:szCs w:val="22"/>
        </w:rPr>
      </w:pPr>
      <w:r w:rsidRPr="00F9707B">
        <w:rPr>
          <w:sz w:val="22"/>
          <w:szCs w:val="22"/>
        </w:rPr>
        <w:t>Véase el contenido existente del PNUD en «</w:t>
      </w:r>
      <w:hyperlink r:id="rId20" w:history="1">
        <w:r w:rsidRPr="00CA3476">
          <w:rPr>
            <w:rStyle w:val="Hyperlink"/>
            <w:sz w:val="22"/>
            <w:szCs w:val="22"/>
          </w:rPr>
          <w:t>Prestaciones en caso de separación</w:t>
        </w:r>
        <w:r w:rsidRPr="00000680">
          <w:rPr>
            <w:rStyle w:val="Hyperlink"/>
            <w:color w:val="auto"/>
            <w:sz w:val="22"/>
            <w:szCs w:val="22"/>
          </w:rPr>
          <w:t>»</w:t>
        </w:r>
      </w:hyperlink>
      <w:r w:rsidRPr="00F9707B">
        <w:rPr>
          <w:sz w:val="22"/>
          <w:szCs w:val="22"/>
        </w:rPr>
        <w:t xml:space="preserve"> en las POPP.</w:t>
      </w:r>
    </w:p>
    <w:p w14:paraId="319C1371" w14:textId="7E446884" w:rsidR="000C6719" w:rsidRDefault="000C6719" w:rsidP="00CB2B66">
      <w:pPr>
        <w:rPr>
          <w:rFonts w:asciiTheme="minorHAnsi" w:hAnsiTheme="minorHAnsi" w:cs="Arial"/>
          <w:b/>
          <w:bCs/>
          <w:sz w:val="22"/>
          <w:szCs w:val="22"/>
        </w:rPr>
      </w:pPr>
      <w:r>
        <w:rPr>
          <w:rFonts w:asciiTheme="minorHAnsi" w:hAnsiTheme="minorHAnsi" w:cs="Arial"/>
          <w:b/>
          <w:bCs/>
          <w:sz w:val="22"/>
          <w:szCs w:val="22"/>
        </w:rPr>
        <w:br w:type="page"/>
      </w:r>
    </w:p>
    <w:p w14:paraId="6DC8CB6E" w14:textId="77777777" w:rsidR="00CB2B66" w:rsidRPr="00CB2B66" w:rsidRDefault="00CB2B66" w:rsidP="00CB2B66">
      <w:pPr>
        <w:rPr>
          <w:rFonts w:asciiTheme="minorHAnsi" w:hAnsiTheme="minorHAnsi" w:cs="Arial"/>
          <w:b/>
          <w:bCs/>
          <w:sz w:val="22"/>
          <w:szCs w:val="22"/>
        </w:rPr>
      </w:pPr>
      <w:r>
        <w:rPr>
          <w:rFonts w:asciiTheme="minorHAnsi" w:hAnsiTheme="minorHAnsi"/>
          <w:b/>
          <w:bCs/>
          <w:sz w:val="22"/>
          <w:szCs w:val="22"/>
        </w:rPr>
        <w:lastRenderedPageBreak/>
        <w:t>ANEXO I</w:t>
      </w:r>
    </w:p>
    <w:p w14:paraId="6DC8CB6F" w14:textId="77777777" w:rsidR="00CB2B66" w:rsidRPr="00CB2B66" w:rsidRDefault="00CB2B66" w:rsidP="00CB2B66">
      <w:pPr>
        <w:rPr>
          <w:rFonts w:asciiTheme="minorHAnsi" w:hAnsiTheme="minorHAnsi" w:cs="Arial"/>
          <w:b/>
          <w:bCs/>
          <w:sz w:val="22"/>
          <w:szCs w:val="22"/>
        </w:rPr>
      </w:pPr>
    </w:p>
    <w:p w14:paraId="6DC8CB70" w14:textId="77777777" w:rsidR="00CB2B66" w:rsidRPr="00CB2B66" w:rsidRDefault="00CB2B66" w:rsidP="00CB2B66">
      <w:pPr>
        <w:rPr>
          <w:rFonts w:asciiTheme="minorHAnsi" w:hAnsiTheme="minorHAnsi" w:cs="Arial"/>
          <w:bCs/>
          <w:sz w:val="22"/>
          <w:szCs w:val="22"/>
        </w:rPr>
      </w:pPr>
    </w:p>
    <w:p w14:paraId="6DC8CB71" w14:textId="748048E2" w:rsidR="00CB2B66" w:rsidRPr="00CB2B66" w:rsidRDefault="00CB2B66" w:rsidP="01F60E22">
      <w:pPr>
        <w:rPr>
          <w:rFonts w:asciiTheme="minorHAnsi" w:hAnsiTheme="minorHAnsi" w:cs="Arial"/>
          <w:sz w:val="22"/>
          <w:szCs w:val="22"/>
        </w:rPr>
      </w:pPr>
      <w:r w:rsidRPr="01F60E22">
        <w:rPr>
          <w:rFonts w:asciiTheme="minorHAnsi" w:hAnsiTheme="minorHAnsi"/>
          <w:sz w:val="22"/>
          <w:szCs w:val="22"/>
        </w:rPr>
        <w:t xml:space="preserve">El monto </w:t>
      </w:r>
      <w:r w:rsidR="004E4071">
        <w:rPr>
          <w:rFonts w:asciiTheme="minorHAnsi" w:hAnsiTheme="minorHAnsi"/>
          <w:sz w:val="22"/>
          <w:szCs w:val="22"/>
        </w:rPr>
        <w:t>máximo</w:t>
      </w:r>
      <w:r w:rsidR="00BE1921">
        <w:rPr>
          <w:rFonts w:asciiTheme="minorHAnsi" w:hAnsiTheme="minorHAnsi"/>
          <w:sz w:val="22"/>
          <w:szCs w:val="22"/>
        </w:rPr>
        <w:t xml:space="preserve"> </w:t>
      </w:r>
      <w:r w:rsidRPr="01F60E22">
        <w:rPr>
          <w:rFonts w:asciiTheme="minorHAnsi" w:hAnsiTheme="minorHAnsi"/>
          <w:sz w:val="22"/>
          <w:szCs w:val="22"/>
        </w:rPr>
        <w:t xml:space="preserve">de indemnizaciones por rescisión del nombramiento adicionales que puede ofrecerse </w:t>
      </w:r>
      <w:r w:rsidRPr="00006B52">
        <w:rPr>
          <w:rFonts w:asciiTheme="minorHAnsi" w:hAnsiTheme="minorHAnsi"/>
          <w:sz w:val="22"/>
          <w:szCs w:val="22"/>
        </w:rPr>
        <w:t>se</w:t>
      </w:r>
      <w:r w:rsidRPr="01F60E22">
        <w:rPr>
          <w:rFonts w:asciiTheme="minorHAnsi" w:hAnsiTheme="minorHAnsi"/>
          <w:sz w:val="22"/>
          <w:szCs w:val="22"/>
        </w:rPr>
        <w:t xml:space="preserve"> calcula de conformidad con la siguiente información:</w:t>
      </w:r>
    </w:p>
    <w:p w14:paraId="6DC8CB72" w14:textId="77777777" w:rsidR="00CB2B66" w:rsidRPr="00CB2B66" w:rsidRDefault="00CB2B66" w:rsidP="00CB2B66">
      <w:pPr>
        <w:rPr>
          <w:rFonts w:asciiTheme="minorHAnsi" w:hAnsiTheme="minorHAnsi" w:cs="Arial"/>
          <w:bCs/>
          <w:sz w:val="22"/>
          <w:szCs w:val="22"/>
        </w:rPr>
      </w:pPr>
    </w:p>
    <w:tbl>
      <w:tblPr>
        <w:tblStyle w:val="TableGrid"/>
        <w:tblW w:w="6573" w:type="dxa"/>
        <w:tblInd w:w="1327" w:type="dxa"/>
        <w:tblLook w:val="04A0" w:firstRow="1" w:lastRow="0" w:firstColumn="1" w:lastColumn="0" w:noHBand="0" w:noVBand="1"/>
      </w:tblPr>
      <w:tblGrid>
        <w:gridCol w:w="4412"/>
        <w:gridCol w:w="2161"/>
      </w:tblGrid>
      <w:tr w:rsidR="00CB2B66" w:rsidRPr="00CB2B66" w14:paraId="6DC8CB75" w14:textId="77777777" w:rsidTr="01F60E22">
        <w:tc>
          <w:tcPr>
            <w:tcW w:w="4412" w:type="dxa"/>
          </w:tcPr>
          <w:p w14:paraId="6DC8CB73" w14:textId="77777777" w:rsidR="00CB2B66" w:rsidRPr="00CB2B66" w:rsidRDefault="00CB2B66" w:rsidP="01F60E22">
            <w:pPr>
              <w:jc w:val="center"/>
              <w:rPr>
                <w:rFonts w:asciiTheme="minorHAnsi" w:hAnsiTheme="minorHAnsi" w:cs="Arial"/>
                <w:sz w:val="22"/>
                <w:szCs w:val="22"/>
              </w:rPr>
            </w:pPr>
            <w:r w:rsidRPr="01F60E22">
              <w:rPr>
                <w:rFonts w:asciiTheme="minorHAnsi" w:hAnsiTheme="minorHAnsi"/>
                <w:sz w:val="22"/>
                <w:szCs w:val="22"/>
              </w:rPr>
              <w:t xml:space="preserve">Años de servicio continuo </w:t>
            </w:r>
            <w:r w:rsidRPr="01F60E22">
              <w:rPr>
                <w:rFonts w:asciiTheme="minorHAnsi" w:hAnsiTheme="minorHAnsi"/>
                <w:b/>
                <w:bCs/>
                <w:sz w:val="22"/>
                <w:szCs w:val="22"/>
                <w:u w:val="single"/>
              </w:rPr>
              <w:t>cumplidos</w:t>
            </w:r>
          </w:p>
        </w:tc>
        <w:tc>
          <w:tcPr>
            <w:tcW w:w="2161" w:type="dxa"/>
          </w:tcPr>
          <w:p w14:paraId="6DC8CB74"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Monto para indemnizaciones por rescisión del nombramiento adicionales</w:t>
            </w:r>
          </w:p>
        </w:tc>
      </w:tr>
      <w:tr w:rsidR="00CB2B66" w:rsidRPr="00CB2B66" w14:paraId="6DC8CB78" w14:textId="77777777" w:rsidTr="01F60E22">
        <w:tc>
          <w:tcPr>
            <w:tcW w:w="4412" w:type="dxa"/>
          </w:tcPr>
          <w:p w14:paraId="6DC8CB76"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10-14</w:t>
            </w:r>
          </w:p>
        </w:tc>
        <w:tc>
          <w:tcPr>
            <w:tcW w:w="2161" w:type="dxa"/>
          </w:tcPr>
          <w:p w14:paraId="6DC8CB77"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3 meses</w:t>
            </w:r>
          </w:p>
        </w:tc>
      </w:tr>
      <w:tr w:rsidR="00CB2B66" w:rsidRPr="00CB2B66" w14:paraId="6DC8CB7B" w14:textId="77777777" w:rsidTr="01F60E22">
        <w:tc>
          <w:tcPr>
            <w:tcW w:w="4412" w:type="dxa"/>
          </w:tcPr>
          <w:p w14:paraId="6DC8CB79"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15-19</w:t>
            </w:r>
          </w:p>
        </w:tc>
        <w:tc>
          <w:tcPr>
            <w:tcW w:w="2161" w:type="dxa"/>
          </w:tcPr>
          <w:p w14:paraId="6DC8CB7A"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4.5 meses</w:t>
            </w:r>
          </w:p>
        </w:tc>
      </w:tr>
      <w:tr w:rsidR="00CB2B66" w:rsidRPr="00CB2B66" w14:paraId="6DC8CB7E" w14:textId="77777777" w:rsidTr="01F60E22">
        <w:tc>
          <w:tcPr>
            <w:tcW w:w="4412" w:type="dxa"/>
          </w:tcPr>
          <w:p w14:paraId="6DC8CB7C"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20 y más</w:t>
            </w:r>
          </w:p>
        </w:tc>
        <w:tc>
          <w:tcPr>
            <w:tcW w:w="2161" w:type="dxa"/>
          </w:tcPr>
          <w:p w14:paraId="6DC8CB7D"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6 meses</w:t>
            </w:r>
          </w:p>
        </w:tc>
      </w:tr>
    </w:tbl>
    <w:p w14:paraId="6DC8CB7F" w14:textId="77777777" w:rsidR="00CB2B66" w:rsidRPr="00CB2B66" w:rsidRDefault="00CB2B66" w:rsidP="00CB2B66">
      <w:pPr>
        <w:rPr>
          <w:rFonts w:asciiTheme="minorHAnsi" w:hAnsiTheme="minorHAnsi" w:cs="Arial"/>
          <w:b/>
          <w:bCs/>
          <w:sz w:val="22"/>
          <w:szCs w:val="22"/>
        </w:rPr>
      </w:pPr>
    </w:p>
    <w:p w14:paraId="6DC8CB80" w14:textId="77777777" w:rsidR="00CB2B66" w:rsidRPr="00CB2B66" w:rsidRDefault="00CB2B66" w:rsidP="00CB2B66">
      <w:pPr>
        <w:rPr>
          <w:rFonts w:asciiTheme="minorHAnsi" w:hAnsiTheme="minorHAnsi" w:cs="Arial"/>
          <w:b/>
          <w:bCs/>
          <w:sz w:val="22"/>
          <w:szCs w:val="22"/>
        </w:rPr>
      </w:pPr>
    </w:p>
    <w:p w14:paraId="6DC8CB81" w14:textId="77777777" w:rsidR="00CB2B66" w:rsidRPr="00CB2B66" w:rsidRDefault="00CB2B66" w:rsidP="00CB2B66">
      <w:pPr>
        <w:rPr>
          <w:rFonts w:asciiTheme="minorHAnsi" w:hAnsiTheme="minorHAnsi" w:cs="Arial"/>
          <w:b/>
          <w:bCs/>
          <w:sz w:val="22"/>
          <w:szCs w:val="22"/>
        </w:rPr>
      </w:pPr>
    </w:p>
    <w:p w14:paraId="6DC8CB82" w14:textId="77777777" w:rsidR="00CB2B66" w:rsidRPr="00CB2B66" w:rsidRDefault="00CB2B66" w:rsidP="00CB2B66">
      <w:pPr>
        <w:pStyle w:val="ListParagraph"/>
        <w:ind w:left="720"/>
        <w:jc w:val="both"/>
        <w:rPr>
          <w:rFonts w:cs="Arial"/>
          <w:sz w:val="22"/>
          <w:szCs w:val="22"/>
        </w:rPr>
      </w:pPr>
      <w:r>
        <w:rPr>
          <w:bCs/>
          <w:sz w:val="22"/>
          <w:szCs w:val="22"/>
        </w:rPr>
        <w:t>El monto de indemnizaciones por rescisión del nombramiento adicionales anterior se encuentra sujeto a revisión y cambios periódicos.</w:t>
      </w:r>
    </w:p>
    <w:p w14:paraId="6DC8CB83" w14:textId="16E3E598" w:rsidR="00FE5243" w:rsidRDefault="00FE5243">
      <w:pPr>
        <w:rPr>
          <w:rFonts w:asciiTheme="minorHAnsi" w:hAnsiTheme="minorHAnsi"/>
          <w:sz w:val="22"/>
          <w:szCs w:val="22"/>
        </w:rPr>
      </w:pPr>
    </w:p>
    <w:p w14:paraId="50886D32" w14:textId="77777777" w:rsidR="00FE5243" w:rsidRPr="00FE5243" w:rsidRDefault="00FE5243" w:rsidP="00FE5243">
      <w:pPr>
        <w:rPr>
          <w:rFonts w:asciiTheme="minorHAnsi" w:hAnsiTheme="minorHAnsi"/>
          <w:sz w:val="22"/>
          <w:szCs w:val="22"/>
        </w:rPr>
      </w:pPr>
    </w:p>
    <w:p w14:paraId="3B93767F" w14:textId="77777777" w:rsidR="00FE5243" w:rsidRPr="00FE5243" w:rsidRDefault="00FE5243" w:rsidP="00FE5243">
      <w:pPr>
        <w:rPr>
          <w:rFonts w:asciiTheme="minorHAnsi" w:hAnsiTheme="minorHAnsi"/>
          <w:sz w:val="22"/>
          <w:szCs w:val="22"/>
        </w:rPr>
      </w:pPr>
    </w:p>
    <w:p w14:paraId="23C9CB82" w14:textId="77777777" w:rsidR="00F9707B" w:rsidRPr="00F9707B" w:rsidRDefault="00F9707B" w:rsidP="00D85269">
      <w:pPr>
        <w:pStyle w:val="NormalWeb"/>
        <w:spacing w:before="0" w:beforeAutospacing="0" w:after="0" w:afterAutospacing="0"/>
        <w:jc w:val="center"/>
        <w:rPr>
          <w:rFonts w:ascii="Calibri" w:hAnsi="Calibri"/>
          <w:color w:val="201F1E"/>
          <w:sz w:val="22"/>
          <w:szCs w:val="22"/>
        </w:rPr>
      </w:pPr>
      <w:r w:rsidRPr="00F9707B">
        <w:rPr>
          <w:rFonts w:ascii="Calibri" w:hAnsi="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0F910BAD" w14:textId="77777777" w:rsidR="00F9707B" w:rsidRPr="00F9707B" w:rsidRDefault="00F9707B" w:rsidP="00D85269">
      <w:pPr>
        <w:pStyle w:val="NormalWeb"/>
        <w:spacing w:before="0" w:beforeAutospacing="0" w:after="0" w:afterAutospacing="0"/>
        <w:jc w:val="center"/>
        <w:rPr>
          <w:rFonts w:ascii="Calibri" w:hAnsi="Calibri"/>
          <w:color w:val="201F1E"/>
          <w:sz w:val="22"/>
          <w:szCs w:val="22"/>
        </w:rPr>
      </w:pPr>
      <w:r w:rsidRPr="00F9707B">
        <w:rPr>
          <w:rFonts w:ascii="Calibri" w:hAnsi="Calibri"/>
          <w:i/>
          <w:iCs/>
          <w:color w:val="000000"/>
          <w:sz w:val="22"/>
          <w:szCs w:val="22"/>
          <w:bdr w:val="none" w:sz="0" w:space="0" w:color="auto" w:frame="1"/>
        </w:rPr>
        <w:t> </w:t>
      </w:r>
    </w:p>
    <w:p w14:paraId="4A79B055" w14:textId="77777777" w:rsidR="00F9707B" w:rsidRPr="00F9707B" w:rsidRDefault="00F9707B" w:rsidP="00D85269">
      <w:pPr>
        <w:pStyle w:val="NormalWeb"/>
        <w:spacing w:before="0" w:beforeAutospacing="0" w:after="0" w:afterAutospacing="0"/>
        <w:jc w:val="center"/>
        <w:rPr>
          <w:rFonts w:ascii="Calibri" w:hAnsi="Calibri"/>
          <w:color w:val="201F1E"/>
          <w:sz w:val="22"/>
          <w:szCs w:val="22"/>
          <w:lang w:val="es-ES"/>
        </w:rPr>
      </w:pPr>
      <w:r w:rsidRPr="00F9707B">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sidRPr="00F9707B">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5D246D3F" w14:textId="77777777" w:rsidR="00FE5243" w:rsidRPr="00FE5243" w:rsidRDefault="00FE5243" w:rsidP="00FE5243">
      <w:pPr>
        <w:rPr>
          <w:rFonts w:asciiTheme="minorHAnsi" w:hAnsiTheme="minorHAnsi"/>
          <w:sz w:val="22"/>
          <w:szCs w:val="22"/>
        </w:rPr>
      </w:pPr>
    </w:p>
    <w:p w14:paraId="1A758690" w14:textId="77777777" w:rsidR="00FE5243" w:rsidRPr="00FE5243" w:rsidRDefault="00FE5243" w:rsidP="00FE5243">
      <w:pPr>
        <w:rPr>
          <w:rFonts w:asciiTheme="minorHAnsi" w:hAnsiTheme="minorHAnsi"/>
          <w:sz w:val="22"/>
          <w:szCs w:val="22"/>
        </w:rPr>
      </w:pPr>
    </w:p>
    <w:p w14:paraId="14C410DF" w14:textId="77777777" w:rsidR="00FE5243" w:rsidRPr="00FE5243" w:rsidRDefault="00FE5243" w:rsidP="00FE5243">
      <w:pPr>
        <w:rPr>
          <w:rFonts w:asciiTheme="minorHAnsi" w:hAnsiTheme="minorHAnsi"/>
          <w:sz w:val="22"/>
          <w:szCs w:val="22"/>
        </w:rPr>
      </w:pPr>
    </w:p>
    <w:p w14:paraId="539BC5FC" w14:textId="77777777" w:rsidR="00FE5243" w:rsidRPr="00FE5243" w:rsidRDefault="00FE5243" w:rsidP="00FE5243">
      <w:pPr>
        <w:rPr>
          <w:rFonts w:asciiTheme="minorHAnsi" w:hAnsiTheme="minorHAnsi"/>
          <w:sz w:val="22"/>
          <w:szCs w:val="22"/>
        </w:rPr>
      </w:pPr>
    </w:p>
    <w:p w14:paraId="1F8009AB" w14:textId="77777777" w:rsidR="00FE5243" w:rsidRPr="00FE5243" w:rsidRDefault="00FE5243" w:rsidP="00FE5243">
      <w:pPr>
        <w:rPr>
          <w:rFonts w:asciiTheme="minorHAnsi" w:hAnsiTheme="minorHAnsi"/>
          <w:sz w:val="22"/>
          <w:szCs w:val="22"/>
        </w:rPr>
      </w:pPr>
    </w:p>
    <w:p w14:paraId="216E58AE" w14:textId="77777777" w:rsidR="00FE5243" w:rsidRPr="00FE5243" w:rsidRDefault="00FE5243" w:rsidP="00FE5243">
      <w:pPr>
        <w:rPr>
          <w:rFonts w:asciiTheme="minorHAnsi" w:hAnsiTheme="minorHAnsi"/>
          <w:sz w:val="22"/>
          <w:szCs w:val="22"/>
        </w:rPr>
      </w:pPr>
    </w:p>
    <w:p w14:paraId="19364C5C" w14:textId="77777777" w:rsidR="00FE5243" w:rsidRPr="00FE5243" w:rsidRDefault="00FE5243" w:rsidP="00FE5243">
      <w:pPr>
        <w:rPr>
          <w:rFonts w:asciiTheme="minorHAnsi" w:hAnsiTheme="minorHAnsi"/>
          <w:sz w:val="22"/>
          <w:szCs w:val="22"/>
        </w:rPr>
      </w:pPr>
    </w:p>
    <w:p w14:paraId="7BA5B6AD" w14:textId="77777777" w:rsidR="00FE5243" w:rsidRPr="00FE5243" w:rsidRDefault="00FE5243" w:rsidP="00FE5243">
      <w:pPr>
        <w:rPr>
          <w:rFonts w:asciiTheme="minorHAnsi" w:hAnsiTheme="minorHAnsi"/>
          <w:sz w:val="22"/>
          <w:szCs w:val="22"/>
        </w:rPr>
      </w:pPr>
    </w:p>
    <w:p w14:paraId="73D27AF3" w14:textId="77777777" w:rsidR="00FE5243" w:rsidRPr="00FE5243" w:rsidRDefault="00FE5243" w:rsidP="00FE5243">
      <w:pPr>
        <w:rPr>
          <w:rFonts w:asciiTheme="minorHAnsi" w:hAnsiTheme="minorHAnsi"/>
          <w:sz w:val="22"/>
          <w:szCs w:val="22"/>
        </w:rPr>
      </w:pPr>
    </w:p>
    <w:p w14:paraId="2AF4BA16" w14:textId="77777777" w:rsidR="00FE5243" w:rsidRPr="00FE5243" w:rsidRDefault="00FE5243" w:rsidP="00FE5243">
      <w:pPr>
        <w:rPr>
          <w:rFonts w:asciiTheme="minorHAnsi" w:hAnsiTheme="minorHAnsi"/>
          <w:sz w:val="22"/>
          <w:szCs w:val="22"/>
        </w:rPr>
      </w:pPr>
    </w:p>
    <w:p w14:paraId="3FEBABFF" w14:textId="0993A9C0" w:rsidR="00FE5243" w:rsidRDefault="00FE5243" w:rsidP="00FE5243">
      <w:pPr>
        <w:rPr>
          <w:rFonts w:asciiTheme="minorHAnsi" w:hAnsiTheme="minorHAnsi"/>
          <w:sz w:val="22"/>
          <w:szCs w:val="22"/>
        </w:rPr>
      </w:pPr>
    </w:p>
    <w:p w14:paraId="00E3D05E" w14:textId="3EBD60AB" w:rsidR="00FE5243" w:rsidRDefault="00FE5243" w:rsidP="00FE5243">
      <w:pPr>
        <w:rPr>
          <w:rFonts w:asciiTheme="minorHAnsi" w:hAnsiTheme="minorHAnsi"/>
          <w:sz w:val="22"/>
          <w:szCs w:val="22"/>
        </w:rPr>
      </w:pPr>
    </w:p>
    <w:p w14:paraId="023254A5" w14:textId="77777777" w:rsidR="00BC35D0" w:rsidRPr="00FE5243" w:rsidRDefault="00000000" w:rsidP="00FE5243">
      <w:pPr>
        <w:ind w:firstLine="720"/>
        <w:rPr>
          <w:rFonts w:asciiTheme="minorHAnsi" w:hAnsiTheme="minorHAnsi"/>
          <w:sz w:val="22"/>
          <w:szCs w:val="22"/>
        </w:rPr>
      </w:pPr>
    </w:p>
    <w:sectPr w:rsidR="00BC35D0" w:rsidRPr="00FE524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AC24" w14:textId="77777777" w:rsidR="00F15D0F" w:rsidRDefault="00F15D0F" w:rsidP="00CB2B66">
      <w:r>
        <w:separator/>
      </w:r>
    </w:p>
  </w:endnote>
  <w:endnote w:type="continuationSeparator" w:id="0">
    <w:p w14:paraId="13C797F1" w14:textId="77777777" w:rsidR="00F15D0F" w:rsidRDefault="00F15D0F" w:rsidP="00CB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270112"/>
      <w:docPartObj>
        <w:docPartGallery w:val="Page Numbers (Bottom of Page)"/>
        <w:docPartUnique/>
      </w:docPartObj>
    </w:sdtPr>
    <w:sdtContent>
      <w:sdt>
        <w:sdtPr>
          <w:id w:val="-1705238520"/>
          <w:docPartObj>
            <w:docPartGallery w:val="Page Numbers (Top of Page)"/>
            <w:docPartUnique/>
          </w:docPartObj>
        </w:sdtPr>
        <w:sdtContent>
          <w:p w14:paraId="242BD4CB" w14:textId="0E9C9CC7" w:rsidR="00FE5243" w:rsidRDefault="00FE5243" w:rsidP="000C6719">
            <w:pPr>
              <w:pStyle w:val="Footer"/>
              <w:tabs>
                <w:tab w:val="clear" w:pos="4680"/>
                <w:tab w:val="center" w:pos="5068"/>
              </w:tabs>
            </w:pPr>
            <w:r>
              <w:t xml:space="preserve">Página </w:t>
            </w:r>
            <w:r>
              <w:rPr>
                <w:b/>
                <w:bCs/>
              </w:rPr>
              <w:fldChar w:fldCharType="begin"/>
            </w:r>
            <w:r>
              <w:rPr>
                <w:b/>
                <w:bCs/>
              </w:rPr>
              <w:instrText xml:space="preserve"> PAGE </w:instrText>
            </w:r>
            <w:r>
              <w:rPr>
                <w:b/>
                <w:bCs/>
              </w:rPr>
              <w:fldChar w:fldCharType="separate"/>
            </w:r>
            <w:r w:rsidR="000C6719">
              <w:rPr>
                <w:b/>
                <w:bCs/>
                <w:noProof/>
              </w:rPr>
              <w:t>4</w:t>
            </w:r>
            <w:r>
              <w:rPr>
                <w:b/>
                <w:bCs/>
              </w:rPr>
              <w:fldChar w:fldCharType="end"/>
            </w:r>
            <w:r>
              <w:t xml:space="preserve"> de </w:t>
            </w:r>
            <w:r>
              <w:rPr>
                <w:b/>
                <w:bCs/>
              </w:rPr>
              <w:fldChar w:fldCharType="begin"/>
            </w:r>
            <w:r>
              <w:rPr>
                <w:b/>
                <w:bCs/>
              </w:rPr>
              <w:instrText xml:space="preserve"> NUMPAGES  </w:instrText>
            </w:r>
            <w:r>
              <w:rPr>
                <w:b/>
                <w:bCs/>
              </w:rPr>
              <w:fldChar w:fldCharType="separate"/>
            </w:r>
            <w:r w:rsidR="000C6719">
              <w:rPr>
                <w:b/>
                <w:bCs/>
                <w:noProof/>
              </w:rPr>
              <w:t>10</w:t>
            </w:r>
            <w:r>
              <w:rPr>
                <w:b/>
                <w:bCs/>
              </w:rPr>
              <w:fldChar w:fldCharType="end"/>
            </w:r>
            <w:r w:rsidR="000C6719">
              <w:rPr>
                <w:b/>
                <w:bCs/>
              </w:rPr>
              <w:tab/>
            </w:r>
            <w:r>
              <w:rPr>
                <w:b/>
              </w:rPr>
              <w:t>Fecha de entrada en vigor:</w:t>
            </w:r>
            <w:r>
              <w:t xml:space="preserve"> </w:t>
            </w:r>
            <w:sdt>
              <w:sdtPr>
                <w:rPr>
                  <w:bCs/>
                </w:rPr>
                <w:alias w:val="Fecha de entrada en vigor"/>
                <w:tag w:val="UNDP_POPP_EFFECTIVEDATE"/>
                <w:id w:val="1406802606"/>
                <w:placeholder>
                  <w:docPart w:val="62250401545E4C029D139D37A6673C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BBF01E5-A5CD-4A2B-A31D-70B0AFCC25F2}"/>
                <w:date w:fullDate="2023-07-01T00:00:00Z">
                  <w:dateFormat w:val="dd/MM/yyyy"/>
                  <w:lid w:val="es-ES"/>
                  <w:storeMappedDataAs w:val="dateTime"/>
                  <w:calendar w:val="gregorian"/>
                </w:date>
              </w:sdtPr>
              <w:sdtContent>
                <w:r w:rsidR="00324ADA">
                  <w:rPr>
                    <w:bCs/>
                  </w:rPr>
                  <w:t>01/07/2023</w:t>
                </w:r>
              </w:sdtContent>
            </w:sdt>
          </w:p>
        </w:sdtContent>
      </w:sdt>
    </w:sdtContent>
  </w:sdt>
  <w:sdt>
    <w:sdtPr>
      <w:alias w:val="POPPRefItemVersion"/>
      <w:tag w:val="UNDP_POPP_REFITEM_VERSION"/>
      <w:id w:val="1949894668"/>
      <w:placeholder>
        <w:docPart w:val="A9EBC34A7EE549A0B354DE6594F449F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BBF01E5-A5CD-4A2B-A31D-70B0AFCC25F2}"/>
      <w:text/>
    </w:sdtPr>
    <w:sdtContent>
      <w:p w14:paraId="7A5CE7AA" w14:textId="5F91153A" w:rsidR="00FE5243" w:rsidRDefault="00A73239" w:rsidP="0070211A">
        <w:pPr>
          <w:pStyle w:val="Footer"/>
          <w:jc w:val="right"/>
        </w:pP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F0CF" w14:textId="77777777" w:rsidR="00F15D0F" w:rsidRDefault="00F15D0F" w:rsidP="00CB2B66">
      <w:r>
        <w:separator/>
      </w:r>
    </w:p>
  </w:footnote>
  <w:footnote w:type="continuationSeparator" w:id="0">
    <w:p w14:paraId="163C60D1" w14:textId="77777777" w:rsidR="00F15D0F" w:rsidRDefault="00F15D0F" w:rsidP="00CB2B66">
      <w:r>
        <w:continuationSeparator/>
      </w:r>
    </w:p>
  </w:footnote>
  <w:footnote w:id="1">
    <w:p w14:paraId="3162CBE8" w14:textId="77777777" w:rsidR="00B960E1" w:rsidRDefault="00CB2B66" w:rsidP="00CB2B66">
      <w:pPr>
        <w:pStyle w:val="FootnoteText"/>
      </w:pPr>
      <w:r>
        <w:rPr>
          <w:rStyle w:val="FootnoteReference"/>
        </w:rPr>
        <w:footnoteRef/>
      </w:r>
      <w:r>
        <w:t xml:space="preserve"> </w:t>
      </w:r>
      <w:r w:rsidR="00B960E1" w:rsidRPr="00B960E1">
        <w:t>Los servicios prestados en virtud del Reglamento del Personal de la serie 300 no se tendrán en cuenta para el cálculo de la indemnización; no obstante, la continuidad del servicio no se considerará interrumpida por los periodos de servicio del funcionario en un nombramiento de la serie 300</w:t>
      </w:r>
    </w:p>
    <w:p w14:paraId="6DC8CB8A" w14:textId="27F9B35D" w:rsidR="00CB2B66" w:rsidRPr="00EF5258" w:rsidRDefault="00CB2B66" w:rsidP="00CB2B66">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D37"/>
    <w:multiLevelType w:val="hybridMultilevel"/>
    <w:tmpl w:val="AF280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401A8"/>
    <w:multiLevelType w:val="hybridMultilevel"/>
    <w:tmpl w:val="6A9A1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80320"/>
    <w:multiLevelType w:val="hybridMultilevel"/>
    <w:tmpl w:val="9A88E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566ED2"/>
    <w:multiLevelType w:val="hybridMultilevel"/>
    <w:tmpl w:val="78AE10A8"/>
    <w:lvl w:ilvl="0" w:tplc="4B8495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6C5AC1"/>
    <w:multiLevelType w:val="hybridMultilevel"/>
    <w:tmpl w:val="D85AB0A6"/>
    <w:lvl w:ilvl="0" w:tplc="33CECD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D7DE3"/>
    <w:multiLevelType w:val="hybridMultilevel"/>
    <w:tmpl w:val="A240E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0281C"/>
    <w:multiLevelType w:val="hybridMultilevel"/>
    <w:tmpl w:val="02FE291A"/>
    <w:lvl w:ilvl="0" w:tplc="2CC298F2">
      <w:start w:val="6"/>
      <w:numFmt w:val="decimal"/>
      <w:lvlText w:val="%1."/>
      <w:lvlJc w:val="left"/>
      <w:pPr>
        <w:ind w:left="72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5ED25EC0"/>
    <w:multiLevelType w:val="hybridMultilevel"/>
    <w:tmpl w:val="591A91B4"/>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235732"/>
    <w:multiLevelType w:val="hybridMultilevel"/>
    <w:tmpl w:val="9DFC4EE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6D856463"/>
    <w:multiLevelType w:val="hybridMultilevel"/>
    <w:tmpl w:val="0694B956"/>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5E211B"/>
    <w:multiLevelType w:val="hybridMultilevel"/>
    <w:tmpl w:val="77B24646"/>
    <w:lvl w:ilvl="0" w:tplc="04090017">
      <w:start w:val="1"/>
      <w:numFmt w:val="lowerLetter"/>
      <w:lvlText w:val="%1)"/>
      <w:lvlJc w:val="left"/>
      <w:pPr>
        <w:tabs>
          <w:tab w:val="num" w:pos="1170"/>
        </w:tabs>
        <w:ind w:left="1170" w:hanging="360"/>
      </w:pPr>
      <w:rPr>
        <w:rFonts w:hint="default"/>
      </w:rPr>
    </w:lvl>
    <w:lvl w:ilvl="1" w:tplc="C97C50EA">
      <w:start w:val="6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3507093">
    <w:abstractNumId w:val="10"/>
  </w:num>
  <w:num w:numId="2" w16cid:durableId="2126725328">
    <w:abstractNumId w:val="7"/>
  </w:num>
  <w:num w:numId="3" w16cid:durableId="579293763">
    <w:abstractNumId w:val="5"/>
  </w:num>
  <w:num w:numId="4" w16cid:durableId="411044964">
    <w:abstractNumId w:val="9"/>
  </w:num>
  <w:num w:numId="5" w16cid:durableId="2079744911">
    <w:abstractNumId w:val="2"/>
  </w:num>
  <w:num w:numId="6" w16cid:durableId="106851266">
    <w:abstractNumId w:val="1"/>
  </w:num>
  <w:num w:numId="7" w16cid:durableId="2118671924">
    <w:abstractNumId w:val="0"/>
  </w:num>
  <w:num w:numId="8" w16cid:durableId="1325938043">
    <w:abstractNumId w:val="8"/>
  </w:num>
  <w:num w:numId="9" w16cid:durableId="455026809">
    <w:abstractNumId w:val="3"/>
  </w:num>
  <w:num w:numId="10" w16cid:durableId="141774673">
    <w:abstractNumId w:val="4"/>
  </w:num>
  <w:num w:numId="11" w16cid:durableId="1134249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66"/>
    <w:rsid w:val="00000680"/>
    <w:rsid w:val="00006B52"/>
    <w:rsid w:val="000317F1"/>
    <w:rsid w:val="000A6F0E"/>
    <w:rsid w:val="000C6719"/>
    <w:rsid w:val="00180658"/>
    <w:rsid w:val="00196D0D"/>
    <w:rsid w:val="002200D0"/>
    <w:rsid w:val="0026611D"/>
    <w:rsid w:val="00324ADA"/>
    <w:rsid w:val="003D2E43"/>
    <w:rsid w:val="003F75E3"/>
    <w:rsid w:val="0045045B"/>
    <w:rsid w:val="004C1B13"/>
    <w:rsid w:val="004E4071"/>
    <w:rsid w:val="005049F3"/>
    <w:rsid w:val="0055689D"/>
    <w:rsid w:val="00656A4D"/>
    <w:rsid w:val="006F19A7"/>
    <w:rsid w:val="0070211A"/>
    <w:rsid w:val="00795E99"/>
    <w:rsid w:val="007F0D7E"/>
    <w:rsid w:val="007F6294"/>
    <w:rsid w:val="00855CB7"/>
    <w:rsid w:val="00860010"/>
    <w:rsid w:val="00866072"/>
    <w:rsid w:val="008C6431"/>
    <w:rsid w:val="00922852"/>
    <w:rsid w:val="00997B09"/>
    <w:rsid w:val="00A73239"/>
    <w:rsid w:val="00B17C1A"/>
    <w:rsid w:val="00B26ED6"/>
    <w:rsid w:val="00B36843"/>
    <w:rsid w:val="00B960E1"/>
    <w:rsid w:val="00BB25D3"/>
    <w:rsid w:val="00BE1921"/>
    <w:rsid w:val="00CA3476"/>
    <w:rsid w:val="00CB2B66"/>
    <w:rsid w:val="00CD3708"/>
    <w:rsid w:val="00CE2884"/>
    <w:rsid w:val="00D7652A"/>
    <w:rsid w:val="00D81F4D"/>
    <w:rsid w:val="00D85269"/>
    <w:rsid w:val="00F15D0F"/>
    <w:rsid w:val="00F9707B"/>
    <w:rsid w:val="00FB6BF5"/>
    <w:rsid w:val="00FE5243"/>
    <w:rsid w:val="01F60E22"/>
    <w:rsid w:val="0D56AE83"/>
    <w:rsid w:val="42D10DDC"/>
    <w:rsid w:val="4335EAC3"/>
    <w:rsid w:val="57619FB3"/>
    <w:rsid w:val="5BA1A707"/>
    <w:rsid w:val="603CA14D"/>
    <w:rsid w:val="618D549C"/>
    <w:rsid w:val="72BF0DDC"/>
    <w:rsid w:val="7979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CA8B"/>
  <w15:chartTrackingRefBased/>
  <w15:docId w15:val="{9676EEAD-06F1-4FFE-8BA4-73F74C9A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B66"/>
    <w:rPr>
      <w:color w:val="3366FF"/>
      <w:u w:val="none"/>
    </w:rPr>
  </w:style>
  <w:style w:type="paragraph" w:styleId="FootnoteText">
    <w:name w:val="footnote text"/>
    <w:basedOn w:val="Normal"/>
    <w:link w:val="FootnoteTextChar"/>
    <w:uiPriority w:val="99"/>
    <w:rsid w:val="00CB2B66"/>
    <w:rPr>
      <w:sz w:val="20"/>
      <w:szCs w:val="20"/>
    </w:rPr>
  </w:style>
  <w:style w:type="character" w:customStyle="1" w:styleId="FootnoteTextChar">
    <w:name w:val="Footnote Text Char"/>
    <w:basedOn w:val="DefaultParagraphFont"/>
    <w:link w:val="FootnoteText"/>
    <w:uiPriority w:val="99"/>
    <w:rsid w:val="00CB2B66"/>
    <w:rPr>
      <w:rFonts w:ascii="Times New Roman" w:eastAsia="Times New Roman" w:hAnsi="Times New Roman" w:cs="Times New Roman"/>
      <w:sz w:val="20"/>
      <w:szCs w:val="20"/>
    </w:rPr>
  </w:style>
  <w:style w:type="character" w:styleId="FootnoteReference">
    <w:name w:val="footnote reference"/>
    <w:uiPriority w:val="99"/>
    <w:rsid w:val="00CB2B66"/>
    <w:rPr>
      <w:vertAlign w:val="superscript"/>
    </w:rPr>
  </w:style>
  <w:style w:type="paragraph" w:styleId="ListParagraph">
    <w:name w:val="List Paragraph"/>
    <w:basedOn w:val="Normal"/>
    <w:qFormat/>
    <w:rsid w:val="00CB2B66"/>
    <w:pPr>
      <w:contextualSpacing/>
    </w:pPr>
    <w:rPr>
      <w:rFonts w:asciiTheme="minorHAnsi" w:eastAsiaTheme="minorEastAsia" w:hAnsiTheme="minorHAnsi" w:cstheme="minorBidi"/>
    </w:rPr>
  </w:style>
  <w:style w:type="table" w:styleId="TableGrid">
    <w:name w:val="Table Grid"/>
    <w:basedOn w:val="TableNormal"/>
    <w:uiPriority w:val="39"/>
    <w:rsid w:val="00CB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243"/>
    <w:pPr>
      <w:tabs>
        <w:tab w:val="center" w:pos="4680"/>
        <w:tab w:val="right" w:pos="9360"/>
      </w:tabs>
    </w:pPr>
  </w:style>
  <w:style w:type="character" w:customStyle="1" w:styleId="HeaderChar">
    <w:name w:val="Header Char"/>
    <w:basedOn w:val="DefaultParagraphFont"/>
    <w:link w:val="Header"/>
    <w:uiPriority w:val="99"/>
    <w:rsid w:val="00FE5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243"/>
    <w:pPr>
      <w:tabs>
        <w:tab w:val="center" w:pos="4680"/>
        <w:tab w:val="right" w:pos="9360"/>
      </w:tabs>
    </w:pPr>
  </w:style>
  <w:style w:type="character" w:customStyle="1" w:styleId="FooterChar">
    <w:name w:val="Footer Char"/>
    <w:basedOn w:val="DefaultParagraphFont"/>
    <w:link w:val="Footer"/>
    <w:uiPriority w:val="99"/>
    <w:rsid w:val="00FE524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317F1"/>
    <w:rPr>
      <w:color w:val="808080"/>
    </w:rPr>
  </w:style>
  <w:style w:type="paragraph" w:styleId="NormalWeb">
    <w:name w:val="Normal (Web)"/>
    <w:basedOn w:val="Normal"/>
    <w:uiPriority w:val="99"/>
    <w:semiHidden/>
    <w:unhideWhenUsed/>
    <w:rsid w:val="00F9707B"/>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D85269"/>
    <w:rPr>
      <w:color w:val="954F72" w:themeColor="followedHyperlink"/>
      <w:u w:val="single"/>
    </w:rPr>
  </w:style>
  <w:style w:type="character" w:styleId="UnresolvedMention">
    <w:name w:val="Unresolved Mention"/>
    <w:basedOn w:val="DefaultParagraphFont"/>
    <w:uiPriority w:val="99"/>
    <w:semiHidden/>
    <w:unhideWhenUsed/>
    <w:rsid w:val="00D8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7588">
      <w:bodyDiv w:val="1"/>
      <w:marLeft w:val="0"/>
      <w:marRight w:val="0"/>
      <w:marTop w:val="0"/>
      <w:marBottom w:val="0"/>
      <w:divBdr>
        <w:top w:val="none" w:sz="0" w:space="0" w:color="auto"/>
        <w:left w:val="none" w:sz="0" w:space="0" w:color="auto"/>
        <w:bottom w:val="none" w:sz="0" w:space="0" w:color="auto"/>
        <w:right w:val="none" w:sz="0" w:space="0" w:color="auto"/>
      </w:divBdr>
    </w:div>
    <w:div w:id="2059284569">
      <w:bodyDiv w:val="1"/>
      <w:marLeft w:val="0"/>
      <w:marRight w:val="0"/>
      <w:marTop w:val="0"/>
      <w:marBottom w:val="0"/>
      <w:divBdr>
        <w:top w:val="none" w:sz="0" w:space="0" w:color="auto"/>
        <w:left w:val="none" w:sz="0" w:space="0" w:color="auto"/>
        <w:bottom w:val="none" w:sz="0" w:space="0" w:color="auto"/>
        <w:right w:val="none" w:sz="0" w:space="0" w:color="auto"/>
      </w:divBdr>
      <w:divsChild>
        <w:div w:id="1240366092">
          <w:marLeft w:val="0"/>
          <w:marRight w:val="0"/>
          <w:marTop w:val="0"/>
          <w:marBottom w:val="0"/>
          <w:divBdr>
            <w:top w:val="none" w:sz="0" w:space="0" w:color="auto"/>
            <w:left w:val="none" w:sz="0" w:space="0" w:color="auto"/>
            <w:bottom w:val="none" w:sz="0" w:space="0" w:color="auto"/>
            <w:right w:val="none" w:sz="0" w:space="0" w:color="auto"/>
          </w:divBdr>
          <w:divsChild>
            <w:div w:id="219903486">
              <w:marLeft w:val="0"/>
              <w:marRight w:val="0"/>
              <w:marTop w:val="0"/>
              <w:marBottom w:val="0"/>
              <w:divBdr>
                <w:top w:val="none" w:sz="0" w:space="0" w:color="auto"/>
                <w:left w:val="none" w:sz="0" w:space="0" w:color="auto"/>
                <w:bottom w:val="none" w:sz="0" w:space="0" w:color="auto"/>
                <w:right w:val="none" w:sz="0" w:space="0" w:color="auto"/>
              </w:divBdr>
              <w:divsChild>
                <w:div w:id="268129887">
                  <w:marLeft w:val="0"/>
                  <w:marRight w:val="0"/>
                  <w:marTop w:val="0"/>
                  <w:marBottom w:val="0"/>
                  <w:divBdr>
                    <w:top w:val="none" w:sz="0" w:space="0" w:color="auto"/>
                    <w:left w:val="none" w:sz="0" w:space="0" w:color="auto"/>
                    <w:bottom w:val="none" w:sz="0" w:space="0" w:color="auto"/>
                    <w:right w:val="none" w:sz="0" w:space="0" w:color="auto"/>
                  </w:divBdr>
                  <w:divsChild>
                    <w:div w:id="1428454599">
                      <w:marLeft w:val="0"/>
                      <w:marRight w:val="0"/>
                      <w:marTop w:val="0"/>
                      <w:marBottom w:val="0"/>
                      <w:divBdr>
                        <w:top w:val="none" w:sz="0" w:space="0" w:color="auto"/>
                        <w:left w:val="none" w:sz="0" w:space="0" w:color="auto"/>
                        <w:bottom w:val="none" w:sz="0" w:space="0" w:color="auto"/>
                        <w:right w:val="none" w:sz="0" w:space="0" w:color="auto"/>
                      </w:divBdr>
                      <w:divsChild>
                        <w:div w:id="68890379">
                          <w:marLeft w:val="0"/>
                          <w:marRight w:val="0"/>
                          <w:marTop w:val="0"/>
                          <w:marBottom w:val="0"/>
                          <w:divBdr>
                            <w:top w:val="none" w:sz="0" w:space="0" w:color="auto"/>
                            <w:left w:val="none" w:sz="0" w:space="0" w:color="auto"/>
                            <w:bottom w:val="none" w:sz="0" w:space="0" w:color="auto"/>
                            <w:right w:val="none" w:sz="0" w:space="0" w:color="auto"/>
                          </w:divBdr>
                          <w:divsChild>
                            <w:div w:id="1022707920">
                              <w:marLeft w:val="15"/>
                              <w:marRight w:val="195"/>
                              <w:marTop w:val="0"/>
                              <w:marBottom w:val="0"/>
                              <w:divBdr>
                                <w:top w:val="none" w:sz="0" w:space="0" w:color="auto"/>
                                <w:left w:val="none" w:sz="0" w:space="0" w:color="auto"/>
                                <w:bottom w:val="none" w:sz="0" w:space="0" w:color="auto"/>
                                <w:right w:val="none" w:sz="0" w:space="0" w:color="auto"/>
                              </w:divBdr>
                              <w:divsChild>
                                <w:div w:id="520242529">
                                  <w:marLeft w:val="0"/>
                                  <w:marRight w:val="0"/>
                                  <w:marTop w:val="0"/>
                                  <w:marBottom w:val="0"/>
                                  <w:divBdr>
                                    <w:top w:val="none" w:sz="0" w:space="0" w:color="auto"/>
                                    <w:left w:val="none" w:sz="0" w:space="0" w:color="auto"/>
                                    <w:bottom w:val="none" w:sz="0" w:space="0" w:color="auto"/>
                                    <w:right w:val="none" w:sz="0" w:space="0" w:color="auto"/>
                                  </w:divBdr>
                                  <w:divsChild>
                                    <w:div w:id="344984821">
                                      <w:marLeft w:val="0"/>
                                      <w:marRight w:val="0"/>
                                      <w:marTop w:val="0"/>
                                      <w:marBottom w:val="0"/>
                                      <w:divBdr>
                                        <w:top w:val="none" w:sz="0" w:space="0" w:color="auto"/>
                                        <w:left w:val="none" w:sz="0" w:space="0" w:color="auto"/>
                                        <w:bottom w:val="none" w:sz="0" w:space="0" w:color="auto"/>
                                        <w:right w:val="none" w:sz="0" w:space="0" w:color="auto"/>
                                      </w:divBdr>
                                      <w:divsChild>
                                        <w:div w:id="2129617604">
                                          <w:marLeft w:val="0"/>
                                          <w:marRight w:val="0"/>
                                          <w:marTop w:val="0"/>
                                          <w:marBottom w:val="0"/>
                                          <w:divBdr>
                                            <w:top w:val="none" w:sz="0" w:space="0" w:color="auto"/>
                                            <w:left w:val="none" w:sz="0" w:space="0" w:color="auto"/>
                                            <w:bottom w:val="none" w:sz="0" w:space="0" w:color="auto"/>
                                            <w:right w:val="none" w:sz="0" w:space="0" w:color="auto"/>
                                          </w:divBdr>
                                          <w:divsChild>
                                            <w:div w:id="1816944356">
                                              <w:marLeft w:val="0"/>
                                              <w:marRight w:val="0"/>
                                              <w:marTop w:val="0"/>
                                              <w:marBottom w:val="0"/>
                                              <w:divBdr>
                                                <w:top w:val="none" w:sz="0" w:space="0" w:color="auto"/>
                                                <w:left w:val="none" w:sz="0" w:space="0" w:color="auto"/>
                                                <w:bottom w:val="none" w:sz="0" w:space="0" w:color="auto"/>
                                                <w:right w:val="none" w:sz="0" w:space="0" w:color="auto"/>
                                              </w:divBdr>
                                              <w:divsChild>
                                                <w:div w:id="1145198587">
                                                  <w:marLeft w:val="0"/>
                                                  <w:marRight w:val="0"/>
                                                  <w:marTop w:val="0"/>
                                                  <w:marBottom w:val="0"/>
                                                  <w:divBdr>
                                                    <w:top w:val="none" w:sz="0" w:space="0" w:color="auto"/>
                                                    <w:left w:val="none" w:sz="0" w:space="0" w:color="auto"/>
                                                    <w:bottom w:val="none" w:sz="0" w:space="0" w:color="auto"/>
                                                    <w:right w:val="none" w:sz="0" w:space="0" w:color="auto"/>
                                                  </w:divBdr>
                                                  <w:divsChild>
                                                    <w:div w:id="472869243">
                                                      <w:marLeft w:val="0"/>
                                                      <w:marRight w:val="0"/>
                                                      <w:marTop w:val="0"/>
                                                      <w:marBottom w:val="0"/>
                                                      <w:divBdr>
                                                        <w:top w:val="none" w:sz="0" w:space="0" w:color="auto"/>
                                                        <w:left w:val="none" w:sz="0" w:space="0" w:color="auto"/>
                                                        <w:bottom w:val="none" w:sz="0" w:space="0" w:color="auto"/>
                                                        <w:right w:val="none" w:sz="0" w:space="0" w:color="auto"/>
                                                      </w:divBdr>
                                                      <w:divsChild>
                                                        <w:div w:id="1614938236">
                                                          <w:marLeft w:val="0"/>
                                                          <w:marRight w:val="0"/>
                                                          <w:marTop w:val="0"/>
                                                          <w:marBottom w:val="0"/>
                                                          <w:divBdr>
                                                            <w:top w:val="none" w:sz="0" w:space="0" w:color="auto"/>
                                                            <w:left w:val="none" w:sz="0" w:space="0" w:color="auto"/>
                                                            <w:bottom w:val="none" w:sz="0" w:space="0" w:color="auto"/>
                                                            <w:right w:val="none" w:sz="0" w:space="0" w:color="auto"/>
                                                          </w:divBdr>
                                                          <w:divsChild>
                                                            <w:div w:id="1487474154">
                                                              <w:marLeft w:val="0"/>
                                                              <w:marRight w:val="0"/>
                                                              <w:marTop w:val="0"/>
                                                              <w:marBottom w:val="0"/>
                                                              <w:divBdr>
                                                                <w:top w:val="none" w:sz="0" w:space="0" w:color="auto"/>
                                                                <w:left w:val="none" w:sz="0" w:space="0" w:color="auto"/>
                                                                <w:bottom w:val="none" w:sz="0" w:space="0" w:color="auto"/>
                                                                <w:right w:val="none" w:sz="0" w:space="0" w:color="auto"/>
                                                              </w:divBdr>
                                                              <w:divsChild>
                                                                <w:div w:id="2072801003">
                                                                  <w:marLeft w:val="0"/>
                                                                  <w:marRight w:val="0"/>
                                                                  <w:marTop w:val="735"/>
                                                                  <w:marBottom w:val="0"/>
                                                                  <w:divBdr>
                                                                    <w:top w:val="none" w:sz="0" w:space="0" w:color="auto"/>
                                                                    <w:left w:val="none" w:sz="0" w:space="0" w:color="auto"/>
                                                                    <w:bottom w:val="none" w:sz="0" w:space="0" w:color="auto"/>
                                                                    <w:right w:val="none" w:sz="0" w:space="0" w:color="auto"/>
                                                                  </w:divBdr>
                                                                  <w:divsChild>
                                                                    <w:div w:id="267466025">
                                                                      <w:marLeft w:val="450"/>
                                                                      <w:marRight w:val="450"/>
                                                                      <w:marTop w:val="0"/>
                                                                      <w:marBottom w:val="0"/>
                                                                      <w:divBdr>
                                                                        <w:top w:val="none" w:sz="0" w:space="0" w:color="auto"/>
                                                                        <w:left w:val="none" w:sz="0" w:space="0" w:color="auto"/>
                                                                        <w:bottom w:val="none" w:sz="0" w:space="0" w:color="auto"/>
                                                                        <w:right w:val="none" w:sz="0" w:space="0" w:color="auto"/>
                                                                      </w:divBdr>
                                                                      <w:divsChild>
                                                                        <w:div w:id="741759353">
                                                                          <w:marLeft w:val="0"/>
                                                                          <w:marRight w:val="45"/>
                                                                          <w:marTop w:val="45"/>
                                                                          <w:marBottom w:val="0"/>
                                                                          <w:divBdr>
                                                                            <w:top w:val="none" w:sz="0" w:space="0" w:color="auto"/>
                                                                            <w:left w:val="none" w:sz="0" w:space="0" w:color="auto"/>
                                                                            <w:bottom w:val="none" w:sz="0" w:space="0" w:color="auto"/>
                                                                            <w:right w:val="none" w:sz="0" w:space="0" w:color="auto"/>
                                                                          </w:divBdr>
                                                                          <w:divsChild>
                                                                            <w:div w:id="812793815">
                                                                              <w:marLeft w:val="0"/>
                                                                              <w:marRight w:val="0"/>
                                                                              <w:marTop w:val="0"/>
                                                                              <w:marBottom w:val="0"/>
                                                                              <w:divBdr>
                                                                                <w:top w:val="none" w:sz="0" w:space="0" w:color="auto"/>
                                                                                <w:left w:val="none" w:sz="0" w:space="0" w:color="auto"/>
                                                                                <w:bottom w:val="none" w:sz="0" w:space="0" w:color="auto"/>
                                                                                <w:right w:val="none" w:sz="0" w:space="0" w:color="auto"/>
                                                                              </w:divBdr>
                                                                              <w:divsChild>
                                                                                <w:div w:id="16277051">
                                                                                  <w:marLeft w:val="0"/>
                                                                                  <w:marRight w:val="0"/>
                                                                                  <w:marTop w:val="0"/>
                                                                                  <w:marBottom w:val="0"/>
                                                                                  <w:divBdr>
                                                                                    <w:top w:val="none" w:sz="0" w:space="0" w:color="auto"/>
                                                                                    <w:left w:val="none" w:sz="0" w:space="0" w:color="auto"/>
                                                                                    <w:bottom w:val="none" w:sz="0" w:space="0" w:color="auto"/>
                                                                                    <w:right w:val="none" w:sz="0" w:space="0" w:color="auto"/>
                                                                                  </w:divBdr>
                                                                                  <w:divsChild>
                                                                                    <w:div w:id="1449861092">
                                                                                      <w:marLeft w:val="0"/>
                                                                                      <w:marRight w:val="0"/>
                                                                                      <w:marTop w:val="0"/>
                                                                                      <w:marBottom w:val="0"/>
                                                                                      <w:divBdr>
                                                                                        <w:top w:val="none" w:sz="0" w:space="0" w:color="auto"/>
                                                                                        <w:left w:val="single" w:sz="6" w:space="0" w:color="auto"/>
                                                                                        <w:bottom w:val="none" w:sz="0" w:space="0" w:color="auto"/>
                                                                                        <w:right w:val="single" w:sz="6" w:space="0" w:color="auto"/>
                                                                                      </w:divBdr>
                                                                                      <w:divsChild>
                                                                                        <w:div w:id="679936876">
                                                                                          <w:marLeft w:val="150"/>
                                                                                          <w:marRight w:val="150"/>
                                                                                          <w:marTop w:val="0"/>
                                                                                          <w:marBottom w:val="0"/>
                                                                                          <w:divBdr>
                                                                                            <w:top w:val="none" w:sz="0" w:space="0" w:color="auto"/>
                                                                                            <w:left w:val="none" w:sz="0" w:space="0" w:color="auto"/>
                                                                                            <w:bottom w:val="none" w:sz="0" w:space="0" w:color="auto"/>
                                                                                            <w:right w:val="none" w:sz="0" w:space="0" w:color="auto"/>
                                                                                          </w:divBdr>
                                                                                          <w:divsChild>
                                                                                            <w:div w:id="1894656201">
                                                                                              <w:marLeft w:val="0"/>
                                                                                              <w:marRight w:val="0"/>
                                                                                              <w:marTop w:val="0"/>
                                                                                              <w:marBottom w:val="0"/>
                                                                                              <w:divBdr>
                                                                                                <w:top w:val="none" w:sz="0" w:space="0" w:color="auto"/>
                                                                                                <w:left w:val="none" w:sz="0" w:space="0" w:color="auto"/>
                                                                                                <w:bottom w:val="none" w:sz="0" w:space="0" w:color="auto"/>
                                                                                                <w:right w:val="none" w:sz="0" w:space="0" w:color="auto"/>
                                                                                              </w:divBdr>
                                                                                              <w:divsChild>
                                                                                                <w:div w:id="1796098453">
                                                                                                  <w:marLeft w:val="0"/>
                                                                                                  <w:marRight w:val="0"/>
                                                                                                  <w:marTop w:val="0"/>
                                                                                                  <w:marBottom w:val="0"/>
                                                                                                  <w:divBdr>
                                                                                                    <w:top w:val="none" w:sz="0" w:space="0" w:color="auto"/>
                                                                                                    <w:left w:val="none" w:sz="0" w:space="0" w:color="auto"/>
                                                                                                    <w:bottom w:val="none" w:sz="0" w:space="0" w:color="auto"/>
                                                                                                    <w:right w:val="none" w:sz="0" w:space="0" w:color="auto"/>
                                                                                                  </w:divBdr>
                                                                                                  <w:divsChild>
                                                                                                    <w:div w:id="1774157806">
                                                                                                      <w:marLeft w:val="0"/>
                                                                                                      <w:marRight w:val="0"/>
                                                                                                      <w:marTop w:val="0"/>
                                                                                                      <w:marBottom w:val="0"/>
                                                                                                      <w:divBdr>
                                                                                                        <w:top w:val="none" w:sz="0" w:space="0" w:color="auto"/>
                                                                                                        <w:left w:val="none" w:sz="0" w:space="0" w:color="auto"/>
                                                                                                        <w:bottom w:val="none" w:sz="0" w:space="0" w:color="auto"/>
                                                                                                        <w:right w:val="none" w:sz="0" w:space="0" w:color="auto"/>
                                                                                                      </w:divBdr>
                                                                                                      <w:divsChild>
                                                                                                        <w:div w:id="217398496">
                                                                                                          <w:marLeft w:val="0"/>
                                                                                                          <w:marRight w:val="0"/>
                                                                                                          <w:marTop w:val="0"/>
                                                                                                          <w:marBottom w:val="0"/>
                                                                                                          <w:divBdr>
                                                                                                            <w:top w:val="none" w:sz="0" w:space="0" w:color="auto"/>
                                                                                                            <w:left w:val="none" w:sz="0" w:space="0" w:color="auto"/>
                                                                                                            <w:bottom w:val="none" w:sz="0" w:space="0" w:color="auto"/>
                                                                                                            <w:right w:val="none" w:sz="0" w:space="0" w:color="auto"/>
                                                                                                          </w:divBdr>
                                                                                                          <w:divsChild>
                                                                                                            <w:div w:id="761416916">
                                                                                                              <w:marLeft w:val="0"/>
                                                                                                              <w:marRight w:val="0"/>
                                                                                                              <w:marTop w:val="0"/>
                                                                                                              <w:marBottom w:val="0"/>
                                                                                                              <w:divBdr>
                                                                                                                <w:top w:val="none" w:sz="0" w:space="0" w:color="auto"/>
                                                                                                                <w:left w:val="none" w:sz="0" w:space="0" w:color="auto"/>
                                                                                                                <w:bottom w:val="none" w:sz="0" w:space="0" w:color="auto"/>
                                                                                                                <w:right w:val="none" w:sz="0" w:space="0" w:color="auto"/>
                                                                                                              </w:divBdr>
                                                                                                              <w:divsChild>
                                                                                                                <w:div w:id="883177877">
                                                                                                                  <w:marLeft w:val="0"/>
                                                                                                                  <w:marRight w:val="0"/>
                                                                                                                  <w:marTop w:val="0"/>
                                                                                                                  <w:marBottom w:val="0"/>
                                                                                                                  <w:divBdr>
                                                                                                                    <w:top w:val="none" w:sz="0" w:space="0" w:color="auto"/>
                                                                                                                    <w:left w:val="none" w:sz="0" w:space="0" w:color="auto"/>
                                                                                                                    <w:bottom w:val="none" w:sz="0" w:space="0" w:color="auto"/>
                                                                                                                    <w:right w:val="none" w:sz="0" w:space="0" w:color="auto"/>
                                                                                                                  </w:divBdr>
                                                                                                                  <w:divsChild>
                                                                                                                    <w:div w:id="17030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opp.undp.org/es/taxonomy/term/17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node/11686" TargetMode="External"/><Relationship Id="rId2" Type="http://schemas.openxmlformats.org/officeDocument/2006/relationships/customXml" Target="../customXml/item2.xml"/><Relationship Id="rId16" Type="http://schemas.openxmlformats.org/officeDocument/2006/relationships/hyperlink" Target="https://popp.undp.org/es/pagina-de-politica/rescision-del-nombramiento-por-razones-de-salud" TargetMode="External"/><Relationship Id="rId20" Type="http://schemas.openxmlformats.org/officeDocument/2006/relationships/hyperlink" Target="https://popp.undp.org/es/node/1072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es/taxonomy/term/616/"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popp.undp.org/es/node/1047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handbook/index/8278"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250401545E4C029D139D37A6673C75"/>
        <w:category>
          <w:name w:val="General"/>
          <w:gallery w:val="placeholder"/>
        </w:category>
        <w:types>
          <w:type w:val="bbPlcHdr"/>
        </w:types>
        <w:behaviors>
          <w:behavior w:val="content"/>
        </w:behaviors>
        <w:guid w:val="{A37B576E-AA73-47A6-8935-4F391B7B10C4}"/>
      </w:docPartPr>
      <w:docPartBody>
        <w:p w:rsidR="00BB25D3" w:rsidRDefault="00B17C1A">
          <w:r w:rsidRPr="000373BD">
            <w:rPr>
              <w:rStyle w:val="PlaceholderText"/>
            </w:rPr>
            <w:t>[Effective Date]</w:t>
          </w:r>
        </w:p>
      </w:docPartBody>
    </w:docPart>
    <w:docPart>
      <w:docPartPr>
        <w:name w:val="A9EBC34A7EE549A0B354DE6594F449F5"/>
        <w:category>
          <w:name w:val="General"/>
          <w:gallery w:val="placeholder"/>
        </w:category>
        <w:types>
          <w:type w:val="bbPlcHdr"/>
        </w:types>
        <w:behaviors>
          <w:behavior w:val="content"/>
        </w:behaviors>
        <w:guid w:val="{39551643-013A-411C-8598-38098FA480A6}"/>
      </w:docPartPr>
      <w:docPartBody>
        <w:p w:rsidR="00297571" w:rsidRDefault="00BB25D3">
          <w:r w:rsidRPr="0015361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1A"/>
    <w:rsid w:val="00042846"/>
    <w:rsid w:val="00173AC0"/>
    <w:rsid w:val="00297571"/>
    <w:rsid w:val="00545096"/>
    <w:rsid w:val="005B0C54"/>
    <w:rsid w:val="005B3C00"/>
    <w:rsid w:val="00B17C1A"/>
    <w:rsid w:val="00BB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1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5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01/07/2023                                                Version #: 6.0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2023-06-30T22:00:00+00:00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Resición de nombramiento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POPP-11-3402</_dlc_DocId>
    <_dlc_DocIdUrl xmlns="8264c5cc-ec60-4b56-8111-ce635d3d139a">
      <Url>https://popp.undp.org/_layouts/15/DocIdRedir.aspx?ID=POPP-11-3402</Url>
      <Description>POPP-11-3402</Description>
    </_dlc_DocIdUrl>
    <DLCPolicyLabelValue xmlns="e560140e-7b2f-4392-90df-e7567e3021a3">Effective Date: 01/07/2023                                                Version #: 6.0</DLCPolicyLabelValue>
    <UNDP_POPP_REJECT_COMMENTS xmlns="8264c5cc-ec60-4b56-8111-ce635d3d139a" xsi:nil="true"/>
    <POPPIsArchived xmlns="e560140e-7b2f-4392-90df-e7567e3021a3">false</POPPIsArchiv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B40BF-066A-4D04-9B81-CEA08F0EDC95}">
  <ds:schemaRefs>
    <ds:schemaRef ds:uri="office.server.policy"/>
  </ds:schemaRefs>
</ds:datastoreItem>
</file>

<file path=customXml/itemProps2.xml><?xml version="1.0" encoding="utf-8"?>
<ds:datastoreItem xmlns:ds="http://schemas.openxmlformats.org/officeDocument/2006/customXml" ds:itemID="{B4C1115F-C594-4286-B529-F6629207E76E}">
  <ds:schemaRefs>
    <ds:schemaRef ds:uri="http://schemas.microsoft.com/sharepoint/events"/>
  </ds:schemaRefs>
</ds:datastoreItem>
</file>

<file path=customXml/itemProps3.xml><?xml version="1.0" encoding="utf-8"?>
<ds:datastoreItem xmlns:ds="http://schemas.openxmlformats.org/officeDocument/2006/customXml" ds:itemID="{0116CB63-2C6B-4549-AB06-79C1FF08F9D0}">
  <ds:schemaRefs>
    <ds:schemaRef ds:uri="http://schemas.openxmlformats.org/officeDocument/2006/bibliography"/>
  </ds:schemaRefs>
</ds:datastoreItem>
</file>

<file path=customXml/itemProps4.xml><?xml version="1.0" encoding="utf-8"?>
<ds:datastoreItem xmlns:ds="http://schemas.openxmlformats.org/officeDocument/2006/customXml" ds:itemID="{112427A8-FDB1-472C-8FEB-3F1351F0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BF01E5-A5CD-4A2B-A31D-70B0AFCC25F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B9E4F751-0A69-4D2F-BB76-9F2B0ABB6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14</cp:revision>
  <dcterms:created xsi:type="dcterms:W3CDTF">2019-08-23T19:55:00Z</dcterms:created>
  <dcterms:modified xsi:type="dcterms:W3CDTF">2023-06-26T15:37:00Z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d0dec9ed-de91-4f5c-ad03-b6c4e68be3f6</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