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BE83" w14:textId="77777777" w:rsidR="00BC1C8C" w:rsidRDefault="00BC1C8C" w:rsidP="00BC1C8C">
      <w:pPr>
        <w:jc w:val="right"/>
        <w:rPr>
          <w:rFonts w:cs="Arial"/>
          <w:b/>
          <w:bCs/>
        </w:rPr>
      </w:pPr>
    </w:p>
    <w:p w14:paraId="067EA170" w14:textId="77777777" w:rsidR="003B169E" w:rsidRDefault="003B169E" w:rsidP="00BC1C8C">
      <w:pPr>
        <w:jc w:val="right"/>
        <w:rPr>
          <w:rFonts w:cs="Arial"/>
          <w:b/>
          <w:bCs/>
        </w:rPr>
      </w:pPr>
    </w:p>
    <w:p w14:paraId="3A9C40C7" w14:textId="2E7B5A5C" w:rsidR="009F59C2" w:rsidRPr="00735C06" w:rsidRDefault="00484D8E" w:rsidP="00DC5211">
      <w:pPr>
        <w:jc w:val="center"/>
        <w:rPr>
          <w:rFonts w:cs="Arial"/>
          <w:b/>
          <w:lang w:val="en-GB"/>
        </w:rPr>
      </w:pPr>
      <w:r w:rsidRPr="00735C06">
        <w:rPr>
          <w:rFonts w:cs="Arial"/>
          <w:b/>
          <w:bCs/>
        </w:rPr>
        <w:t xml:space="preserve">Provision of </w:t>
      </w:r>
      <w:r w:rsidR="00341258" w:rsidRPr="00735C06">
        <w:rPr>
          <w:rFonts w:cs="Arial"/>
          <w:b/>
          <w:bCs/>
        </w:rPr>
        <w:t xml:space="preserve">Management and Support </w:t>
      </w:r>
      <w:r w:rsidRPr="00735C06">
        <w:rPr>
          <w:rFonts w:cs="Arial"/>
          <w:b/>
          <w:bCs/>
        </w:rPr>
        <w:t xml:space="preserve">Services </w:t>
      </w:r>
      <w:r w:rsidR="007F3791" w:rsidRPr="00735C06">
        <w:rPr>
          <w:rFonts w:cs="Arial"/>
          <w:b/>
          <w:bCs/>
        </w:rPr>
        <w:t xml:space="preserve">through the </w:t>
      </w:r>
      <w:r w:rsidR="007B2D79" w:rsidRPr="00735C06">
        <w:rPr>
          <w:rFonts w:cs="Arial"/>
          <w:b/>
          <w:bCs/>
        </w:rPr>
        <w:t>Memorandum for the Provision of Services</w:t>
      </w:r>
      <w:r w:rsidR="007F3791" w:rsidRPr="00735C06">
        <w:rPr>
          <w:rFonts w:cs="Arial"/>
          <w:b/>
          <w:bCs/>
        </w:rPr>
        <w:t xml:space="preserve"> </w:t>
      </w:r>
      <w:r w:rsidR="00D46F79" w:rsidRPr="00735C06">
        <w:rPr>
          <w:rFonts w:cs="Arial"/>
          <w:b/>
          <w:bCs/>
        </w:rPr>
        <w:t>(MPS)</w:t>
      </w:r>
    </w:p>
    <w:p w14:paraId="176DD655" w14:textId="13348075" w:rsidR="00BB6E9F" w:rsidRPr="00735C06" w:rsidRDefault="00BB6E9F" w:rsidP="009F59C2">
      <w:pPr>
        <w:rPr>
          <w:rFonts w:cs="Arial"/>
          <w:b/>
          <w:lang w:val="en-GB"/>
        </w:rPr>
      </w:pPr>
      <w:r w:rsidRPr="00735C06">
        <w:rPr>
          <w:rFonts w:cs="Arial"/>
          <w:b/>
          <w:lang w:val="en-GB"/>
        </w:rPr>
        <w:t xml:space="preserve">2.0 Policy </w:t>
      </w:r>
      <w:r w:rsidR="00CA37F8" w:rsidRPr="00735C06">
        <w:rPr>
          <w:rFonts w:cs="Arial"/>
          <w:b/>
          <w:lang w:val="en-GB"/>
        </w:rPr>
        <w:t>and Scope</w:t>
      </w:r>
    </w:p>
    <w:p w14:paraId="6BC42BA8" w14:textId="1623FABE" w:rsidR="00341258" w:rsidRPr="00735C06" w:rsidRDefault="008D183A" w:rsidP="009F59C2">
      <w:pPr>
        <w:rPr>
          <w:rFonts w:cs="Arial"/>
          <w:lang w:val="en-GB"/>
        </w:rPr>
      </w:pPr>
      <w:r w:rsidRPr="00735C06">
        <w:rPr>
          <w:rFonts w:cs="Arial"/>
          <w:lang w:val="en-GB"/>
        </w:rPr>
        <w:t>2.0</w:t>
      </w:r>
      <w:r w:rsidRPr="00735C06">
        <w:rPr>
          <w:rFonts w:cs="Arial"/>
          <w:lang w:val="en-GB"/>
        </w:rPr>
        <w:tab/>
      </w:r>
      <w:r w:rsidR="00341258" w:rsidRPr="00735C06">
        <w:rPr>
          <w:rFonts w:cs="Arial"/>
          <w:lang w:val="en-GB"/>
        </w:rPr>
        <w:t>The provision of management and support services, consistent with this policy</w:t>
      </w:r>
      <w:r w:rsidR="009F07AA">
        <w:rPr>
          <w:rFonts w:cs="Arial"/>
          <w:lang w:val="en-GB"/>
        </w:rPr>
        <w:t xml:space="preserve"> </w:t>
      </w:r>
      <w:r w:rsidR="009F07AA" w:rsidRPr="00DC5211">
        <w:rPr>
          <w:rFonts w:cs="Arial"/>
          <w:lang w:val="en-GB"/>
        </w:rPr>
        <w:t>and UNDP’s prescriptive content</w:t>
      </w:r>
      <w:r w:rsidR="00341258" w:rsidRPr="00DC5211">
        <w:rPr>
          <w:rFonts w:cs="Arial"/>
          <w:lang w:val="en-GB"/>
        </w:rPr>
        <w:t xml:space="preserve">, shall be provided by UNDP </w:t>
      </w:r>
      <w:r w:rsidR="00CA37F8" w:rsidRPr="00DC5211">
        <w:rPr>
          <w:rFonts w:cs="Arial"/>
          <w:lang w:val="en-GB"/>
        </w:rPr>
        <w:t>to support</w:t>
      </w:r>
      <w:r w:rsidR="001B0BEA" w:rsidRPr="00DC5211">
        <w:rPr>
          <w:rFonts w:cs="Arial"/>
          <w:lang w:val="en-GB"/>
        </w:rPr>
        <w:t xml:space="preserve"> services to</w:t>
      </w:r>
      <w:r w:rsidR="00CA37F8" w:rsidRPr="00DC5211">
        <w:rPr>
          <w:rFonts w:cs="Arial"/>
          <w:lang w:val="en-GB"/>
        </w:rPr>
        <w:t xml:space="preserve"> non-UNDP projects, </w:t>
      </w:r>
      <w:r w:rsidR="00341258" w:rsidRPr="00DC5211">
        <w:rPr>
          <w:rFonts w:cs="Arial"/>
          <w:lang w:val="en-GB"/>
        </w:rPr>
        <w:t>further to a</w:t>
      </w:r>
      <w:r w:rsidR="00341258" w:rsidRPr="00735C06">
        <w:rPr>
          <w:rFonts w:cs="Arial"/>
          <w:lang w:val="en-GB"/>
        </w:rPr>
        <w:t xml:space="preserve"> signed Memorandum for the Provision of Services (MPS) in the form attached hereto.</w:t>
      </w:r>
    </w:p>
    <w:p w14:paraId="24143D69" w14:textId="1903368F" w:rsidR="00CA37F8" w:rsidRPr="00735C06" w:rsidRDefault="008D183A" w:rsidP="009F59C2">
      <w:pPr>
        <w:rPr>
          <w:rFonts w:cs="Arial"/>
          <w:lang w:val="en-GB"/>
        </w:rPr>
      </w:pPr>
      <w:r w:rsidRPr="00735C06">
        <w:rPr>
          <w:rFonts w:cs="Arial"/>
          <w:lang w:val="en-GB"/>
        </w:rPr>
        <w:t>2.1</w:t>
      </w:r>
      <w:r w:rsidRPr="00735C06">
        <w:rPr>
          <w:rFonts w:cs="Arial"/>
          <w:lang w:val="en-GB"/>
        </w:rPr>
        <w:tab/>
      </w:r>
      <w:r w:rsidR="00CA37F8" w:rsidRPr="00735C06">
        <w:rPr>
          <w:rFonts w:cs="Arial"/>
          <w:lang w:val="en-GB"/>
        </w:rPr>
        <w:t>This Policy and the services provided through the MPS, shall not apply to the following:</w:t>
      </w:r>
    </w:p>
    <w:p w14:paraId="3784B3D2" w14:textId="77777777" w:rsidR="00CA37F8" w:rsidRPr="00735C06" w:rsidRDefault="00CA37F8" w:rsidP="00CA37F8">
      <w:pPr>
        <w:pStyle w:val="ListParagraph"/>
        <w:numPr>
          <w:ilvl w:val="0"/>
          <w:numId w:val="29"/>
        </w:numPr>
        <w:rPr>
          <w:rFonts w:cs="Arial"/>
          <w:lang w:val="en-GB"/>
        </w:rPr>
      </w:pPr>
      <w:r w:rsidRPr="00735C06">
        <w:rPr>
          <w:rFonts w:cs="Arial"/>
          <w:lang w:val="en-GB"/>
        </w:rPr>
        <w:t>Agency services provided by UNDP to UN entities under a service level agreement (SLA), further to Regulation 115.01(a); and</w:t>
      </w:r>
    </w:p>
    <w:p w14:paraId="78F34E7C" w14:textId="786B3D55" w:rsidR="00CA37F8" w:rsidRPr="00735C06" w:rsidRDefault="00CA37F8" w:rsidP="00CA37F8">
      <w:pPr>
        <w:pStyle w:val="ListParagraph"/>
        <w:numPr>
          <w:ilvl w:val="0"/>
          <w:numId w:val="29"/>
        </w:numPr>
        <w:rPr>
          <w:rFonts w:cs="Arial"/>
          <w:lang w:val="en-GB"/>
        </w:rPr>
      </w:pPr>
      <w:r w:rsidRPr="00735C06">
        <w:rPr>
          <w:rFonts w:cs="Arial"/>
          <w:lang w:val="en-GB"/>
        </w:rPr>
        <w:t xml:space="preserve">Country Office </w:t>
      </w:r>
      <w:r w:rsidR="00BC563B" w:rsidRPr="00735C06">
        <w:rPr>
          <w:rFonts w:cs="Arial"/>
          <w:lang w:val="en-GB"/>
        </w:rPr>
        <w:t xml:space="preserve">support to national </w:t>
      </w:r>
      <w:r w:rsidRPr="00735C06">
        <w:rPr>
          <w:rFonts w:cs="Arial"/>
          <w:lang w:val="en-GB"/>
        </w:rPr>
        <w:t xml:space="preserve">implementing partners of </w:t>
      </w:r>
      <w:r w:rsidR="00BC563B" w:rsidRPr="00735C06">
        <w:rPr>
          <w:rFonts w:cs="Arial"/>
          <w:lang w:val="en-GB"/>
        </w:rPr>
        <w:t>UNDP</w:t>
      </w:r>
      <w:r w:rsidRPr="00735C06">
        <w:rPr>
          <w:rFonts w:cs="Arial"/>
          <w:lang w:val="en-GB"/>
        </w:rPr>
        <w:t xml:space="preserve"> projects, further to Regulations 115.01(b).</w:t>
      </w:r>
    </w:p>
    <w:p w14:paraId="2916EB07" w14:textId="77777777" w:rsidR="00CA37F8" w:rsidRPr="00735C06" w:rsidRDefault="00CA37F8" w:rsidP="00CA37F8">
      <w:pPr>
        <w:pStyle w:val="ListParagraph"/>
        <w:ind w:left="1080"/>
        <w:rPr>
          <w:rFonts w:cs="Arial"/>
          <w:b/>
          <w:lang w:val="en-GB"/>
        </w:rPr>
      </w:pPr>
    </w:p>
    <w:p w14:paraId="6F43284F" w14:textId="77777777" w:rsidR="002C6130" w:rsidRPr="00735C06" w:rsidRDefault="002C6130" w:rsidP="009F59C2">
      <w:pPr>
        <w:rPr>
          <w:rFonts w:cs="Arial"/>
          <w:b/>
          <w:lang w:val="en-GB"/>
        </w:rPr>
      </w:pPr>
      <w:r w:rsidRPr="00735C06">
        <w:rPr>
          <w:rFonts w:cs="Arial"/>
          <w:b/>
          <w:lang w:val="en-GB"/>
        </w:rPr>
        <w:t xml:space="preserve">Use of MPS </w:t>
      </w:r>
    </w:p>
    <w:p w14:paraId="7E6E4473" w14:textId="7D571161" w:rsidR="00E908CF" w:rsidRPr="00735C06" w:rsidDel="00D10C76" w:rsidRDefault="0026021E" w:rsidP="00E908CF">
      <w:pPr>
        <w:tabs>
          <w:tab w:val="left" w:pos="720"/>
        </w:tabs>
        <w:spacing w:after="0"/>
        <w:jc w:val="both"/>
        <w:rPr>
          <w:rFonts w:cs="Arial"/>
          <w:lang w:val="en-GB"/>
        </w:rPr>
      </w:pPr>
      <w:r w:rsidRPr="00735C06">
        <w:rPr>
          <w:rFonts w:cs="Arial"/>
          <w:lang w:val="en-GB"/>
        </w:rPr>
        <w:t>2.</w:t>
      </w:r>
      <w:r w:rsidR="008D183A" w:rsidRPr="00735C06">
        <w:rPr>
          <w:rFonts w:cs="Arial"/>
          <w:lang w:val="en-GB"/>
        </w:rPr>
        <w:t>2</w:t>
      </w:r>
      <w:r w:rsidR="008D183A" w:rsidRPr="00735C06">
        <w:rPr>
          <w:rFonts w:cs="Arial"/>
          <w:lang w:val="en-GB"/>
        </w:rPr>
        <w:tab/>
      </w:r>
      <w:r w:rsidR="00624E68" w:rsidRPr="00735C06">
        <w:rPr>
          <w:rFonts w:cs="Arial"/>
          <w:b/>
          <w:lang w:val="en-GB"/>
        </w:rPr>
        <w:t xml:space="preserve">At the request of </w:t>
      </w:r>
      <w:r w:rsidR="009F07AA" w:rsidRPr="00DC5211">
        <w:rPr>
          <w:rFonts w:cs="Arial"/>
          <w:b/>
          <w:lang w:val="en-GB"/>
        </w:rPr>
        <w:t>a</w:t>
      </w:r>
      <w:r w:rsidR="009F07AA">
        <w:rPr>
          <w:rFonts w:cs="Arial"/>
          <w:b/>
          <w:lang w:val="en-GB"/>
        </w:rPr>
        <w:t xml:space="preserve"> </w:t>
      </w:r>
      <w:r w:rsidR="00167F3E" w:rsidRPr="00735C06">
        <w:rPr>
          <w:rFonts w:cs="Arial"/>
          <w:b/>
          <w:lang w:val="en-GB"/>
        </w:rPr>
        <w:t xml:space="preserve">programme </w:t>
      </w:r>
      <w:r w:rsidR="00E908CF" w:rsidRPr="00735C06">
        <w:rPr>
          <w:rFonts w:cs="Arial"/>
          <w:b/>
          <w:lang w:val="en-GB"/>
        </w:rPr>
        <w:t xml:space="preserve">government </w:t>
      </w:r>
      <w:r w:rsidR="004233FC" w:rsidRPr="00735C06">
        <w:rPr>
          <w:rFonts w:cs="Arial"/>
          <w:b/>
          <w:lang w:val="en-GB"/>
        </w:rPr>
        <w:t>counterpart</w:t>
      </w:r>
      <w:r w:rsidR="00F014A1" w:rsidRPr="00735C06">
        <w:rPr>
          <w:rFonts w:cs="Arial"/>
          <w:lang w:val="en-GB"/>
        </w:rPr>
        <w:t>,</w:t>
      </w:r>
      <w:r w:rsidR="00E908CF" w:rsidRPr="00735C06">
        <w:rPr>
          <w:rFonts w:cs="Arial"/>
          <w:lang w:val="en-GB"/>
        </w:rPr>
        <w:t xml:space="preserve"> </w:t>
      </w:r>
      <w:r w:rsidR="00167F3E" w:rsidRPr="00735C06">
        <w:rPr>
          <w:rFonts w:cs="Arial"/>
          <w:lang w:val="en-GB"/>
        </w:rPr>
        <w:t xml:space="preserve">a </w:t>
      </w:r>
      <w:r w:rsidR="00E908CF" w:rsidRPr="00735C06">
        <w:rPr>
          <w:rFonts w:cs="Arial"/>
          <w:lang w:val="en-GB"/>
        </w:rPr>
        <w:t xml:space="preserve">UNDP office </w:t>
      </w:r>
      <w:r w:rsidR="00C06FB7" w:rsidRPr="00735C06">
        <w:rPr>
          <w:rFonts w:cs="Arial"/>
          <w:lang w:val="en-GB"/>
        </w:rPr>
        <w:t xml:space="preserve">may </w:t>
      </w:r>
      <w:r w:rsidR="005E74E6" w:rsidRPr="00735C06">
        <w:rPr>
          <w:rFonts w:cs="Arial"/>
          <w:lang w:val="en-GB"/>
        </w:rPr>
        <w:t xml:space="preserve">provide </w:t>
      </w:r>
      <w:r w:rsidR="007220F6" w:rsidRPr="00735C06">
        <w:rPr>
          <w:rFonts w:cs="Arial"/>
          <w:lang w:val="en-GB"/>
        </w:rPr>
        <w:t xml:space="preserve">management and other </w:t>
      </w:r>
      <w:r w:rsidR="00E908CF" w:rsidRPr="00735C06">
        <w:rPr>
          <w:rFonts w:cs="Arial"/>
          <w:lang w:val="en-GB"/>
        </w:rPr>
        <w:t xml:space="preserve">support </w:t>
      </w:r>
      <w:r w:rsidR="007220F6" w:rsidRPr="00735C06">
        <w:rPr>
          <w:rFonts w:cs="Arial"/>
          <w:lang w:val="en-GB"/>
        </w:rPr>
        <w:t xml:space="preserve">services </w:t>
      </w:r>
      <w:r w:rsidR="00CC7D5F" w:rsidRPr="00735C06">
        <w:rPr>
          <w:rFonts w:cs="Arial"/>
          <w:lang w:val="en-GB"/>
        </w:rPr>
        <w:t xml:space="preserve">(as described in this paragraph) </w:t>
      </w:r>
      <w:r w:rsidR="005E74E6" w:rsidRPr="00735C06">
        <w:rPr>
          <w:rFonts w:cs="Arial"/>
          <w:lang w:val="en-GB"/>
        </w:rPr>
        <w:t xml:space="preserve">to </w:t>
      </w:r>
      <w:r w:rsidR="00167F3E" w:rsidRPr="00735C06">
        <w:rPr>
          <w:rFonts w:cs="Arial"/>
          <w:lang w:val="en-GB"/>
        </w:rPr>
        <w:t>the</w:t>
      </w:r>
      <w:r w:rsidR="00341258" w:rsidRPr="00735C06">
        <w:rPr>
          <w:rFonts w:cs="Arial"/>
          <w:lang w:val="en-GB"/>
        </w:rPr>
        <w:t xml:space="preserve"> programme </w:t>
      </w:r>
      <w:r w:rsidR="00167F3E" w:rsidRPr="00735C06">
        <w:rPr>
          <w:rFonts w:cs="Arial"/>
          <w:lang w:val="en-GB"/>
        </w:rPr>
        <w:t xml:space="preserve">country </w:t>
      </w:r>
      <w:r w:rsidR="00E908CF" w:rsidRPr="00735C06">
        <w:rPr>
          <w:rFonts w:cs="Arial"/>
          <w:lang w:val="en-GB"/>
        </w:rPr>
        <w:t xml:space="preserve">government </w:t>
      </w:r>
      <w:r w:rsidR="007C4D1A" w:rsidRPr="00735C06">
        <w:rPr>
          <w:rFonts w:cs="Arial"/>
          <w:lang w:val="en-GB"/>
        </w:rPr>
        <w:t xml:space="preserve">for the </w:t>
      </w:r>
      <w:r w:rsidR="004233FC" w:rsidRPr="00735C06">
        <w:rPr>
          <w:rFonts w:cs="Arial"/>
          <w:lang w:val="en-GB"/>
        </w:rPr>
        <w:t xml:space="preserve">achievement of </w:t>
      </w:r>
      <w:r w:rsidR="00341258" w:rsidRPr="00735C06">
        <w:rPr>
          <w:rFonts w:cs="Arial"/>
          <w:lang w:val="en-GB"/>
        </w:rPr>
        <w:t>its</w:t>
      </w:r>
      <w:r w:rsidR="004233FC" w:rsidRPr="00735C06">
        <w:rPr>
          <w:rFonts w:cs="Arial"/>
          <w:lang w:val="en-GB"/>
        </w:rPr>
        <w:t xml:space="preserve"> </w:t>
      </w:r>
      <w:r w:rsidR="004233FC" w:rsidRPr="00735C06">
        <w:rPr>
          <w:rFonts w:cs="Arial"/>
          <w:b/>
          <w:lang w:val="en-GB"/>
        </w:rPr>
        <w:t>development goals.</w:t>
      </w:r>
      <w:r w:rsidR="004233FC" w:rsidRPr="00735C06">
        <w:rPr>
          <w:rFonts w:cs="Arial"/>
          <w:lang w:val="en-GB"/>
        </w:rPr>
        <w:t xml:space="preserve"> </w:t>
      </w:r>
      <w:r w:rsidR="006E144F" w:rsidRPr="00735C06">
        <w:rPr>
          <w:rFonts w:cs="Arial"/>
          <w:lang w:val="en-GB"/>
        </w:rPr>
        <w:t xml:space="preserve">Requested activities may include </w:t>
      </w:r>
      <w:r w:rsidR="00B74057" w:rsidRPr="00735C06">
        <w:rPr>
          <w:rFonts w:cs="Arial"/>
          <w:lang w:val="en-GB"/>
        </w:rPr>
        <w:t xml:space="preserve">the provision of </w:t>
      </w:r>
      <w:r w:rsidR="00AA07B9" w:rsidRPr="00735C06">
        <w:rPr>
          <w:rFonts w:cs="Arial"/>
          <w:lang w:val="en-GB"/>
        </w:rPr>
        <w:t>(</w:t>
      </w:r>
      <w:proofErr w:type="spellStart"/>
      <w:r w:rsidR="00AA07B9" w:rsidRPr="00735C06">
        <w:rPr>
          <w:rFonts w:cs="Arial"/>
          <w:lang w:val="en-GB"/>
        </w:rPr>
        <w:t>i</w:t>
      </w:r>
      <w:proofErr w:type="spellEnd"/>
      <w:r w:rsidR="00AA07B9" w:rsidRPr="00735C06">
        <w:rPr>
          <w:rFonts w:cs="Arial"/>
          <w:lang w:val="en-GB"/>
        </w:rPr>
        <w:t xml:space="preserve">) </w:t>
      </w:r>
      <w:r w:rsidR="00312ACE" w:rsidRPr="00735C06">
        <w:rPr>
          <w:rFonts w:cs="Arial"/>
          <w:lang w:val="en-GB"/>
        </w:rPr>
        <w:t xml:space="preserve">policy </w:t>
      </w:r>
      <w:r w:rsidR="00E908CF" w:rsidRPr="00735C06">
        <w:rPr>
          <w:rFonts w:cs="Arial"/>
          <w:lang w:val="en-GB"/>
        </w:rPr>
        <w:t>services</w:t>
      </w:r>
      <w:r w:rsidR="00312ACE" w:rsidRPr="00735C06">
        <w:rPr>
          <w:rFonts w:cs="Arial"/>
          <w:lang w:val="en-GB"/>
        </w:rPr>
        <w:t xml:space="preserve"> and </w:t>
      </w:r>
      <w:r w:rsidR="00AA07B9" w:rsidRPr="00735C06">
        <w:rPr>
          <w:rFonts w:cs="Arial"/>
          <w:lang w:val="en-GB"/>
        </w:rPr>
        <w:t xml:space="preserve">(ii) </w:t>
      </w:r>
      <w:r w:rsidR="00312ACE" w:rsidRPr="00735C06">
        <w:rPr>
          <w:rFonts w:cs="Arial"/>
          <w:lang w:val="en-GB"/>
        </w:rPr>
        <w:t xml:space="preserve">support </w:t>
      </w:r>
      <w:r w:rsidR="00AA07B9" w:rsidRPr="00735C06">
        <w:rPr>
          <w:rFonts w:cs="Arial"/>
        </w:rPr>
        <w:t>relating to financing of activities by government, or intergovernmental or governmental organizations not occurring through a UNDP project (“support services”), both of which are described below</w:t>
      </w:r>
      <w:r w:rsidR="00BC1D3A" w:rsidRPr="00735C06">
        <w:rPr>
          <w:rFonts w:cs="Arial"/>
          <w:lang w:val="en-GB"/>
        </w:rPr>
        <w:t xml:space="preserve">. </w:t>
      </w:r>
      <w:r w:rsidR="00D67C6F" w:rsidRPr="00735C06" w:rsidDel="00D10C76">
        <w:rPr>
          <w:rFonts w:cs="Arial"/>
          <w:lang w:val="en-GB"/>
        </w:rPr>
        <w:t xml:space="preserve">UNDP may also offer such services </w:t>
      </w:r>
      <w:r w:rsidR="00E908CF" w:rsidRPr="00735C06" w:rsidDel="00D10C76">
        <w:rPr>
          <w:rFonts w:cs="Arial"/>
          <w:lang w:val="en-GB"/>
        </w:rPr>
        <w:t>to other development partners whose activities are financed by a UN entity or have otherwise been agreed to by the government</w:t>
      </w:r>
      <w:r w:rsidR="00167399" w:rsidRPr="00735C06">
        <w:rPr>
          <w:rFonts w:cs="Arial"/>
          <w:lang w:val="en-GB"/>
        </w:rPr>
        <w:t>, in support of the programme government’s development goals</w:t>
      </w:r>
      <w:r w:rsidR="00E908CF" w:rsidRPr="00735C06" w:rsidDel="00D10C76">
        <w:rPr>
          <w:rFonts w:cs="Arial"/>
          <w:lang w:val="en-GB"/>
        </w:rPr>
        <w:t>.</w:t>
      </w:r>
    </w:p>
    <w:p w14:paraId="6744E364" w14:textId="77777777" w:rsidR="00E908CF" w:rsidRPr="00735C06" w:rsidRDefault="00E908CF" w:rsidP="00E908CF">
      <w:pPr>
        <w:tabs>
          <w:tab w:val="left" w:pos="720"/>
        </w:tabs>
        <w:spacing w:after="0"/>
        <w:jc w:val="both"/>
        <w:rPr>
          <w:rFonts w:cs="Arial"/>
          <w:lang w:val="en-GB"/>
        </w:rPr>
      </w:pPr>
    </w:p>
    <w:p w14:paraId="58D457A8" w14:textId="1F666D68" w:rsidR="005C6310" w:rsidRPr="00735C06" w:rsidRDefault="005C6310" w:rsidP="00E908CF">
      <w:pPr>
        <w:tabs>
          <w:tab w:val="left" w:pos="720"/>
        </w:tabs>
        <w:spacing w:after="0"/>
        <w:jc w:val="both"/>
        <w:rPr>
          <w:rFonts w:cs="Arial"/>
          <w:lang w:val="en-GB"/>
        </w:rPr>
      </w:pPr>
      <w:r w:rsidRPr="00735C06">
        <w:rPr>
          <w:rFonts w:cs="Arial"/>
          <w:lang w:val="en-GB"/>
        </w:rPr>
        <w:t>2.</w:t>
      </w:r>
      <w:r w:rsidR="008C1FEA" w:rsidRPr="00735C06">
        <w:rPr>
          <w:rFonts w:cs="Arial"/>
          <w:lang w:val="en-GB"/>
        </w:rPr>
        <w:t>3</w:t>
      </w:r>
      <w:r w:rsidRPr="00735C06">
        <w:rPr>
          <w:rFonts w:cs="Arial"/>
          <w:lang w:val="en-GB"/>
        </w:rPr>
        <w:t xml:space="preserve"> </w:t>
      </w:r>
      <w:r w:rsidR="00395F4F" w:rsidRPr="00735C06">
        <w:rPr>
          <w:rFonts w:cs="Arial"/>
          <w:lang w:val="en-GB"/>
        </w:rPr>
        <w:tab/>
      </w:r>
      <w:r w:rsidRPr="00735C06">
        <w:rPr>
          <w:rFonts w:cs="Arial"/>
          <w:lang w:val="en-GB"/>
        </w:rPr>
        <w:t xml:space="preserve">MPS </w:t>
      </w:r>
      <w:r w:rsidR="00CA56C9" w:rsidRPr="00735C06">
        <w:rPr>
          <w:rFonts w:cs="Arial"/>
          <w:lang w:val="en-GB"/>
        </w:rPr>
        <w:t xml:space="preserve">enables </w:t>
      </w:r>
      <w:r w:rsidR="006E26DC" w:rsidRPr="00735C06">
        <w:rPr>
          <w:rFonts w:cs="Arial"/>
          <w:lang w:val="en-GB"/>
        </w:rPr>
        <w:t xml:space="preserve">UNDP to provide </w:t>
      </w:r>
      <w:r w:rsidR="0030522E" w:rsidRPr="00735C06">
        <w:rPr>
          <w:rFonts w:cs="Arial"/>
          <w:lang w:val="en-GB"/>
        </w:rPr>
        <w:t xml:space="preserve">management and </w:t>
      </w:r>
      <w:r w:rsidR="006C76C4" w:rsidRPr="00735C06">
        <w:rPr>
          <w:rFonts w:cs="Arial"/>
          <w:lang w:val="en-GB"/>
        </w:rPr>
        <w:t xml:space="preserve">support </w:t>
      </w:r>
      <w:r w:rsidR="006E26DC" w:rsidRPr="00735C06">
        <w:rPr>
          <w:rFonts w:cs="Arial"/>
          <w:lang w:val="en-GB"/>
        </w:rPr>
        <w:t xml:space="preserve">services that </w:t>
      </w:r>
      <w:r w:rsidR="00CA56C9" w:rsidRPr="00735C06">
        <w:rPr>
          <w:rFonts w:cs="Arial"/>
          <w:lang w:val="en-GB"/>
        </w:rPr>
        <w:t>contribute to</w:t>
      </w:r>
      <w:r w:rsidR="00012425" w:rsidRPr="00735C06">
        <w:rPr>
          <w:rFonts w:cs="Arial"/>
          <w:lang w:val="en-GB"/>
        </w:rPr>
        <w:t xml:space="preserve"> a </w:t>
      </w:r>
      <w:r w:rsidR="00167F3E" w:rsidRPr="00735C06">
        <w:rPr>
          <w:rFonts w:cs="Arial"/>
          <w:lang w:val="en-GB"/>
        </w:rPr>
        <w:t xml:space="preserve">programme government’s </w:t>
      </w:r>
      <w:r w:rsidR="00CA56C9" w:rsidRPr="00735C06">
        <w:rPr>
          <w:rFonts w:cs="Arial"/>
          <w:lang w:val="en-GB"/>
        </w:rPr>
        <w:t>results</w:t>
      </w:r>
      <w:r w:rsidR="0030522E" w:rsidRPr="00735C06">
        <w:rPr>
          <w:rFonts w:cs="Arial"/>
          <w:lang w:val="en-GB"/>
        </w:rPr>
        <w:t xml:space="preserve"> upon the agreement </w:t>
      </w:r>
      <w:r w:rsidR="00A01A14" w:rsidRPr="00735C06">
        <w:rPr>
          <w:rFonts w:cs="Arial"/>
          <w:lang w:val="en-GB"/>
        </w:rPr>
        <w:t>of</w:t>
      </w:r>
      <w:r w:rsidR="0030522E" w:rsidRPr="00735C06">
        <w:rPr>
          <w:rFonts w:cs="Arial"/>
          <w:lang w:val="en-GB"/>
        </w:rPr>
        <w:t xml:space="preserve"> the programme government</w:t>
      </w:r>
      <w:r w:rsidR="00CA56C9" w:rsidRPr="00735C06">
        <w:rPr>
          <w:rFonts w:cs="Arial"/>
          <w:lang w:val="en-GB"/>
        </w:rPr>
        <w:t>.</w:t>
      </w:r>
      <w:r w:rsidR="005A3B9C" w:rsidRPr="00735C06">
        <w:rPr>
          <w:rFonts w:cs="Arial"/>
          <w:lang w:val="en-GB"/>
        </w:rPr>
        <w:t xml:space="preserve"> </w:t>
      </w:r>
      <w:r w:rsidR="00235A33" w:rsidRPr="00735C06">
        <w:rPr>
          <w:rFonts w:cs="Arial"/>
          <w:lang w:val="en-GB"/>
        </w:rPr>
        <w:t xml:space="preserve">MPS cannot be used </w:t>
      </w:r>
      <w:r w:rsidR="00BC0A0C" w:rsidRPr="00735C06">
        <w:rPr>
          <w:rFonts w:cs="Arial"/>
          <w:lang w:val="en-GB"/>
        </w:rPr>
        <w:t>to deliver</w:t>
      </w:r>
      <w:r w:rsidR="005A3B9C" w:rsidRPr="00735C06">
        <w:rPr>
          <w:rFonts w:cs="Arial"/>
          <w:lang w:val="en-GB"/>
        </w:rPr>
        <w:t xml:space="preserve"> </w:t>
      </w:r>
      <w:r w:rsidR="006C76C4" w:rsidRPr="00735C06">
        <w:rPr>
          <w:rFonts w:cs="Arial"/>
          <w:lang w:val="en-GB"/>
        </w:rPr>
        <w:t xml:space="preserve">development </w:t>
      </w:r>
      <w:r w:rsidR="00235A33" w:rsidRPr="00735C06">
        <w:rPr>
          <w:rFonts w:cs="Arial"/>
          <w:lang w:val="en-GB"/>
        </w:rPr>
        <w:t>results that UNDP is accountable to</w:t>
      </w:r>
      <w:r w:rsidR="00B17671" w:rsidRPr="00735C06">
        <w:rPr>
          <w:rFonts w:cs="Arial"/>
          <w:lang w:val="en-GB"/>
        </w:rPr>
        <w:t xml:space="preserve"> </w:t>
      </w:r>
      <w:r w:rsidR="00BC0A0C" w:rsidRPr="00735C06">
        <w:rPr>
          <w:rFonts w:cs="Arial"/>
          <w:lang w:val="en-GB"/>
        </w:rPr>
        <w:t>achieve</w:t>
      </w:r>
      <w:r w:rsidR="00B17671" w:rsidRPr="00735C06">
        <w:rPr>
          <w:rFonts w:cs="Arial"/>
          <w:lang w:val="en-GB"/>
        </w:rPr>
        <w:t xml:space="preserve"> </w:t>
      </w:r>
      <w:r w:rsidR="00BC0A0C" w:rsidRPr="00735C06">
        <w:rPr>
          <w:rFonts w:cs="Arial"/>
          <w:lang w:val="en-GB"/>
        </w:rPr>
        <w:t xml:space="preserve">under </w:t>
      </w:r>
      <w:r w:rsidR="009A3EBB" w:rsidRPr="00735C06">
        <w:rPr>
          <w:rFonts w:cs="Arial"/>
          <w:lang w:val="en-GB"/>
        </w:rPr>
        <w:t xml:space="preserve">UNDP’s </w:t>
      </w:r>
      <w:r w:rsidR="00B17671" w:rsidRPr="00735C06">
        <w:rPr>
          <w:rFonts w:cs="Arial"/>
          <w:lang w:val="en-GB"/>
        </w:rPr>
        <w:t>programme</w:t>
      </w:r>
      <w:r w:rsidR="00EB7C23" w:rsidRPr="00735C06">
        <w:rPr>
          <w:rFonts w:cs="Arial"/>
          <w:lang w:val="en-GB"/>
        </w:rPr>
        <w:t>.</w:t>
      </w:r>
    </w:p>
    <w:p w14:paraId="6533AA2F" w14:textId="77777777" w:rsidR="00672EC8" w:rsidRPr="00735C06" w:rsidRDefault="00672EC8" w:rsidP="00E908CF">
      <w:pPr>
        <w:tabs>
          <w:tab w:val="left" w:pos="720"/>
        </w:tabs>
        <w:spacing w:after="0"/>
        <w:jc w:val="both"/>
        <w:rPr>
          <w:rFonts w:cs="Arial"/>
          <w:lang w:val="en-GB"/>
        </w:rPr>
      </w:pPr>
    </w:p>
    <w:p w14:paraId="0A14CB55" w14:textId="3FAB9350" w:rsidR="00CA37F8" w:rsidRPr="00735C06" w:rsidRDefault="0026021E" w:rsidP="00613C4F">
      <w:pPr>
        <w:tabs>
          <w:tab w:val="left" w:pos="720"/>
        </w:tabs>
        <w:spacing w:after="0"/>
        <w:jc w:val="both"/>
        <w:rPr>
          <w:rFonts w:cs="Arial"/>
          <w:lang w:val="en-GB"/>
        </w:rPr>
      </w:pPr>
      <w:r w:rsidRPr="00735C06">
        <w:rPr>
          <w:rFonts w:cs="Arial"/>
          <w:lang w:val="en-GB"/>
        </w:rPr>
        <w:t>2.</w:t>
      </w:r>
      <w:r w:rsidR="008C1FEA" w:rsidRPr="00735C06">
        <w:rPr>
          <w:rFonts w:cs="Arial"/>
          <w:lang w:val="en-GB"/>
        </w:rPr>
        <w:t>4</w:t>
      </w:r>
      <w:r w:rsidR="00613C4F" w:rsidRPr="00735C06">
        <w:rPr>
          <w:rFonts w:cs="Arial"/>
          <w:lang w:val="en-GB"/>
        </w:rPr>
        <w:t xml:space="preserve"> </w:t>
      </w:r>
      <w:r w:rsidR="00395F4F" w:rsidRPr="00735C06">
        <w:rPr>
          <w:rFonts w:cs="Arial"/>
          <w:lang w:val="en-GB"/>
        </w:rPr>
        <w:tab/>
      </w:r>
      <w:r w:rsidR="00613C4F" w:rsidRPr="00735C06">
        <w:rPr>
          <w:rFonts w:cs="Arial"/>
          <w:lang w:val="en-GB"/>
        </w:rPr>
        <w:t>Th</w:t>
      </w:r>
      <w:r w:rsidR="00B87DA7" w:rsidRPr="00735C06">
        <w:rPr>
          <w:rFonts w:cs="Arial"/>
          <w:lang w:val="en-GB"/>
        </w:rPr>
        <w:t>e</w:t>
      </w:r>
      <w:r w:rsidR="00613C4F" w:rsidRPr="00735C06">
        <w:rPr>
          <w:rFonts w:cs="Arial"/>
          <w:lang w:val="en-GB"/>
        </w:rPr>
        <w:t xml:space="preserve"> MPS replaces the 2007 Management Service Agreement (MSA)</w:t>
      </w:r>
      <w:r w:rsidR="00B87DA7" w:rsidRPr="00735C06">
        <w:rPr>
          <w:rFonts w:cs="Arial"/>
          <w:lang w:val="en-GB"/>
        </w:rPr>
        <w:t>,</w:t>
      </w:r>
      <w:r w:rsidR="00613C4F" w:rsidRPr="00735C06">
        <w:rPr>
          <w:rFonts w:cs="Arial"/>
          <w:lang w:val="en-GB"/>
        </w:rPr>
        <w:t xml:space="preserve"> where UNOPS </w:t>
      </w:r>
      <w:r w:rsidR="00B87DA7" w:rsidRPr="00735C06">
        <w:rPr>
          <w:rFonts w:cs="Arial"/>
          <w:lang w:val="en-GB"/>
        </w:rPr>
        <w:t xml:space="preserve">was </w:t>
      </w:r>
      <w:r w:rsidR="00613C4F" w:rsidRPr="00735C06">
        <w:rPr>
          <w:rFonts w:cs="Arial"/>
          <w:lang w:val="en-GB"/>
        </w:rPr>
        <w:t xml:space="preserve">designated as a service provider. </w:t>
      </w:r>
      <w:r w:rsidR="0030522E" w:rsidRPr="00735C06">
        <w:rPr>
          <w:rFonts w:cs="Arial"/>
          <w:lang w:val="en-GB"/>
        </w:rPr>
        <w:t xml:space="preserve"> </w:t>
      </w:r>
    </w:p>
    <w:p w14:paraId="5AC931D3" w14:textId="77777777" w:rsidR="00CA37F8" w:rsidRPr="00735C06" w:rsidRDefault="00CA37F8" w:rsidP="00613C4F">
      <w:pPr>
        <w:tabs>
          <w:tab w:val="left" w:pos="720"/>
        </w:tabs>
        <w:spacing w:after="0"/>
        <w:jc w:val="both"/>
        <w:rPr>
          <w:rFonts w:cs="Arial"/>
          <w:lang w:val="en-GB"/>
        </w:rPr>
      </w:pPr>
    </w:p>
    <w:p w14:paraId="73896376" w14:textId="2361624F" w:rsidR="00613C4F" w:rsidRPr="00735C06" w:rsidRDefault="0026021E" w:rsidP="00613C4F">
      <w:pPr>
        <w:tabs>
          <w:tab w:val="left" w:pos="720"/>
        </w:tabs>
        <w:spacing w:after="0"/>
        <w:jc w:val="both"/>
        <w:rPr>
          <w:rFonts w:cs="Arial"/>
          <w:lang w:val="en-GB"/>
        </w:rPr>
      </w:pPr>
      <w:r w:rsidRPr="00735C06">
        <w:rPr>
          <w:rFonts w:cs="Arial"/>
          <w:lang w:val="en-GB"/>
        </w:rPr>
        <w:t>2.</w:t>
      </w:r>
      <w:r w:rsidR="008C1FEA" w:rsidRPr="00735C06">
        <w:rPr>
          <w:rFonts w:cs="Arial"/>
          <w:lang w:val="en-GB"/>
        </w:rPr>
        <w:t>5</w:t>
      </w:r>
      <w:r w:rsidR="00CA37F8" w:rsidRPr="00735C06">
        <w:rPr>
          <w:rFonts w:cs="Arial"/>
          <w:lang w:val="en-GB"/>
        </w:rPr>
        <w:t xml:space="preserve"> </w:t>
      </w:r>
      <w:r w:rsidR="00395F4F" w:rsidRPr="00735C06">
        <w:rPr>
          <w:rFonts w:cs="Arial"/>
          <w:lang w:val="en-GB"/>
        </w:rPr>
        <w:tab/>
      </w:r>
      <w:r w:rsidR="0030522E" w:rsidRPr="00735C06">
        <w:rPr>
          <w:rFonts w:cs="Arial"/>
          <w:lang w:val="en-GB"/>
        </w:rPr>
        <w:t>Th</w:t>
      </w:r>
      <w:r w:rsidR="000362EC" w:rsidRPr="00735C06">
        <w:rPr>
          <w:rFonts w:cs="Arial"/>
          <w:lang w:val="en-GB"/>
        </w:rPr>
        <w:t>e</w:t>
      </w:r>
      <w:r w:rsidR="0030522E" w:rsidRPr="00735C06">
        <w:rPr>
          <w:rFonts w:cs="Arial"/>
          <w:lang w:val="en-GB"/>
        </w:rPr>
        <w:t xml:space="preserve"> MSA shall no longer be used upon the issuance of th</w:t>
      </w:r>
      <w:r w:rsidR="000362EC" w:rsidRPr="00735C06">
        <w:rPr>
          <w:rFonts w:cs="Arial"/>
          <w:lang w:val="en-GB"/>
        </w:rPr>
        <w:t>is P</w:t>
      </w:r>
      <w:r w:rsidR="0030522E" w:rsidRPr="00735C06">
        <w:rPr>
          <w:rFonts w:cs="Arial"/>
          <w:lang w:val="en-GB"/>
        </w:rPr>
        <w:t xml:space="preserve">olicy on the </w:t>
      </w:r>
      <w:r w:rsidR="0030522E" w:rsidRPr="00735C06">
        <w:rPr>
          <w:rFonts w:cs="Arial"/>
          <w:b/>
          <w:bCs/>
        </w:rPr>
        <w:t>Provision of Management and Support Services (PMSS)</w:t>
      </w:r>
      <w:r w:rsidR="00B87DA7" w:rsidRPr="00735C06">
        <w:rPr>
          <w:rFonts w:cs="Arial"/>
          <w:b/>
          <w:bCs/>
        </w:rPr>
        <w:t xml:space="preserve"> </w:t>
      </w:r>
      <w:r w:rsidR="00B87DA7" w:rsidRPr="00735C06">
        <w:rPr>
          <w:rFonts w:cs="Arial"/>
          <w:bCs/>
        </w:rPr>
        <w:t>and the M</w:t>
      </w:r>
      <w:r w:rsidR="008E48E6" w:rsidRPr="00735C06">
        <w:rPr>
          <w:rFonts w:cs="Arial"/>
          <w:bCs/>
        </w:rPr>
        <w:t xml:space="preserve">emorandum for </w:t>
      </w:r>
      <w:r w:rsidR="00B87DA7" w:rsidRPr="00735C06">
        <w:rPr>
          <w:rFonts w:cs="Arial"/>
          <w:bCs/>
        </w:rPr>
        <w:t>P</w:t>
      </w:r>
      <w:r w:rsidR="008E48E6" w:rsidRPr="00735C06">
        <w:rPr>
          <w:rFonts w:cs="Arial"/>
          <w:bCs/>
        </w:rPr>
        <w:t xml:space="preserve">rovision of </w:t>
      </w:r>
      <w:r w:rsidR="00B87DA7" w:rsidRPr="00735C06">
        <w:rPr>
          <w:rFonts w:cs="Arial"/>
          <w:bCs/>
        </w:rPr>
        <w:t>S</w:t>
      </w:r>
      <w:r w:rsidR="008E48E6" w:rsidRPr="00735C06">
        <w:rPr>
          <w:rFonts w:cs="Arial"/>
          <w:bCs/>
        </w:rPr>
        <w:t>ervices</w:t>
      </w:r>
      <w:r w:rsidR="00991444" w:rsidRPr="00735C06">
        <w:rPr>
          <w:rFonts w:cs="Arial"/>
          <w:bCs/>
        </w:rPr>
        <w:t xml:space="preserve"> Template Agreement</w:t>
      </w:r>
      <w:r w:rsidR="00B87DA7" w:rsidRPr="00735C06">
        <w:rPr>
          <w:rFonts w:cs="Arial"/>
          <w:b/>
          <w:bCs/>
        </w:rPr>
        <w:t>.</w:t>
      </w:r>
    </w:p>
    <w:p w14:paraId="78B990B6" w14:textId="77777777" w:rsidR="0079274E" w:rsidRPr="00735C06" w:rsidRDefault="0079274E" w:rsidP="00E908CF">
      <w:pPr>
        <w:tabs>
          <w:tab w:val="left" w:pos="720"/>
        </w:tabs>
        <w:spacing w:after="0"/>
        <w:jc w:val="both"/>
        <w:rPr>
          <w:rFonts w:cs="Arial"/>
          <w:lang w:val="en-GB"/>
        </w:rPr>
      </w:pPr>
    </w:p>
    <w:p w14:paraId="01F19739" w14:textId="77777777" w:rsidR="00FD4C71" w:rsidRPr="00735C06" w:rsidRDefault="0079274E" w:rsidP="00E908CF">
      <w:pPr>
        <w:tabs>
          <w:tab w:val="left" w:pos="720"/>
        </w:tabs>
        <w:spacing w:after="0"/>
        <w:jc w:val="both"/>
        <w:rPr>
          <w:rFonts w:cs="Arial"/>
          <w:b/>
          <w:lang w:val="en-GB"/>
        </w:rPr>
      </w:pPr>
      <w:r w:rsidRPr="00735C06">
        <w:rPr>
          <w:rFonts w:cs="Arial"/>
          <w:b/>
          <w:lang w:val="en-GB"/>
        </w:rPr>
        <w:t xml:space="preserve">Areas of Support </w:t>
      </w:r>
    </w:p>
    <w:p w14:paraId="2C4317FC" w14:textId="77777777" w:rsidR="0079274E" w:rsidRPr="00735C06" w:rsidRDefault="005C34B0" w:rsidP="005C34B0">
      <w:pPr>
        <w:tabs>
          <w:tab w:val="left" w:pos="5385"/>
        </w:tabs>
        <w:spacing w:after="0"/>
        <w:jc w:val="both"/>
        <w:rPr>
          <w:rFonts w:cs="Arial"/>
          <w:lang w:val="en-GB"/>
        </w:rPr>
      </w:pPr>
      <w:r w:rsidRPr="00735C06">
        <w:rPr>
          <w:rFonts w:cs="Arial"/>
          <w:lang w:val="en-GB"/>
        </w:rPr>
        <w:tab/>
      </w:r>
    </w:p>
    <w:p w14:paraId="24FBF3D2" w14:textId="3F781F8E" w:rsidR="009F59C2" w:rsidRPr="00735C06" w:rsidRDefault="0026021E" w:rsidP="009F59C2">
      <w:pPr>
        <w:rPr>
          <w:rFonts w:cs="Arial"/>
          <w:lang w:val="en-GB"/>
        </w:rPr>
      </w:pPr>
      <w:r w:rsidRPr="00735C06">
        <w:rPr>
          <w:rFonts w:cs="Arial"/>
          <w:lang w:val="en-GB"/>
        </w:rPr>
        <w:t>2.</w:t>
      </w:r>
      <w:r w:rsidR="008C1FEA" w:rsidRPr="00735C06">
        <w:rPr>
          <w:rFonts w:cs="Arial"/>
          <w:lang w:val="en-GB"/>
        </w:rPr>
        <w:t>6</w:t>
      </w:r>
      <w:r w:rsidR="00955B79" w:rsidRPr="00735C06">
        <w:rPr>
          <w:rFonts w:cs="Arial"/>
          <w:lang w:val="en-GB"/>
        </w:rPr>
        <w:t xml:space="preserve"> </w:t>
      </w:r>
      <w:r w:rsidR="00395F4F" w:rsidRPr="00735C06">
        <w:rPr>
          <w:rFonts w:cs="Arial"/>
          <w:lang w:val="en-GB"/>
        </w:rPr>
        <w:tab/>
      </w:r>
      <w:r w:rsidR="00962550" w:rsidRPr="00735C06">
        <w:rPr>
          <w:rFonts w:cs="Arial"/>
          <w:lang w:val="en-GB"/>
        </w:rPr>
        <w:t>T</w:t>
      </w:r>
      <w:r w:rsidR="009F59C2" w:rsidRPr="00735C06">
        <w:rPr>
          <w:rFonts w:cs="Arial"/>
          <w:lang w:val="en-GB"/>
        </w:rPr>
        <w:t xml:space="preserve">he MPS service </w:t>
      </w:r>
      <w:r w:rsidR="000C1B92" w:rsidRPr="00735C06">
        <w:rPr>
          <w:rFonts w:cs="Arial"/>
          <w:lang w:val="en-GB"/>
        </w:rPr>
        <w:t xml:space="preserve">areas </w:t>
      </w:r>
      <w:r w:rsidR="009F59C2" w:rsidRPr="00735C06">
        <w:rPr>
          <w:rFonts w:cs="Arial"/>
          <w:lang w:val="en-GB"/>
        </w:rPr>
        <w:t xml:space="preserve">can be classified into </w:t>
      </w:r>
      <w:r w:rsidR="00355482" w:rsidRPr="00735C06">
        <w:rPr>
          <w:rFonts w:cs="Arial"/>
          <w:lang w:val="en-GB"/>
        </w:rPr>
        <w:t xml:space="preserve">the following </w:t>
      </w:r>
      <w:r w:rsidR="009F59C2" w:rsidRPr="00735C06">
        <w:rPr>
          <w:rFonts w:cs="Arial"/>
          <w:lang w:val="en-GB"/>
        </w:rPr>
        <w:t xml:space="preserve">two broad </w:t>
      </w:r>
      <w:r w:rsidR="00D40CCE" w:rsidRPr="00735C06">
        <w:rPr>
          <w:rFonts w:cs="Arial"/>
          <w:lang w:val="en-GB"/>
        </w:rPr>
        <w:t>areas</w:t>
      </w:r>
      <w:r w:rsidR="009F59C2" w:rsidRPr="00735C06">
        <w:rPr>
          <w:rFonts w:cs="Arial"/>
          <w:lang w:val="en-GB"/>
        </w:rPr>
        <w:t>:</w:t>
      </w:r>
    </w:p>
    <w:p w14:paraId="70C57E87" w14:textId="718569AD" w:rsidR="009F59C2" w:rsidRPr="00735C06" w:rsidRDefault="00474732" w:rsidP="004D5412">
      <w:pPr>
        <w:pStyle w:val="ListParagraph"/>
        <w:numPr>
          <w:ilvl w:val="0"/>
          <w:numId w:val="24"/>
        </w:numPr>
        <w:rPr>
          <w:rFonts w:cs="Arial"/>
          <w:lang w:val="en-GB"/>
        </w:rPr>
      </w:pPr>
      <w:r w:rsidRPr="00735C06">
        <w:rPr>
          <w:rFonts w:cs="Arial"/>
          <w:b/>
          <w:i/>
          <w:lang w:val="en-GB"/>
        </w:rPr>
        <w:t>Policy Services (</w:t>
      </w:r>
      <w:r w:rsidR="00E7434C" w:rsidRPr="00735C06">
        <w:rPr>
          <w:rFonts w:cs="Arial"/>
          <w:b/>
          <w:i/>
          <w:lang w:val="en-GB"/>
        </w:rPr>
        <w:t>Formulation,</w:t>
      </w:r>
      <w:r w:rsidR="00BF76B2" w:rsidRPr="00735C06">
        <w:rPr>
          <w:rFonts w:cs="Arial"/>
          <w:b/>
          <w:i/>
          <w:lang w:val="en-GB"/>
        </w:rPr>
        <w:t xml:space="preserve"> Implementation and/or Advisory Support</w:t>
      </w:r>
      <w:r w:rsidR="001413AF" w:rsidRPr="00735C06">
        <w:rPr>
          <w:rFonts w:cs="Arial"/>
          <w:b/>
          <w:i/>
          <w:lang w:val="en-GB"/>
        </w:rPr>
        <w:t>)</w:t>
      </w:r>
      <w:r w:rsidR="00BB313D" w:rsidRPr="00735C06">
        <w:rPr>
          <w:rFonts w:cs="Arial"/>
          <w:lang w:val="en-GB"/>
        </w:rPr>
        <w:t xml:space="preserve"> - </w:t>
      </w:r>
      <w:r w:rsidR="009F59C2" w:rsidRPr="00735C06">
        <w:rPr>
          <w:rFonts w:cs="Arial"/>
          <w:lang w:val="en-GB"/>
        </w:rPr>
        <w:t xml:space="preserve">Programme governments may request UNDP to contribute its expertise and provide policy </w:t>
      </w:r>
      <w:r w:rsidR="00BB1836" w:rsidRPr="00735C06">
        <w:rPr>
          <w:rFonts w:cs="Arial"/>
          <w:lang w:val="en-GB"/>
        </w:rPr>
        <w:t>s</w:t>
      </w:r>
      <w:r w:rsidR="001413AF" w:rsidRPr="00735C06">
        <w:rPr>
          <w:rFonts w:cs="Arial"/>
          <w:lang w:val="en-GB"/>
        </w:rPr>
        <w:t>ervices</w:t>
      </w:r>
      <w:r w:rsidR="00BB1836" w:rsidRPr="00735C06">
        <w:rPr>
          <w:rFonts w:cs="Arial"/>
          <w:lang w:val="en-GB"/>
        </w:rPr>
        <w:t xml:space="preserve"> </w:t>
      </w:r>
      <w:r w:rsidR="00BB1836" w:rsidRPr="00735C06">
        <w:rPr>
          <w:rFonts w:cs="Arial"/>
          <w:lang w:val="en-GB"/>
        </w:rPr>
        <w:lastRenderedPageBreak/>
        <w:t>(formulation, implementation and/or advisory)</w:t>
      </w:r>
      <w:r w:rsidR="00A05A2E" w:rsidRPr="00735C06">
        <w:rPr>
          <w:rFonts w:cs="Arial"/>
          <w:lang w:val="en-GB"/>
        </w:rPr>
        <w:t>.</w:t>
      </w:r>
      <w:r w:rsidR="00BB313D" w:rsidRPr="00735C06">
        <w:rPr>
          <w:rFonts w:cs="Arial"/>
          <w:lang w:val="en-GB"/>
        </w:rPr>
        <w:t xml:space="preserve"> </w:t>
      </w:r>
      <w:r w:rsidR="00BB1836" w:rsidRPr="00DC5211">
        <w:rPr>
          <w:rFonts w:cs="Arial"/>
          <w:lang w:val="en-GB"/>
        </w:rPr>
        <w:t xml:space="preserve">UNDP can </w:t>
      </w:r>
      <w:r w:rsidR="004D5412" w:rsidRPr="00DC5211">
        <w:rPr>
          <w:rFonts w:cs="Arial"/>
          <w:lang w:val="en-GB"/>
        </w:rPr>
        <w:t>provide services via UNDP in-house experts (</w:t>
      </w:r>
      <w:proofErr w:type="gramStart"/>
      <w:r w:rsidR="004D5412" w:rsidRPr="00DC5211">
        <w:rPr>
          <w:rFonts w:cs="Arial"/>
          <w:lang w:val="en-GB"/>
        </w:rPr>
        <w:t>i.e.</w:t>
      </w:r>
      <w:proofErr w:type="gramEnd"/>
      <w:r w:rsidR="004D5412" w:rsidRPr="00DC5211">
        <w:rPr>
          <w:rFonts w:cs="Arial"/>
          <w:lang w:val="en-GB"/>
        </w:rPr>
        <w:t xml:space="preserve"> staff members) or </w:t>
      </w:r>
      <w:r w:rsidR="009F59C2" w:rsidRPr="00DC5211">
        <w:rPr>
          <w:rFonts w:cs="Arial"/>
          <w:lang w:val="en-GB"/>
        </w:rPr>
        <w:t>identify and hire recognized experts on consultancy contracts</w:t>
      </w:r>
      <w:r w:rsidR="00DC5211">
        <w:rPr>
          <w:rFonts w:cs="Arial"/>
          <w:lang w:val="en-GB"/>
        </w:rPr>
        <w:t>.</w:t>
      </w:r>
      <w:r w:rsidR="00BC1C8C">
        <w:rPr>
          <w:rFonts w:cs="Arial"/>
          <w:lang w:val="en-GB"/>
        </w:rPr>
        <w:t xml:space="preserve"> </w:t>
      </w:r>
      <w:r w:rsidR="009F59C2" w:rsidRPr="00735C06">
        <w:rPr>
          <w:rFonts w:cs="Arial"/>
          <w:lang w:val="en-GB"/>
        </w:rPr>
        <w:t>This includes advisory services on the range of development activities within the breadth of UNDP’s Strategic Plan</w:t>
      </w:r>
      <w:r w:rsidR="0022337C" w:rsidRPr="00735C06">
        <w:rPr>
          <w:rFonts w:cs="Arial"/>
          <w:lang w:val="en-GB"/>
        </w:rPr>
        <w:t>,</w:t>
      </w:r>
      <w:r w:rsidR="00682C76" w:rsidRPr="00735C06">
        <w:rPr>
          <w:rFonts w:cs="Arial"/>
          <w:lang w:val="en-GB"/>
        </w:rPr>
        <w:t xml:space="preserve"> </w:t>
      </w:r>
      <w:r w:rsidR="00EC6DAF" w:rsidRPr="00735C06">
        <w:rPr>
          <w:rFonts w:cs="Arial"/>
          <w:lang w:val="en-GB"/>
        </w:rPr>
        <w:t xml:space="preserve">the </w:t>
      </w:r>
      <w:r w:rsidR="00682C76" w:rsidRPr="00735C06">
        <w:rPr>
          <w:rFonts w:cs="Arial"/>
          <w:lang w:val="en-GB"/>
        </w:rPr>
        <w:t xml:space="preserve">overall framework </w:t>
      </w:r>
      <w:r w:rsidR="00605AEC" w:rsidRPr="00735C06">
        <w:rPr>
          <w:rFonts w:cs="Arial"/>
          <w:lang w:val="en-GB"/>
        </w:rPr>
        <w:t>of national development strategy</w:t>
      </w:r>
      <w:r w:rsidR="0022337C" w:rsidRPr="00735C06">
        <w:rPr>
          <w:rFonts w:cs="Arial"/>
          <w:lang w:val="en-GB"/>
        </w:rPr>
        <w:t xml:space="preserve"> or emerging national priorities (including sudden onset of issues/ crises</w:t>
      </w:r>
      <w:r w:rsidR="00B87DA7" w:rsidRPr="00735C06">
        <w:rPr>
          <w:rFonts w:cs="Arial"/>
          <w:lang w:val="en-GB"/>
        </w:rPr>
        <w:t>).</w:t>
      </w:r>
      <w:r w:rsidR="00682C76" w:rsidRPr="00735C06">
        <w:rPr>
          <w:rFonts w:cs="Arial"/>
          <w:lang w:val="en-GB"/>
        </w:rPr>
        <w:t xml:space="preserve"> </w:t>
      </w:r>
      <w:r w:rsidR="00940BEF" w:rsidRPr="00735C06">
        <w:rPr>
          <w:rFonts w:cs="Arial"/>
          <w:lang w:val="en-GB"/>
        </w:rPr>
        <w:t xml:space="preserve"> </w:t>
      </w:r>
    </w:p>
    <w:p w14:paraId="6393E692" w14:textId="77777777" w:rsidR="009F59C2" w:rsidRPr="00735C06" w:rsidRDefault="009F59C2" w:rsidP="005E2E23">
      <w:pPr>
        <w:pStyle w:val="ListParagraph"/>
        <w:ind w:left="0"/>
        <w:rPr>
          <w:rFonts w:cs="Arial"/>
          <w:lang w:val="en-GB"/>
        </w:rPr>
      </w:pPr>
    </w:p>
    <w:p w14:paraId="3C014DAD" w14:textId="77777777" w:rsidR="009F59C2" w:rsidRPr="00735C06" w:rsidRDefault="009F59C2" w:rsidP="005E2E23">
      <w:pPr>
        <w:pStyle w:val="ListParagraph"/>
        <w:numPr>
          <w:ilvl w:val="0"/>
          <w:numId w:val="24"/>
        </w:numPr>
        <w:ind w:left="360"/>
        <w:rPr>
          <w:rFonts w:cs="Arial"/>
          <w:b/>
          <w:lang w:val="en-GB"/>
        </w:rPr>
      </w:pPr>
      <w:r w:rsidRPr="00735C06">
        <w:rPr>
          <w:rFonts w:cs="Arial"/>
          <w:b/>
          <w:i/>
          <w:lang w:val="en-GB"/>
        </w:rPr>
        <w:t>Support to Implementation</w:t>
      </w:r>
      <w:r w:rsidRPr="00735C06">
        <w:rPr>
          <w:rFonts w:cs="Arial"/>
          <w:b/>
          <w:lang w:val="en-GB"/>
        </w:rPr>
        <w:t xml:space="preserve"> - </w:t>
      </w:r>
      <w:r w:rsidRPr="00735C06">
        <w:rPr>
          <w:rFonts w:cs="Arial"/>
          <w:lang w:val="en-GB"/>
        </w:rPr>
        <w:t xml:space="preserve">UNDP </w:t>
      </w:r>
      <w:r w:rsidR="00A3570D" w:rsidRPr="00735C06">
        <w:rPr>
          <w:rFonts w:cs="Arial"/>
          <w:lang w:val="en-GB"/>
        </w:rPr>
        <w:t xml:space="preserve">may be requested to provide procurement and other </w:t>
      </w:r>
      <w:r w:rsidR="00F14F59" w:rsidRPr="00735C06">
        <w:rPr>
          <w:rFonts w:cs="Arial"/>
          <w:lang w:val="en-GB"/>
        </w:rPr>
        <w:t xml:space="preserve">management and </w:t>
      </w:r>
      <w:r w:rsidR="00A3570D" w:rsidRPr="00735C06">
        <w:rPr>
          <w:rFonts w:cs="Arial"/>
          <w:lang w:val="en-GB"/>
        </w:rPr>
        <w:t xml:space="preserve">operational services </w:t>
      </w:r>
      <w:r w:rsidRPr="00735C06">
        <w:rPr>
          <w:rFonts w:cs="Arial"/>
          <w:lang w:val="en-GB"/>
        </w:rPr>
        <w:t>to the programme government</w:t>
      </w:r>
      <w:r w:rsidR="00A3570D" w:rsidRPr="00735C06">
        <w:rPr>
          <w:rFonts w:cs="Arial"/>
          <w:lang w:val="en-GB"/>
        </w:rPr>
        <w:t xml:space="preserve"> </w:t>
      </w:r>
      <w:r w:rsidR="000362EC" w:rsidRPr="00735C06">
        <w:rPr>
          <w:rFonts w:cs="Arial"/>
          <w:lang w:val="en-GB"/>
        </w:rPr>
        <w:t xml:space="preserve">for its development activities outside of a UNDP project, </w:t>
      </w:r>
      <w:r w:rsidR="00A3570D" w:rsidRPr="00735C06">
        <w:rPr>
          <w:rFonts w:cs="Arial"/>
          <w:lang w:val="en-GB"/>
        </w:rPr>
        <w:t xml:space="preserve">based on UNDP’s comparative advantage in sustainable procurement </w:t>
      </w:r>
      <w:r w:rsidR="00E14CCB" w:rsidRPr="00735C06">
        <w:rPr>
          <w:rFonts w:cs="Arial"/>
          <w:lang w:val="en-GB"/>
        </w:rPr>
        <w:t>and administrative</w:t>
      </w:r>
      <w:r w:rsidR="00A02713" w:rsidRPr="00735C06">
        <w:rPr>
          <w:rFonts w:cs="Arial"/>
          <w:lang w:val="en-GB"/>
        </w:rPr>
        <w:t xml:space="preserve"> practices</w:t>
      </w:r>
      <w:r w:rsidR="00597B25" w:rsidRPr="00735C06">
        <w:rPr>
          <w:rFonts w:cs="Arial"/>
          <w:lang w:val="en-GB"/>
        </w:rPr>
        <w:t xml:space="preserve">. </w:t>
      </w:r>
      <w:r w:rsidR="00F14F59" w:rsidRPr="00735C06">
        <w:rPr>
          <w:rFonts w:cs="Arial"/>
          <w:lang w:val="en-GB"/>
        </w:rPr>
        <w:t>This</w:t>
      </w:r>
      <w:r w:rsidRPr="00735C06">
        <w:rPr>
          <w:rFonts w:cs="Arial"/>
          <w:lang w:val="en-GB"/>
        </w:rPr>
        <w:t xml:space="preserve"> includ</w:t>
      </w:r>
      <w:r w:rsidR="00601954" w:rsidRPr="00735C06">
        <w:rPr>
          <w:rFonts w:cs="Arial"/>
          <w:lang w:val="en-GB"/>
        </w:rPr>
        <w:t xml:space="preserve">es </w:t>
      </w:r>
      <w:r w:rsidRPr="00735C06">
        <w:rPr>
          <w:rFonts w:cs="Arial"/>
          <w:lang w:val="en-GB"/>
        </w:rPr>
        <w:t>identifying and contracting appropriately qualified consultants</w:t>
      </w:r>
      <w:r w:rsidR="006E740E" w:rsidRPr="00735C06">
        <w:rPr>
          <w:rFonts w:cs="Arial"/>
          <w:lang w:val="en-GB"/>
        </w:rPr>
        <w:t xml:space="preserve"> based on ‘value-for-money’ principle</w:t>
      </w:r>
      <w:r w:rsidR="00614832" w:rsidRPr="00735C06">
        <w:rPr>
          <w:rFonts w:cs="Arial"/>
          <w:lang w:val="en-GB"/>
        </w:rPr>
        <w:t>s</w:t>
      </w:r>
      <w:r w:rsidRPr="00735C06">
        <w:rPr>
          <w:rFonts w:cs="Arial"/>
          <w:lang w:val="en-GB"/>
        </w:rPr>
        <w:t xml:space="preserve"> to work on government projects.</w:t>
      </w:r>
      <w:r w:rsidR="0022524C" w:rsidRPr="00735C06">
        <w:rPr>
          <w:rFonts w:cs="Arial"/>
          <w:lang w:val="en-GB"/>
        </w:rPr>
        <w:t xml:space="preserve"> </w:t>
      </w:r>
    </w:p>
    <w:p w14:paraId="190DA923" w14:textId="77777777" w:rsidR="009F59C2" w:rsidRPr="00735C06" w:rsidRDefault="009F59C2" w:rsidP="00546312">
      <w:pPr>
        <w:pStyle w:val="ListParagraph"/>
        <w:spacing w:after="0" w:line="240" w:lineRule="auto"/>
        <w:contextualSpacing w:val="0"/>
        <w:rPr>
          <w:rFonts w:cs="Arial"/>
          <w:lang w:val="en-GB"/>
        </w:rPr>
      </w:pPr>
    </w:p>
    <w:p w14:paraId="3C1E5B89" w14:textId="047CB3ED" w:rsidR="009F59C2" w:rsidRPr="00735C06" w:rsidRDefault="0026021E" w:rsidP="00395F4F">
      <w:pPr>
        <w:tabs>
          <w:tab w:val="left" w:pos="720"/>
        </w:tabs>
        <w:rPr>
          <w:rFonts w:cs="Arial"/>
          <w:lang w:val="en-GB"/>
        </w:rPr>
      </w:pPr>
      <w:r w:rsidRPr="00735C06">
        <w:rPr>
          <w:rFonts w:cs="Arial"/>
          <w:lang w:val="en-GB"/>
        </w:rPr>
        <w:t>2.</w:t>
      </w:r>
      <w:r w:rsidR="008C1FEA" w:rsidRPr="00735C06">
        <w:rPr>
          <w:rFonts w:cs="Arial"/>
          <w:lang w:val="en-GB"/>
        </w:rPr>
        <w:t>7</w:t>
      </w:r>
      <w:r w:rsidRPr="00735C06">
        <w:rPr>
          <w:rFonts w:cs="Arial"/>
          <w:lang w:val="en-GB"/>
        </w:rPr>
        <w:tab/>
      </w:r>
      <w:r w:rsidR="009F59C2" w:rsidRPr="00735C06">
        <w:rPr>
          <w:rFonts w:cs="Arial"/>
          <w:lang w:val="en-GB"/>
        </w:rPr>
        <w:t xml:space="preserve">For the details on the services to be provided under the two broad types, refer to </w:t>
      </w:r>
      <w:r w:rsidR="009F59C2" w:rsidRPr="00735C06">
        <w:rPr>
          <w:rFonts w:cs="Arial"/>
          <w:b/>
          <w:lang w:val="en-GB"/>
        </w:rPr>
        <w:t>Annex 1</w:t>
      </w:r>
      <w:r w:rsidR="009F59C2" w:rsidRPr="00735C06">
        <w:rPr>
          <w:rFonts w:cs="Arial"/>
          <w:lang w:val="en-GB"/>
        </w:rPr>
        <w:t xml:space="preserve"> </w:t>
      </w:r>
      <w:r w:rsidR="00435AA0" w:rsidRPr="00735C06">
        <w:rPr>
          <w:rFonts w:cs="Arial"/>
          <w:lang w:val="en-GB"/>
        </w:rPr>
        <w:t>on service offering</w:t>
      </w:r>
      <w:r w:rsidR="00A453BA" w:rsidRPr="00735C06">
        <w:rPr>
          <w:rFonts w:cs="Arial"/>
          <w:lang w:val="en-GB"/>
        </w:rPr>
        <w:t>s</w:t>
      </w:r>
      <w:r w:rsidR="00435AA0" w:rsidRPr="00735C06">
        <w:rPr>
          <w:rFonts w:cs="Arial"/>
          <w:lang w:val="en-GB"/>
        </w:rPr>
        <w:t xml:space="preserve">. </w:t>
      </w:r>
      <w:r w:rsidR="00015E98" w:rsidRPr="00735C06">
        <w:rPr>
          <w:rFonts w:cs="Arial"/>
          <w:lang w:val="en-GB"/>
        </w:rPr>
        <w:t xml:space="preserve"> </w:t>
      </w:r>
      <w:r w:rsidR="0034699A" w:rsidRPr="00735C06">
        <w:rPr>
          <w:rFonts w:cs="Arial"/>
          <w:lang w:val="en-GB"/>
        </w:rPr>
        <w:t>The list of s</w:t>
      </w:r>
      <w:r w:rsidR="00015E98" w:rsidRPr="00735C06">
        <w:rPr>
          <w:rFonts w:cs="Arial"/>
          <w:lang w:val="en-GB"/>
        </w:rPr>
        <w:t>ervices offerings may not be restrictive</w:t>
      </w:r>
      <w:r w:rsidR="0034699A" w:rsidRPr="00735C06">
        <w:rPr>
          <w:rFonts w:cs="Arial"/>
          <w:lang w:val="en-GB"/>
        </w:rPr>
        <w:t>,</w:t>
      </w:r>
      <w:r w:rsidR="00015E98" w:rsidRPr="00735C06">
        <w:rPr>
          <w:rFonts w:cs="Arial"/>
          <w:lang w:val="en-GB"/>
        </w:rPr>
        <w:t xml:space="preserve"> </w:t>
      </w:r>
      <w:proofErr w:type="gramStart"/>
      <w:r w:rsidR="00015E98" w:rsidRPr="00735C06">
        <w:rPr>
          <w:rFonts w:cs="Arial"/>
          <w:lang w:val="en-GB"/>
        </w:rPr>
        <w:t>as long as</w:t>
      </w:r>
      <w:proofErr w:type="gramEnd"/>
      <w:r w:rsidR="00015E98" w:rsidRPr="00735C06">
        <w:rPr>
          <w:rFonts w:cs="Arial"/>
          <w:lang w:val="en-GB"/>
        </w:rPr>
        <w:t xml:space="preserve"> they support services that are envisaged </w:t>
      </w:r>
      <w:r w:rsidR="0034699A" w:rsidRPr="00735C06">
        <w:rPr>
          <w:rFonts w:cs="Arial"/>
          <w:lang w:val="en-GB"/>
        </w:rPr>
        <w:t>with</w:t>
      </w:r>
      <w:r w:rsidR="00015E98" w:rsidRPr="00735C06">
        <w:rPr>
          <w:rFonts w:cs="Arial"/>
          <w:lang w:val="en-GB"/>
        </w:rPr>
        <w:t xml:space="preserve">in </w:t>
      </w:r>
      <w:r w:rsidR="0034699A" w:rsidRPr="00735C06">
        <w:rPr>
          <w:rFonts w:cs="Arial"/>
          <w:lang w:val="en-GB"/>
        </w:rPr>
        <w:t>UNDP’s</w:t>
      </w:r>
      <w:r w:rsidR="00015E98" w:rsidRPr="00735C06">
        <w:rPr>
          <w:rFonts w:cs="Arial"/>
          <w:lang w:val="en-GB"/>
        </w:rPr>
        <w:t xml:space="preserve"> strategic plan and country program</w:t>
      </w:r>
      <w:r w:rsidR="003553E7" w:rsidRPr="00735C06">
        <w:rPr>
          <w:rFonts w:cs="Arial"/>
          <w:lang w:val="en-GB"/>
        </w:rPr>
        <w:t>me</w:t>
      </w:r>
      <w:r w:rsidR="00015E98" w:rsidRPr="00735C06">
        <w:rPr>
          <w:rFonts w:cs="Arial"/>
          <w:lang w:val="en-GB"/>
        </w:rPr>
        <w:t>s (which may change with program</w:t>
      </w:r>
      <w:r w:rsidR="0034699A" w:rsidRPr="00735C06">
        <w:rPr>
          <w:rFonts w:cs="Arial"/>
          <w:lang w:val="en-GB"/>
        </w:rPr>
        <w:t>me</w:t>
      </w:r>
      <w:r w:rsidR="00015E98" w:rsidRPr="00735C06">
        <w:rPr>
          <w:rFonts w:cs="Arial"/>
          <w:lang w:val="en-GB"/>
        </w:rPr>
        <w:t xml:space="preserve"> cycles)</w:t>
      </w:r>
      <w:r w:rsidR="00B87DA7" w:rsidRPr="00735C06">
        <w:rPr>
          <w:rFonts w:cs="Arial"/>
          <w:lang w:val="en-GB"/>
        </w:rPr>
        <w:t>.</w:t>
      </w:r>
    </w:p>
    <w:p w14:paraId="6E892D01" w14:textId="38E09F00" w:rsidR="00C972A7" w:rsidRPr="00E95B45" w:rsidRDefault="0026021E" w:rsidP="00E95B45">
      <w:pPr>
        <w:tabs>
          <w:tab w:val="left" w:pos="540"/>
          <w:tab w:val="left" w:pos="720"/>
        </w:tabs>
        <w:rPr>
          <w:rFonts w:cs="Arial"/>
          <w:bCs/>
        </w:rPr>
      </w:pPr>
      <w:r w:rsidRPr="00735C06">
        <w:rPr>
          <w:rFonts w:cs="Arial"/>
          <w:bCs/>
        </w:rPr>
        <w:t>2.</w:t>
      </w:r>
      <w:r w:rsidR="008C1FEA" w:rsidRPr="00735C06">
        <w:rPr>
          <w:rFonts w:cs="Arial"/>
          <w:bCs/>
        </w:rPr>
        <w:t>8</w:t>
      </w:r>
      <w:r w:rsidR="00955B79" w:rsidRPr="00735C06">
        <w:rPr>
          <w:rFonts w:cs="Arial"/>
          <w:bCs/>
        </w:rPr>
        <w:t xml:space="preserve"> </w:t>
      </w:r>
      <w:r w:rsidR="00395F4F" w:rsidRPr="00735C06">
        <w:rPr>
          <w:rFonts w:cs="Arial"/>
          <w:bCs/>
        </w:rPr>
        <w:tab/>
      </w:r>
      <w:r w:rsidR="00C972A7" w:rsidRPr="00735C06">
        <w:rPr>
          <w:rFonts w:cs="Arial"/>
          <w:bCs/>
        </w:rPr>
        <w:t>As stipulated in Regulations 9.03 and 15.01 of UNDP’s Financial Regulations and Rules, management and other support services provided by UNDP “shall be consistent with the policies, aims and activities of UNDP</w:t>
      </w:r>
      <w:r w:rsidR="002B4707" w:rsidRPr="00735C06">
        <w:rPr>
          <w:rFonts w:cs="Arial"/>
          <w:bCs/>
        </w:rPr>
        <w:t>.</w:t>
      </w:r>
      <w:r w:rsidR="00C972A7" w:rsidRPr="00735C06">
        <w:rPr>
          <w:rFonts w:cs="Arial"/>
          <w:bCs/>
        </w:rPr>
        <w:t xml:space="preserve">” </w:t>
      </w:r>
      <w:r w:rsidR="002B4707" w:rsidRPr="00735C06">
        <w:rPr>
          <w:rFonts w:cs="Arial"/>
          <w:bCs/>
        </w:rPr>
        <w:t xml:space="preserve">Accordingly, </w:t>
      </w:r>
      <w:r w:rsidR="00C972A7" w:rsidRPr="00735C06">
        <w:rPr>
          <w:rFonts w:cs="Arial"/>
          <w:bCs/>
        </w:rPr>
        <w:t xml:space="preserve">MPS activities must be carried out in accordance with UNDP’s regulations, </w:t>
      </w:r>
      <w:proofErr w:type="gramStart"/>
      <w:r w:rsidR="00C972A7" w:rsidRPr="00735C06">
        <w:rPr>
          <w:rFonts w:cs="Arial"/>
          <w:bCs/>
        </w:rPr>
        <w:t>rules</w:t>
      </w:r>
      <w:proofErr w:type="gramEnd"/>
      <w:r w:rsidR="00C972A7" w:rsidRPr="00735C06">
        <w:rPr>
          <w:rFonts w:cs="Arial"/>
          <w:bCs/>
        </w:rPr>
        <w:t xml:space="preserve"> and procedures.</w:t>
      </w:r>
      <w:r w:rsidR="00E95B45">
        <w:rPr>
          <w:rFonts w:cs="Arial"/>
          <w:bCs/>
        </w:rPr>
        <w:br/>
      </w:r>
    </w:p>
    <w:p w14:paraId="1F906365" w14:textId="77777777" w:rsidR="00C972A7" w:rsidRPr="00735C06" w:rsidRDefault="00C972A7" w:rsidP="00AC71F1">
      <w:pPr>
        <w:rPr>
          <w:rFonts w:cs="Arial"/>
          <w:b/>
          <w:bCs/>
        </w:rPr>
      </w:pPr>
      <w:r w:rsidRPr="00735C06">
        <w:rPr>
          <w:rFonts w:cs="Arial"/>
          <w:b/>
          <w:bCs/>
        </w:rPr>
        <w:t>Criteria for MPS</w:t>
      </w:r>
    </w:p>
    <w:p w14:paraId="0141E00E" w14:textId="2876A685" w:rsidR="002840B0" w:rsidRPr="00735C06" w:rsidRDefault="0026021E" w:rsidP="002840B0">
      <w:pPr>
        <w:rPr>
          <w:rFonts w:cs="Arial"/>
          <w:lang w:val="en-GB"/>
        </w:rPr>
      </w:pPr>
      <w:r w:rsidRPr="00735C06">
        <w:rPr>
          <w:rFonts w:cs="Arial"/>
          <w:lang w:val="en-GB"/>
        </w:rPr>
        <w:t>2.</w:t>
      </w:r>
      <w:r w:rsidR="008C1FEA" w:rsidRPr="00735C06">
        <w:rPr>
          <w:rFonts w:cs="Arial"/>
          <w:lang w:val="en-GB"/>
        </w:rPr>
        <w:t>9</w:t>
      </w:r>
      <w:r w:rsidR="008C1FEA" w:rsidRPr="00735C06">
        <w:rPr>
          <w:rFonts w:cs="Arial"/>
          <w:lang w:val="en-GB"/>
        </w:rPr>
        <w:tab/>
      </w:r>
      <w:r w:rsidR="00744759" w:rsidRPr="00735C06">
        <w:rPr>
          <w:rFonts w:cs="Arial"/>
          <w:lang w:val="en-GB"/>
        </w:rPr>
        <w:t xml:space="preserve">Services </w:t>
      </w:r>
      <w:r w:rsidR="006A050C" w:rsidRPr="00735C06">
        <w:rPr>
          <w:rFonts w:cs="Arial"/>
          <w:lang w:val="en-GB"/>
        </w:rPr>
        <w:t xml:space="preserve">provided </w:t>
      </w:r>
      <w:r w:rsidR="00744759" w:rsidRPr="00735C06">
        <w:rPr>
          <w:rFonts w:cs="Arial"/>
          <w:lang w:val="en-GB"/>
        </w:rPr>
        <w:t xml:space="preserve">under MPS should not detract from UNDP’s core development model of </w:t>
      </w:r>
      <w:r w:rsidR="0049242C" w:rsidRPr="00735C06">
        <w:rPr>
          <w:rFonts w:cs="Arial"/>
          <w:lang w:val="en-GB"/>
        </w:rPr>
        <w:t>delivering</w:t>
      </w:r>
      <w:r w:rsidR="00F513B2" w:rsidRPr="00735C06">
        <w:rPr>
          <w:rFonts w:cs="Arial"/>
          <w:lang w:val="en-GB"/>
        </w:rPr>
        <w:t xml:space="preserve"> </w:t>
      </w:r>
      <w:r w:rsidR="0049242C" w:rsidRPr="00735C06">
        <w:rPr>
          <w:rFonts w:cs="Arial"/>
          <w:lang w:val="en-GB"/>
        </w:rPr>
        <w:t>development results</w:t>
      </w:r>
      <w:r w:rsidR="00744759" w:rsidRPr="00735C06">
        <w:rPr>
          <w:rFonts w:cs="Arial"/>
          <w:lang w:val="en-GB"/>
        </w:rPr>
        <w:t xml:space="preserve"> </w:t>
      </w:r>
      <w:r w:rsidR="0049242C" w:rsidRPr="00735C06">
        <w:rPr>
          <w:rFonts w:cs="Arial"/>
          <w:lang w:val="en-GB"/>
        </w:rPr>
        <w:t>through</w:t>
      </w:r>
      <w:r w:rsidR="009278FF" w:rsidRPr="00735C06">
        <w:rPr>
          <w:rFonts w:cs="Arial"/>
          <w:lang w:val="en-GB"/>
        </w:rPr>
        <w:t xml:space="preserve"> </w:t>
      </w:r>
      <w:r w:rsidR="00744759" w:rsidRPr="00735C06">
        <w:rPr>
          <w:rFonts w:cs="Arial"/>
          <w:lang w:val="en-GB"/>
        </w:rPr>
        <w:t>projects</w:t>
      </w:r>
      <w:r w:rsidR="002542AD" w:rsidRPr="00735C06">
        <w:rPr>
          <w:rFonts w:cs="Arial"/>
          <w:lang w:val="en-GB"/>
        </w:rPr>
        <w:t xml:space="preserve"> </w:t>
      </w:r>
      <w:r w:rsidR="00060F05" w:rsidRPr="00735C06">
        <w:rPr>
          <w:rFonts w:cs="Arial"/>
          <w:lang w:val="en-GB"/>
        </w:rPr>
        <w:t xml:space="preserve">(see </w:t>
      </w:r>
      <w:hyperlink r:id="rId11" w:history="1">
        <w:r w:rsidR="00831E84" w:rsidRPr="00735C06">
          <w:rPr>
            <w:rStyle w:val="Hyperlink"/>
            <w:rFonts w:cs="Arial"/>
            <w:lang w:val="en-GB"/>
          </w:rPr>
          <w:t>Quality Standards for Programming</w:t>
        </w:r>
      </w:hyperlink>
      <w:r w:rsidR="00831E84" w:rsidRPr="00735C06">
        <w:rPr>
          <w:rFonts w:cs="Arial"/>
          <w:lang w:val="en-GB"/>
        </w:rPr>
        <w:t xml:space="preserve">). </w:t>
      </w:r>
      <w:r w:rsidR="002542AD" w:rsidRPr="00735C06">
        <w:rPr>
          <w:rFonts w:cs="Arial"/>
          <w:lang w:val="en-GB"/>
        </w:rPr>
        <w:t xml:space="preserve">The </w:t>
      </w:r>
      <w:r w:rsidR="005B79AE" w:rsidRPr="00735C06">
        <w:rPr>
          <w:rFonts w:cs="Arial"/>
          <w:lang w:val="en-GB"/>
        </w:rPr>
        <w:t xml:space="preserve">services provided through the MPS should </w:t>
      </w:r>
      <w:r w:rsidR="009278FF" w:rsidRPr="00735C06">
        <w:rPr>
          <w:rFonts w:cs="Arial"/>
          <w:lang w:val="en-GB"/>
        </w:rPr>
        <w:t>adhere to UNDP’s</w:t>
      </w:r>
      <w:r w:rsidR="005B79AE" w:rsidRPr="00735C06">
        <w:rPr>
          <w:rFonts w:cs="Arial"/>
          <w:lang w:val="en-GB"/>
        </w:rPr>
        <w:t xml:space="preserve"> quality standards</w:t>
      </w:r>
      <w:r w:rsidR="009278FF" w:rsidRPr="00735C06">
        <w:rPr>
          <w:rFonts w:cs="Arial"/>
          <w:lang w:val="en-GB"/>
        </w:rPr>
        <w:t xml:space="preserve"> for programming</w:t>
      </w:r>
      <w:r w:rsidR="005B79AE" w:rsidRPr="00735C06">
        <w:rPr>
          <w:rFonts w:cs="Arial"/>
          <w:lang w:val="en-GB"/>
        </w:rPr>
        <w:t xml:space="preserve"> to the extent possible</w:t>
      </w:r>
      <w:r w:rsidR="009278FF" w:rsidRPr="00735C06">
        <w:rPr>
          <w:rFonts w:cs="Arial"/>
          <w:lang w:val="en-GB"/>
        </w:rPr>
        <w:t>,</w:t>
      </w:r>
      <w:r w:rsidR="005B79AE" w:rsidRPr="00735C06">
        <w:rPr>
          <w:rFonts w:cs="Arial"/>
          <w:lang w:val="en-GB"/>
        </w:rPr>
        <w:t xml:space="preserve"> and as relevant</w:t>
      </w:r>
      <w:r w:rsidR="00683872">
        <w:rPr>
          <w:rFonts w:cs="Arial"/>
          <w:lang w:val="en-GB"/>
        </w:rPr>
        <w:t xml:space="preserve">, </w:t>
      </w:r>
      <w:r w:rsidR="00683872" w:rsidRPr="00DC5211">
        <w:rPr>
          <w:rFonts w:cs="Arial"/>
          <w:lang w:val="en-GB"/>
        </w:rPr>
        <w:t>as well as UNDP’s fiduciary management standards</w:t>
      </w:r>
      <w:r w:rsidR="005B79AE" w:rsidRPr="00DC5211">
        <w:rPr>
          <w:rFonts w:cs="Arial"/>
          <w:lang w:val="en-GB"/>
        </w:rPr>
        <w:t>.</w:t>
      </w:r>
    </w:p>
    <w:p w14:paraId="5E5C9F15" w14:textId="5493CE1D" w:rsidR="00CE5D90" w:rsidRPr="00735C06" w:rsidRDefault="0026021E" w:rsidP="00CE5D90">
      <w:pPr>
        <w:rPr>
          <w:rFonts w:cs="Arial"/>
          <w:lang w:val="en-GB"/>
        </w:rPr>
      </w:pPr>
      <w:r w:rsidRPr="00735C06">
        <w:rPr>
          <w:rFonts w:cs="Arial"/>
          <w:lang w:val="en-GB"/>
        </w:rPr>
        <w:t>2.</w:t>
      </w:r>
      <w:r w:rsidR="00992C67" w:rsidRPr="00735C06">
        <w:rPr>
          <w:rFonts w:cs="Arial"/>
          <w:lang w:val="en-GB"/>
        </w:rPr>
        <w:t>10</w:t>
      </w:r>
      <w:r w:rsidR="00955B79" w:rsidRPr="00735C06">
        <w:rPr>
          <w:rFonts w:cs="Arial"/>
          <w:lang w:val="en-GB"/>
        </w:rPr>
        <w:t xml:space="preserve"> </w:t>
      </w:r>
      <w:r w:rsidR="00395F4F" w:rsidRPr="00735C06">
        <w:rPr>
          <w:rFonts w:cs="Arial"/>
          <w:lang w:val="en-GB"/>
        </w:rPr>
        <w:tab/>
      </w:r>
      <w:r w:rsidR="00BE6450" w:rsidRPr="00735C06">
        <w:rPr>
          <w:rFonts w:cs="Arial"/>
          <w:lang w:val="en-GB"/>
        </w:rPr>
        <w:t>S</w:t>
      </w:r>
      <w:r w:rsidR="002840B0" w:rsidRPr="00735C06">
        <w:rPr>
          <w:rFonts w:cs="Arial"/>
          <w:lang w:val="en-GB"/>
        </w:rPr>
        <w:t xml:space="preserve">ervices should only be provided in areas where UNDP has a comparative advantage, in terms of its own abilities and capacities, as well as its ability to draw upon UNDP’s experience and expertise in service provision. This may be in an area that the particular UNDP office has proven </w:t>
      </w:r>
      <w:proofErr w:type="gramStart"/>
      <w:r w:rsidR="002840B0" w:rsidRPr="00735C06">
        <w:rPr>
          <w:rFonts w:cs="Arial"/>
          <w:lang w:val="en-GB"/>
        </w:rPr>
        <w:t>expertise, or</w:t>
      </w:r>
      <w:proofErr w:type="gramEnd"/>
      <w:r w:rsidR="002840B0" w:rsidRPr="00735C06">
        <w:rPr>
          <w:rFonts w:cs="Arial"/>
          <w:lang w:val="en-GB"/>
        </w:rPr>
        <w:t xml:space="preserve"> may involve the office leveraging UNDP’s regional or global services or networks to bring </w:t>
      </w:r>
      <w:r w:rsidR="00A3581F" w:rsidRPr="00735C06">
        <w:rPr>
          <w:rFonts w:cs="Arial"/>
          <w:lang w:val="en-GB"/>
        </w:rPr>
        <w:t xml:space="preserve">added </w:t>
      </w:r>
      <w:r w:rsidR="00027BD6" w:rsidRPr="00735C06">
        <w:rPr>
          <w:rFonts w:cs="Arial"/>
          <w:lang w:val="en-GB"/>
        </w:rPr>
        <w:t xml:space="preserve">value. </w:t>
      </w:r>
      <w:r w:rsidR="00CE5D90" w:rsidRPr="00735C06">
        <w:rPr>
          <w:rFonts w:cs="Arial"/>
          <w:lang w:val="en-GB"/>
        </w:rPr>
        <w:t xml:space="preserve">UNDP may provide services </w:t>
      </w:r>
      <w:r w:rsidR="00D6137B" w:rsidRPr="00735C06">
        <w:rPr>
          <w:rFonts w:cs="Arial"/>
          <w:lang w:val="en-GB"/>
        </w:rPr>
        <w:t>through a</w:t>
      </w:r>
      <w:r w:rsidR="00301310" w:rsidRPr="00735C06">
        <w:rPr>
          <w:rFonts w:cs="Arial"/>
          <w:lang w:val="en-GB"/>
        </w:rPr>
        <w:t>n</w:t>
      </w:r>
      <w:r w:rsidR="00D6137B" w:rsidRPr="00735C06">
        <w:rPr>
          <w:rFonts w:cs="Arial"/>
          <w:lang w:val="en-GB"/>
        </w:rPr>
        <w:t xml:space="preserve"> MPS </w:t>
      </w:r>
      <w:r w:rsidR="00CE5D90" w:rsidRPr="00735C06">
        <w:rPr>
          <w:rFonts w:cs="Arial"/>
          <w:lang w:val="en-GB"/>
        </w:rPr>
        <w:t xml:space="preserve">when </w:t>
      </w:r>
      <w:proofErr w:type="gramStart"/>
      <w:r w:rsidR="00CE5D90" w:rsidRPr="00735C06">
        <w:rPr>
          <w:rFonts w:cs="Arial"/>
          <w:lang w:val="en-GB"/>
        </w:rPr>
        <w:t>all of</w:t>
      </w:r>
      <w:proofErr w:type="gramEnd"/>
      <w:r w:rsidR="00CE5D90" w:rsidRPr="00735C06">
        <w:rPr>
          <w:rFonts w:cs="Arial"/>
          <w:lang w:val="en-GB"/>
        </w:rPr>
        <w:t xml:space="preserve"> the following criteria are met:</w:t>
      </w:r>
    </w:p>
    <w:p w14:paraId="224FD401" w14:textId="68578A0D" w:rsidR="00ED3F1D" w:rsidRPr="00735C06" w:rsidRDefault="00CE5D90" w:rsidP="000E77FC">
      <w:pPr>
        <w:pStyle w:val="ListParagraph"/>
        <w:numPr>
          <w:ilvl w:val="0"/>
          <w:numId w:val="25"/>
        </w:numPr>
        <w:rPr>
          <w:rFonts w:cs="Arial"/>
          <w:lang w:val="en-GB"/>
        </w:rPr>
      </w:pPr>
      <w:r w:rsidRPr="00735C06">
        <w:rPr>
          <w:rFonts w:cs="Arial"/>
          <w:lang w:val="en-GB"/>
        </w:rPr>
        <w:t xml:space="preserve">The requested service </w:t>
      </w:r>
      <w:r w:rsidR="00D1269B" w:rsidRPr="00735C06">
        <w:rPr>
          <w:rFonts w:cs="Arial"/>
          <w:lang w:val="en-GB"/>
        </w:rPr>
        <w:t xml:space="preserve">cannot </w:t>
      </w:r>
      <w:r w:rsidRPr="00735C06">
        <w:rPr>
          <w:rFonts w:cs="Arial"/>
          <w:lang w:val="en-GB"/>
        </w:rPr>
        <w:t xml:space="preserve">be delivered through </w:t>
      </w:r>
      <w:r w:rsidR="0006363A" w:rsidRPr="00735C06">
        <w:rPr>
          <w:rFonts w:cs="Arial"/>
          <w:lang w:val="en-GB"/>
        </w:rPr>
        <w:t>a UNDP</w:t>
      </w:r>
      <w:r w:rsidR="00C67EAC" w:rsidRPr="00735C06">
        <w:rPr>
          <w:rFonts w:cs="Arial"/>
          <w:lang w:val="en-GB"/>
        </w:rPr>
        <w:t xml:space="preserve"> project </w:t>
      </w:r>
      <w:r w:rsidR="00046B24" w:rsidRPr="00735C06">
        <w:rPr>
          <w:rFonts w:cs="Arial"/>
          <w:lang w:val="en-GB"/>
        </w:rPr>
        <w:t>because</w:t>
      </w:r>
      <w:r w:rsidR="004B7F43" w:rsidRPr="00735C06">
        <w:rPr>
          <w:rFonts w:cs="Arial"/>
          <w:lang w:val="en-GB"/>
        </w:rPr>
        <w:t xml:space="preserve"> </w:t>
      </w:r>
      <w:r w:rsidR="002B2B8C" w:rsidRPr="00735C06">
        <w:rPr>
          <w:rFonts w:cs="Arial"/>
          <w:lang w:val="en-GB"/>
        </w:rPr>
        <w:t>accountability for the</w:t>
      </w:r>
      <w:r w:rsidR="004B7F43" w:rsidRPr="00735C06">
        <w:rPr>
          <w:rFonts w:cs="Arial"/>
          <w:lang w:val="en-GB"/>
        </w:rPr>
        <w:t xml:space="preserve"> results </w:t>
      </w:r>
      <w:r w:rsidR="00F31DBB" w:rsidRPr="00735C06">
        <w:rPr>
          <w:rFonts w:cs="Arial"/>
          <w:lang w:val="en-GB"/>
        </w:rPr>
        <w:t xml:space="preserve">under </w:t>
      </w:r>
      <w:r w:rsidR="003F4823" w:rsidRPr="00735C06">
        <w:rPr>
          <w:rFonts w:cs="Arial"/>
          <w:lang w:val="en-GB"/>
        </w:rPr>
        <w:t xml:space="preserve">a </w:t>
      </w:r>
      <w:r w:rsidR="00F31DBB" w:rsidRPr="00735C06">
        <w:rPr>
          <w:rFonts w:cs="Arial"/>
          <w:lang w:val="en-GB"/>
        </w:rPr>
        <w:t xml:space="preserve">MPS </w:t>
      </w:r>
      <w:r w:rsidR="004B7F43" w:rsidRPr="00735C06">
        <w:rPr>
          <w:rFonts w:cs="Arial"/>
          <w:lang w:val="en-GB"/>
        </w:rPr>
        <w:t>resides with another par</w:t>
      </w:r>
      <w:r w:rsidR="002B2B8C" w:rsidRPr="00735C06">
        <w:rPr>
          <w:rFonts w:cs="Arial"/>
          <w:lang w:val="en-GB"/>
        </w:rPr>
        <w:t>tner (i.e.,</w:t>
      </w:r>
      <w:r w:rsidR="004B7F43" w:rsidRPr="00735C06">
        <w:rPr>
          <w:rFonts w:cs="Arial"/>
          <w:lang w:val="en-GB"/>
        </w:rPr>
        <w:t xml:space="preserve"> </w:t>
      </w:r>
      <w:r w:rsidR="00567E8B" w:rsidRPr="00735C06">
        <w:rPr>
          <w:rFonts w:cs="Arial"/>
          <w:lang w:val="en-GB"/>
        </w:rPr>
        <w:t xml:space="preserve">solely with </w:t>
      </w:r>
      <w:r w:rsidR="004B7F43" w:rsidRPr="00735C06">
        <w:rPr>
          <w:rFonts w:cs="Arial"/>
          <w:lang w:val="en-GB"/>
        </w:rPr>
        <w:t>the government</w:t>
      </w:r>
      <w:r w:rsidR="00567E8B" w:rsidRPr="00735C06">
        <w:rPr>
          <w:rFonts w:cs="Arial"/>
          <w:lang w:val="en-GB"/>
        </w:rPr>
        <w:t>,</w:t>
      </w:r>
      <w:r w:rsidR="004B7F43" w:rsidRPr="00735C06">
        <w:rPr>
          <w:rFonts w:cs="Arial"/>
          <w:lang w:val="en-GB"/>
        </w:rPr>
        <w:t xml:space="preserve"> or </w:t>
      </w:r>
      <w:r w:rsidR="00567E8B" w:rsidRPr="00735C06">
        <w:rPr>
          <w:rFonts w:cs="Arial"/>
          <w:lang w:val="en-GB"/>
        </w:rPr>
        <w:t>with an</w:t>
      </w:r>
      <w:r w:rsidR="00046B24" w:rsidRPr="00735C06">
        <w:rPr>
          <w:rFonts w:cs="Arial"/>
          <w:lang w:val="en-GB"/>
        </w:rPr>
        <w:t>other</w:t>
      </w:r>
      <w:r w:rsidR="004B7F43" w:rsidRPr="00735C06">
        <w:rPr>
          <w:rFonts w:cs="Arial"/>
          <w:lang w:val="en-GB"/>
        </w:rPr>
        <w:t xml:space="preserve"> UN entity)</w:t>
      </w:r>
      <w:r w:rsidR="002B2B8C" w:rsidRPr="00735C06">
        <w:rPr>
          <w:rFonts w:cs="Arial"/>
          <w:lang w:val="en-GB"/>
        </w:rPr>
        <w:t xml:space="preserve"> and described through the partner’s project document or other instrument</w:t>
      </w:r>
      <w:r w:rsidR="004B7F43" w:rsidRPr="00735C06">
        <w:rPr>
          <w:rFonts w:cs="Arial"/>
          <w:lang w:val="en-GB"/>
        </w:rPr>
        <w:t>;</w:t>
      </w:r>
      <w:r w:rsidRPr="00735C06">
        <w:rPr>
          <w:rFonts w:cs="Arial"/>
          <w:lang w:val="en-GB"/>
        </w:rPr>
        <w:t xml:space="preserve"> </w:t>
      </w:r>
      <w:r w:rsidRPr="00735C06">
        <w:rPr>
          <w:rFonts w:cs="Arial"/>
          <w:b/>
          <w:lang w:val="en-GB"/>
        </w:rPr>
        <w:t>and</w:t>
      </w:r>
    </w:p>
    <w:p w14:paraId="6B84E900" w14:textId="7E34377B" w:rsidR="00410233" w:rsidRPr="00735C06" w:rsidRDefault="00CE5D90" w:rsidP="00CC77DD">
      <w:pPr>
        <w:pStyle w:val="ListParagraph"/>
        <w:numPr>
          <w:ilvl w:val="0"/>
          <w:numId w:val="25"/>
        </w:numPr>
        <w:spacing w:after="0" w:line="240" w:lineRule="auto"/>
        <w:contextualSpacing w:val="0"/>
        <w:rPr>
          <w:rFonts w:cs="Arial"/>
          <w:lang w:val="en-GB"/>
        </w:rPr>
      </w:pPr>
      <w:r w:rsidRPr="00735C06">
        <w:rPr>
          <w:rFonts w:cs="Arial"/>
          <w:lang w:val="en-GB"/>
        </w:rPr>
        <w:t>The requested support service contributes to a national development outcome, reflected in the Country Programme Document (CPD)</w:t>
      </w:r>
      <w:r w:rsidR="008D1F98" w:rsidRPr="00735C06">
        <w:rPr>
          <w:rFonts w:cs="Arial"/>
          <w:lang w:val="en-GB"/>
        </w:rPr>
        <w:t xml:space="preserve"> or </w:t>
      </w:r>
      <w:r w:rsidRPr="00735C06">
        <w:rPr>
          <w:rFonts w:cs="Arial"/>
          <w:lang w:val="en-GB"/>
        </w:rPr>
        <w:t>emerging national priorities</w:t>
      </w:r>
      <w:r w:rsidR="00C36EE8" w:rsidRPr="00735C06">
        <w:rPr>
          <w:rFonts w:cs="Arial"/>
          <w:lang w:val="en-GB"/>
        </w:rPr>
        <w:t xml:space="preserve"> (including sudden onset of issues/crises)</w:t>
      </w:r>
      <w:r w:rsidR="008D1F98" w:rsidRPr="00735C06">
        <w:rPr>
          <w:rFonts w:cs="Arial"/>
          <w:lang w:val="en-GB"/>
        </w:rPr>
        <w:t>,</w:t>
      </w:r>
      <w:r w:rsidRPr="00735C06">
        <w:rPr>
          <w:rFonts w:cs="Arial"/>
          <w:lang w:val="en-GB"/>
        </w:rPr>
        <w:t xml:space="preserve"> and</w:t>
      </w:r>
      <w:r w:rsidR="00046B24" w:rsidRPr="00735C06">
        <w:rPr>
          <w:rFonts w:cs="Arial"/>
          <w:lang w:val="en-GB"/>
        </w:rPr>
        <w:t xml:space="preserve"> </w:t>
      </w:r>
      <w:r w:rsidRPr="00735C06">
        <w:rPr>
          <w:rFonts w:cs="Arial"/>
          <w:lang w:val="en-GB"/>
        </w:rPr>
        <w:t xml:space="preserve">is consistent with UNDP’s Strategic Plan; </w:t>
      </w:r>
      <w:r w:rsidRPr="00735C06">
        <w:rPr>
          <w:rFonts w:cs="Arial"/>
          <w:b/>
          <w:lang w:val="en-GB"/>
        </w:rPr>
        <w:t>and</w:t>
      </w:r>
    </w:p>
    <w:p w14:paraId="64EB9F81" w14:textId="77777777" w:rsidR="00A908B8" w:rsidRPr="00735C06" w:rsidRDefault="00CE5D90" w:rsidP="000E77FC">
      <w:pPr>
        <w:pStyle w:val="ListParagraph"/>
        <w:numPr>
          <w:ilvl w:val="0"/>
          <w:numId w:val="25"/>
        </w:numPr>
        <w:rPr>
          <w:rFonts w:cs="Arial"/>
          <w:lang w:val="en-GB"/>
        </w:rPr>
      </w:pPr>
      <w:r w:rsidRPr="00735C06">
        <w:rPr>
          <w:rFonts w:cs="Arial"/>
          <w:lang w:val="en-GB"/>
        </w:rPr>
        <w:t>UNDP has a comparative advantage in providing the requested support service</w:t>
      </w:r>
      <w:r w:rsidR="00570D44" w:rsidRPr="00735C06">
        <w:rPr>
          <w:rFonts w:cs="Arial"/>
          <w:lang w:val="en-GB"/>
        </w:rPr>
        <w:t>.</w:t>
      </w:r>
    </w:p>
    <w:p w14:paraId="7552B018" w14:textId="5C9EAE0E" w:rsidR="00955B79" w:rsidRPr="00735C06" w:rsidRDefault="0026021E" w:rsidP="009007CD">
      <w:pPr>
        <w:rPr>
          <w:rFonts w:cs="Arial"/>
          <w:lang w:val="en-GB"/>
        </w:rPr>
      </w:pPr>
      <w:r w:rsidRPr="00735C06">
        <w:rPr>
          <w:rFonts w:cs="Arial"/>
          <w:lang w:val="en-GB"/>
        </w:rPr>
        <w:t>2.1</w:t>
      </w:r>
      <w:r w:rsidR="001F2852" w:rsidRPr="00735C06">
        <w:rPr>
          <w:rFonts w:cs="Arial"/>
          <w:lang w:val="en-GB"/>
        </w:rPr>
        <w:t>1</w:t>
      </w:r>
      <w:r w:rsidR="003C1561" w:rsidRPr="00735C06">
        <w:rPr>
          <w:rFonts w:cs="Arial"/>
          <w:lang w:val="en-GB"/>
        </w:rPr>
        <w:t xml:space="preserve"> </w:t>
      </w:r>
      <w:r w:rsidR="00395F4F" w:rsidRPr="00735C06">
        <w:rPr>
          <w:rFonts w:cs="Arial"/>
          <w:lang w:val="en-GB"/>
        </w:rPr>
        <w:tab/>
      </w:r>
      <w:r w:rsidR="008B19A7" w:rsidRPr="00735C06">
        <w:rPr>
          <w:rFonts w:cs="Arial"/>
          <w:lang w:val="en-GB"/>
        </w:rPr>
        <w:t xml:space="preserve">With respect to </w:t>
      </w:r>
      <w:r w:rsidR="00406D8D" w:rsidRPr="00735C06">
        <w:rPr>
          <w:rFonts w:cs="Arial"/>
          <w:lang w:val="en-GB"/>
        </w:rPr>
        <w:t xml:space="preserve">MPS </w:t>
      </w:r>
      <w:r w:rsidR="00585F57" w:rsidRPr="00735C06">
        <w:rPr>
          <w:rFonts w:cs="Arial"/>
          <w:lang w:val="en-GB"/>
        </w:rPr>
        <w:t xml:space="preserve">services funded </w:t>
      </w:r>
      <w:r w:rsidR="00827EBF" w:rsidRPr="00735C06">
        <w:rPr>
          <w:rFonts w:cs="Arial"/>
          <w:lang w:val="en-GB"/>
        </w:rPr>
        <w:t xml:space="preserve">by </w:t>
      </w:r>
      <w:r w:rsidR="00406D8D" w:rsidRPr="00735C06">
        <w:rPr>
          <w:rFonts w:cs="Arial"/>
          <w:lang w:val="en-GB"/>
        </w:rPr>
        <w:t xml:space="preserve">a party other than the </w:t>
      </w:r>
      <w:r w:rsidR="00470ADA" w:rsidRPr="00735C06">
        <w:rPr>
          <w:rFonts w:cs="Arial"/>
          <w:lang w:val="en-GB"/>
        </w:rPr>
        <w:t xml:space="preserve">programme </w:t>
      </w:r>
      <w:r w:rsidR="00406D8D" w:rsidRPr="00735C06">
        <w:rPr>
          <w:rFonts w:cs="Arial"/>
          <w:lang w:val="en-GB"/>
        </w:rPr>
        <w:t>government</w:t>
      </w:r>
      <w:r w:rsidR="008B19A7" w:rsidRPr="00735C06">
        <w:rPr>
          <w:rFonts w:cs="Arial"/>
          <w:lang w:val="en-GB"/>
        </w:rPr>
        <w:t>, the following examples set out the circumstances under which UNDP can make available its service offering</w:t>
      </w:r>
      <w:r w:rsidR="00955B79" w:rsidRPr="00735C06">
        <w:rPr>
          <w:rFonts w:cs="Arial"/>
          <w:lang w:val="en-GB"/>
        </w:rPr>
        <w:t xml:space="preserve">: </w:t>
      </w:r>
    </w:p>
    <w:p w14:paraId="003A7A50" w14:textId="4477B31B" w:rsidR="00AF1EE5" w:rsidRPr="00735C06" w:rsidRDefault="00AF1EE5" w:rsidP="00AF1EE5">
      <w:pPr>
        <w:numPr>
          <w:ilvl w:val="0"/>
          <w:numId w:val="4"/>
        </w:numPr>
        <w:rPr>
          <w:rFonts w:cs="Arial"/>
          <w:lang w:val="en-GB"/>
        </w:rPr>
      </w:pPr>
      <w:r w:rsidRPr="00735C06">
        <w:rPr>
          <w:rFonts w:cs="Arial"/>
          <w:lang w:val="en-GB"/>
        </w:rPr>
        <w:lastRenderedPageBreak/>
        <w:t>Where funding is provided by any UN entity, including the World Bank</w:t>
      </w:r>
      <w:r w:rsidR="008E52FA">
        <w:rPr>
          <w:rFonts w:cs="Arial"/>
          <w:lang w:val="en-GB"/>
        </w:rPr>
        <w:t xml:space="preserve">, </w:t>
      </w:r>
      <w:r w:rsidR="00DB0C5D" w:rsidRPr="00735C06">
        <w:rPr>
          <w:rFonts w:cs="Arial"/>
          <w:lang w:val="en-GB"/>
        </w:rPr>
        <w:t>and other UN Specialized Agencies</w:t>
      </w:r>
      <w:r w:rsidRPr="00735C06">
        <w:rPr>
          <w:rFonts w:cs="Arial"/>
          <w:lang w:val="en-GB"/>
        </w:rPr>
        <w:t xml:space="preserve">, UNDP is authorised to offer </w:t>
      </w:r>
      <w:r w:rsidR="00F7422B" w:rsidRPr="00735C06">
        <w:rPr>
          <w:rFonts w:cs="Arial"/>
          <w:lang w:val="en-GB"/>
        </w:rPr>
        <w:t xml:space="preserve">management and </w:t>
      </w:r>
      <w:r w:rsidR="00A748D1" w:rsidRPr="00735C06">
        <w:rPr>
          <w:rFonts w:cs="Arial"/>
          <w:lang w:val="en-GB"/>
        </w:rPr>
        <w:t xml:space="preserve">operational </w:t>
      </w:r>
      <w:r w:rsidR="00F7422B" w:rsidRPr="00735C06">
        <w:rPr>
          <w:rFonts w:cs="Arial"/>
          <w:lang w:val="en-GB"/>
        </w:rPr>
        <w:t xml:space="preserve">support </w:t>
      </w:r>
      <w:r w:rsidRPr="00735C06">
        <w:rPr>
          <w:rFonts w:cs="Arial"/>
          <w:lang w:val="en-GB"/>
        </w:rPr>
        <w:t xml:space="preserve">services. Provision of such funding by a UN entity is accepted </w:t>
      </w:r>
      <w:r w:rsidR="00D33713" w:rsidRPr="00735C06">
        <w:rPr>
          <w:rFonts w:cs="Arial"/>
          <w:lang w:val="en-GB"/>
        </w:rPr>
        <w:t xml:space="preserve">as </w:t>
      </w:r>
      <w:r w:rsidRPr="00735C06">
        <w:rPr>
          <w:rFonts w:cs="Arial"/>
          <w:lang w:val="en-GB"/>
        </w:rPr>
        <w:t xml:space="preserve">being related to activities </w:t>
      </w:r>
      <w:r w:rsidRPr="00735C06">
        <w:rPr>
          <w:rFonts w:cs="Arial"/>
          <w:b/>
          <w:lang w:val="en-GB"/>
        </w:rPr>
        <w:t>approved by the national government</w:t>
      </w:r>
      <w:r w:rsidR="00D33713" w:rsidRPr="00735C06">
        <w:rPr>
          <w:rFonts w:cs="Arial"/>
          <w:lang w:val="en-GB"/>
        </w:rPr>
        <w:t>.</w:t>
      </w:r>
    </w:p>
    <w:p w14:paraId="5E7310A0" w14:textId="3C30E972" w:rsidR="00AF1EE5" w:rsidRPr="00735C06" w:rsidRDefault="00AF1EE5" w:rsidP="00AF1EE5">
      <w:pPr>
        <w:numPr>
          <w:ilvl w:val="0"/>
          <w:numId w:val="4"/>
        </w:numPr>
        <w:rPr>
          <w:rFonts w:cs="Arial"/>
          <w:lang w:val="en-GB"/>
        </w:rPr>
      </w:pPr>
      <w:r w:rsidRPr="00735C06">
        <w:rPr>
          <w:rFonts w:cs="Arial"/>
          <w:lang w:val="en-GB"/>
        </w:rPr>
        <w:t xml:space="preserve">Where funding is provided by an </w:t>
      </w:r>
      <w:r w:rsidR="00C36EE8" w:rsidRPr="00735C06">
        <w:rPr>
          <w:rFonts w:cs="Arial"/>
          <w:lang w:val="en-GB"/>
        </w:rPr>
        <w:t xml:space="preserve">(non-UN) </w:t>
      </w:r>
      <w:r w:rsidRPr="00735C06">
        <w:rPr>
          <w:rFonts w:cs="Arial"/>
          <w:lang w:val="en-GB"/>
        </w:rPr>
        <w:t xml:space="preserve">international, </w:t>
      </w:r>
      <w:proofErr w:type="gramStart"/>
      <w:r w:rsidRPr="00735C06">
        <w:rPr>
          <w:rFonts w:cs="Arial"/>
          <w:lang w:val="en-GB"/>
        </w:rPr>
        <w:t>regional</w:t>
      </w:r>
      <w:proofErr w:type="gramEnd"/>
      <w:r w:rsidRPr="00735C06">
        <w:rPr>
          <w:rFonts w:cs="Arial"/>
          <w:lang w:val="en-GB"/>
        </w:rPr>
        <w:t xml:space="preserve"> or inter-governmental organisation</w:t>
      </w:r>
      <w:r w:rsidR="00C36EE8" w:rsidRPr="00735C06">
        <w:rPr>
          <w:rFonts w:cs="Arial"/>
          <w:lang w:val="en-GB"/>
        </w:rPr>
        <w:t xml:space="preserve"> (including bilateral donors), </w:t>
      </w:r>
      <w:r w:rsidR="00683872" w:rsidRPr="00DC5211">
        <w:rPr>
          <w:rFonts w:cs="Arial"/>
          <w:lang w:val="en-GB"/>
        </w:rPr>
        <w:t>or other multilateral organizations</w:t>
      </w:r>
      <w:r w:rsidR="00683872">
        <w:rPr>
          <w:rFonts w:cs="Arial"/>
          <w:lang w:val="en-GB"/>
        </w:rPr>
        <w:t>,</w:t>
      </w:r>
      <w:r w:rsidR="00683872" w:rsidRPr="00735C06">
        <w:rPr>
          <w:rFonts w:cs="Arial"/>
          <w:lang w:val="en-GB"/>
        </w:rPr>
        <w:t xml:space="preserve"> </w:t>
      </w:r>
      <w:r w:rsidRPr="00735C06">
        <w:rPr>
          <w:rFonts w:cs="Arial"/>
          <w:lang w:val="en-GB"/>
        </w:rPr>
        <w:t xml:space="preserve">UNDP must validate that the activities are </w:t>
      </w:r>
      <w:r w:rsidRPr="00735C06">
        <w:rPr>
          <w:rFonts w:cs="Arial"/>
          <w:b/>
          <w:lang w:val="en-GB"/>
        </w:rPr>
        <w:t>on the basis of a written agreement between that organization and the government</w:t>
      </w:r>
      <w:r w:rsidRPr="00735C06">
        <w:rPr>
          <w:rFonts w:cs="Arial"/>
          <w:lang w:val="en-GB"/>
        </w:rPr>
        <w:t xml:space="preserve"> before making available its service offering</w:t>
      </w:r>
      <w:r w:rsidR="00D33713" w:rsidRPr="00735C06">
        <w:rPr>
          <w:rFonts w:cs="Arial"/>
          <w:lang w:val="en-GB"/>
        </w:rPr>
        <w:t>.</w:t>
      </w:r>
    </w:p>
    <w:p w14:paraId="0658E5AA" w14:textId="29CBA9B8" w:rsidR="00581692" w:rsidRPr="00735C06" w:rsidRDefault="0026021E" w:rsidP="00AC71F1">
      <w:pPr>
        <w:rPr>
          <w:rFonts w:cs="Arial"/>
        </w:rPr>
      </w:pPr>
      <w:r w:rsidRPr="00735C06">
        <w:rPr>
          <w:rFonts w:cs="Arial"/>
          <w:b/>
        </w:rPr>
        <w:t>3.0</w:t>
      </w:r>
      <w:r w:rsidRPr="00735C06">
        <w:rPr>
          <w:rFonts w:cs="Arial"/>
          <w:b/>
        </w:rPr>
        <w:tab/>
      </w:r>
      <w:r w:rsidR="002A20C7" w:rsidRPr="00735C06">
        <w:rPr>
          <w:rFonts w:cs="Arial"/>
          <w:b/>
        </w:rPr>
        <w:t xml:space="preserve">Limits on MPS </w:t>
      </w:r>
      <w:r w:rsidR="00BE10C3" w:rsidRPr="00735C06">
        <w:rPr>
          <w:rFonts w:cs="Arial"/>
          <w:b/>
        </w:rPr>
        <w:t>M</w:t>
      </w:r>
      <w:r w:rsidR="002A20C7" w:rsidRPr="00735C06">
        <w:rPr>
          <w:rFonts w:cs="Arial"/>
          <w:b/>
        </w:rPr>
        <w:t>anaged Funds</w:t>
      </w:r>
    </w:p>
    <w:p w14:paraId="1B6F5BB0" w14:textId="236BD739" w:rsidR="002A20C7" w:rsidRPr="00735C06" w:rsidRDefault="0026021E" w:rsidP="00AC71F1">
      <w:pPr>
        <w:rPr>
          <w:rFonts w:cs="Arial"/>
          <w:lang w:val="en-GB"/>
        </w:rPr>
      </w:pPr>
      <w:r w:rsidRPr="00735C06">
        <w:rPr>
          <w:rFonts w:cs="Arial"/>
        </w:rPr>
        <w:t>3.</w:t>
      </w:r>
      <w:r w:rsidR="00581692" w:rsidRPr="00735C06">
        <w:rPr>
          <w:rFonts w:cs="Arial"/>
        </w:rPr>
        <w:t xml:space="preserve">1 </w:t>
      </w:r>
      <w:r w:rsidR="00395F4F" w:rsidRPr="00735C06">
        <w:rPr>
          <w:rFonts w:cs="Arial"/>
        </w:rPr>
        <w:tab/>
      </w:r>
      <w:r w:rsidR="00952CFE" w:rsidRPr="00735C06">
        <w:rPr>
          <w:rFonts w:cs="Arial"/>
        </w:rPr>
        <w:t>E</w:t>
      </w:r>
      <w:r w:rsidR="002A20C7" w:rsidRPr="00735C06">
        <w:rPr>
          <w:rFonts w:cs="Arial"/>
        </w:rPr>
        <w:t xml:space="preserve">ach </w:t>
      </w:r>
      <w:r w:rsidR="002A20C7" w:rsidRPr="00735C06">
        <w:rPr>
          <w:rFonts w:cs="Arial"/>
          <w:lang w:val="en-GB"/>
        </w:rPr>
        <w:t xml:space="preserve">Regional Bureau will be responsible for ensuring </w:t>
      </w:r>
      <w:r w:rsidR="00952CFE" w:rsidRPr="00735C06">
        <w:rPr>
          <w:rFonts w:cs="Arial"/>
          <w:lang w:val="en-GB"/>
        </w:rPr>
        <w:t xml:space="preserve">that </w:t>
      </w:r>
      <w:r w:rsidR="00B007B2" w:rsidRPr="00735C06">
        <w:rPr>
          <w:rFonts w:cs="Arial"/>
          <w:lang w:val="en-GB"/>
        </w:rPr>
        <w:t xml:space="preserve">management and other </w:t>
      </w:r>
      <w:r w:rsidR="00952CFE" w:rsidRPr="00735C06">
        <w:rPr>
          <w:rFonts w:cs="Arial"/>
          <w:lang w:val="en-GB"/>
        </w:rPr>
        <w:t xml:space="preserve">services </w:t>
      </w:r>
      <w:r w:rsidR="0098738D" w:rsidRPr="00735C06">
        <w:rPr>
          <w:rFonts w:cs="Arial"/>
          <w:lang w:val="en-GB"/>
        </w:rPr>
        <w:t>offered</w:t>
      </w:r>
      <w:r w:rsidR="00952CFE" w:rsidRPr="00735C06">
        <w:rPr>
          <w:rFonts w:cs="Arial"/>
          <w:lang w:val="en-GB"/>
        </w:rPr>
        <w:t xml:space="preserve"> under MPS </w:t>
      </w:r>
      <w:r w:rsidR="00B007B2" w:rsidRPr="00735C06">
        <w:rPr>
          <w:rFonts w:cs="Arial"/>
          <w:lang w:val="en-GB"/>
        </w:rPr>
        <w:t xml:space="preserve">within the region </w:t>
      </w:r>
      <w:r w:rsidR="00952CFE" w:rsidRPr="00735C06">
        <w:rPr>
          <w:rFonts w:cs="Arial"/>
          <w:lang w:val="en-GB"/>
        </w:rPr>
        <w:t>do not detract from UNDP’s core development model of providing support through development projects</w:t>
      </w:r>
      <w:r w:rsidR="002966F9" w:rsidRPr="00735C06">
        <w:rPr>
          <w:rFonts w:cs="Arial"/>
          <w:lang w:val="en-GB"/>
        </w:rPr>
        <w:t xml:space="preserve"> and in consistency with the current Strategic Plan.</w:t>
      </w:r>
      <w:r w:rsidR="00A91C3C" w:rsidRPr="00735C06">
        <w:rPr>
          <w:rFonts w:cs="Arial"/>
          <w:lang w:val="en-GB"/>
        </w:rPr>
        <w:t xml:space="preserve"> </w:t>
      </w:r>
      <w:r w:rsidR="00771D95" w:rsidRPr="00735C06">
        <w:rPr>
          <w:rFonts w:cs="Arial"/>
          <w:lang w:val="en-GB"/>
        </w:rPr>
        <w:t xml:space="preserve">Each </w:t>
      </w:r>
      <w:r w:rsidR="00952CFE" w:rsidRPr="00735C06">
        <w:rPr>
          <w:rFonts w:cs="Arial"/>
          <w:lang w:val="en-GB"/>
        </w:rPr>
        <w:t xml:space="preserve">Regional Bureau shall ensure </w:t>
      </w:r>
      <w:r w:rsidR="002A20C7" w:rsidRPr="00735C06">
        <w:rPr>
          <w:rFonts w:cs="Arial"/>
          <w:lang w:val="en-GB"/>
        </w:rPr>
        <w:t xml:space="preserve">that the total value of </w:t>
      </w:r>
      <w:r w:rsidR="00827EBF" w:rsidRPr="00735C06">
        <w:rPr>
          <w:rFonts w:cs="Arial"/>
          <w:lang w:val="en-GB"/>
        </w:rPr>
        <w:t xml:space="preserve">funds </w:t>
      </w:r>
      <w:r w:rsidR="00F93FF3" w:rsidRPr="00735C06">
        <w:rPr>
          <w:rFonts w:cs="Arial"/>
          <w:lang w:val="en-GB"/>
        </w:rPr>
        <w:t>received</w:t>
      </w:r>
      <w:r w:rsidR="002A20C7" w:rsidRPr="00735C06">
        <w:rPr>
          <w:rFonts w:cs="Arial"/>
          <w:lang w:val="en-GB"/>
        </w:rPr>
        <w:t xml:space="preserve"> </w:t>
      </w:r>
      <w:r w:rsidR="00301310" w:rsidRPr="00735C06">
        <w:rPr>
          <w:rFonts w:cs="Arial"/>
          <w:lang w:val="en-GB"/>
        </w:rPr>
        <w:t xml:space="preserve">for </w:t>
      </w:r>
      <w:r w:rsidR="002A20C7" w:rsidRPr="00735C06">
        <w:rPr>
          <w:rFonts w:cs="Arial"/>
          <w:lang w:val="en-GB"/>
        </w:rPr>
        <w:t>MPS within the region does not exceed 10% of the region’s programme delivery in the previous year.</w:t>
      </w:r>
    </w:p>
    <w:p w14:paraId="1A1D39DE" w14:textId="2CA68D2D" w:rsidR="00F9331E" w:rsidRPr="00735C06" w:rsidRDefault="0026021E" w:rsidP="002F1AFF">
      <w:pPr>
        <w:spacing w:after="0" w:line="240" w:lineRule="auto"/>
        <w:rPr>
          <w:rFonts w:cs="Arial"/>
          <w:lang w:val="en-GB"/>
        </w:rPr>
      </w:pPr>
      <w:r w:rsidRPr="00735C06">
        <w:rPr>
          <w:rFonts w:cs="Arial"/>
          <w:lang w:val="en-GB"/>
        </w:rPr>
        <w:t>3.2</w:t>
      </w:r>
      <w:r w:rsidR="00581692" w:rsidRPr="00735C06">
        <w:rPr>
          <w:rFonts w:cs="Arial"/>
          <w:lang w:val="en-GB"/>
        </w:rPr>
        <w:t xml:space="preserve"> </w:t>
      </w:r>
      <w:r w:rsidR="00395F4F" w:rsidRPr="00735C06">
        <w:rPr>
          <w:rFonts w:cs="Arial"/>
          <w:lang w:val="en-GB"/>
        </w:rPr>
        <w:tab/>
      </w:r>
      <w:r w:rsidR="002A20C7" w:rsidRPr="00735C06">
        <w:rPr>
          <w:rFonts w:cs="Arial"/>
          <w:lang w:val="en-GB"/>
        </w:rPr>
        <w:t xml:space="preserve">Furthermore each Regional Bureau will be responsible for ensuring that, within the above 10% regional limit, the resources </w:t>
      </w:r>
      <w:r w:rsidR="00CF5824" w:rsidRPr="00735C06">
        <w:rPr>
          <w:rFonts w:cs="Arial"/>
          <w:lang w:val="en-GB"/>
        </w:rPr>
        <w:t xml:space="preserve">received </w:t>
      </w:r>
      <w:r w:rsidR="002A20C7" w:rsidRPr="00735C06">
        <w:rPr>
          <w:rFonts w:cs="Arial"/>
          <w:lang w:val="en-GB"/>
        </w:rPr>
        <w:t xml:space="preserve">through MPS </w:t>
      </w:r>
      <w:r w:rsidR="00771D95" w:rsidRPr="00735C06">
        <w:rPr>
          <w:rFonts w:cs="Arial"/>
          <w:lang w:val="en-GB"/>
        </w:rPr>
        <w:t xml:space="preserve">within each Country Office </w:t>
      </w:r>
      <w:r w:rsidR="002A20C7" w:rsidRPr="00735C06">
        <w:rPr>
          <w:rFonts w:cs="Arial"/>
          <w:lang w:val="en-GB"/>
        </w:rPr>
        <w:t>do</w:t>
      </w:r>
      <w:r w:rsidR="00771D95" w:rsidRPr="00735C06">
        <w:rPr>
          <w:rFonts w:cs="Arial"/>
          <w:lang w:val="en-GB"/>
        </w:rPr>
        <w:t>es</w:t>
      </w:r>
      <w:r w:rsidR="002A20C7" w:rsidRPr="00735C06">
        <w:rPr>
          <w:rFonts w:cs="Arial"/>
          <w:lang w:val="en-GB"/>
        </w:rPr>
        <w:t xml:space="preserve"> not exceed 30% of the office’s programme delivery in the previous year.</w:t>
      </w:r>
      <w:r w:rsidR="00EF2361" w:rsidRPr="00735C06">
        <w:rPr>
          <w:rFonts w:cs="Arial"/>
          <w:lang w:val="en-GB"/>
        </w:rPr>
        <w:t xml:space="preserve"> </w:t>
      </w:r>
      <w:r w:rsidR="00ED2018" w:rsidRPr="00735C06">
        <w:rPr>
          <w:rFonts w:cs="Arial"/>
          <w:lang w:val="en-GB"/>
        </w:rPr>
        <w:t xml:space="preserve"> Any exceptions and deviations must be discussed with and approved by the Bureau HQ</w:t>
      </w:r>
      <w:r w:rsidR="00C879BB" w:rsidRPr="00735C06">
        <w:rPr>
          <w:rFonts w:cs="Arial"/>
          <w:lang w:val="en-GB"/>
        </w:rPr>
        <w:t>.</w:t>
      </w:r>
      <w:r w:rsidR="00ED2018" w:rsidRPr="00735C06">
        <w:rPr>
          <w:rFonts w:cs="Arial"/>
          <w:lang w:val="en-GB"/>
        </w:rPr>
        <w:t xml:space="preserve"> </w:t>
      </w:r>
      <w:r w:rsidR="005A5F0F" w:rsidRPr="00735C06">
        <w:rPr>
          <w:rFonts w:cs="Arial"/>
          <w:lang w:val="en-GB"/>
        </w:rPr>
        <w:t>For detailed p</w:t>
      </w:r>
      <w:r w:rsidR="00ED2018" w:rsidRPr="00735C06">
        <w:rPr>
          <w:rFonts w:cs="Arial"/>
          <w:lang w:val="en-GB"/>
        </w:rPr>
        <w:t xml:space="preserve">rocesses for </w:t>
      </w:r>
      <w:r w:rsidR="005A5F0F" w:rsidRPr="00735C06">
        <w:rPr>
          <w:rFonts w:cs="Arial"/>
          <w:lang w:val="en-GB"/>
        </w:rPr>
        <w:t>clearances of exceptions p</w:t>
      </w:r>
      <w:r w:rsidR="00EF2361" w:rsidRPr="00735C06">
        <w:rPr>
          <w:rFonts w:cs="Arial"/>
          <w:lang w:val="en-GB"/>
        </w:rPr>
        <w:t>lease refer to the ‘</w:t>
      </w:r>
      <w:r w:rsidR="00EF2361" w:rsidRPr="00735C06">
        <w:rPr>
          <w:rFonts w:cs="Arial"/>
          <w:b/>
          <w:lang w:val="en-GB"/>
        </w:rPr>
        <w:t xml:space="preserve">Table </w:t>
      </w:r>
      <w:r w:rsidR="00C21581" w:rsidRPr="00735C06">
        <w:rPr>
          <w:rFonts w:cs="Arial"/>
          <w:b/>
          <w:lang w:val="en-GB"/>
        </w:rPr>
        <w:t>1</w:t>
      </w:r>
      <w:r w:rsidR="00BC520D" w:rsidRPr="00735C06">
        <w:rPr>
          <w:rFonts w:cs="Arial"/>
          <w:b/>
          <w:u w:val="single"/>
          <w:lang w:val="en-GB"/>
        </w:rPr>
        <w:t>:</w:t>
      </w:r>
      <w:r w:rsidR="00BC520D" w:rsidRPr="00735C06">
        <w:rPr>
          <w:rFonts w:cs="Arial"/>
          <w:lang w:val="en-GB"/>
        </w:rPr>
        <w:t xml:space="preserve"> </w:t>
      </w:r>
      <w:r w:rsidR="00EF2361" w:rsidRPr="00735C06">
        <w:rPr>
          <w:rFonts w:cs="Arial"/>
          <w:lang w:val="en-GB"/>
        </w:rPr>
        <w:t>Exceptions and Clearances’ required</w:t>
      </w:r>
      <w:r w:rsidR="00F9331E" w:rsidRPr="00735C06">
        <w:rPr>
          <w:rFonts w:cs="Arial"/>
          <w:lang w:val="en-GB"/>
        </w:rPr>
        <w:t xml:space="preserve">. </w:t>
      </w:r>
    </w:p>
    <w:p w14:paraId="57D7DB50" w14:textId="77777777" w:rsidR="00441BD4" w:rsidRPr="00735C06" w:rsidRDefault="00441BD4" w:rsidP="002F1AFF">
      <w:pPr>
        <w:spacing w:after="0" w:line="240" w:lineRule="auto"/>
        <w:rPr>
          <w:rFonts w:cs="Arial"/>
        </w:rPr>
      </w:pPr>
    </w:p>
    <w:p w14:paraId="1D625086" w14:textId="0C82BB76" w:rsidR="00441BD4" w:rsidRPr="00735C06" w:rsidRDefault="0026021E" w:rsidP="00441BD4">
      <w:pPr>
        <w:rPr>
          <w:rFonts w:cs="Arial"/>
          <w:b/>
          <w:lang w:val="en-GB"/>
        </w:rPr>
      </w:pPr>
      <w:r w:rsidRPr="00735C06">
        <w:rPr>
          <w:rFonts w:cs="Arial"/>
          <w:b/>
          <w:lang w:val="en-GB"/>
        </w:rPr>
        <w:t>4.0</w:t>
      </w:r>
      <w:r w:rsidRPr="00735C06">
        <w:rPr>
          <w:rFonts w:cs="Arial"/>
          <w:b/>
          <w:lang w:val="en-GB"/>
        </w:rPr>
        <w:tab/>
      </w:r>
      <w:r w:rsidR="0097101C" w:rsidRPr="00735C06">
        <w:rPr>
          <w:rFonts w:cs="Arial"/>
          <w:b/>
          <w:lang w:val="en-GB"/>
        </w:rPr>
        <w:t xml:space="preserve">Institutional Arrangements on </w:t>
      </w:r>
      <w:r w:rsidR="00441BD4" w:rsidRPr="00735C06">
        <w:rPr>
          <w:rFonts w:cs="Arial"/>
          <w:b/>
          <w:lang w:val="en-GB"/>
        </w:rPr>
        <w:t xml:space="preserve">Providing Services under MPS </w:t>
      </w:r>
    </w:p>
    <w:p w14:paraId="5FB7E68A" w14:textId="7C268ADE" w:rsidR="00441BD4" w:rsidRPr="00735C06" w:rsidRDefault="0026021E" w:rsidP="00441BD4">
      <w:pPr>
        <w:rPr>
          <w:rStyle w:val="CommentReference"/>
          <w:rFonts w:cs="Arial"/>
          <w:sz w:val="22"/>
          <w:szCs w:val="22"/>
          <w:lang w:val="en-GB"/>
        </w:rPr>
      </w:pPr>
      <w:r w:rsidRPr="00735C06">
        <w:rPr>
          <w:rFonts w:cs="Arial"/>
          <w:lang w:val="en-GB"/>
        </w:rPr>
        <w:t>4.</w:t>
      </w:r>
      <w:r w:rsidR="00992C67" w:rsidRPr="00735C06">
        <w:rPr>
          <w:rFonts w:cs="Arial"/>
          <w:lang w:val="en-GB"/>
        </w:rPr>
        <w:t>0</w:t>
      </w:r>
      <w:r w:rsidRPr="00735C06">
        <w:rPr>
          <w:rFonts w:cs="Arial"/>
          <w:lang w:val="en-GB"/>
        </w:rPr>
        <w:tab/>
      </w:r>
      <w:r w:rsidR="00441BD4" w:rsidRPr="00735C06">
        <w:rPr>
          <w:rFonts w:cs="Arial"/>
          <w:lang w:val="en-GB"/>
        </w:rPr>
        <w:t xml:space="preserve">All services provided by UNDP further to this policy will be provided at the request of programme governments, further to and using the agreement contained in Annex A </w:t>
      </w:r>
      <w:r w:rsidR="00301310" w:rsidRPr="00735C06">
        <w:rPr>
          <w:rFonts w:cs="Arial"/>
          <w:lang w:val="en-GB"/>
        </w:rPr>
        <w:t xml:space="preserve">(the “MPS Agreement Template”) </w:t>
      </w:r>
      <w:r w:rsidR="0097101C" w:rsidRPr="00735C06">
        <w:rPr>
          <w:rFonts w:cs="Arial"/>
          <w:lang w:val="en-GB"/>
        </w:rPr>
        <w:t>in the following scenarios.</w:t>
      </w:r>
      <w:r w:rsidR="00441BD4" w:rsidRPr="00735C06">
        <w:rPr>
          <w:rStyle w:val="CommentReference"/>
          <w:rFonts w:cs="Arial"/>
          <w:sz w:val="22"/>
          <w:szCs w:val="22"/>
          <w:lang w:val="en-GB"/>
        </w:rPr>
        <w:t xml:space="preserve"> </w:t>
      </w:r>
    </w:p>
    <w:p w14:paraId="2D142F60" w14:textId="23198708" w:rsidR="00441BD4" w:rsidRPr="00735C06" w:rsidRDefault="00141DAE" w:rsidP="00395F4F">
      <w:pPr>
        <w:tabs>
          <w:tab w:val="left" w:pos="720"/>
        </w:tabs>
        <w:rPr>
          <w:rFonts w:cs="Arial"/>
          <w:lang w:val="en-GB"/>
        </w:rPr>
      </w:pPr>
      <w:r w:rsidRPr="00735C06">
        <w:rPr>
          <w:rFonts w:cs="Arial"/>
          <w:lang w:val="en-GB"/>
        </w:rPr>
        <w:t xml:space="preserve">4.1 </w:t>
      </w:r>
      <w:r w:rsidR="00395F4F" w:rsidRPr="00735C06">
        <w:rPr>
          <w:rFonts w:cs="Arial"/>
          <w:lang w:val="en-GB"/>
        </w:rPr>
        <w:tab/>
      </w:r>
      <w:r w:rsidR="00441BD4" w:rsidRPr="00735C06">
        <w:rPr>
          <w:rFonts w:cs="Arial"/>
          <w:lang w:val="en-GB"/>
        </w:rPr>
        <w:t>In many cases, a MPS may be both requested by and funded by the programme government. In these cases</w:t>
      </w:r>
      <w:r w:rsidR="00157D25">
        <w:rPr>
          <w:rFonts w:cs="Arial"/>
          <w:lang w:val="en-GB"/>
        </w:rPr>
        <w:t>,</w:t>
      </w:r>
      <w:r w:rsidR="00441BD4" w:rsidRPr="00735C06">
        <w:rPr>
          <w:rFonts w:cs="Arial"/>
          <w:lang w:val="en-GB"/>
        </w:rPr>
        <w:t xml:space="preserve"> UNDP and the programme government will </w:t>
      </w:r>
      <w:proofErr w:type="gramStart"/>
      <w:r w:rsidR="00441BD4" w:rsidRPr="00735C06">
        <w:rPr>
          <w:rFonts w:cs="Arial"/>
          <w:lang w:val="en-GB"/>
        </w:rPr>
        <w:t>enter into</w:t>
      </w:r>
      <w:proofErr w:type="gramEnd"/>
      <w:r w:rsidR="00441BD4" w:rsidRPr="00735C06">
        <w:rPr>
          <w:rFonts w:cs="Arial"/>
          <w:lang w:val="en-GB"/>
        </w:rPr>
        <w:t xml:space="preserve"> a MPS in the form attached hereto as Annex </w:t>
      </w:r>
      <w:r w:rsidRPr="00735C06">
        <w:rPr>
          <w:rFonts w:cs="Arial"/>
          <w:lang w:val="en-GB"/>
        </w:rPr>
        <w:t>A</w:t>
      </w:r>
      <w:r w:rsidR="009A64D3" w:rsidRPr="00735C06">
        <w:rPr>
          <w:rFonts w:cs="Arial"/>
          <w:lang w:val="en-GB"/>
        </w:rPr>
        <w:t>.</w:t>
      </w:r>
      <w:r w:rsidRPr="00735C06">
        <w:rPr>
          <w:rFonts w:cs="Arial"/>
          <w:lang w:val="en-GB"/>
        </w:rPr>
        <w:t xml:space="preserve"> </w:t>
      </w:r>
    </w:p>
    <w:p w14:paraId="7A6A3749" w14:textId="68455751" w:rsidR="00441BD4" w:rsidRPr="00735C06" w:rsidRDefault="0026021E" w:rsidP="00395F4F">
      <w:pPr>
        <w:tabs>
          <w:tab w:val="left" w:pos="720"/>
        </w:tabs>
        <w:rPr>
          <w:rFonts w:cs="Arial"/>
        </w:rPr>
      </w:pPr>
      <w:r w:rsidRPr="00735C06">
        <w:rPr>
          <w:rFonts w:cs="Arial"/>
        </w:rPr>
        <w:t>4.</w:t>
      </w:r>
      <w:r w:rsidR="00141DAE" w:rsidRPr="00735C06">
        <w:rPr>
          <w:rFonts w:cs="Arial"/>
        </w:rPr>
        <w:t>2</w:t>
      </w:r>
      <w:r w:rsidRPr="00735C06">
        <w:rPr>
          <w:rFonts w:cs="Arial"/>
        </w:rPr>
        <w:tab/>
      </w:r>
      <w:r w:rsidR="00441BD4" w:rsidRPr="00735C06">
        <w:rPr>
          <w:rFonts w:cs="Arial"/>
        </w:rPr>
        <w:t>W</w:t>
      </w:r>
      <w:r w:rsidR="00301310" w:rsidRPr="00735C06">
        <w:rPr>
          <w:rFonts w:cs="Arial"/>
        </w:rPr>
        <w:t>h</w:t>
      </w:r>
      <w:r w:rsidR="00441BD4" w:rsidRPr="00735C06">
        <w:rPr>
          <w:rFonts w:cs="Arial"/>
        </w:rPr>
        <w:t xml:space="preserve">ere services are provided under MPS further to any of cases referred to in paragraph </w:t>
      </w:r>
      <w:r w:rsidR="00C974E4" w:rsidRPr="00735C06">
        <w:rPr>
          <w:rFonts w:cs="Arial"/>
        </w:rPr>
        <w:t>2.12</w:t>
      </w:r>
      <w:r w:rsidR="00441BD4" w:rsidRPr="00735C06">
        <w:rPr>
          <w:rFonts w:cs="Arial"/>
        </w:rPr>
        <w:t>, the MPS shall be signed by UNDP and the funding entity, with the agreement of the programme government</w:t>
      </w:r>
      <w:r w:rsidR="003F680B" w:rsidRPr="00735C06">
        <w:rPr>
          <w:rFonts w:cs="Arial"/>
        </w:rPr>
        <w:t>.</w:t>
      </w:r>
      <w:r w:rsidR="001B3BB2" w:rsidRPr="00735C06">
        <w:rPr>
          <w:rFonts w:cs="Arial"/>
        </w:rPr>
        <w:t xml:space="preserve"> </w:t>
      </w:r>
    </w:p>
    <w:p w14:paraId="16660E59" w14:textId="57AD9C24" w:rsidR="00A540A9" w:rsidRPr="00735C06" w:rsidRDefault="00A540A9" w:rsidP="00A540A9">
      <w:pPr>
        <w:rPr>
          <w:rFonts w:cs="Arial"/>
          <w:lang w:val="en-GB"/>
        </w:rPr>
      </w:pPr>
      <w:r w:rsidRPr="00735C06">
        <w:rPr>
          <w:rFonts w:cs="Arial"/>
        </w:rPr>
        <w:t>4.</w:t>
      </w:r>
      <w:r w:rsidR="00992C67" w:rsidRPr="00735C06">
        <w:rPr>
          <w:rFonts w:cs="Arial"/>
        </w:rPr>
        <w:t>3</w:t>
      </w:r>
      <w:r w:rsidRPr="00735C06">
        <w:rPr>
          <w:rFonts w:cs="Arial"/>
        </w:rPr>
        <w:tab/>
      </w:r>
      <w:r w:rsidRPr="00735C06">
        <w:rPr>
          <w:rFonts w:cs="Arial"/>
          <w:lang w:val="en-GB"/>
        </w:rPr>
        <w:t xml:space="preserve">In assessing a request to provide assistance under </w:t>
      </w:r>
      <w:proofErr w:type="gramStart"/>
      <w:r w:rsidR="00C633CD" w:rsidRPr="00735C06">
        <w:rPr>
          <w:rFonts w:cs="Arial"/>
          <w:lang w:val="en-GB"/>
        </w:rPr>
        <w:t>a</w:t>
      </w:r>
      <w:proofErr w:type="gramEnd"/>
      <w:r w:rsidR="00C633CD" w:rsidRPr="00735C06">
        <w:rPr>
          <w:rFonts w:cs="Arial"/>
          <w:lang w:val="en-GB"/>
        </w:rPr>
        <w:t xml:space="preserve"> </w:t>
      </w:r>
      <w:r w:rsidRPr="00735C06">
        <w:rPr>
          <w:rFonts w:cs="Arial"/>
          <w:lang w:val="en-GB"/>
        </w:rPr>
        <w:t>MPS, consideration must be given to the following key areas in determining whether UNDP should enter into a MPS agreement:</w:t>
      </w:r>
    </w:p>
    <w:p w14:paraId="6441334A" w14:textId="75911DA5" w:rsidR="00A540A9" w:rsidRPr="00735C06" w:rsidRDefault="00A540A9" w:rsidP="00A540A9">
      <w:pPr>
        <w:numPr>
          <w:ilvl w:val="0"/>
          <w:numId w:val="11"/>
        </w:numPr>
        <w:rPr>
          <w:rFonts w:cs="Arial"/>
          <w:lang w:val="en-GB"/>
        </w:rPr>
      </w:pPr>
      <w:r w:rsidRPr="00735C06">
        <w:rPr>
          <w:rFonts w:cs="Arial"/>
          <w:lang w:val="en-GB"/>
        </w:rPr>
        <w:t xml:space="preserve">If the request involves any deviations to the MPS </w:t>
      </w:r>
      <w:r w:rsidR="00C633CD" w:rsidRPr="00735C06">
        <w:rPr>
          <w:rFonts w:cs="Arial"/>
          <w:lang w:val="en-GB"/>
        </w:rPr>
        <w:t xml:space="preserve">Agreement </w:t>
      </w:r>
      <w:r w:rsidRPr="00735C06">
        <w:rPr>
          <w:rFonts w:cs="Arial"/>
          <w:lang w:val="en-GB"/>
        </w:rPr>
        <w:t>Template, including proposed conditions in MPS agreements requiring restricted competition;</w:t>
      </w:r>
    </w:p>
    <w:p w14:paraId="3459783F" w14:textId="71F4D127" w:rsidR="00A540A9" w:rsidRPr="00735C06" w:rsidRDefault="00A540A9" w:rsidP="00A540A9">
      <w:pPr>
        <w:numPr>
          <w:ilvl w:val="0"/>
          <w:numId w:val="11"/>
        </w:numPr>
        <w:rPr>
          <w:rFonts w:cs="Arial"/>
          <w:lang w:val="en-GB"/>
        </w:rPr>
      </w:pPr>
      <w:r w:rsidRPr="00735C06">
        <w:rPr>
          <w:rFonts w:cs="Arial"/>
          <w:lang w:val="en-GB"/>
        </w:rPr>
        <w:t xml:space="preserve">Risk management, </w:t>
      </w:r>
      <w:r w:rsidRPr="00DC5211">
        <w:rPr>
          <w:rFonts w:cs="Arial"/>
          <w:lang w:val="en-GB"/>
        </w:rPr>
        <w:t xml:space="preserve">including </w:t>
      </w:r>
      <w:r w:rsidR="00616454" w:rsidRPr="00DC5211">
        <w:rPr>
          <w:rFonts w:cs="Arial"/>
          <w:lang w:val="en-GB"/>
        </w:rPr>
        <w:t xml:space="preserve">adherence to </w:t>
      </w:r>
      <w:hyperlink r:id="rId12" w:history="1">
        <w:r w:rsidR="00616454" w:rsidRPr="00DC5211">
          <w:rPr>
            <w:rStyle w:val="Hyperlink"/>
            <w:rFonts w:cs="Arial"/>
            <w:lang w:val="en-GB"/>
          </w:rPr>
          <w:t>UNDP’s Policy on Enterprise Risk Management</w:t>
        </w:r>
      </w:hyperlink>
      <w:r w:rsidR="00616454" w:rsidRPr="00DC5211">
        <w:rPr>
          <w:rFonts w:cs="Arial"/>
          <w:lang w:val="en-GB"/>
        </w:rPr>
        <w:t xml:space="preserve">, </w:t>
      </w:r>
      <w:r w:rsidRPr="00DC5211">
        <w:rPr>
          <w:rFonts w:cs="Arial"/>
          <w:lang w:val="en-GB"/>
        </w:rPr>
        <w:t>lim</w:t>
      </w:r>
      <w:r w:rsidRPr="00735C06">
        <w:rPr>
          <w:rFonts w:cs="Arial"/>
          <w:lang w:val="en-GB"/>
        </w:rPr>
        <w:t>its of MPS as a proportion of office delivery, to retain focus on development projects as UNDP’s primary vehicle for providing development assistance;</w:t>
      </w:r>
    </w:p>
    <w:p w14:paraId="6766E4F9" w14:textId="77777777" w:rsidR="00A540A9" w:rsidRPr="00735C06" w:rsidRDefault="00A540A9" w:rsidP="00A540A9">
      <w:pPr>
        <w:numPr>
          <w:ilvl w:val="0"/>
          <w:numId w:val="11"/>
        </w:numPr>
        <w:rPr>
          <w:rFonts w:cs="Arial"/>
          <w:lang w:val="en-GB"/>
        </w:rPr>
      </w:pPr>
      <w:r w:rsidRPr="00735C06">
        <w:rPr>
          <w:rFonts w:cs="Arial"/>
          <w:lang w:val="en-GB"/>
        </w:rPr>
        <w:t>Cost recovery considerations, to ensure full cost recovery.</w:t>
      </w:r>
    </w:p>
    <w:p w14:paraId="6C4A4BE0" w14:textId="77777777" w:rsidR="002A20C7" w:rsidRPr="00735C06" w:rsidRDefault="002A20C7" w:rsidP="002A20C7">
      <w:pPr>
        <w:rPr>
          <w:rFonts w:cs="Arial"/>
          <w:b/>
        </w:rPr>
      </w:pPr>
      <w:r w:rsidRPr="00735C06">
        <w:rPr>
          <w:rFonts w:cs="Arial"/>
          <w:b/>
          <w:lang w:val="en-GB"/>
        </w:rPr>
        <w:lastRenderedPageBreak/>
        <w:t xml:space="preserve">Exchange </w:t>
      </w:r>
      <w:r w:rsidR="00BE10C3" w:rsidRPr="00735C06">
        <w:rPr>
          <w:rFonts w:cs="Arial"/>
          <w:b/>
          <w:lang w:val="en-GB"/>
        </w:rPr>
        <w:t>Rate: Cash Management/Currency R</w:t>
      </w:r>
      <w:r w:rsidRPr="00735C06">
        <w:rPr>
          <w:rFonts w:cs="Arial"/>
          <w:b/>
          <w:lang w:val="en-GB"/>
        </w:rPr>
        <w:t>isks</w:t>
      </w:r>
    </w:p>
    <w:p w14:paraId="794DC748" w14:textId="373FD2BE" w:rsidR="00F672B8" w:rsidRPr="00735C06" w:rsidRDefault="001977AC" w:rsidP="009F2217">
      <w:pPr>
        <w:rPr>
          <w:rFonts w:cs="Arial"/>
          <w:lang w:val="en-GB"/>
        </w:rPr>
      </w:pPr>
      <w:r w:rsidRPr="00735C06">
        <w:rPr>
          <w:rFonts w:cs="Arial"/>
          <w:lang w:val="en-GB"/>
        </w:rPr>
        <w:t>4.</w:t>
      </w:r>
      <w:r w:rsidR="00992C67" w:rsidRPr="00735C06">
        <w:rPr>
          <w:rFonts w:cs="Arial"/>
          <w:lang w:val="en-GB"/>
        </w:rPr>
        <w:t>4</w:t>
      </w:r>
      <w:r w:rsidRPr="00735C06">
        <w:rPr>
          <w:rFonts w:cs="Arial"/>
          <w:lang w:val="en-GB"/>
        </w:rPr>
        <w:tab/>
      </w:r>
      <w:r w:rsidR="009F2217" w:rsidRPr="00735C06">
        <w:rPr>
          <w:rFonts w:cs="Arial"/>
          <w:lang w:val="en-GB"/>
        </w:rPr>
        <w:t xml:space="preserve">UNDP’s operating and reporting currency is US dollars. </w:t>
      </w:r>
      <w:proofErr w:type="gramStart"/>
      <w:r w:rsidR="009F2217" w:rsidRPr="00735C06">
        <w:rPr>
          <w:rFonts w:cs="Arial"/>
          <w:lang w:val="en-GB"/>
        </w:rPr>
        <w:t>As a general rule</w:t>
      </w:r>
      <w:proofErr w:type="gramEnd"/>
      <w:r w:rsidR="009F2217" w:rsidRPr="00735C06">
        <w:rPr>
          <w:rFonts w:cs="Arial"/>
          <w:lang w:val="en-GB"/>
        </w:rPr>
        <w:t xml:space="preserve">, as anticipated in Articles 3 and 8f of the </w:t>
      </w:r>
      <w:r w:rsidR="00301310" w:rsidRPr="00735C06">
        <w:rPr>
          <w:rFonts w:cs="Arial"/>
          <w:lang w:val="en-GB"/>
        </w:rPr>
        <w:t>MPS</w:t>
      </w:r>
      <w:r w:rsidR="003C08BE" w:rsidRPr="00735C06">
        <w:rPr>
          <w:rFonts w:cs="Arial"/>
          <w:lang w:val="en-GB"/>
        </w:rPr>
        <w:t xml:space="preserve"> Agreement </w:t>
      </w:r>
      <w:r w:rsidR="00C33B2D" w:rsidRPr="00735C06">
        <w:rPr>
          <w:rFonts w:cs="Arial"/>
          <w:lang w:val="en-GB"/>
        </w:rPr>
        <w:t>Template</w:t>
      </w:r>
      <w:r w:rsidR="009F2217" w:rsidRPr="00735C06">
        <w:rPr>
          <w:rFonts w:cs="Arial"/>
          <w:lang w:val="en-GB"/>
        </w:rPr>
        <w:t xml:space="preserve">, all costs </w:t>
      </w:r>
      <w:r w:rsidR="00301310" w:rsidRPr="00735C06">
        <w:rPr>
          <w:rFonts w:cs="Arial"/>
          <w:lang w:val="en-GB"/>
        </w:rPr>
        <w:t xml:space="preserve">– direct and indirect -- </w:t>
      </w:r>
      <w:r w:rsidR="009F2217" w:rsidRPr="00735C06">
        <w:rPr>
          <w:rFonts w:cs="Arial"/>
          <w:lang w:val="en-GB"/>
        </w:rPr>
        <w:t xml:space="preserve">incurred </w:t>
      </w:r>
      <w:r w:rsidR="00C879BB" w:rsidRPr="00735C06">
        <w:rPr>
          <w:rFonts w:cs="Arial"/>
          <w:lang w:val="en-GB"/>
        </w:rPr>
        <w:t>by UNDP to undertake a</w:t>
      </w:r>
      <w:r w:rsidR="009F2217" w:rsidRPr="00735C06">
        <w:rPr>
          <w:rFonts w:cs="Arial"/>
          <w:lang w:val="en-GB"/>
        </w:rPr>
        <w:t xml:space="preserve"> MPS will be paid from the funds received under the MPS, and modifications to services may be necessary to ensure that funding shall be sufficient to cover all expenses for the provision of such services. This includes exchange rate fluctuations.</w:t>
      </w:r>
    </w:p>
    <w:p w14:paraId="37E31F8D" w14:textId="57CDF939" w:rsidR="002A20C7" w:rsidRPr="00735C06" w:rsidRDefault="001977AC" w:rsidP="009F2217">
      <w:pPr>
        <w:rPr>
          <w:rFonts w:cs="Arial"/>
        </w:rPr>
      </w:pPr>
      <w:r w:rsidRPr="00735C06">
        <w:rPr>
          <w:rFonts w:cs="Arial"/>
          <w:lang w:val="en-GB"/>
        </w:rPr>
        <w:t>4.</w:t>
      </w:r>
      <w:r w:rsidR="00992C67" w:rsidRPr="00735C06">
        <w:rPr>
          <w:rFonts w:cs="Arial"/>
          <w:lang w:val="en-GB"/>
        </w:rPr>
        <w:t>5</w:t>
      </w:r>
      <w:r w:rsidRPr="00735C06">
        <w:rPr>
          <w:rFonts w:cs="Arial"/>
          <w:lang w:val="en-GB"/>
        </w:rPr>
        <w:tab/>
      </w:r>
      <w:r w:rsidR="00581692" w:rsidRPr="00735C06">
        <w:rPr>
          <w:rFonts w:cs="Arial"/>
          <w:lang w:val="en-GB"/>
        </w:rPr>
        <w:t xml:space="preserve"> </w:t>
      </w:r>
      <w:r w:rsidR="009F2217" w:rsidRPr="00735C06">
        <w:rPr>
          <w:rFonts w:cs="Arial"/>
          <w:lang w:val="en-GB"/>
        </w:rPr>
        <w:t xml:space="preserve">No modifications to </w:t>
      </w:r>
      <w:r w:rsidR="00C54F73" w:rsidRPr="00735C06">
        <w:rPr>
          <w:rFonts w:cs="Arial"/>
          <w:lang w:val="en-GB"/>
        </w:rPr>
        <w:t>Articles 3 and 8</w:t>
      </w:r>
      <w:proofErr w:type="gramStart"/>
      <w:r w:rsidR="00C54F73" w:rsidRPr="00735C06">
        <w:rPr>
          <w:rFonts w:cs="Arial"/>
          <w:lang w:val="en-GB"/>
        </w:rPr>
        <w:t xml:space="preserve">f </w:t>
      </w:r>
      <w:r w:rsidR="00827EBF" w:rsidRPr="00735C06">
        <w:rPr>
          <w:rFonts w:cs="Arial"/>
          <w:lang w:val="en-GB"/>
        </w:rPr>
        <w:t xml:space="preserve"> of</w:t>
      </w:r>
      <w:proofErr w:type="gramEnd"/>
      <w:r w:rsidR="00827EBF" w:rsidRPr="00735C06">
        <w:rPr>
          <w:rFonts w:cs="Arial"/>
          <w:lang w:val="en-GB"/>
        </w:rPr>
        <w:t xml:space="preserve"> the M</w:t>
      </w:r>
      <w:r w:rsidR="00D60802" w:rsidRPr="00735C06">
        <w:rPr>
          <w:rFonts w:cs="Arial"/>
          <w:lang w:val="en-GB"/>
        </w:rPr>
        <w:t>PS</w:t>
      </w:r>
      <w:r w:rsidR="00301310" w:rsidRPr="00735C06">
        <w:rPr>
          <w:rFonts w:cs="Arial"/>
          <w:lang w:val="en-GB"/>
        </w:rPr>
        <w:t xml:space="preserve"> </w:t>
      </w:r>
      <w:r w:rsidR="00827EBF" w:rsidRPr="00735C06">
        <w:rPr>
          <w:rFonts w:cs="Arial"/>
          <w:lang w:val="en-GB"/>
        </w:rPr>
        <w:t xml:space="preserve"> </w:t>
      </w:r>
      <w:r w:rsidR="00E95E2E" w:rsidRPr="00735C06">
        <w:rPr>
          <w:rFonts w:cs="Arial"/>
          <w:lang w:val="en-GB"/>
        </w:rPr>
        <w:t xml:space="preserve"> Agreement </w:t>
      </w:r>
      <w:r w:rsidR="00301310" w:rsidRPr="00735C06">
        <w:rPr>
          <w:rFonts w:cs="Arial"/>
          <w:lang w:val="en-GB"/>
        </w:rPr>
        <w:t>T</w:t>
      </w:r>
      <w:r w:rsidR="00827EBF" w:rsidRPr="00735C06">
        <w:rPr>
          <w:rFonts w:cs="Arial"/>
          <w:lang w:val="en-GB"/>
        </w:rPr>
        <w:t>emplate</w:t>
      </w:r>
      <w:r w:rsidR="00782DEF" w:rsidRPr="00735C06">
        <w:rPr>
          <w:rFonts w:cs="Arial"/>
          <w:lang w:val="en-GB"/>
        </w:rPr>
        <w:t>,</w:t>
      </w:r>
      <w:r w:rsidR="00827EBF" w:rsidRPr="00735C06">
        <w:rPr>
          <w:rFonts w:cs="Arial"/>
          <w:lang w:val="en-GB"/>
        </w:rPr>
        <w:t xml:space="preserve"> referred to in paragraph </w:t>
      </w:r>
      <w:r w:rsidRPr="00735C06">
        <w:rPr>
          <w:rFonts w:cs="Arial"/>
          <w:lang w:val="en-GB"/>
        </w:rPr>
        <w:t>4.</w:t>
      </w:r>
      <w:r w:rsidR="00347ECD" w:rsidRPr="00735C06">
        <w:rPr>
          <w:rFonts w:cs="Arial"/>
          <w:lang w:val="en-GB"/>
        </w:rPr>
        <w:t>4</w:t>
      </w:r>
      <w:r w:rsidR="00827EBF" w:rsidRPr="00735C06">
        <w:rPr>
          <w:rFonts w:cs="Arial"/>
          <w:lang w:val="en-GB"/>
        </w:rPr>
        <w:t xml:space="preserve"> above, </w:t>
      </w:r>
      <w:r w:rsidR="009F2217" w:rsidRPr="00735C06">
        <w:rPr>
          <w:rFonts w:cs="Arial"/>
          <w:lang w:val="en-GB"/>
        </w:rPr>
        <w:t xml:space="preserve">may be made without advance written consent from the UNDP Treasurer, and all risks associated with any </w:t>
      </w:r>
      <w:r w:rsidR="00827EBF" w:rsidRPr="00735C06">
        <w:rPr>
          <w:rFonts w:cs="Arial"/>
          <w:lang w:val="en-GB"/>
        </w:rPr>
        <w:t xml:space="preserve">approved </w:t>
      </w:r>
      <w:r w:rsidR="009F2217" w:rsidRPr="00735C06">
        <w:rPr>
          <w:rFonts w:cs="Arial"/>
          <w:lang w:val="en-GB"/>
        </w:rPr>
        <w:t>modifications to these clauses will be borne by the respective Country Office</w:t>
      </w:r>
      <w:r w:rsidR="00FF5583" w:rsidRPr="00735C06">
        <w:rPr>
          <w:rFonts w:cs="Arial"/>
          <w:lang w:val="en-GB"/>
        </w:rPr>
        <w:t>/cost centre</w:t>
      </w:r>
      <w:r w:rsidR="009F2217" w:rsidRPr="00735C06">
        <w:rPr>
          <w:rFonts w:cs="Arial"/>
          <w:lang w:val="en-GB"/>
        </w:rPr>
        <w:t>.</w:t>
      </w:r>
    </w:p>
    <w:p w14:paraId="1F3E2A95" w14:textId="77777777" w:rsidR="003674FB" w:rsidRPr="00735C06" w:rsidRDefault="003674FB">
      <w:pPr>
        <w:rPr>
          <w:rFonts w:cs="Arial"/>
          <w:b/>
        </w:rPr>
      </w:pPr>
      <w:r w:rsidRPr="00735C06">
        <w:rPr>
          <w:rFonts w:cs="Arial"/>
          <w:b/>
        </w:rPr>
        <w:t>Restricted Competition</w:t>
      </w:r>
    </w:p>
    <w:p w14:paraId="2EF45F1C" w14:textId="15767EA5" w:rsidR="0098738D" w:rsidRPr="00735C06" w:rsidRDefault="001977AC" w:rsidP="00ED1826">
      <w:pPr>
        <w:rPr>
          <w:rFonts w:cs="Arial"/>
          <w:lang w:val="en-GB"/>
        </w:rPr>
      </w:pPr>
      <w:r w:rsidRPr="00735C06">
        <w:rPr>
          <w:rFonts w:cs="Arial"/>
          <w:lang w:val="en-GB"/>
        </w:rPr>
        <w:t>4.</w:t>
      </w:r>
      <w:r w:rsidR="00992C67" w:rsidRPr="00735C06">
        <w:rPr>
          <w:rFonts w:cs="Arial"/>
          <w:lang w:val="en-GB"/>
        </w:rPr>
        <w:t>6</w:t>
      </w:r>
      <w:r w:rsidR="00581692" w:rsidRPr="00735C06">
        <w:rPr>
          <w:rFonts w:cs="Arial"/>
          <w:lang w:val="en-GB"/>
        </w:rPr>
        <w:t xml:space="preserve"> </w:t>
      </w:r>
      <w:r w:rsidR="001B3BB2" w:rsidRPr="00735C06">
        <w:rPr>
          <w:rFonts w:cs="Arial"/>
          <w:lang w:val="en-GB"/>
        </w:rPr>
        <w:tab/>
      </w:r>
      <w:r w:rsidR="00FF5583" w:rsidRPr="00735C06">
        <w:rPr>
          <w:rFonts w:cs="Arial"/>
          <w:lang w:val="en-GB"/>
        </w:rPr>
        <w:t>On occasion</w:t>
      </w:r>
      <w:r w:rsidR="00B40229" w:rsidRPr="00735C06">
        <w:rPr>
          <w:rFonts w:cs="Arial"/>
          <w:lang w:val="en-GB"/>
        </w:rPr>
        <w:t xml:space="preserve">, </w:t>
      </w:r>
      <w:r w:rsidR="00827EBF" w:rsidRPr="00735C06">
        <w:rPr>
          <w:rFonts w:cs="Arial"/>
          <w:lang w:val="en-GB"/>
        </w:rPr>
        <w:t xml:space="preserve">development </w:t>
      </w:r>
      <w:r w:rsidR="002052B6" w:rsidRPr="00735C06">
        <w:rPr>
          <w:rFonts w:cs="Arial"/>
          <w:lang w:val="en-GB"/>
        </w:rPr>
        <w:t xml:space="preserve">partners </w:t>
      </w:r>
      <w:r w:rsidR="00827EBF" w:rsidRPr="00735C06">
        <w:rPr>
          <w:rFonts w:cs="Arial"/>
          <w:lang w:val="en-GB"/>
        </w:rPr>
        <w:t xml:space="preserve">whose funds form the basis for the provision of services by UNDP under this policy, </w:t>
      </w:r>
      <w:r w:rsidR="002052B6" w:rsidRPr="00735C06">
        <w:rPr>
          <w:rFonts w:cs="Arial"/>
          <w:lang w:val="en-GB"/>
        </w:rPr>
        <w:t xml:space="preserve">may request </w:t>
      </w:r>
      <w:r w:rsidR="000F6367" w:rsidRPr="00735C06">
        <w:rPr>
          <w:rFonts w:cs="Arial"/>
          <w:lang w:val="en-GB"/>
        </w:rPr>
        <w:t xml:space="preserve">the inclusion of </w:t>
      </w:r>
      <w:r w:rsidR="002052B6" w:rsidRPr="00735C06">
        <w:rPr>
          <w:rFonts w:cs="Arial"/>
          <w:lang w:val="en-GB"/>
        </w:rPr>
        <w:t xml:space="preserve">conditions that restrict procurement competition. In some cases, it may be possible to demonstrate that the proposed restrictions </w:t>
      </w:r>
      <w:r w:rsidR="00782DEF" w:rsidRPr="00735C06">
        <w:rPr>
          <w:rFonts w:cs="Arial"/>
          <w:lang w:val="en-GB"/>
        </w:rPr>
        <w:t xml:space="preserve">requested </w:t>
      </w:r>
      <w:r w:rsidR="002052B6" w:rsidRPr="00735C06">
        <w:rPr>
          <w:rFonts w:cs="Arial"/>
          <w:lang w:val="en-GB"/>
        </w:rPr>
        <w:t>do not affect effective competition and therefore do not contravene UNDP regulations and rules. Fo</w:t>
      </w:r>
      <w:r w:rsidR="00FB7CEF" w:rsidRPr="00735C06">
        <w:rPr>
          <w:rFonts w:cs="Arial"/>
          <w:lang w:val="en-GB"/>
        </w:rPr>
        <w:t xml:space="preserve">r instance, if the vendors’ </w:t>
      </w:r>
      <w:r w:rsidR="002052B6" w:rsidRPr="00735C06">
        <w:rPr>
          <w:rFonts w:cs="Arial"/>
          <w:lang w:val="en-GB"/>
        </w:rPr>
        <w:t xml:space="preserve">competition is to be restricted </w:t>
      </w:r>
      <w:r w:rsidR="00FB7CEF" w:rsidRPr="00735C06">
        <w:rPr>
          <w:rFonts w:cs="Arial"/>
          <w:lang w:val="en-GB"/>
        </w:rPr>
        <w:t xml:space="preserve">to </w:t>
      </w:r>
      <w:r w:rsidR="002A1C53" w:rsidRPr="00735C06">
        <w:rPr>
          <w:rFonts w:cs="Arial"/>
          <w:lang w:val="en-GB"/>
        </w:rPr>
        <w:t xml:space="preserve">a </w:t>
      </w:r>
      <w:r w:rsidR="002052B6" w:rsidRPr="00735C06">
        <w:rPr>
          <w:rFonts w:cs="Arial"/>
          <w:lang w:val="en-GB"/>
        </w:rPr>
        <w:t xml:space="preserve">valid </w:t>
      </w:r>
      <w:proofErr w:type="gramStart"/>
      <w:r w:rsidR="002052B6" w:rsidRPr="00735C06">
        <w:rPr>
          <w:rFonts w:cs="Arial"/>
          <w:lang w:val="en-GB"/>
        </w:rPr>
        <w:t>Long Term</w:t>
      </w:r>
      <w:proofErr w:type="gramEnd"/>
      <w:r w:rsidR="002052B6" w:rsidRPr="00735C06">
        <w:rPr>
          <w:rFonts w:cs="Arial"/>
          <w:lang w:val="en-GB"/>
        </w:rPr>
        <w:t xml:space="preserve"> A</w:t>
      </w:r>
      <w:r w:rsidR="000829AF" w:rsidRPr="00735C06">
        <w:rPr>
          <w:rFonts w:cs="Arial"/>
          <w:lang w:val="en-GB"/>
        </w:rPr>
        <w:t>greement</w:t>
      </w:r>
      <w:r w:rsidR="002052B6" w:rsidRPr="00735C06">
        <w:rPr>
          <w:rFonts w:cs="Arial"/>
          <w:lang w:val="en-GB"/>
        </w:rPr>
        <w:t xml:space="preserve"> with UNDP or another UN agency</w:t>
      </w:r>
      <w:r w:rsidR="00B16744" w:rsidRPr="00735C06">
        <w:rPr>
          <w:rFonts w:cs="Arial"/>
          <w:lang w:val="en-GB"/>
        </w:rPr>
        <w:t xml:space="preserve"> on which UNDP will piggyback</w:t>
      </w:r>
      <w:r w:rsidR="002052B6" w:rsidRPr="00735C06">
        <w:rPr>
          <w:rFonts w:cs="Arial"/>
          <w:lang w:val="en-GB"/>
        </w:rPr>
        <w:t>, it is acceptable to purchase from the</w:t>
      </w:r>
      <w:r w:rsidR="00FC7B21" w:rsidRPr="00735C06">
        <w:rPr>
          <w:rFonts w:cs="Arial"/>
          <w:lang w:val="en-GB"/>
        </w:rPr>
        <w:t xml:space="preserve"> Long Term Agreement</w:t>
      </w:r>
      <w:r w:rsidR="000829AF" w:rsidRPr="00735C06">
        <w:rPr>
          <w:rFonts w:cs="Arial"/>
          <w:lang w:val="en-GB"/>
        </w:rPr>
        <w:t xml:space="preserve"> under existing </w:t>
      </w:r>
      <w:r w:rsidR="00E95E2E" w:rsidRPr="00735C06">
        <w:rPr>
          <w:rFonts w:cs="Arial"/>
          <w:lang w:val="en-GB"/>
        </w:rPr>
        <w:t xml:space="preserve">arrangements, as per the LTA </w:t>
      </w:r>
      <w:r w:rsidR="002D7523" w:rsidRPr="00735C06">
        <w:rPr>
          <w:rFonts w:cs="Arial"/>
          <w:lang w:val="en-GB"/>
        </w:rPr>
        <w:t>policy</w:t>
      </w:r>
      <w:r w:rsidR="002052B6" w:rsidRPr="00735C06">
        <w:rPr>
          <w:rFonts w:cs="Arial"/>
          <w:lang w:val="en-GB"/>
        </w:rPr>
        <w:t>.</w:t>
      </w:r>
      <w:r w:rsidR="00ED1826" w:rsidRPr="00735C06">
        <w:rPr>
          <w:rFonts w:cs="Arial"/>
          <w:lang w:val="en-GB"/>
        </w:rPr>
        <w:t xml:space="preserve"> </w:t>
      </w:r>
      <w:r w:rsidR="00301310" w:rsidRPr="00735C06">
        <w:rPr>
          <w:rFonts w:cs="Arial"/>
          <w:lang w:val="en-GB"/>
        </w:rPr>
        <w:t xml:space="preserve">  </w:t>
      </w:r>
      <w:r w:rsidR="00BF6F30" w:rsidRPr="00735C06">
        <w:rPr>
          <w:rFonts w:cs="Arial"/>
          <w:lang w:val="en-GB"/>
        </w:rPr>
        <w:t>Where there is no contravention of financial regulations, the proposals may be acceptable following UNDP review.</w:t>
      </w:r>
    </w:p>
    <w:p w14:paraId="3FF118E0" w14:textId="61F9219E" w:rsidR="00F93125" w:rsidRDefault="001977AC" w:rsidP="00F93125">
      <w:pPr>
        <w:rPr>
          <w:rFonts w:cs="Arial"/>
          <w:lang w:val="en-GB"/>
        </w:rPr>
      </w:pPr>
      <w:r w:rsidRPr="00735C06">
        <w:rPr>
          <w:rFonts w:cs="Arial"/>
          <w:lang w:val="en-GB"/>
        </w:rPr>
        <w:t>4.</w:t>
      </w:r>
      <w:r w:rsidR="00992C67" w:rsidRPr="00735C06">
        <w:rPr>
          <w:rFonts w:cs="Arial"/>
          <w:lang w:val="en-GB"/>
        </w:rPr>
        <w:t>7</w:t>
      </w:r>
      <w:r w:rsidRPr="00735C06">
        <w:rPr>
          <w:rFonts w:cs="Arial"/>
          <w:lang w:val="en-GB"/>
        </w:rPr>
        <w:tab/>
      </w:r>
      <w:r w:rsidR="00F93125" w:rsidRPr="00735C06">
        <w:rPr>
          <w:rFonts w:cs="Arial"/>
          <w:lang w:val="en-GB"/>
        </w:rPr>
        <w:t xml:space="preserve">If any clauses are proposed within a specific MPS agreement </w:t>
      </w:r>
      <w:r w:rsidR="00F93125" w:rsidRPr="00DC5211">
        <w:rPr>
          <w:rFonts w:cs="Arial"/>
          <w:lang w:val="en-GB"/>
        </w:rPr>
        <w:t>that appear to restrict competition with respect to procurement, advice must be sought from the Regional Bureau, and, premised on the endorsement of the Regional Bureau, the clearance of the Chief Procurement Officer, Bureau for Management Services, shall be obtained prior to concluding the agreement.  (Refer to the Table 1 ‘Exceptions and Clearances’).</w:t>
      </w:r>
    </w:p>
    <w:p w14:paraId="6FF18BDC" w14:textId="21F2827E" w:rsidR="00744759" w:rsidRPr="00735C06" w:rsidRDefault="00744759" w:rsidP="00A85FF2">
      <w:pPr>
        <w:rPr>
          <w:rFonts w:cs="Arial"/>
        </w:rPr>
      </w:pPr>
    </w:p>
    <w:p w14:paraId="3AEB80EE" w14:textId="3028C4F3" w:rsidR="0053544D" w:rsidRPr="00735C06" w:rsidRDefault="0053544D" w:rsidP="000B3A64">
      <w:pPr>
        <w:tabs>
          <w:tab w:val="left" w:pos="0"/>
        </w:tabs>
        <w:jc w:val="both"/>
        <w:rPr>
          <w:rFonts w:cs="Arial"/>
          <w:lang w:val="en-GB"/>
        </w:rPr>
      </w:pPr>
      <w:r w:rsidRPr="00735C06">
        <w:rPr>
          <w:rFonts w:cs="Arial"/>
          <w:lang w:val="en-GB"/>
        </w:rPr>
        <w:t>4.</w:t>
      </w:r>
      <w:r w:rsidR="00992C67" w:rsidRPr="00735C06">
        <w:rPr>
          <w:rFonts w:cs="Arial"/>
          <w:lang w:val="en-GB"/>
        </w:rPr>
        <w:t>8</w:t>
      </w:r>
      <w:r w:rsidRPr="00735C06">
        <w:rPr>
          <w:rFonts w:cs="Arial"/>
          <w:lang w:val="en-GB"/>
        </w:rPr>
        <w:tab/>
        <w:t xml:space="preserve">Before UNDP can </w:t>
      </w:r>
      <w:proofErr w:type="gramStart"/>
      <w:r w:rsidRPr="00735C06">
        <w:rPr>
          <w:rFonts w:cs="Arial"/>
          <w:lang w:val="en-GB"/>
        </w:rPr>
        <w:t>enter into</w:t>
      </w:r>
      <w:proofErr w:type="gramEnd"/>
      <w:r w:rsidRPr="00735C06">
        <w:rPr>
          <w:rFonts w:cs="Arial"/>
          <w:lang w:val="en-GB"/>
        </w:rPr>
        <w:t xml:space="preserve"> a MPS agreement, the risks related to the proposed MPS must be assessed to help determine if UNDP should be engaged in providing the services. The Resident Representative or Regional Hub Director is accountable for assessing and mitigating the risks prior to entering into the agreement.</w:t>
      </w:r>
    </w:p>
    <w:p w14:paraId="6E6E87D3" w14:textId="77777777" w:rsidR="006B29E0" w:rsidRPr="00735C06" w:rsidRDefault="00C07DF2" w:rsidP="006B29E0">
      <w:pPr>
        <w:rPr>
          <w:rFonts w:cs="Arial"/>
          <w:b/>
          <w:bCs/>
        </w:rPr>
      </w:pPr>
      <w:r w:rsidRPr="39DC722C">
        <w:rPr>
          <w:rFonts w:cs="Arial"/>
          <w:b/>
          <w:bCs/>
        </w:rPr>
        <w:t>Cost Recovery</w:t>
      </w:r>
    </w:p>
    <w:p w14:paraId="215DA895" w14:textId="19766BE8" w:rsidR="00EA2BFC" w:rsidRPr="00735C06" w:rsidRDefault="001977AC" w:rsidP="00AC71F1">
      <w:pPr>
        <w:rPr>
          <w:rFonts w:cs="Arial"/>
          <w:lang w:val="en-GB"/>
        </w:rPr>
      </w:pPr>
      <w:r w:rsidRPr="35C5666A">
        <w:rPr>
          <w:rFonts w:cs="Arial"/>
          <w:lang w:val="en-GB"/>
        </w:rPr>
        <w:t>4.</w:t>
      </w:r>
      <w:r w:rsidR="00992C67" w:rsidRPr="35C5666A">
        <w:rPr>
          <w:rFonts w:cs="Arial"/>
          <w:lang w:val="en-GB"/>
        </w:rPr>
        <w:t>9</w:t>
      </w:r>
      <w:r>
        <w:tab/>
      </w:r>
      <w:r w:rsidR="00E761A0" w:rsidRPr="35C5666A">
        <w:rPr>
          <w:rFonts w:cs="Arial"/>
          <w:lang w:val="en-GB"/>
        </w:rPr>
        <w:t xml:space="preserve">As with all </w:t>
      </w:r>
      <w:r w:rsidR="00CC5246" w:rsidRPr="35C5666A">
        <w:rPr>
          <w:rFonts w:cs="Arial"/>
          <w:lang w:val="en-GB"/>
        </w:rPr>
        <w:t xml:space="preserve">UNDP </w:t>
      </w:r>
      <w:r w:rsidR="00E761A0" w:rsidRPr="35C5666A">
        <w:rPr>
          <w:rFonts w:cs="Arial"/>
          <w:lang w:val="en-GB"/>
        </w:rPr>
        <w:t>activities, all costs incurred by the office and by headquarters to provide support services</w:t>
      </w:r>
      <w:r w:rsidR="00CC5246" w:rsidRPr="35C5666A">
        <w:rPr>
          <w:rFonts w:cs="Arial"/>
          <w:lang w:val="en-GB"/>
        </w:rPr>
        <w:t xml:space="preserve"> must </w:t>
      </w:r>
      <w:r w:rsidR="00CC52DA" w:rsidRPr="35C5666A">
        <w:rPr>
          <w:rFonts w:cs="Arial"/>
          <w:lang w:val="en-GB"/>
        </w:rPr>
        <w:t xml:space="preserve">be </w:t>
      </w:r>
      <w:r w:rsidR="00CC5246" w:rsidRPr="35C5666A">
        <w:rPr>
          <w:rFonts w:cs="Arial"/>
          <w:lang w:val="en-GB"/>
        </w:rPr>
        <w:t>recover</w:t>
      </w:r>
      <w:r w:rsidR="00CC52DA" w:rsidRPr="35C5666A">
        <w:rPr>
          <w:rFonts w:cs="Arial"/>
          <w:lang w:val="en-GB"/>
        </w:rPr>
        <w:t>ed</w:t>
      </w:r>
      <w:r w:rsidR="00E761A0" w:rsidRPr="35C5666A">
        <w:rPr>
          <w:rFonts w:cs="Arial"/>
          <w:lang w:val="en-GB"/>
        </w:rPr>
        <w:t xml:space="preserve">. </w:t>
      </w:r>
      <w:r w:rsidR="005A5F0F" w:rsidRPr="35C5666A">
        <w:rPr>
          <w:rFonts w:cs="Arial"/>
          <w:lang w:val="en-GB"/>
        </w:rPr>
        <w:t>Reflecting the lower level of accountability of UNDP in provi</w:t>
      </w:r>
      <w:r w:rsidR="005C5F45" w:rsidRPr="35C5666A">
        <w:rPr>
          <w:rFonts w:cs="Arial"/>
          <w:lang w:val="en-GB"/>
        </w:rPr>
        <w:t>ding</w:t>
      </w:r>
      <w:r w:rsidR="005A5F0F" w:rsidRPr="35C5666A">
        <w:rPr>
          <w:rFonts w:cs="Arial"/>
          <w:lang w:val="en-GB"/>
        </w:rPr>
        <w:t xml:space="preserve"> services under </w:t>
      </w:r>
      <w:r w:rsidR="00F159C3" w:rsidRPr="35C5666A">
        <w:rPr>
          <w:rFonts w:cs="Arial"/>
          <w:lang w:val="en-GB"/>
        </w:rPr>
        <w:t xml:space="preserve">a </w:t>
      </w:r>
      <w:r w:rsidR="005A5F0F" w:rsidRPr="35C5666A">
        <w:rPr>
          <w:rFonts w:cs="Arial"/>
          <w:lang w:val="en-GB"/>
        </w:rPr>
        <w:t xml:space="preserve">MPS, </w:t>
      </w:r>
      <w:r w:rsidR="005A5F0F" w:rsidRPr="00CF2021">
        <w:rPr>
          <w:rFonts w:cs="Arial"/>
        </w:rPr>
        <w:t>a</w:t>
      </w:r>
      <w:r w:rsidR="0047288F" w:rsidRPr="00CF2021">
        <w:rPr>
          <w:rFonts w:cs="Arial"/>
        </w:rPr>
        <w:t xml:space="preserve">n interim </w:t>
      </w:r>
      <w:r w:rsidR="005A5F0F" w:rsidRPr="00CF2021">
        <w:rPr>
          <w:rFonts w:cs="Arial"/>
        </w:rPr>
        <w:t xml:space="preserve">minimum </w:t>
      </w:r>
      <w:r w:rsidR="002B0E14" w:rsidRPr="00CF2021">
        <w:rPr>
          <w:rFonts w:cs="Arial"/>
        </w:rPr>
        <w:t xml:space="preserve">rate of </w:t>
      </w:r>
      <w:r w:rsidR="002B0E14" w:rsidRPr="00CF2021">
        <w:rPr>
          <w:rFonts w:cs="Arial"/>
          <w:b/>
          <w:bCs/>
        </w:rPr>
        <w:t>4% GMS</w:t>
      </w:r>
      <w:r w:rsidR="002B0E14" w:rsidRPr="00CF2021">
        <w:rPr>
          <w:rFonts w:cs="Arial"/>
        </w:rPr>
        <w:t xml:space="preserve"> </w:t>
      </w:r>
      <w:r w:rsidR="005A5F0F" w:rsidRPr="00CF2021">
        <w:rPr>
          <w:rFonts w:cs="Arial"/>
        </w:rPr>
        <w:t>(</w:t>
      </w:r>
      <w:r w:rsidR="005A5F0F" w:rsidRPr="35C5666A">
        <w:rPr>
          <w:rFonts w:cs="Arial"/>
        </w:rPr>
        <w:t xml:space="preserve">or an equivalent fixed USD amount) </w:t>
      </w:r>
      <w:r w:rsidR="002B0E14" w:rsidRPr="35C5666A">
        <w:rPr>
          <w:rFonts w:cs="Arial"/>
        </w:rPr>
        <w:t>shall be applicable to all MPS</w:t>
      </w:r>
      <w:r w:rsidR="00243104" w:rsidRPr="35C5666A">
        <w:rPr>
          <w:rFonts w:cs="Arial"/>
        </w:rPr>
        <w:t>.</w:t>
      </w:r>
      <w:r w:rsidR="002B0E14" w:rsidRPr="35C5666A">
        <w:rPr>
          <w:rFonts w:cs="Arial"/>
        </w:rPr>
        <w:t xml:space="preserve"> </w:t>
      </w:r>
      <w:r w:rsidR="00243104" w:rsidRPr="35C5666A">
        <w:rPr>
          <w:rFonts w:cs="Arial"/>
        </w:rPr>
        <w:t>H</w:t>
      </w:r>
      <w:r w:rsidR="002B0E14" w:rsidRPr="35C5666A">
        <w:rPr>
          <w:rFonts w:cs="Arial"/>
        </w:rPr>
        <w:t xml:space="preserve">owever, </w:t>
      </w:r>
      <w:r w:rsidR="009026B5" w:rsidRPr="35C5666A">
        <w:rPr>
          <w:rFonts w:cs="Arial"/>
          <w:lang w:val="en-GB"/>
        </w:rPr>
        <w:t>t</w:t>
      </w:r>
      <w:r w:rsidR="00C07DF2" w:rsidRPr="35C5666A">
        <w:rPr>
          <w:rFonts w:cs="Arial"/>
          <w:lang w:val="en-GB"/>
        </w:rPr>
        <w:t>he level of costs to be recovered through the management fee must be estimated for each agreement and set at the level necessary to cover the estimated actual cost</w:t>
      </w:r>
      <w:r w:rsidR="009E76BC" w:rsidRPr="35C5666A">
        <w:rPr>
          <w:rFonts w:cs="Arial"/>
          <w:lang w:val="en-GB"/>
        </w:rPr>
        <w:t>, which should also include UN</w:t>
      </w:r>
      <w:r w:rsidR="00CA37F8" w:rsidRPr="35C5666A">
        <w:rPr>
          <w:rFonts w:cs="Arial"/>
          <w:lang w:val="en-GB"/>
        </w:rPr>
        <w:t>D</w:t>
      </w:r>
      <w:r w:rsidR="009E76BC" w:rsidRPr="35C5666A">
        <w:rPr>
          <w:rFonts w:cs="Arial"/>
          <w:lang w:val="en-GB"/>
        </w:rPr>
        <w:t>P’s upfront costs/contribution towards the preparation and conclusion of the MPS agreement.</w:t>
      </w:r>
      <w:r w:rsidR="0047288F" w:rsidRPr="35C5666A">
        <w:rPr>
          <w:rFonts w:cs="Arial"/>
          <w:lang w:val="en-GB"/>
        </w:rPr>
        <w:t xml:space="preserve">  </w:t>
      </w:r>
    </w:p>
    <w:p w14:paraId="21192A95" w14:textId="114E57B0" w:rsidR="00C07DF2" w:rsidRPr="00735C06" w:rsidRDefault="001977AC" w:rsidP="00AC71F1">
      <w:pPr>
        <w:rPr>
          <w:rFonts w:cs="Arial"/>
        </w:rPr>
      </w:pPr>
      <w:r w:rsidRPr="35C5666A">
        <w:rPr>
          <w:rFonts w:cs="Arial"/>
          <w:lang w:val="en-GB"/>
        </w:rPr>
        <w:lastRenderedPageBreak/>
        <w:t>4.</w:t>
      </w:r>
      <w:r w:rsidR="00992C67" w:rsidRPr="35C5666A">
        <w:rPr>
          <w:rFonts w:cs="Arial"/>
          <w:lang w:val="en-GB"/>
        </w:rPr>
        <w:t>10</w:t>
      </w:r>
      <w:r>
        <w:tab/>
      </w:r>
      <w:r w:rsidR="00760970" w:rsidRPr="35C5666A">
        <w:rPr>
          <w:rFonts w:cs="Arial"/>
          <w:lang w:val="en-GB"/>
        </w:rPr>
        <w:t xml:space="preserve">All costs that can be attributed to </w:t>
      </w:r>
      <w:r w:rsidR="00F159C3" w:rsidRPr="35C5666A">
        <w:rPr>
          <w:rFonts w:cs="Arial"/>
          <w:lang w:val="en-GB"/>
        </w:rPr>
        <w:t xml:space="preserve">a </w:t>
      </w:r>
      <w:r w:rsidR="00484D8E" w:rsidRPr="35C5666A">
        <w:rPr>
          <w:rFonts w:cs="Arial"/>
          <w:lang w:val="en-GB"/>
        </w:rPr>
        <w:t>MPS</w:t>
      </w:r>
      <w:r w:rsidR="00760970" w:rsidRPr="35C5666A">
        <w:rPr>
          <w:rFonts w:cs="Arial"/>
          <w:lang w:val="en-GB"/>
        </w:rPr>
        <w:t xml:space="preserve"> must be charged to that </w:t>
      </w:r>
      <w:r w:rsidR="00484D8E" w:rsidRPr="35C5666A">
        <w:rPr>
          <w:rFonts w:cs="Arial"/>
          <w:lang w:val="en-GB"/>
        </w:rPr>
        <w:t>MPS</w:t>
      </w:r>
      <w:r w:rsidR="009026B5" w:rsidRPr="35C5666A">
        <w:rPr>
          <w:rFonts w:cs="Arial"/>
          <w:lang w:val="en-GB"/>
        </w:rPr>
        <w:t xml:space="preserve"> through direct charges</w:t>
      </w:r>
      <w:r w:rsidR="00760970" w:rsidRPr="35C5666A">
        <w:rPr>
          <w:rFonts w:cs="Arial"/>
          <w:lang w:val="en-GB"/>
        </w:rPr>
        <w:t xml:space="preserve">. </w:t>
      </w:r>
      <w:r w:rsidR="005A5F0F" w:rsidRPr="35C5666A">
        <w:rPr>
          <w:rFonts w:cs="Arial"/>
          <w:lang w:val="en-GB"/>
        </w:rPr>
        <w:t xml:space="preserve">These chargeable costs are in addition to the GMS stated above. </w:t>
      </w:r>
      <w:r w:rsidR="00760970" w:rsidRPr="35C5666A">
        <w:rPr>
          <w:rFonts w:cs="Arial"/>
          <w:lang w:val="en-GB"/>
        </w:rPr>
        <w:t xml:space="preserve">There are two main elements in recovering costs on </w:t>
      </w:r>
      <w:r w:rsidR="00484D8E" w:rsidRPr="35C5666A">
        <w:rPr>
          <w:rFonts w:cs="Arial"/>
          <w:lang w:val="en-GB"/>
        </w:rPr>
        <w:t>MPS</w:t>
      </w:r>
      <w:r w:rsidR="00760970" w:rsidRPr="35C5666A">
        <w:rPr>
          <w:rFonts w:cs="Arial"/>
          <w:lang w:val="en-GB"/>
        </w:rPr>
        <w:t xml:space="preserve"> as follows:</w:t>
      </w:r>
    </w:p>
    <w:p w14:paraId="5D83506C" w14:textId="0586A893" w:rsidR="009E52F8" w:rsidRPr="00735C06" w:rsidRDefault="002761DF" w:rsidP="002761DF">
      <w:pPr>
        <w:pStyle w:val="ListParagraph"/>
        <w:numPr>
          <w:ilvl w:val="0"/>
          <w:numId w:val="9"/>
        </w:numPr>
        <w:rPr>
          <w:rFonts w:cs="Arial"/>
        </w:rPr>
      </w:pPr>
      <w:r w:rsidRPr="00735C06">
        <w:rPr>
          <w:rFonts w:cs="Arial"/>
        </w:rPr>
        <w:t xml:space="preserve">All costs that UNDP incurs </w:t>
      </w:r>
      <w:r w:rsidR="005C5F45" w:rsidRPr="00735C06">
        <w:rPr>
          <w:rFonts w:cs="Arial"/>
        </w:rPr>
        <w:t xml:space="preserve">in </w:t>
      </w:r>
      <w:r w:rsidRPr="00735C06">
        <w:rPr>
          <w:rFonts w:cs="Arial"/>
        </w:rPr>
        <w:t xml:space="preserve">providing </w:t>
      </w:r>
      <w:r w:rsidR="00484D8E" w:rsidRPr="00735C06">
        <w:rPr>
          <w:rFonts w:cs="Arial"/>
        </w:rPr>
        <w:t>MPS</w:t>
      </w:r>
      <w:r w:rsidRPr="00735C06">
        <w:rPr>
          <w:rFonts w:cs="Arial"/>
        </w:rPr>
        <w:t xml:space="preserve"> services</w:t>
      </w:r>
      <w:r w:rsidR="0076451A" w:rsidRPr="00735C06">
        <w:rPr>
          <w:rFonts w:cs="Arial"/>
        </w:rPr>
        <w:t xml:space="preserve"> (</w:t>
      </w:r>
      <w:r w:rsidR="005C5F45" w:rsidRPr="00735C06">
        <w:rPr>
          <w:rFonts w:cs="Arial"/>
        </w:rPr>
        <w:t>Policy and Support to Implementation</w:t>
      </w:r>
      <w:r w:rsidR="0076451A" w:rsidRPr="00735C06">
        <w:rPr>
          <w:rFonts w:cs="Arial"/>
        </w:rPr>
        <w:t>)</w:t>
      </w:r>
      <w:r w:rsidRPr="00735C06">
        <w:rPr>
          <w:rFonts w:cs="Arial"/>
        </w:rPr>
        <w:t xml:space="preserve"> must be reimbursed, hence Direct Project Costing (DPC) applies. </w:t>
      </w:r>
      <w:proofErr w:type="gramStart"/>
      <w:r w:rsidRPr="00735C06">
        <w:rPr>
          <w:rFonts w:cs="Arial"/>
        </w:rPr>
        <w:t>Thus</w:t>
      </w:r>
      <w:proofErr w:type="gramEnd"/>
      <w:r w:rsidRPr="00735C06">
        <w:rPr>
          <w:rFonts w:cs="Arial"/>
        </w:rPr>
        <w:t xml:space="preserve"> all costs that are incurred for, and can be reliably traced to, delivery of MPS should be charged to that </w:t>
      </w:r>
      <w:r w:rsidR="00484D8E" w:rsidRPr="00735C06">
        <w:rPr>
          <w:rFonts w:cs="Arial"/>
        </w:rPr>
        <w:t>MPS</w:t>
      </w:r>
      <w:r w:rsidRPr="00735C06">
        <w:rPr>
          <w:rFonts w:cs="Arial"/>
        </w:rPr>
        <w:t>.</w:t>
      </w:r>
    </w:p>
    <w:p w14:paraId="11B12537" w14:textId="77777777" w:rsidR="002761DF" w:rsidRPr="00735C06" w:rsidRDefault="002761DF" w:rsidP="002761DF">
      <w:pPr>
        <w:pStyle w:val="ListParagraph"/>
        <w:rPr>
          <w:rFonts w:cs="Arial"/>
        </w:rPr>
      </w:pPr>
    </w:p>
    <w:p w14:paraId="53ED6A9F" w14:textId="77777777" w:rsidR="002761DF" w:rsidRPr="00735C06" w:rsidRDefault="002761DF" w:rsidP="00714269">
      <w:pPr>
        <w:pStyle w:val="ListParagraph"/>
        <w:numPr>
          <w:ilvl w:val="0"/>
          <w:numId w:val="9"/>
        </w:numPr>
        <w:rPr>
          <w:rFonts w:cs="Arial"/>
        </w:rPr>
      </w:pPr>
      <w:r w:rsidRPr="00735C06">
        <w:rPr>
          <w:rFonts w:cs="Arial"/>
        </w:rPr>
        <w:t xml:space="preserve">In addition to direct costs, UNDP incurs corporate management costs that benefit the provision of services under </w:t>
      </w:r>
      <w:r w:rsidR="00484D8E" w:rsidRPr="00735C06">
        <w:rPr>
          <w:rFonts w:cs="Arial"/>
        </w:rPr>
        <w:t>MPS</w:t>
      </w:r>
      <w:r w:rsidRPr="00735C06">
        <w:rPr>
          <w:rFonts w:cs="Arial"/>
        </w:rPr>
        <w:t>. As defined in UNDP corporate guidance on General Management Services (</w:t>
      </w:r>
      <w:r w:rsidR="00714269" w:rsidRPr="00735C06">
        <w:rPr>
          <w:rFonts w:cs="Arial"/>
        </w:rPr>
        <w:t xml:space="preserve">see </w:t>
      </w:r>
      <w:hyperlink r:id="rId13" w:history="1">
        <w:r w:rsidR="00714269" w:rsidRPr="00735C06">
          <w:rPr>
            <w:rStyle w:val="Hyperlink"/>
            <w:rFonts w:cs="Arial"/>
          </w:rPr>
          <w:t>GMS POPP</w:t>
        </w:r>
      </w:hyperlink>
      <w:r w:rsidRPr="00735C06">
        <w:rPr>
          <w:rFonts w:cs="Arial"/>
        </w:rPr>
        <w:t>), such costs may be incurred at the Country Office, the Regional Bureau, Central Services and BPPS. However, the expected quantum of such costs may vary depending on the specific services to be provided on each MPS agreement.</w:t>
      </w:r>
    </w:p>
    <w:p w14:paraId="56204614" w14:textId="3043B566" w:rsidR="002761DF" w:rsidRPr="00735C06" w:rsidRDefault="001977AC" w:rsidP="002761DF">
      <w:pPr>
        <w:rPr>
          <w:rFonts w:cs="Arial"/>
        </w:rPr>
      </w:pPr>
      <w:r w:rsidRPr="39DC722C">
        <w:rPr>
          <w:rFonts w:cs="Arial"/>
        </w:rPr>
        <w:t>4.1</w:t>
      </w:r>
      <w:r w:rsidR="00992C67" w:rsidRPr="39DC722C">
        <w:rPr>
          <w:rFonts w:cs="Arial"/>
        </w:rPr>
        <w:t>1</w:t>
      </w:r>
      <w:r>
        <w:tab/>
      </w:r>
      <w:r w:rsidR="002761DF" w:rsidRPr="39DC722C">
        <w:rPr>
          <w:rFonts w:cs="Arial"/>
        </w:rPr>
        <w:t xml:space="preserve">Advance clearance </w:t>
      </w:r>
      <w:r w:rsidR="00F431EF" w:rsidRPr="39DC722C">
        <w:rPr>
          <w:rFonts w:cs="Arial"/>
        </w:rPr>
        <w:t xml:space="preserve">by </w:t>
      </w:r>
      <w:r w:rsidR="002761DF" w:rsidRPr="39DC722C">
        <w:rPr>
          <w:rFonts w:cs="Arial"/>
        </w:rPr>
        <w:t>the Regional Bureau</w:t>
      </w:r>
      <w:r w:rsidR="00EE2B5A" w:rsidRPr="39DC722C">
        <w:rPr>
          <w:rFonts w:cs="Arial"/>
        </w:rPr>
        <w:t xml:space="preserve"> and </w:t>
      </w:r>
      <w:r w:rsidR="00F431EF" w:rsidRPr="39DC722C">
        <w:rPr>
          <w:rFonts w:cs="Arial"/>
        </w:rPr>
        <w:t>the Office of Financial Resources and Management (OFM)/</w:t>
      </w:r>
      <w:r w:rsidR="00EE2B5A" w:rsidRPr="39DC722C">
        <w:rPr>
          <w:rFonts w:cs="Arial"/>
        </w:rPr>
        <w:t>BMS</w:t>
      </w:r>
      <w:r w:rsidR="002761DF" w:rsidRPr="39DC722C">
        <w:rPr>
          <w:rFonts w:cs="Arial"/>
        </w:rPr>
        <w:t xml:space="preserve"> is required when </w:t>
      </w:r>
      <w:r w:rsidR="00135777" w:rsidRPr="39DC722C">
        <w:rPr>
          <w:rFonts w:cs="Arial"/>
        </w:rPr>
        <w:t>any deviation is</w:t>
      </w:r>
      <w:r w:rsidR="002761DF" w:rsidRPr="39DC722C">
        <w:rPr>
          <w:rFonts w:cs="Arial"/>
        </w:rPr>
        <w:t xml:space="preserve"> proposed from </w:t>
      </w:r>
      <w:r w:rsidR="002C6E26" w:rsidRPr="39DC722C">
        <w:rPr>
          <w:rFonts w:cs="Arial"/>
        </w:rPr>
        <w:t xml:space="preserve">the minimum GMS rate, as in para. 4.9, and </w:t>
      </w:r>
      <w:r w:rsidR="002761DF" w:rsidRPr="39DC722C">
        <w:rPr>
          <w:rFonts w:cs="Arial"/>
        </w:rPr>
        <w:t xml:space="preserve">the current </w:t>
      </w:r>
      <w:r w:rsidR="00EE2B5A" w:rsidRPr="39DC722C">
        <w:rPr>
          <w:rFonts w:cs="Arial"/>
        </w:rPr>
        <w:t>c</w:t>
      </w:r>
      <w:r w:rsidR="002761DF" w:rsidRPr="39DC722C">
        <w:rPr>
          <w:rFonts w:cs="Arial"/>
        </w:rPr>
        <w:t>orporate GMS guidance.</w:t>
      </w:r>
      <w:r w:rsidR="00ED1826" w:rsidRPr="39DC722C">
        <w:rPr>
          <w:rFonts w:cs="Arial"/>
        </w:rPr>
        <w:t xml:space="preserve"> </w:t>
      </w:r>
      <w:r w:rsidR="00F431EF" w:rsidRPr="39DC722C">
        <w:rPr>
          <w:rFonts w:cs="Arial"/>
        </w:rPr>
        <w:t>(</w:t>
      </w:r>
      <w:r w:rsidR="00ED1826" w:rsidRPr="39DC722C">
        <w:rPr>
          <w:rFonts w:cs="Arial"/>
        </w:rPr>
        <w:t xml:space="preserve">For </w:t>
      </w:r>
      <w:proofErr w:type="gramStart"/>
      <w:r w:rsidR="00ED1826" w:rsidRPr="39DC722C">
        <w:rPr>
          <w:rFonts w:cs="Arial"/>
        </w:rPr>
        <w:t>exceptions</w:t>
      </w:r>
      <w:proofErr w:type="gramEnd"/>
      <w:r w:rsidR="00ED1826" w:rsidRPr="39DC722C">
        <w:rPr>
          <w:rFonts w:cs="Arial"/>
        </w:rPr>
        <w:t xml:space="preserve"> please</w:t>
      </w:r>
      <w:r w:rsidR="00ED1826" w:rsidRPr="39DC722C">
        <w:rPr>
          <w:rFonts w:cs="Arial"/>
          <w:lang w:val="en-GB"/>
        </w:rPr>
        <w:t xml:space="preserve"> refer to </w:t>
      </w:r>
      <w:proofErr w:type="gramStart"/>
      <w:r w:rsidR="00ED1826" w:rsidRPr="39DC722C">
        <w:rPr>
          <w:rFonts w:cs="Arial"/>
          <w:lang w:val="en-GB"/>
        </w:rPr>
        <w:t>the Table</w:t>
      </w:r>
      <w:proofErr w:type="gramEnd"/>
      <w:r w:rsidR="00ED1826" w:rsidRPr="39DC722C">
        <w:rPr>
          <w:rFonts w:cs="Arial"/>
          <w:lang w:val="en-GB"/>
        </w:rPr>
        <w:t xml:space="preserve"> </w:t>
      </w:r>
      <w:r w:rsidR="00C21581" w:rsidRPr="39DC722C">
        <w:rPr>
          <w:rFonts w:cs="Arial"/>
          <w:lang w:val="en-GB"/>
        </w:rPr>
        <w:t>1</w:t>
      </w:r>
      <w:r w:rsidR="00BC520D" w:rsidRPr="39DC722C">
        <w:rPr>
          <w:rFonts w:cs="Arial"/>
          <w:lang w:val="en-GB"/>
        </w:rPr>
        <w:t xml:space="preserve"> </w:t>
      </w:r>
      <w:r w:rsidR="00C21581" w:rsidRPr="39DC722C">
        <w:rPr>
          <w:rFonts w:cs="Arial"/>
          <w:lang w:val="en-GB"/>
        </w:rPr>
        <w:t>‘</w:t>
      </w:r>
      <w:r w:rsidR="00ED1826" w:rsidRPr="39DC722C">
        <w:rPr>
          <w:rFonts w:cs="Arial"/>
          <w:lang w:val="en-GB"/>
        </w:rPr>
        <w:t>Exceptions and Clearances’</w:t>
      </w:r>
      <w:r w:rsidR="00F431EF" w:rsidRPr="39DC722C">
        <w:rPr>
          <w:rFonts w:cs="Arial"/>
          <w:lang w:val="en-GB"/>
        </w:rPr>
        <w:t xml:space="preserve">). </w:t>
      </w:r>
    </w:p>
    <w:p w14:paraId="2F2D51D2" w14:textId="77777777" w:rsidR="009E52F8" w:rsidRPr="00735C06" w:rsidRDefault="00724B80" w:rsidP="00AC71F1">
      <w:pPr>
        <w:rPr>
          <w:rFonts w:cs="Arial"/>
          <w:b/>
        </w:rPr>
      </w:pPr>
      <w:r w:rsidRPr="00735C06">
        <w:rPr>
          <w:rFonts w:cs="Arial"/>
          <w:b/>
        </w:rPr>
        <w:t>Refunds</w:t>
      </w:r>
    </w:p>
    <w:p w14:paraId="78A8B5FC" w14:textId="60856061" w:rsidR="00BB19CE" w:rsidRPr="00735C06" w:rsidRDefault="001977AC" w:rsidP="00AC71F1">
      <w:pPr>
        <w:rPr>
          <w:rFonts w:cs="Arial"/>
          <w:lang w:val="en-GB"/>
        </w:rPr>
      </w:pPr>
      <w:r w:rsidRPr="00735C06">
        <w:rPr>
          <w:rFonts w:cs="Arial"/>
          <w:lang w:val="en-GB"/>
        </w:rPr>
        <w:t>4.1</w:t>
      </w:r>
      <w:r w:rsidR="00992C67" w:rsidRPr="00735C06">
        <w:rPr>
          <w:rFonts w:cs="Arial"/>
          <w:lang w:val="en-GB"/>
        </w:rPr>
        <w:t>2</w:t>
      </w:r>
      <w:r w:rsidRPr="00735C06">
        <w:rPr>
          <w:rFonts w:cs="Arial"/>
          <w:lang w:val="en-GB"/>
        </w:rPr>
        <w:tab/>
      </w:r>
      <w:r w:rsidR="00724B80" w:rsidRPr="00735C06">
        <w:rPr>
          <w:rFonts w:cs="Arial"/>
          <w:lang w:val="en-GB"/>
        </w:rPr>
        <w:t xml:space="preserve">Any balance of funds received </w:t>
      </w:r>
      <w:r w:rsidR="00CA37F8" w:rsidRPr="00735C06">
        <w:rPr>
          <w:rFonts w:cs="Arial"/>
          <w:lang w:val="en-GB"/>
        </w:rPr>
        <w:t>for the provision of services under this policy that remain</w:t>
      </w:r>
      <w:r w:rsidR="00724B80" w:rsidRPr="00735C06">
        <w:rPr>
          <w:rFonts w:cs="Arial"/>
          <w:lang w:val="en-GB"/>
        </w:rPr>
        <w:t xml:space="preserve"> uncommitted on completion of the Services shall be refunded promptly to</w:t>
      </w:r>
      <w:r w:rsidR="00CA37F8" w:rsidRPr="00735C06">
        <w:rPr>
          <w:rFonts w:cs="Arial"/>
          <w:lang w:val="en-GB"/>
        </w:rPr>
        <w:t xml:space="preserve"> whoever provided the funding, i.e., </w:t>
      </w:r>
      <w:r w:rsidR="00724B80" w:rsidRPr="00735C06">
        <w:rPr>
          <w:rFonts w:cs="Arial"/>
          <w:lang w:val="en-GB"/>
        </w:rPr>
        <w:t xml:space="preserve">the </w:t>
      </w:r>
      <w:r w:rsidR="00CA37F8" w:rsidRPr="00735C06">
        <w:rPr>
          <w:rFonts w:cs="Arial"/>
          <w:lang w:val="en-GB"/>
        </w:rPr>
        <w:t>funding p</w:t>
      </w:r>
      <w:r w:rsidR="000B599D" w:rsidRPr="00735C06">
        <w:rPr>
          <w:rFonts w:cs="Arial"/>
          <w:lang w:val="en-GB"/>
        </w:rPr>
        <w:t xml:space="preserve">artner or </w:t>
      </w:r>
      <w:r w:rsidR="00CA37F8" w:rsidRPr="00735C06">
        <w:rPr>
          <w:rFonts w:cs="Arial"/>
          <w:lang w:val="en-GB"/>
        </w:rPr>
        <w:t>programme g</w:t>
      </w:r>
      <w:r w:rsidR="00F412B7">
        <w:rPr>
          <w:rFonts w:cs="Arial"/>
          <w:lang w:val="en-GB"/>
        </w:rPr>
        <w:t xml:space="preserve">overnment, </w:t>
      </w:r>
      <w:bookmarkStart w:id="0" w:name="_Hlk500237117"/>
      <w:r w:rsidR="005E65FC" w:rsidRPr="00DC5211">
        <w:t>within 120 days after the confirmation by the funding partner or programme government of the details of the account(s) to which such funds should be credited by the UNDP’.</w:t>
      </w:r>
      <w:bookmarkEnd w:id="0"/>
    </w:p>
    <w:p w14:paraId="5A9FD240" w14:textId="77777777" w:rsidR="00A3571C" w:rsidRPr="00735C06" w:rsidRDefault="00A3571C" w:rsidP="00A3571C">
      <w:pPr>
        <w:tabs>
          <w:tab w:val="left" w:pos="720"/>
        </w:tabs>
        <w:jc w:val="both"/>
        <w:rPr>
          <w:rFonts w:cs="Arial"/>
          <w:lang w:val="en-GB"/>
        </w:rPr>
      </w:pPr>
      <w:r w:rsidRPr="00735C06">
        <w:rPr>
          <w:rFonts w:cs="Arial"/>
          <w:b/>
          <w:lang w:val="en-GB"/>
        </w:rPr>
        <w:t>Approval and Signatory</w:t>
      </w:r>
    </w:p>
    <w:p w14:paraId="4051C31B" w14:textId="17EE3C14" w:rsidR="00A3571C" w:rsidRPr="00735C06" w:rsidRDefault="00992C67" w:rsidP="00A3571C">
      <w:pPr>
        <w:tabs>
          <w:tab w:val="left" w:pos="720"/>
        </w:tabs>
        <w:jc w:val="both"/>
        <w:rPr>
          <w:rFonts w:cs="Arial"/>
          <w:lang w:val="en-GB"/>
        </w:rPr>
      </w:pPr>
      <w:r w:rsidRPr="00735C06">
        <w:rPr>
          <w:rFonts w:cs="Arial"/>
          <w:lang w:val="en-GB"/>
        </w:rPr>
        <w:t>4.13</w:t>
      </w:r>
      <w:r w:rsidR="00A3571C" w:rsidRPr="00735C06">
        <w:rPr>
          <w:rFonts w:cs="Arial"/>
          <w:lang w:val="en-GB"/>
        </w:rPr>
        <w:tab/>
        <w:t xml:space="preserve">The authority to </w:t>
      </w:r>
      <w:proofErr w:type="gramStart"/>
      <w:r w:rsidR="00A3571C" w:rsidRPr="00735C06">
        <w:rPr>
          <w:rFonts w:cs="Arial"/>
          <w:lang w:val="en-GB"/>
        </w:rPr>
        <w:t>enter into</w:t>
      </w:r>
      <w:proofErr w:type="gramEnd"/>
      <w:r w:rsidR="00A3571C" w:rsidRPr="00735C06">
        <w:rPr>
          <w:rFonts w:cs="Arial"/>
          <w:lang w:val="en-GB"/>
        </w:rPr>
        <w:t xml:space="preserve"> a MPS agreement using the MPS Agreement Template is decentralized to the Resident Representative and the Directors of Regional Hubs. Prior clearance is required from a Regional Bureau and, with respect to deviations from the </w:t>
      </w:r>
      <w:r w:rsidR="00C633CD" w:rsidRPr="00735C06">
        <w:rPr>
          <w:rFonts w:cs="Arial"/>
          <w:lang w:val="en-GB"/>
        </w:rPr>
        <w:t>MPS Agreement Template</w:t>
      </w:r>
      <w:r w:rsidR="00A3571C" w:rsidRPr="00735C06">
        <w:rPr>
          <w:rFonts w:cs="Arial"/>
          <w:lang w:val="en-GB"/>
        </w:rPr>
        <w:t xml:space="preserve"> only, advice and assistance shall be sought from the Legal Office (LO), BMS. If those deviations involve restricted competition, the Unit shall seek and obtain the necessary clearances before contacting LO. (Please see para</w:t>
      </w:r>
      <w:r w:rsidR="004C2352" w:rsidRPr="00735C06">
        <w:rPr>
          <w:rFonts w:cs="Arial"/>
          <w:lang w:val="en-GB"/>
        </w:rPr>
        <w:t>s</w:t>
      </w:r>
      <w:r w:rsidR="00A3571C" w:rsidRPr="00735C06">
        <w:rPr>
          <w:rFonts w:cs="Arial"/>
          <w:lang w:val="en-GB"/>
        </w:rPr>
        <w:t xml:space="preserve">. </w:t>
      </w:r>
      <w:r w:rsidR="004C2352" w:rsidRPr="00735C06">
        <w:rPr>
          <w:rFonts w:cs="Arial"/>
          <w:lang w:val="en-GB"/>
        </w:rPr>
        <w:t>4.</w:t>
      </w:r>
      <w:r w:rsidRPr="00735C06">
        <w:rPr>
          <w:rFonts w:cs="Arial"/>
          <w:lang w:val="en-GB"/>
        </w:rPr>
        <w:t>6</w:t>
      </w:r>
      <w:r w:rsidR="004C2352" w:rsidRPr="00735C06">
        <w:rPr>
          <w:rFonts w:cs="Arial"/>
          <w:lang w:val="en-GB"/>
        </w:rPr>
        <w:t xml:space="preserve"> - </w:t>
      </w:r>
      <w:r w:rsidR="00A3571C" w:rsidRPr="00735C06">
        <w:rPr>
          <w:rFonts w:cs="Arial"/>
          <w:lang w:val="en-GB"/>
        </w:rPr>
        <w:t>4.</w:t>
      </w:r>
      <w:r w:rsidRPr="00735C06">
        <w:rPr>
          <w:rFonts w:cs="Arial"/>
          <w:lang w:val="en-GB"/>
        </w:rPr>
        <w:t>8</w:t>
      </w:r>
      <w:r w:rsidR="00A3571C" w:rsidRPr="00735C06">
        <w:rPr>
          <w:rFonts w:cs="Arial"/>
          <w:lang w:val="en-GB"/>
        </w:rPr>
        <w:t xml:space="preserve"> </w:t>
      </w:r>
      <w:r w:rsidR="00AF0F70" w:rsidRPr="00735C06">
        <w:rPr>
          <w:rFonts w:cs="Arial"/>
          <w:lang w:val="en-GB"/>
        </w:rPr>
        <w:t>above and</w:t>
      </w:r>
      <w:r w:rsidR="00A3571C" w:rsidRPr="00735C06">
        <w:rPr>
          <w:rFonts w:cs="Arial"/>
          <w:lang w:val="en-GB"/>
        </w:rPr>
        <w:t xml:space="preserve"> refer to the Table 1 ‘Exceptions and Clearances’). The Resident Representative or Director of the Regional </w:t>
      </w:r>
      <w:r w:rsidR="00A3571C" w:rsidRPr="00DC5211">
        <w:rPr>
          <w:rFonts w:cs="Arial"/>
          <w:strike/>
          <w:lang w:val="en-GB"/>
        </w:rPr>
        <w:t>Hub</w:t>
      </w:r>
      <w:r w:rsidR="00A3571C" w:rsidRPr="00DC5211">
        <w:rPr>
          <w:rFonts w:cs="Arial"/>
          <w:lang w:val="en-GB"/>
        </w:rPr>
        <w:t xml:space="preserve"> </w:t>
      </w:r>
      <w:r w:rsidR="008E52FA" w:rsidRPr="00DC5211">
        <w:rPr>
          <w:rFonts w:cs="Arial"/>
          <w:lang w:val="en-GB"/>
        </w:rPr>
        <w:t>Bureau</w:t>
      </w:r>
      <w:r w:rsidR="008E52FA">
        <w:rPr>
          <w:rFonts w:cs="Arial"/>
          <w:strike/>
          <w:lang w:val="en-GB"/>
        </w:rPr>
        <w:t xml:space="preserve"> </w:t>
      </w:r>
      <w:r w:rsidR="00A3571C" w:rsidRPr="00735C06">
        <w:rPr>
          <w:rFonts w:cs="Arial"/>
          <w:lang w:val="en-GB"/>
        </w:rPr>
        <w:t>is accountable for ensuring such clearance is obtained, in writing, before signature of any agreement.</w:t>
      </w:r>
    </w:p>
    <w:p w14:paraId="7B5A766F" w14:textId="77777777" w:rsidR="00BB19CE" w:rsidRPr="00735C06" w:rsidRDefault="00BB19CE" w:rsidP="00AC71F1">
      <w:pPr>
        <w:rPr>
          <w:rFonts w:cs="Arial"/>
          <w:b/>
        </w:rPr>
      </w:pPr>
      <w:r w:rsidRPr="00735C06">
        <w:rPr>
          <w:rFonts w:cs="Arial"/>
          <w:b/>
          <w:lang w:val="en-GB"/>
        </w:rPr>
        <w:t>Audit and Investigations</w:t>
      </w:r>
    </w:p>
    <w:p w14:paraId="587E841F" w14:textId="67C4A878" w:rsidR="00D26791" w:rsidRPr="00735C06" w:rsidRDefault="007E1D1E" w:rsidP="00AC71F1">
      <w:pPr>
        <w:rPr>
          <w:rFonts w:cs="Arial"/>
          <w:lang w:val="en-GB"/>
        </w:rPr>
      </w:pPr>
      <w:r w:rsidRPr="00735C06">
        <w:rPr>
          <w:rFonts w:cs="Arial"/>
          <w:lang w:val="en-GB"/>
        </w:rPr>
        <w:t>4.1</w:t>
      </w:r>
      <w:r w:rsidR="00992C67" w:rsidRPr="00735C06">
        <w:rPr>
          <w:rFonts w:cs="Arial"/>
          <w:lang w:val="en-GB"/>
        </w:rPr>
        <w:t>4</w:t>
      </w:r>
      <w:r w:rsidRPr="00735C06">
        <w:rPr>
          <w:rFonts w:cs="Arial"/>
          <w:lang w:val="en-GB"/>
        </w:rPr>
        <w:tab/>
      </w:r>
      <w:r w:rsidR="00D26791" w:rsidRPr="00735C06">
        <w:rPr>
          <w:rFonts w:cs="Arial"/>
          <w:lang w:val="en-GB"/>
        </w:rPr>
        <w:t xml:space="preserve">Funds received </w:t>
      </w:r>
      <w:r w:rsidR="00CA37F8" w:rsidRPr="00735C06">
        <w:rPr>
          <w:rFonts w:cs="Arial"/>
          <w:lang w:val="en-GB"/>
        </w:rPr>
        <w:t xml:space="preserve">by UNDP to provide services </w:t>
      </w:r>
      <w:r w:rsidR="00D26791" w:rsidRPr="00735C06">
        <w:rPr>
          <w:rFonts w:cs="Arial"/>
          <w:lang w:val="en-GB"/>
        </w:rPr>
        <w:t xml:space="preserve">under a MPS shall be administered in accordance with the UNDP Financial Regulations and Rules. All financial accounts and statements shall be subject exclusively to the internal and external auditing procedures laid down in the Financial Regulations, Rules, </w:t>
      </w:r>
      <w:proofErr w:type="gramStart"/>
      <w:r w:rsidR="00D26791" w:rsidRPr="00735C06">
        <w:rPr>
          <w:rFonts w:cs="Arial"/>
          <w:lang w:val="en-GB"/>
        </w:rPr>
        <w:t>policies</w:t>
      </w:r>
      <w:proofErr w:type="gramEnd"/>
      <w:r w:rsidR="00D26791" w:rsidRPr="00735C06">
        <w:rPr>
          <w:rFonts w:cs="Arial"/>
          <w:lang w:val="en-GB"/>
        </w:rPr>
        <w:t xml:space="preserve"> and procedures of UNDP.</w:t>
      </w:r>
    </w:p>
    <w:p w14:paraId="6AFADC7D" w14:textId="21ECE488" w:rsidR="00D92ED6" w:rsidRPr="00735C06" w:rsidRDefault="007E1D1E" w:rsidP="00DF06D7">
      <w:pPr>
        <w:rPr>
          <w:rFonts w:cs="Arial"/>
          <w:lang w:val="en-GB"/>
        </w:rPr>
      </w:pPr>
      <w:r w:rsidRPr="00735C06">
        <w:rPr>
          <w:rFonts w:cs="Arial"/>
          <w:lang w:val="en-GB"/>
        </w:rPr>
        <w:t>4.1</w:t>
      </w:r>
      <w:r w:rsidR="00992C67" w:rsidRPr="00735C06">
        <w:rPr>
          <w:rFonts w:cs="Arial"/>
          <w:lang w:val="en-GB"/>
        </w:rPr>
        <w:t>5</w:t>
      </w:r>
      <w:r w:rsidRPr="00735C06">
        <w:rPr>
          <w:rFonts w:cs="Arial"/>
          <w:lang w:val="en-GB"/>
        </w:rPr>
        <w:tab/>
      </w:r>
      <w:r w:rsidR="00CA37F8" w:rsidRPr="00735C06">
        <w:rPr>
          <w:rFonts w:cs="Arial"/>
          <w:lang w:val="en-GB"/>
        </w:rPr>
        <w:t>Services</w:t>
      </w:r>
      <w:r w:rsidR="00BB19CE" w:rsidRPr="00735C06">
        <w:rPr>
          <w:rFonts w:cs="Arial"/>
          <w:lang w:val="en-GB"/>
        </w:rPr>
        <w:t xml:space="preserve"> </w:t>
      </w:r>
      <w:r w:rsidR="006D66A4" w:rsidRPr="00735C06">
        <w:rPr>
          <w:rFonts w:cs="Arial"/>
          <w:lang w:val="en-GB"/>
        </w:rPr>
        <w:t xml:space="preserve">provided </w:t>
      </w:r>
      <w:r w:rsidR="00BB19CE" w:rsidRPr="00735C06">
        <w:rPr>
          <w:rFonts w:cs="Arial"/>
          <w:lang w:val="en-GB"/>
        </w:rPr>
        <w:t xml:space="preserve">by UNDP </w:t>
      </w:r>
      <w:r w:rsidR="005C5F45" w:rsidRPr="00735C06">
        <w:rPr>
          <w:rFonts w:cs="Arial"/>
          <w:lang w:val="en-GB"/>
        </w:rPr>
        <w:t>under</w:t>
      </w:r>
      <w:r w:rsidR="00CA37F8" w:rsidRPr="00735C06">
        <w:rPr>
          <w:rFonts w:cs="Arial"/>
          <w:lang w:val="en-GB"/>
        </w:rPr>
        <w:t xml:space="preserve"> a </w:t>
      </w:r>
      <w:proofErr w:type="gramStart"/>
      <w:r w:rsidR="00CA37F8" w:rsidRPr="00735C06">
        <w:rPr>
          <w:rFonts w:cs="Arial"/>
          <w:lang w:val="en-GB"/>
        </w:rPr>
        <w:t xml:space="preserve">MPS </w:t>
      </w:r>
      <w:r w:rsidR="005C5F45" w:rsidRPr="00735C06">
        <w:rPr>
          <w:rFonts w:cs="Arial"/>
          <w:lang w:val="en-GB"/>
        </w:rPr>
        <w:t xml:space="preserve"> agreement</w:t>
      </w:r>
      <w:proofErr w:type="gramEnd"/>
      <w:r w:rsidR="005C5F45" w:rsidRPr="00735C06">
        <w:rPr>
          <w:rFonts w:cs="Arial"/>
          <w:lang w:val="en-GB"/>
        </w:rPr>
        <w:t xml:space="preserve"> </w:t>
      </w:r>
      <w:r w:rsidR="00CA37F8" w:rsidRPr="00735C06">
        <w:rPr>
          <w:rFonts w:cs="Arial"/>
          <w:lang w:val="en-GB"/>
        </w:rPr>
        <w:t>are</w:t>
      </w:r>
      <w:r w:rsidR="00BB19CE" w:rsidRPr="00735C06">
        <w:rPr>
          <w:rFonts w:cs="Arial"/>
          <w:lang w:val="en-GB"/>
        </w:rPr>
        <w:t xml:space="preserve"> covered fully by UNDP’s oversight policies, periodic internal audits by the Office of Audit and Investigations (OAI)</w:t>
      </w:r>
      <w:r w:rsidR="00621401" w:rsidRPr="00735C06">
        <w:rPr>
          <w:rFonts w:cs="Arial"/>
          <w:lang w:val="en-GB"/>
        </w:rPr>
        <w:t xml:space="preserve"> including investigation of any claims of non- compliance with applicable social and env</w:t>
      </w:r>
      <w:r w:rsidR="00CA37F8" w:rsidRPr="00735C06">
        <w:rPr>
          <w:rFonts w:cs="Arial"/>
          <w:lang w:val="en-GB"/>
        </w:rPr>
        <w:t>ir</w:t>
      </w:r>
      <w:r w:rsidR="00621401" w:rsidRPr="00735C06">
        <w:rPr>
          <w:rFonts w:cs="Arial"/>
          <w:lang w:val="en-GB"/>
        </w:rPr>
        <w:t>onmental standards,</w:t>
      </w:r>
      <w:r w:rsidR="00BB19CE" w:rsidRPr="00735C06">
        <w:rPr>
          <w:rFonts w:cs="Arial"/>
          <w:lang w:val="en-GB"/>
        </w:rPr>
        <w:t xml:space="preserve"> as well as external </w:t>
      </w:r>
      <w:r w:rsidR="00BB19CE" w:rsidRPr="00735C06">
        <w:rPr>
          <w:rFonts w:cs="Arial"/>
          <w:lang w:val="en-GB"/>
        </w:rPr>
        <w:lastRenderedPageBreak/>
        <w:t xml:space="preserve">audit by the UN Board of Auditors. </w:t>
      </w:r>
      <w:r w:rsidR="002E5152" w:rsidRPr="00735C06">
        <w:rPr>
          <w:rFonts w:cs="Arial"/>
          <w:lang w:val="en-GB"/>
        </w:rPr>
        <w:t xml:space="preserve">Furthermore, </w:t>
      </w:r>
      <w:r w:rsidR="00BB19CE" w:rsidRPr="00735C06">
        <w:rPr>
          <w:rFonts w:cs="Arial"/>
          <w:lang w:val="en-GB"/>
        </w:rPr>
        <w:t>separate audits (akin to DIM audits) may be required for a select number of high risk and/or high value MPS</w:t>
      </w:r>
      <w:r w:rsidR="005C5F45" w:rsidRPr="00735C06">
        <w:rPr>
          <w:rFonts w:cs="Arial"/>
          <w:lang w:val="en-GB"/>
        </w:rPr>
        <w:t xml:space="preserve"> agreements</w:t>
      </w:r>
      <w:r w:rsidR="00BB19CE" w:rsidRPr="00735C06">
        <w:rPr>
          <w:rFonts w:cs="Arial"/>
          <w:lang w:val="en-GB"/>
        </w:rPr>
        <w:t xml:space="preserve">. </w:t>
      </w:r>
      <w:r w:rsidR="005C5F45" w:rsidRPr="00735C06">
        <w:rPr>
          <w:rFonts w:cs="Arial"/>
          <w:lang w:val="en-GB"/>
        </w:rPr>
        <w:t xml:space="preserve"> </w:t>
      </w:r>
      <w:r w:rsidR="00BB19CE" w:rsidRPr="00735C06">
        <w:rPr>
          <w:rFonts w:cs="Arial"/>
          <w:lang w:val="en-GB"/>
        </w:rPr>
        <w:t xml:space="preserve">As such </w:t>
      </w:r>
      <w:r w:rsidR="00427BB6" w:rsidRPr="00735C06">
        <w:rPr>
          <w:rFonts w:cs="Arial"/>
          <w:lang w:val="en-GB"/>
        </w:rPr>
        <w:t xml:space="preserve">all </w:t>
      </w:r>
      <w:r w:rsidR="00BB19CE" w:rsidRPr="00735C06">
        <w:rPr>
          <w:rFonts w:cs="Arial"/>
          <w:lang w:val="en-GB"/>
        </w:rPr>
        <w:t xml:space="preserve">MPS budgets must always maintain the </w:t>
      </w:r>
      <w:r w:rsidR="00BB19CE" w:rsidRPr="00735C06">
        <w:rPr>
          <w:rFonts w:cs="Arial"/>
          <w:b/>
          <w:lang w:val="en-GB"/>
        </w:rPr>
        <w:t>0.4%</w:t>
      </w:r>
      <w:r w:rsidR="00BB19CE" w:rsidRPr="00735C06">
        <w:rPr>
          <w:rFonts w:cs="Arial"/>
          <w:lang w:val="en-GB"/>
        </w:rPr>
        <w:t xml:space="preserve"> audit budget line.</w:t>
      </w:r>
      <w:bookmarkStart w:id="1" w:name="FlowChart"/>
      <w:bookmarkEnd w:id="1"/>
    </w:p>
    <w:p w14:paraId="34E9A9DC" w14:textId="77777777" w:rsidR="001608C4" w:rsidRPr="00735C06" w:rsidRDefault="001608C4" w:rsidP="001608C4">
      <w:pPr>
        <w:rPr>
          <w:rFonts w:cs="Arial"/>
          <w:b/>
          <w:lang w:val="en-GB"/>
        </w:rPr>
      </w:pPr>
      <w:r w:rsidRPr="00735C06">
        <w:rPr>
          <w:rFonts w:cs="Arial"/>
          <w:b/>
          <w:lang w:val="en-GB"/>
        </w:rPr>
        <w:t>Accountability</w:t>
      </w:r>
      <w:r w:rsidR="00085CD2" w:rsidRPr="00735C06">
        <w:rPr>
          <w:rFonts w:cs="Arial"/>
          <w:b/>
          <w:lang w:val="en-GB"/>
        </w:rPr>
        <w:t>, Monitoring and</w:t>
      </w:r>
      <w:r w:rsidR="005A0718" w:rsidRPr="00735C06">
        <w:rPr>
          <w:rFonts w:cs="Arial"/>
          <w:b/>
          <w:lang w:val="en-GB"/>
        </w:rPr>
        <w:t xml:space="preserve"> </w:t>
      </w:r>
      <w:r w:rsidR="007977E3" w:rsidRPr="00735C06">
        <w:rPr>
          <w:rFonts w:cs="Arial"/>
          <w:b/>
          <w:lang w:val="en-GB"/>
        </w:rPr>
        <w:t>R</w:t>
      </w:r>
      <w:r w:rsidR="005A0718" w:rsidRPr="00735C06">
        <w:rPr>
          <w:rFonts w:cs="Arial"/>
          <w:b/>
          <w:lang w:val="en-GB"/>
        </w:rPr>
        <w:t xml:space="preserve">isk </w:t>
      </w:r>
      <w:r w:rsidR="007977E3" w:rsidRPr="00735C06">
        <w:rPr>
          <w:rFonts w:cs="Arial"/>
          <w:b/>
          <w:lang w:val="en-GB"/>
        </w:rPr>
        <w:t>M</w:t>
      </w:r>
      <w:r w:rsidR="005A0718" w:rsidRPr="00735C06">
        <w:rPr>
          <w:rFonts w:cs="Arial"/>
          <w:b/>
          <w:lang w:val="en-GB"/>
        </w:rPr>
        <w:t>anagement</w:t>
      </w:r>
    </w:p>
    <w:p w14:paraId="03263FE8" w14:textId="12E1BCAF" w:rsidR="00DE7638" w:rsidRPr="00DC5211" w:rsidRDefault="007E1D1E" w:rsidP="00D22EA5">
      <w:pPr>
        <w:tabs>
          <w:tab w:val="left" w:pos="720"/>
        </w:tabs>
        <w:spacing w:after="0"/>
        <w:jc w:val="both"/>
        <w:rPr>
          <w:rFonts w:cs="Arial"/>
          <w:lang w:val="en-GB"/>
        </w:rPr>
      </w:pPr>
      <w:r w:rsidRPr="00735C06">
        <w:rPr>
          <w:rFonts w:cs="Arial"/>
          <w:lang w:val="en-GB"/>
        </w:rPr>
        <w:t>4.1</w:t>
      </w:r>
      <w:r w:rsidR="00992C67" w:rsidRPr="00735C06">
        <w:rPr>
          <w:rFonts w:cs="Arial"/>
          <w:lang w:val="en-GB"/>
        </w:rPr>
        <w:t>6</w:t>
      </w:r>
      <w:r w:rsidRPr="00735C06">
        <w:rPr>
          <w:rFonts w:cs="Arial"/>
          <w:lang w:val="en-GB"/>
        </w:rPr>
        <w:tab/>
      </w:r>
      <w:r w:rsidR="00824EC7" w:rsidRPr="00735C06">
        <w:rPr>
          <w:rFonts w:cs="Arial"/>
          <w:lang w:val="en-GB"/>
        </w:rPr>
        <w:t xml:space="preserve">Under a </w:t>
      </w:r>
      <w:r w:rsidR="000A283E" w:rsidRPr="00735C06">
        <w:rPr>
          <w:rFonts w:cs="Arial"/>
          <w:lang w:val="en-GB"/>
        </w:rPr>
        <w:t>MPS</w:t>
      </w:r>
      <w:r w:rsidR="00CA37F8" w:rsidRPr="00735C06">
        <w:rPr>
          <w:rFonts w:cs="Arial"/>
          <w:lang w:val="en-GB"/>
        </w:rPr>
        <w:t xml:space="preserve"> </w:t>
      </w:r>
      <w:r w:rsidR="00824EC7" w:rsidRPr="00735C06">
        <w:rPr>
          <w:rFonts w:cs="Arial"/>
          <w:lang w:val="en-GB"/>
        </w:rPr>
        <w:t xml:space="preserve">agreement </w:t>
      </w:r>
      <w:r w:rsidR="00CA37F8" w:rsidRPr="00735C06">
        <w:rPr>
          <w:rFonts w:cs="Arial"/>
          <w:lang w:val="en-GB"/>
        </w:rPr>
        <w:t xml:space="preserve">concluded </w:t>
      </w:r>
      <w:r w:rsidR="00CD4814" w:rsidRPr="00735C06">
        <w:rPr>
          <w:rFonts w:cs="Arial"/>
          <w:lang w:val="en-GB"/>
        </w:rPr>
        <w:t>per</w:t>
      </w:r>
      <w:r w:rsidR="00CA37F8" w:rsidRPr="00735C06">
        <w:rPr>
          <w:rFonts w:cs="Arial"/>
          <w:lang w:val="en-GB"/>
        </w:rPr>
        <w:t xml:space="preserve"> this policy</w:t>
      </w:r>
      <w:r w:rsidR="000A283E" w:rsidRPr="00735C06">
        <w:rPr>
          <w:rFonts w:cs="Arial"/>
          <w:lang w:val="en-GB"/>
        </w:rPr>
        <w:t xml:space="preserve">, UNDP is accountable to deliver services (activities and inputs) to a </w:t>
      </w:r>
      <w:r w:rsidR="00804A68" w:rsidRPr="00735C06">
        <w:rPr>
          <w:rFonts w:cs="Arial"/>
          <w:lang w:val="en-GB"/>
        </w:rPr>
        <w:t xml:space="preserve">programme government, </w:t>
      </w:r>
      <w:r w:rsidR="00CA37F8" w:rsidRPr="00735C06">
        <w:rPr>
          <w:rFonts w:cs="Arial"/>
          <w:lang w:val="en-GB"/>
        </w:rPr>
        <w:t>or to</w:t>
      </w:r>
      <w:r w:rsidR="00A4342C" w:rsidRPr="00735C06">
        <w:rPr>
          <w:rFonts w:cs="Arial"/>
          <w:lang w:val="en-GB"/>
        </w:rPr>
        <w:t xml:space="preserve"> a partner (as set out in para. 2.11) </w:t>
      </w:r>
      <w:r w:rsidR="00CA37F8" w:rsidRPr="00735C06">
        <w:rPr>
          <w:rFonts w:cs="Arial"/>
          <w:lang w:val="en-GB"/>
        </w:rPr>
        <w:t>for the benefit of the programme government</w:t>
      </w:r>
      <w:r w:rsidR="00804A68" w:rsidRPr="00735C06">
        <w:rPr>
          <w:rFonts w:cs="Arial"/>
          <w:lang w:val="en-GB"/>
        </w:rPr>
        <w:t>.</w:t>
      </w:r>
      <w:r w:rsidR="005B69D4" w:rsidRPr="00735C06">
        <w:rPr>
          <w:rFonts w:cs="Arial"/>
          <w:lang w:val="en-GB"/>
        </w:rPr>
        <w:t xml:space="preserve"> Accountability for achieving the result (i.e., outputs) rests with the partner to whom UNDP is providing services. The services provided under a MPS </w:t>
      </w:r>
      <w:r w:rsidR="00BA1AB8" w:rsidRPr="00735C06">
        <w:rPr>
          <w:rFonts w:cs="Arial"/>
          <w:lang w:val="en-GB"/>
        </w:rPr>
        <w:t xml:space="preserve">contribute to the achievement of development outcomes via the achievement of the partner’s outputs, and this contribution </w:t>
      </w:r>
      <w:r w:rsidR="00DE7638" w:rsidRPr="00735C06">
        <w:rPr>
          <w:rFonts w:cs="Arial"/>
          <w:lang w:val="en-GB"/>
        </w:rPr>
        <w:t xml:space="preserve">to development results </w:t>
      </w:r>
      <w:r w:rsidR="00933B71" w:rsidRPr="00735C06">
        <w:rPr>
          <w:rFonts w:cs="Arial"/>
          <w:lang w:val="en-GB"/>
        </w:rPr>
        <w:t xml:space="preserve">should </w:t>
      </w:r>
      <w:r w:rsidR="00DE7638" w:rsidRPr="00735C06">
        <w:rPr>
          <w:rFonts w:cs="Arial"/>
          <w:lang w:val="en-GB"/>
        </w:rPr>
        <w:t>be monitored</w:t>
      </w:r>
      <w:r w:rsidR="00BA1AB8" w:rsidRPr="00DC5211">
        <w:rPr>
          <w:rFonts w:cs="Arial"/>
          <w:lang w:val="en-GB"/>
        </w:rPr>
        <w:t>.</w:t>
      </w:r>
      <w:r w:rsidR="000A283E" w:rsidRPr="00DC5211">
        <w:rPr>
          <w:rFonts w:cs="Arial"/>
          <w:lang w:val="en-GB"/>
        </w:rPr>
        <w:t xml:space="preserve"> </w:t>
      </w:r>
      <w:r w:rsidR="00F67FE2" w:rsidRPr="00DC5211">
        <w:rPr>
          <w:rFonts w:cs="Arial"/>
          <w:lang w:val="en-GB"/>
        </w:rPr>
        <w:t xml:space="preserve">It should be noted that </w:t>
      </w:r>
      <w:r w:rsidR="005A6177" w:rsidRPr="00DC5211">
        <w:rPr>
          <w:rFonts w:cs="Arial"/>
          <w:lang w:val="en-GB"/>
        </w:rPr>
        <w:t xml:space="preserve">the provision of services under a MPS agreement </w:t>
      </w:r>
      <w:r w:rsidR="003F588F" w:rsidRPr="00DC5211">
        <w:rPr>
          <w:rFonts w:cs="Arial"/>
          <w:lang w:val="en-GB"/>
        </w:rPr>
        <w:t xml:space="preserve">are not subject to </w:t>
      </w:r>
      <w:proofErr w:type="gramStart"/>
      <w:r w:rsidR="0055331B" w:rsidRPr="00DC5211">
        <w:rPr>
          <w:rFonts w:cs="Arial"/>
          <w:lang w:val="en-GB"/>
        </w:rPr>
        <w:t>all of</w:t>
      </w:r>
      <w:proofErr w:type="gramEnd"/>
      <w:r w:rsidR="0055331B" w:rsidRPr="00DC5211">
        <w:rPr>
          <w:rFonts w:cs="Arial"/>
          <w:lang w:val="en-GB"/>
        </w:rPr>
        <w:t xml:space="preserve"> </w:t>
      </w:r>
      <w:r w:rsidR="003F588F" w:rsidRPr="00DC5211">
        <w:rPr>
          <w:rFonts w:cs="Arial"/>
          <w:lang w:val="en-GB"/>
        </w:rPr>
        <w:t xml:space="preserve">the requirements ordinarily associated with development programmes or project, including but not limited to, the </w:t>
      </w:r>
      <w:r w:rsidR="005A6177" w:rsidRPr="00DC5211">
        <w:rPr>
          <w:rFonts w:cs="Arial"/>
          <w:lang w:val="en-GB"/>
        </w:rPr>
        <w:t>preparation of project document</w:t>
      </w:r>
      <w:r w:rsidR="003F588F" w:rsidRPr="00DC5211">
        <w:rPr>
          <w:rFonts w:cs="Arial"/>
          <w:lang w:val="en-GB"/>
        </w:rPr>
        <w:t>s</w:t>
      </w:r>
      <w:r w:rsidR="005A6177" w:rsidRPr="00DC5211">
        <w:rPr>
          <w:rFonts w:cs="Arial"/>
          <w:lang w:val="en-GB"/>
        </w:rPr>
        <w:t xml:space="preserve"> or Project A</w:t>
      </w:r>
      <w:r w:rsidR="00F67FE2" w:rsidRPr="00DC5211">
        <w:rPr>
          <w:rFonts w:cs="Arial"/>
          <w:lang w:val="en-GB"/>
        </w:rPr>
        <w:t>ppraisal Committee (PAC) review/</w:t>
      </w:r>
      <w:r w:rsidR="005A6177" w:rsidRPr="00DC5211">
        <w:rPr>
          <w:rFonts w:cs="Arial"/>
          <w:lang w:val="en-GB"/>
        </w:rPr>
        <w:t>approvals</w:t>
      </w:r>
      <w:r w:rsidR="005E12A3" w:rsidRPr="00DC5211">
        <w:rPr>
          <w:rFonts w:cs="Arial"/>
          <w:lang w:val="en-GB"/>
        </w:rPr>
        <w:t xml:space="preserve"> </w:t>
      </w:r>
      <w:r w:rsidR="00F67FE2" w:rsidRPr="00DC5211">
        <w:rPr>
          <w:rFonts w:cs="Arial"/>
          <w:lang w:val="en-GB"/>
        </w:rPr>
        <w:t>or project boards</w:t>
      </w:r>
      <w:r w:rsidR="003F588F" w:rsidRPr="00DC5211">
        <w:rPr>
          <w:rFonts w:cs="Arial"/>
          <w:lang w:val="en-GB"/>
        </w:rPr>
        <w:t xml:space="preserve">. However, </w:t>
      </w:r>
      <w:r w:rsidR="005A6177" w:rsidRPr="00DC5211">
        <w:rPr>
          <w:rFonts w:cs="Arial"/>
          <w:lang w:val="en-GB"/>
        </w:rPr>
        <w:t>UNDP will meet with the government and/or funding partner annually or as required to monitor service delivery and manage risks.</w:t>
      </w:r>
    </w:p>
    <w:p w14:paraId="19CBF527" w14:textId="77777777" w:rsidR="00DE7638" w:rsidRPr="00DC5211" w:rsidRDefault="00DE7638" w:rsidP="00D22EA5">
      <w:pPr>
        <w:tabs>
          <w:tab w:val="left" w:pos="720"/>
        </w:tabs>
        <w:spacing w:after="0"/>
        <w:jc w:val="both"/>
        <w:rPr>
          <w:rFonts w:cs="Arial"/>
          <w:lang w:val="en-GB"/>
        </w:rPr>
      </w:pPr>
    </w:p>
    <w:p w14:paraId="40889436" w14:textId="2C545CE4" w:rsidR="00360D43" w:rsidRPr="00735C06" w:rsidRDefault="007E1D1E" w:rsidP="00D22EA5">
      <w:pPr>
        <w:tabs>
          <w:tab w:val="left" w:pos="720"/>
        </w:tabs>
        <w:spacing w:after="0"/>
        <w:jc w:val="both"/>
        <w:rPr>
          <w:rFonts w:cs="Arial"/>
          <w:lang w:val="en-GB"/>
        </w:rPr>
      </w:pPr>
      <w:r w:rsidRPr="00DC5211">
        <w:rPr>
          <w:rFonts w:cs="Arial"/>
          <w:lang w:val="en-GB"/>
        </w:rPr>
        <w:t>4.1</w:t>
      </w:r>
      <w:r w:rsidR="00992C67" w:rsidRPr="00DC5211">
        <w:rPr>
          <w:rFonts w:cs="Arial"/>
          <w:lang w:val="en-GB"/>
        </w:rPr>
        <w:t>7</w:t>
      </w:r>
      <w:r w:rsidRPr="00DC5211">
        <w:rPr>
          <w:rFonts w:cs="Arial"/>
          <w:lang w:val="en-GB"/>
        </w:rPr>
        <w:tab/>
      </w:r>
      <w:hyperlink r:id="rId14" w:history="1">
        <w:r w:rsidR="005A0718" w:rsidRPr="00DC5211">
          <w:rPr>
            <w:rStyle w:val="Hyperlink"/>
            <w:rFonts w:cs="Arial"/>
            <w:lang w:val="en-GB"/>
          </w:rPr>
          <w:t>UNDP’s Enterprise Risk Management Policy</w:t>
        </w:r>
      </w:hyperlink>
      <w:r w:rsidR="005A0718" w:rsidRPr="00DC5211">
        <w:rPr>
          <w:rFonts w:cs="Arial"/>
          <w:lang w:val="en-GB"/>
        </w:rPr>
        <w:t xml:space="preserve"> </w:t>
      </w:r>
      <w:r w:rsidR="00520A6A" w:rsidRPr="00DC5211">
        <w:rPr>
          <w:rFonts w:cs="Arial"/>
          <w:lang w:val="en-GB"/>
        </w:rPr>
        <w:t>and the Social and Environmental Standards</w:t>
      </w:r>
      <w:r w:rsidR="008D15BF" w:rsidRPr="00DC5211">
        <w:rPr>
          <w:rFonts w:cs="Arial"/>
          <w:lang w:val="en-GB"/>
        </w:rPr>
        <w:t xml:space="preserve"> and Accountability Mechanism</w:t>
      </w:r>
      <w:r w:rsidR="00520A6A" w:rsidRPr="00DC5211">
        <w:rPr>
          <w:rFonts w:cs="Arial"/>
          <w:lang w:val="en-GB"/>
        </w:rPr>
        <w:t xml:space="preserve"> </w:t>
      </w:r>
      <w:r w:rsidR="005A0718" w:rsidRPr="00DC5211">
        <w:rPr>
          <w:rFonts w:cs="Arial"/>
          <w:lang w:val="en-GB"/>
        </w:rPr>
        <w:t>appl</w:t>
      </w:r>
      <w:r w:rsidR="00CA37F8" w:rsidRPr="00DC5211">
        <w:rPr>
          <w:rFonts w:cs="Arial"/>
          <w:lang w:val="en-GB"/>
        </w:rPr>
        <w:t>y</w:t>
      </w:r>
      <w:r w:rsidR="005A0718" w:rsidRPr="00DC5211">
        <w:rPr>
          <w:rFonts w:cs="Arial"/>
          <w:lang w:val="en-GB"/>
        </w:rPr>
        <w:t xml:space="preserve"> </w:t>
      </w:r>
      <w:r w:rsidR="00962B7B" w:rsidRPr="00DC5211">
        <w:rPr>
          <w:rFonts w:cs="Arial"/>
          <w:lang w:val="en-GB"/>
        </w:rPr>
        <w:t xml:space="preserve">to </w:t>
      </w:r>
      <w:r w:rsidR="00CA37F8" w:rsidRPr="00DC5211">
        <w:rPr>
          <w:rFonts w:cs="Arial"/>
          <w:lang w:val="en-GB"/>
        </w:rPr>
        <w:t xml:space="preserve">UNDP services provided under </w:t>
      </w:r>
      <w:r w:rsidR="005E12A3" w:rsidRPr="00DC5211">
        <w:rPr>
          <w:rFonts w:cs="Arial"/>
          <w:lang w:val="en-GB"/>
        </w:rPr>
        <w:t xml:space="preserve">a </w:t>
      </w:r>
      <w:r w:rsidR="00962B7B" w:rsidRPr="00DC5211">
        <w:rPr>
          <w:rFonts w:cs="Arial"/>
          <w:lang w:val="en-GB"/>
        </w:rPr>
        <w:t>MPS</w:t>
      </w:r>
      <w:r w:rsidR="000E10B0" w:rsidRPr="00DC5211">
        <w:rPr>
          <w:rFonts w:cs="Arial"/>
          <w:lang w:val="en-GB"/>
        </w:rPr>
        <w:t xml:space="preserve">, as do UNDP’s </w:t>
      </w:r>
      <w:hyperlink r:id="rId15" w:history="1">
        <w:r w:rsidR="000E10B0" w:rsidRPr="00DC5211">
          <w:rPr>
            <w:rStyle w:val="Hyperlink"/>
            <w:rFonts w:cs="Arial"/>
            <w:lang w:val="en-GB"/>
          </w:rPr>
          <w:t>risk management guidelines for contributions by donors to ‘other resources’</w:t>
        </w:r>
      </w:hyperlink>
      <w:r w:rsidR="000E10B0" w:rsidRPr="00DC5211">
        <w:rPr>
          <w:rFonts w:cs="Arial"/>
          <w:lang w:val="en-GB"/>
        </w:rPr>
        <w:t xml:space="preserve">. </w:t>
      </w:r>
      <w:r w:rsidR="00015E98" w:rsidRPr="00DC5211">
        <w:rPr>
          <w:rFonts w:cs="Arial"/>
          <w:lang w:val="en-GB"/>
        </w:rPr>
        <w:t xml:space="preserve">In addition, </w:t>
      </w:r>
      <w:r w:rsidR="00015E98" w:rsidRPr="00DC5211">
        <w:rPr>
          <w:rFonts w:cs="Arial"/>
          <w:b/>
          <w:bCs/>
          <w:lang w:val="en-GB"/>
        </w:rPr>
        <w:t>Table 2</w:t>
      </w:r>
      <w:r w:rsidR="00015E98" w:rsidRPr="00DC5211">
        <w:rPr>
          <w:rFonts w:cs="Arial"/>
          <w:lang w:val="en-GB"/>
        </w:rPr>
        <w:t xml:space="preserve"> sets out </w:t>
      </w:r>
      <w:r w:rsidR="00454E7D" w:rsidRPr="00DC5211">
        <w:rPr>
          <w:rFonts w:cs="Arial"/>
          <w:lang w:val="en-GB"/>
        </w:rPr>
        <w:t xml:space="preserve">some of the </w:t>
      </w:r>
      <w:r w:rsidR="00015E98" w:rsidRPr="00DC5211">
        <w:rPr>
          <w:rFonts w:cs="Arial"/>
          <w:lang w:val="en-GB"/>
        </w:rPr>
        <w:t>key risks when implementing MPS and the necessary procedures that each office should implement to mitigate those risks.</w:t>
      </w:r>
    </w:p>
    <w:p w14:paraId="52AABA8D" w14:textId="77777777" w:rsidR="00360D43" w:rsidRPr="00735C06" w:rsidRDefault="00360D43" w:rsidP="00D22EA5">
      <w:pPr>
        <w:tabs>
          <w:tab w:val="left" w:pos="720"/>
        </w:tabs>
        <w:spacing w:after="0"/>
        <w:jc w:val="both"/>
        <w:rPr>
          <w:rFonts w:cs="Arial"/>
          <w:lang w:val="en-GB"/>
        </w:rPr>
      </w:pPr>
    </w:p>
    <w:p w14:paraId="70909B2D" w14:textId="708B221B" w:rsidR="006C16C3" w:rsidRPr="00735C06" w:rsidRDefault="007E1D1E" w:rsidP="00DF06D7">
      <w:pPr>
        <w:tabs>
          <w:tab w:val="left" w:pos="720"/>
        </w:tabs>
        <w:spacing w:after="0"/>
        <w:jc w:val="both"/>
        <w:rPr>
          <w:rFonts w:cs="Arial"/>
          <w:lang w:val="en-GB"/>
        </w:rPr>
      </w:pPr>
      <w:r w:rsidRPr="00735C06">
        <w:rPr>
          <w:rFonts w:cs="Arial"/>
          <w:lang w:val="en-GB"/>
        </w:rPr>
        <w:t>4.</w:t>
      </w:r>
      <w:r w:rsidR="005E12A3" w:rsidRPr="00735C06">
        <w:rPr>
          <w:rFonts w:cs="Arial"/>
          <w:lang w:val="en-GB"/>
        </w:rPr>
        <w:t>1</w:t>
      </w:r>
      <w:r w:rsidR="00992C67" w:rsidRPr="00735C06">
        <w:rPr>
          <w:rFonts w:cs="Arial"/>
          <w:lang w:val="en-GB"/>
        </w:rPr>
        <w:t>8</w:t>
      </w:r>
      <w:r w:rsidRPr="00735C06">
        <w:rPr>
          <w:rFonts w:cs="Arial"/>
          <w:lang w:val="en-GB"/>
        </w:rPr>
        <w:tab/>
      </w:r>
      <w:r w:rsidR="005B19AB" w:rsidRPr="00735C06">
        <w:rPr>
          <w:rFonts w:cs="Arial"/>
          <w:lang w:val="en-GB"/>
        </w:rPr>
        <w:t>R</w:t>
      </w:r>
      <w:r w:rsidR="00C76C5B" w:rsidRPr="00735C06">
        <w:rPr>
          <w:rFonts w:cs="Arial"/>
          <w:lang w:val="en-GB"/>
        </w:rPr>
        <w:t>isks</w:t>
      </w:r>
      <w:r w:rsidR="005B19AB" w:rsidRPr="00735C06">
        <w:rPr>
          <w:rFonts w:cs="Arial"/>
          <w:lang w:val="en-GB"/>
        </w:rPr>
        <w:t xml:space="preserve"> and accountability</w:t>
      </w:r>
      <w:r w:rsidR="00C76C5B" w:rsidRPr="00735C06">
        <w:rPr>
          <w:rFonts w:cs="Arial"/>
          <w:lang w:val="en-GB"/>
        </w:rPr>
        <w:t xml:space="preserve"> between the funding partner</w:t>
      </w:r>
      <w:r w:rsidR="00C05B6F" w:rsidRPr="00735C06">
        <w:rPr>
          <w:rFonts w:cs="Arial"/>
          <w:lang w:val="en-GB"/>
        </w:rPr>
        <w:t xml:space="preserve"> (wh</w:t>
      </w:r>
      <w:r w:rsidR="0015794D" w:rsidRPr="00735C06">
        <w:rPr>
          <w:rFonts w:cs="Arial"/>
          <w:lang w:val="en-GB"/>
        </w:rPr>
        <w:t xml:space="preserve">ich may be </w:t>
      </w:r>
      <w:r w:rsidR="00C05B6F" w:rsidRPr="00735C06">
        <w:rPr>
          <w:rFonts w:cs="Arial"/>
          <w:lang w:val="en-GB"/>
        </w:rPr>
        <w:t>the programme government)</w:t>
      </w:r>
      <w:r w:rsidR="00C76C5B" w:rsidRPr="00735C06">
        <w:rPr>
          <w:rFonts w:cs="Arial"/>
          <w:lang w:val="en-GB"/>
        </w:rPr>
        <w:t xml:space="preserve">, </w:t>
      </w:r>
      <w:r w:rsidR="0015794D" w:rsidRPr="00735C06">
        <w:rPr>
          <w:rFonts w:cs="Arial"/>
          <w:lang w:val="en-GB"/>
        </w:rPr>
        <w:t xml:space="preserve">the </w:t>
      </w:r>
      <w:r w:rsidR="00C76C5B" w:rsidRPr="00735C06">
        <w:rPr>
          <w:rFonts w:cs="Arial"/>
          <w:lang w:val="en-GB"/>
        </w:rPr>
        <w:t xml:space="preserve">programme government </w:t>
      </w:r>
      <w:r w:rsidR="00F417E1" w:rsidRPr="00735C06">
        <w:rPr>
          <w:rFonts w:cs="Arial"/>
          <w:lang w:val="en-GB"/>
        </w:rPr>
        <w:t>(</w:t>
      </w:r>
      <w:r w:rsidR="0015794D" w:rsidRPr="00735C06">
        <w:rPr>
          <w:rFonts w:cs="Arial"/>
          <w:lang w:val="en-GB"/>
        </w:rPr>
        <w:t>as the recipient or ultimate beneficiary of services</w:t>
      </w:r>
      <w:r w:rsidR="00F417E1" w:rsidRPr="00735C06">
        <w:rPr>
          <w:rFonts w:cs="Arial"/>
          <w:lang w:val="en-GB"/>
        </w:rPr>
        <w:t>)</w:t>
      </w:r>
      <w:r w:rsidR="0015794D" w:rsidRPr="00735C06">
        <w:rPr>
          <w:rFonts w:cs="Arial"/>
          <w:lang w:val="en-GB"/>
        </w:rPr>
        <w:t xml:space="preserve"> </w:t>
      </w:r>
      <w:r w:rsidR="00C76C5B" w:rsidRPr="00735C06">
        <w:rPr>
          <w:rFonts w:cs="Arial"/>
          <w:lang w:val="en-GB"/>
        </w:rPr>
        <w:t xml:space="preserve">and UNDP </w:t>
      </w:r>
      <w:r w:rsidR="00C355E1" w:rsidRPr="00735C06">
        <w:rPr>
          <w:rFonts w:cs="Arial"/>
          <w:lang w:val="en-GB"/>
        </w:rPr>
        <w:t>are</w:t>
      </w:r>
      <w:r w:rsidR="00C76C5B" w:rsidRPr="00735C06">
        <w:rPr>
          <w:rFonts w:cs="Arial"/>
          <w:lang w:val="en-GB"/>
        </w:rPr>
        <w:t xml:space="preserve"> </w:t>
      </w:r>
      <w:r w:rsidR="00D22EA5" w:rsidRPr="00735C06">
        <w:rPr>
          <w:rFonts w:cs="Arial"/>
          <w:lang w:val="en-GB"/>
        </w:rPr>
        <w:t>differen</w:t>
      </w:r>
      <w:r w:rsidR="00C76C5B" w:rsidRPr="00735C06">
        <w:rPr>
          <w:rFonts w:cs="Arial"/>
          <w:lang w:val="en-GB"/>
        </w:rPr>
        <w:t>t</w:t>
      </w:r>
      <w:r w:rsidR="00D22EA5" w:rsidRPr="00735C06">
        <w:rPr>
          <w:rFonts w:cs="Arial"/>
          <w:lang w:val="en-GB"/>
        </w:rPr>
        <w:t xml:space="preserve"> between </w:t>
      </w:r>
      <w:r w:rsidR="00B40E2D" w:rsidRPr="00735C06">
        <w:rPr>
          <w:rFonts w:cs="Arial"/>
          <w:lang w:val="en-GB"/>
        </w:rPr>
        <w:t xml:space="preserve">activities under </w:t>
      </w:r>
      <w:r w:rsidR="00C355E1" w:rsidRPr="00735C06">
        <w:rPr>
          <w:rFonts w:cs="Arial"/>
          <w:lang w:val="en-GB"/>
        </w:rPr>
        <w:t>a</w:t>
      </w:r>
      <w:r w:rsidR="00B40E2D" w:rsidRPr="00735C06">
        <w:rPr>
          <w:rFonts w:cs="Arial"/>
          <w:lang w:val="en-GB"/>
        </w:rPr>
        <w:t xml:space="preserve"> </w:t>
      </w:r>
      <w:r w:rsidR="00C05B6F" w:rsidRPr="00735C06">
        <w:rPr>
          <w:rFonts w:cs="Arial"/>
          <w:lang w:val="en-GB"/>
        </w:rPr>
        <w:t xml:space="preserve">UNDP project through a </w:t>
      </w:r>
      <w:r w:rsidR="00B40E2D" w:rsidRPr="00735C06">
        <w:rPr>
          <w:rFonts w:cs="Arial"/>
          <w:lang w:val="en-GB"/>
        </w:rPr>
        <w:t>project document</w:t>
      </w:r>
      <w:r w:rsidR="00C05B6F" w:rsidRPr="00735C06">
        <w:rPr>
          <w:rFonts w:cs="Arial"/>
          <w:lang w:val="en-GB"/>
        </w:rPr>
        <w:t xml:space="preserve"> and programming regime,</w:t>
      </w:r>
      <w:r w:rsidR="00B40E2D" w:rsidRPr="00735C06">
        <w:rPr>
          <w:rFonts w:cs="Arial"/>
          <w:lang w:val="en-GB"/>
        </w:rPr>
        <w:t xml:space="preserve"> and </w:t>
      </w:r>
      <w:r w:rsidR="00C05B6F" w:rsidRPr="00735C06">
        <w:rPr>
          <w:rFonts w:cs="Arial"/>
          <w:lang w:val="en-GB"/>
        </w:rPr>
        <w:t xml:space="preserve">services provided under </w:t>
      </w:r>
      <w:proofErr w:type="gramStart"/>
      <w:r w:rsidR="00C76C5B" w:rsidRPr="00735C06">
        <w:rPr>
          <w:rFonts w:cs="Arial"/>
          <w:lang w:val="en-GB"/>
        </w:rPr>
        <w:t>a</w:t>
      </w:r>
      <w:proofErr w:type="gramEnd"/>
      <w:r w:rsidR="00C76C5B" w:rsidRPr="00735C06">
        <w:rPr>
          <w:rFonts w:cs="Arial"/>
          <w:lang w:val="en-GB"/>
        </w:rPr>
        <w:t xml:space="preserve"> </w:t>
      </w:r>
      <w:r w:rsidR="00D22EA5" w:rsidRPr="00735C06">
        <w:rPr>
          <w:rFonts w:cs="Arial"/>
          <w:lang w:val="en-GB"/>
        </w:rPr>
        <w:t xml:space="preserve">MPS. </w:t>
      </w:r>
      <w:r w:rsidR="00824EC7" w:rsidRPr="00735C06">
        <w:rPr>
          <w:rFonts w:cs="Arial"/>
          <w:lang w:val="en-GB"/>
        </w:rPr>
        <w:t xml:space="preserve">Under an </w:t>
      </w:r>
      <w:r w:rsidR="00D22EA5" w:rsidRPr="00735C06">
        <w:rPr>
          <w:rFonts w:cs="Arial"/>
          <w:lang w:val="en-GB"/>
        </w:rPr>
        <w:t>MPS</w:t>
      </w:r>
      <w:r w:rsidR="00824EC7" w:rsidRPr="00735C06">
        <w:rPr>
          <w:rFonts w:cs="Arial"/>
          <w:lang w:val="en-GB"/>
        </w:rPr>
        <w:t xml:space="preserve"> agreement</w:t>
      </w:r>
      <w:r w:rsidR="00B40E2D" w:rsidRPr="00735C06">
        <w:rPr>
          <w:rFonts w:cs="Arial"/>
          <w:lang w:val="en-GB"/>
        </w:rPr>
        <w:t>,</w:t>
      </w:r>
      <w:r w:rsidR="00D22EA5" w:rsidRPr="00735C06">
        <w:rPr>
          <w:rFonts w:cs="Arial"/>
          <w:lang w:val="en-GB"/>
        </w:rPr>
        <w:t xml:space="preserve"> the accountability for each service provided is defined in advance in the MPS</w:t>
      </w:r>
      <w:r w:rsidR="00B40E2D" w:rsidRPr="00735C06">
        <w:rPr>
          <w:rFonts w:cs="Arial"/>
          <w:lang w:val="en-GB"/>
        </w:rPr>
        <w:t xml:space="preserve"> </w:t>
      </w:r>
      <w:r w:rsidR="00C355E1" w:rsidRPr="00735C06">
        <w:rPr>
          <w:rFonts w:cs="Arial"/>
          <w:lang w:val="en-GB"/>
        </w:rPr>
        <w:t>agreement</w:t>
      </w:r>
      <w:r w:rsidR="00D22EA5" w:rsidRPr="00735C06">
        <w:rPr>
          <w:rFonts w:cs="Arial"/>
          <w:lang w:val="en-GB"/>
        </w:rPr>
        <w:t xml:space="preserve">, and UNDP’s responsibility is </w:t>
      </w:r>
      <w:r w:rsidR="00AF638C" w:rsidRPr="00735C06">
        <w:rPr>
          <w:rFonts w:cs="Arial"/>
          <w:lang w:val="en-GB"/>
        </w:rPr>
        <w:t xml:space="preserve">restricted to delivering the activities related to </w:t>
      </w:r>
      <w:r w:rsidR="00D22EA5" w:rsidRPr="00735C06">
        <w:rPr>
          <w:rFonts w:cs="Arial"/>
          <w:lang w:val="en-GB"/>
        </w:rPr>
        <w:t xml:space="preserve">the provision of </w:t>
      </w:r>
      <w:r w:rsidR="00AF638C" w:rsidRPr="00735C06">
        <w:rPr>
          <w:rFonts w:cs="Arial"/>
          <w:lang w:val="en-GB"/>
        </w:rPr>
        <w:t xml:space="preserve">specified </w:t>
      </w:r>
      <w:r w:rsidR="00D22EA5" w:rsidRPr="00735C06">
        <w:rPr>
          <w:rFonts w:cs="Arial"/>
          <w:lang w:val="en-GB"/>
        </w:rPr>
        <w:t xml:space="preserve">services alone - and not </w:t>
      </w:r>
      <w:r w:rsidR="000C5B18" w:rsidRPr="00735C06">
        <w:rPr>
          <w:rFonts w:cs="Arial"/>
          <w:lang w:val="en-GB"/>
        </w:rPr>
        <w:t>the development results</w:t>
      </w:r>
      <w:r w:rsidR="00EE5937" w:rsidRPr="00735C06">
        <w:rPr>
          <w:rFonts w:cs="Arial"/>
          <w:lang w:val="en-GB"/>
        </w:rPr>
        <w:t xml:space="preserve"> (outputs and outcomes.)</w:t>
      </w:r>
      <w:r w:rsidR="000C5B18" w:rsidRPr="00735C06">
        <w:rPr>
          <w:rFonts w:cs="Arial"/>
          <w:lang w:val="en-GB"/>
        </w:rPr>
        <w:t xml:space="preserve"> </w:t>
      </w:r>
      <w:r w:rsidR="00F81A74" w:rsidRPr="00735C06">
        <w:rPr>
          <w:rFonts w:cs="Arial"/>
          <w:lang w:val="en-GB"/>
        </w:rPr>
        <w:t xml:space="preserve">Should accountability be required for achieving a </w:t>
      </w:r>
      <w:r w:rsidR="00EE5937" w:rsidRPr="00735C06">
        <w:rPr>
          <w:rFonts w:cs="Arial"/>
          <w:lang w:val="en-GB"/>
        </w:rPr>
        <w:t>d</w:t>
      </w:r>
      <w:r w:rsidR="00F81A74" w:rsidRPr="00735C06">
        <w:rPr>
          <w:rFonts w:cs="Arial"/>
          <w:lang w:val="en-GB"/>
        </w:rPr>
        <w:t xml:space="preserve">evelopment </w:t>
      </w:r>
      <w:r w:rsidR="00EE5937" w:rsidRPr="00735C06">
        <w:rPr>
          <w:rFonts w:cs="Arial"/>
          <w:lang w:val="en-GB"/>
        </w:rPr>
        <w:t>o</w:t>
      </w:r>
      <w:r w:rsidR="00F81A74" w:rsidRPr="00735C06">
        <w:rPr>
          <w:rFonts w:cs="Arial"/>
          <w:lang w:val="en-GB"/>
        </w:rPr>
        <w:t xml:space="preserve">utput, then the activity should not be undertaken within </w:t>
      </w:r>
      <w:proofErr w:type="gramStart"/>
      <w:r w:rsidR="00F81A74" w:rsidRPr="00735C06">
        <w:rPr>
          <w:rFonts w:cs="Arial"/>
          <w:lang w:val="en-GB"/>
        </w:rPr>
        <w:t>a</w:t>
      </w:r>
      <w:proofErr w:type="gramEnd"/>
      <w:r w:rsidR="00F81A74" w:rsidRPr="00735C06">
        <w:rPr>
          <w:rFonts w:cs="Arial"/>
          <w:lang w:val="en-GB"/>
        </w:rPr>
        <w:t xml:space="preserve"> MPS</w:t>
      </w:r>
      <w:r w:rsidR="00C05B6F" w:rsidRPr="00735C06">
        <w:rPr>
          <w:rFonts w:cs="Arial"/>
          <w:lang w:val="en-GB"/>
        </w:rPr>
        <w:t>, but rather as a UNDP project following the procedures and processes for developing projects</w:t>
      </w:r>
      <w:r w:rsidR="00F81A74" w:rsidRPr="00735C06">
        <w:rPr>
          <w:rFonts w:cs="Arial"/>
          <w:lang w:val="en-GB"/>
        </w:rPr>
        <w:t xml:space="preserve">. </w:t>
      </w:r>
    </w:p>
    <w:p w14:paraId="24A867E3" w14:textId="77777777" w:rsidR="00DF06D7" w:rsidRPr="00735C06" w:rsidRDefault="00DF06D7" w:rsidP="00DF06D7">
      <w:pPr>
        <w:tabs>
          <w:tab w:val="left" w:pos="720"/>
        </w:tabs>
        <w:spacing w:after="0"/>
        <w:jc w:val="both"/>
        <w:rPr>
          <w:rFonts w:cs="Arial"/>
          <w:lang w:val="en-GB"/>
        </w:rPr>
      </w:pPr>
    </w:p>
    <w:p w14:paraId="769E0DD9" w14:textId="77777777" w:rsidR="006C16C3" w:rsidRPr="00735C06" w:rsidRDefault="006C16C3" w:rsidP="006C16C3">
      <w:pPr>
        <w:rPr>
          <w:rFonts w:cs="Arial"/>
          <w:b/>
        </w:rPr>
      </w:pPr>
      <w:r w:rsidRPr="00735C06">
        <w:rPr>
          <w:rFonts w:cs="Arial"/>
          <w:b/>
        </w:rPr>
        <w:t>Reporting</w:t>
      </w:r>
    </w:p>
    <w:p w14:paraId="28862B74" w14:textId="4D2AAF88" w:rsidR="006C16C3" w:rsidRPr="00735C06" w:rsidRDefault="007E1D1E" w:rsidP="006C16C3">
      <w:pPr>
        <w:rPr>
          <w:rFonts w:cs="Arial"/>
        </w:rPr>
      </w:pPr>
      <w:r w:rsidRPr="00735C06">
        <w:rPr>
          <w:rFonts w:cs="Arial"/>
        </w:rPr>
        <w:t>4.</w:t>
      </w:r>
      <w:r w:rsidR="00992C67" w:rsidRPr="00735C06">
        <w:rPr>
          <w:rFonts w:cs="Arial"/>
        </w:rPr>
        <w:t>19</w:t>
      </w:r>
      <w:r w:rsidRPr="00735C06">
        <w:rPr>
          <w:rFonts w:cs="Arial"/>
        </w:rPr>
        <w:tab/>
      </w:r>
      <w:r w:rsidR="006C16C3" w:rsidRPr="00735C06">
        <w:rPr>
          <w:rFonts w:cs="Arial"/>
        </w:rPr>
        <w:t xml:space="preserve">An annual final financial </w:t>
      </w:r>
      <w:r w:rsidR="003F4823" w:rsidRPr="00735C06">
        <w:rPr>
          <w:rFonts w:cs="Arial"/>
        </w:rPr>
        <w:t>report</w:t>
      </w:r>
      <w:r w:rsidR="006C16C3" w:rsidRPr="00735C06">
        <w:rPr>
          <w:rFonts w:cs="Arial"/>
        </w:rPr>
        <w:t xml:space="preserve"> shall be submitted to the </w:t>
      </w:r>
      <w:r w:rsidR="00C05B6F" w:rsidRPr="00735C06">
        <w:rPr>
          <w:rFonts w:cs="Arial"/>
        </w:rPr>
        <w:t xml:space="preserve">funding partner (if it is not the programme government) </w:t>
      </w:r>
      <w:r w:rsidR="006C16C3" w:rsidRPr="00735C06">
        <w:rPr>
          <w:rFonts w:cs="Arial"/>
        </w:rPr>
        <w:t xml:space="preserve">and </w:t>
      </w:r>
      <w:r w:rsidR="00C05B6F" w:rsidRPr="00735C06">
        <w:rPr>
          <w:rFonts w:cs="Arial"/>
        </w:rPr>
        <w:t>the programme government</w:t>
      </w:r>
      <w:r w:rsidR="006C16C3" w:rsidRPr="00735C06">
        <w:rPr>
          <w:rFonts w:cs="Arial"/>
        </w:rPr>
        <w:t xml:space="preserve">, in accordance with the format given in Appendix IV </w:t>
      </w:r>
      <w:r w:rsidR="00606620" w:rsidRPr="00735C06">
        <w:rPr>
          <w:rFonts w:cs="Arial"/>
        </w:rPr>
        <w:t xml:space="preserve">on Final Financial Statement </w:t>
      </w:r>
      <w:r w:rsidR="006C16C3" w:rsidRPr="00735C06">
        <w:rPr>
          <w:rFonts w:cs="Arial"/>
        </w:rPr>
        <w:t xml:space="preserve">of the </w:t>
      </w:r>
      <w:r w:rsidR="00606620" w:rsidRPr="00735C06">
        <w:rPr>
          <w:rFonts w:cs="Arial"/>
        </w:rPr>
        <w:t xml:space="preserve">MPS Agreement </w:t>
      </w:r>
      <w:r w:rsidR="006C16C3" w:rsidRPr="00735C06">
        <w:rPr>
          <w:rFonts w:cs="Arial"/>
        </w:rPr>
        <w:t>Template.</w:t>
      </w:r>
    </w:p>
    <w:p w14:paraId="3E3DD117" w14:textId="7B159726" w:rsidR="006C16C3" w:rsidRPr="00735C06" w:rsidRDefault="007E1D1E" w:rsidP="006C16C3">
      <w:pPr>
        <w:tabs>
          <w:tab w:val="left" w:pos="720"/>
        </w:tabs>
        <w:spacing w:after="0"/>
        <w:jc w:val="both"/>
        <w:rPr>
          <w:rFonts w:cs="Arial"/>
        </w:rPr>
      </w:pPr>
      <w:r w:rsidRPr="00735C06">
        <w:rPr>
          <w:rFonts w:cs="Arial"/>
        </w:rPr>
        <w:t>4.2</w:t>
      </w:r>
      <w:r w:rsidR="00992C67" w:rsidRPr="00735C06">
        <w:rPr>
          <w:rFonts w:cs="Arial"/>
        </w:rPr>
        <w:t>0</w:t>
      </w:r>
      <w:r w:rsidRPr="00735C06">
        <w:rPr>
          <w:rFonts w:cs="Arial"/>
        </w:rPr>
        <w:tab/>
      </w:r>
      <w:r w:rsidR="006C16C3" w:rsidRPr="00735C06">
        <w:rPr>
          <w:rFonts w:cs="Arial"/>
        </w:rPr>
        <w:t xml:space="preserve">If special circumstances warrant, UNDP may provide more frequent reporting at the expense of the </w:t>
      </w:r>
      <w:r w:rsidR="00C05B6F" w:rsidRPr="00735C06">
        <w:rPr>
          <w:rFonts w:cs="Arial"/>
        </w:rPr>
        <w:t>f</w:t>
      </w:r>
      <w:r w:rsidR="006C16C3" w:rsidRPr="00735C06">
        <w:rPr>
          <w:rFonts w:cs="Arial"/>
        </w:rPr>
        <w:t xml:space="preserve">unding </w:t>
      </w:r>
      <w:r w:rsidR="00C05B6F" w:rsidRPr="00735C06">
        <w:rPr>
          <w:rFonts w:cs="Arial"/>
        </w:rPr>
        <w:t>partner</w:t>
      </w:r>
      <w:r w:rsidR="006C16C3" w:rsidRPr="00735C06">
        <w:rPr>
          <w:rFonts w:cs="Arial"/>
        </w:rPr>
        <w:t>. The nature and frequency of this reporting shall be detailed in an annex to th</w:t>
      </w:r>
      <w:r w:rsidR="00C05B6F" w:rsidRPr="00735C06">
        <w:rPr>
          <w:rFonts w:cs="Arial"/>
        </w:rPr>
        <w:t>e</w:t>
      </w:r>
      <w:r w:rsidR="006C16C3" w:rsidRPr="00735C06">
        <w:rPr>
          <w:rFonts w:cs="Arial"/>
        </w:rPr>
        <w:t xml:space="preserve"> </w:t>
      </w:r>
      <w:r w:rsidR="00C05B6F" w:rsidRPr="00735C06">
        <w:rPr>
          <w:rFonts w:cs="Arial"/>
        </w:rPr>
        <w:t>MPS</w:t>
      </w:r>
      <w:r w:rsidR="005117CB" w:rsidRPr="00735C06">
        <w:rPr>
          <w:rFonts w:cs="Arial"/>
        </w:rPr>
        <w:t>,</w:t>
      </w:r>
      <w:r w:rsidR="00C05B6F" w:rsidRPr="00735C06">
        <w:rPr>
          <w:rFonts w:cs="Arial"/>
        </w:rPr>
        <w:t xml:space="preserve"> and </w:t>
      </w:r>
      <w:r w:rsidR="005117CB" w:rsidRPr="00735C06">
        <w:rPr>
          <w:rFonts w:cs="Arial"/>
        </w:rPr>
        <w:t>the cost of which incorporated as a direct cost with</w:t>
      </w:r>
      <w:r w:rsidR="00C05B6F" w:rsidRPr="00735C06">
        <w:rPr>
          <w:rFonts w:cs="Arial"/>
        </w:rPr>
        <w:t>in the budget</w:t>
      </w:r>
      <w:r w:rsidR="006C16C3" w:rsidRPr="00735C06">
        <w:rPr>
          <w:rFonts w:cs="Arial"/>
        </w:rPr>
        <w:t>.</w:t>
      </w:r>
    </w:p>
    <w:p w14:paraId="648B31ED" w14:textId="77777777" w:rsidR="00C03740" w:rsidRPr="00735C06" w:rsidRDefault="00C03740" w:rsidP="006C16C3">
      <w:pPr>
        <w:tabs>
          <w:tab w:val="left" w:pos="720"/>
        </w:tabs>
        <w:spacing w:after="0"/>
        <w:jc w:val="both"/>
        <w:rPr>
          <w:rFonts w:cs="Arial"/>
        </w:rPr>
      </w:pPr>
    </w:p>
    <w:p w14:paraId="4B073161" w14:textId="187A7892" w:rsidR="00C03740" w:rsidRPr="00735C06" w:rsidRDefault="007E1D1E" w:rsidP="006C16C3">
      <w:pPr>
        <w:tabs>
          <w:tab w:val="left" w:pos="720"/>
        </w:tabs>
        <w:spacing w:after="0"/>
        <w:jc w:val="both"/>
        <w:rPr>
          <w:rFonts w:cs="Arial"/>
          <w:lang w:val="en-GB"/>
        </w:rPr>
      </w:pPr>
      <w:r w:rsidRPr="00735C06">
        <w:rPr>
          <w:rFonts w:cs="Arial"/>
        </w:rPr>
        <w:lastRenderedPageBreak/>
        <w:t>4.</w:t>
      </w:r>
      <w:r w:rsidR="005E12A3" w:rsidRPr="00735C06">
        <w:rPr>
          <w:rFonts w:cs="Arial"/>
        </w:rPr>
        <w:t>2</w:t>
      </w:r>
      <w:r w:rsidR="00992C67" w:rsidRPr="00735C06">
        <w:rPr>
          <w:rFonts w:cs="Arial"/>
        </w:rPr>
        <w:t>1</w:t>
      </w:r>
      <w:r w:rsidRPr="00735C06">
        <w:rPr>
          <w:rFonts w:cs="Arial"/>
        </w:rPr>
        <w:tab/>
      </w:r>
      <w:r w:rsidR="00C03740" w:rsidRPr="00735C06">
        <w:rPr>
          <w:rFonts w:cs="Arial"/>
        </w:rPr>
        <w:t xml:space="preserve">If the services provided </w:t>
      </w:r>
      <w:r w:rsidR="002F0A5B" w:rsidRPr="00735C06">
        <w:rPr>
          <w:rFonts w:cs="Arial"/>
        </w:rPr>
        <w:t xml:space="preserve">through </w:t>
      </w:r>
      <w:proofErr w:type="gramStart"/>
      <w:r w:rsidR="002F0A5B" w:rsidRPr="00735C06">
        <w:rPr>
          <w:rFonts w:cs="Arial"/>
        </w:rPr>
        <w:t>a MPS</w:t>
      </w:r>
      <w:proofErr w:type="gramEnd"/>
      <w:r w:rsidR="002F0A5B" w:rsidRPr="00735C06">
        <w:rPr>
          <w:rFonts w:cs="Arial"/>
        </w:rPr>
        <w:t xml:space="preserve"> have a significant contribution to outcome level </w:t>
      </w:r>
      <w:r w:rsidR="00EE5937" w:rsidRPr="00735C06">
        <w:rPr>
          <w:rFonts w:cs="Arial"/>
        </w:rPr>
        <w:t>progress</w:t>
      </w:r>
      <w:r w:rsidR="002F0A5B" w:rsidRPr="00735C06">
        <w:rPr>
          <w:rFonts w:cs="Arial"/>
        </w:rPr>
        <w:t xml:space="preserve"> </w:t>
      </w:r>
      <w:r w:rsidR="00772AAE" w:rsidRPr="00735C06">
        <w:rPr>
          <w:rFonts w:cs="Arial"/>
        </w:rPr>
        <w:t>then</w:t>
      </w:r>
      <w:r w:rsidR="002F0A5B" w:rsidRPr="00735C06">
        <w:rPr>
          <w:rFonts w:cs="Arial"/>
        </w:rPr>
        <w:t xml:space="preserve"> t</w:t>
      </w:r>
      <w:r w:rsidR="00C03740" w:rsidRPr="00735C06">
        <w:rPr>
          <w:rFonts w:cs="Arial"/>
        </w:rPr>
        <w:t>he results to w</w:t>
      </w:r>
      <w:r w:rsidR="002F0A5B" w:rsidRPr="00735C06">
        <w:rPr>
          <w:rFonts w:cs="Arial"/>
        </w:rPr>
        <w:t xml:space="preserve">hich the services contribute </w:t>
      </w:r>
      <w:r w:rsidR="00C03740" w:rsidRPr="00735C06">
        <w:rPr>
          <w:rFonts w:cs="Arial"/>
        </w:rPr>
        <w:t xml:space="preserve">should be reported in the </w:t>
      </w:r>
      <w:r w:rsidR="005117CB" w:rsidRPr="00735C06">
        <w:rPr>
          <w:rFonts w:cs="Arial"/>
        </w:rPr>
        <w:t>Results Oriented Annual Report (</w:t>
      </w:r>
      <w:r w:rsidR="00C03740" w:rsidRPr="00735C06">
        <w:rPr>
          <w:rFonts w:cs="Arial"/>
        </w:rPr>
        <w:t>ROAR</w:t>
      </w:r>
      <w:r w:rsidR="005117CB" w:rsidRPr="00735C06">
        <w:rPr>
          <w:rFonts w:cs="Arial"/>
        </w:rPr>
        <w:t>)</w:t>
      </w:r>
      <w:r w:rsidR="00C03740" w:rsidRPr="00735C06">
        <w:rPr>
          <w:rFonts w:cs="Arial"/>
        </w:rPr>
        <w:t>, as relevant.</w:t>
      </w:r>
    </w:p>
    <w:p w14:paraId="6DFE3FBC" w14:textId="2D703CB3" w:rsidR="00C05B6F" w:rsidRPr="00735C06" w:rsidRDefault="00AC71F1" w:rsidP="007B5B40">
      <w:pPr>
        <w:rPr>
          <w:rFonts w:cs="Arial"/>
          <w:b/>
          <w:bCs/>
        </w:rPr>
      </w:pPr>
      <w:r w:rsidRPr="00735C06">
        <w:rPr>
          <w:rFonts w:cs="Arial"/>
        </w:rPr>
        <w:br/>
      </w:r>
      <w:r w:rsidR="007E1D1E" w:rsidRPr="00735C06">
        <w:rPr>
          <w:rFonts w:cs="Arial"/>
          <w:b/>
          <w:bCs/>
        </w:rPr>
        <w:t>5.0</w:t>
      </w:r>
      <w:r w:rsidR="007E1D1E" w:rsidRPr="00735C06">
        <w:rPr>
          <w:rFonts w:cs="Arial"/>
          <w:b/>
          <w:bCs/>
        </w:rPr>
        <w:tab/>
      </w:r>
      <w:r w:rsidR="00C05B6F" w:rsidRPr="00735C06">
        <w:rPr>
          <w:rFonts w:cs="Arial"/>
          <w:b/>
          <w:bCs/>
        </w:rPr>
        <w:t>Roles and Responsibilities, Exceptions and Clearances; Risk Management</w:t>
      </w:r>
    </w:p>
    <w:p w14:paraId="4DE005E8" w14:textId="77777777" w:rsidR="00AC71F1" w:rsidRPr="00735C06" w:rsidRDefault="00AC71F1" w:rsidP="007B5B40">
      <w:pPr>
        <w:rPr>
          <w:rFonts w:cs="Arial"/>
          <w:b/>
          <w:bCs/>
        </w:rPr>
      </w:pPr>
      <w:r w:rsidRPr="00735C06">
        <w:rPr>
          <w:rFonts w:cs="Arial"/>
          <w:b/>
          <w:bCs/>
        </w:rPr>
        <w:t>Roles and Responsibilities</w:t>
      </w:r>
    </w:p>
    <w:tbl>
      <w:tblPr>
        <w:tblStyle w:val="TableGrid"/>
        <w:tblW w:w="9895" w:type="dxa"/>
        <w:tblLook w:val="04A0" w:firstRow="1" w:lastRow="0" w:firstColumn="1" w:lastColumn="0" w:noHBand="0" w:noVBand="1"/>
      </w:tblPr>
      <w:tblGrid>
        <w:gridCol w:w="445"/>
        <w:gridCol w:w="5490"/>
        <w:gridCol w:w="3960"/>
      </w:tblGrid>
      <w:tr w:rsidR="00EC5981" w:rsidRPr="00735C06" w14:paraId="3D5E172B" w14:textId="77777777" w:rsidTr="00EC5981">
        <w:tc>
          <w:tcPr>
            <w:tcW w:w="445" w:type="dxa"/>
          </w:tcPr>
          <w:p w14:paraId="264F83CD" w14:textId="77777777" w:rsidR="00EC5981" w:rsidRPr="00735C06" w:rsidRDefault="00EC5981" w:rsidP="00773446">
            <w:pPr>
              <w:pStyle w:val="EndnoteText"/>
              <w:rPr>
                <w:rFonts w:cs="Arial"/>
                <w:sz w:val="22"/>
                <w:szCs w:val="22"/>
              </w:rPr>
            </w:pPr>
            <w:r w:rsidRPr="00735C06">
              <w:rPr>
                <w:rFonts w:cs="Arial"/>
                <w:sz w:val="22"/>
                <w:szCs w:val="22"/>
              </w:rPr>
              <w:t>#</w:t>
            </w:r>
          </w:p>
        </w:tc>
        <w:tc>
          <w:tcPr>
            <w:tcW w:w="5490" w:type="dxa"/>
          </w:tcPr>
          <w:p w14:paraId="5380263D" w14:textId="77777777" w:rsidR="00EC5981" w:rsidRPr="00735C06" w:rsidRDefault="00EC5981" w:rsidP="00773446">
            <w:pPr>
              <w:pStyle w:val="EndnoteText"/>
              <w:rPr>
                <w:rFonts w:cs="Arial"/>
                <w:sz w:val="22"/>
                <w:szCs w:val="22"/>
              </w:rPr>
            </w:pPr>
            <w:r w:rsidRPr="00735C06">
              <w:rPr>
                <w:rFonts w:cs="Arial"/>
                <w:sz w:val="22"/>
                <w:szCs w:val="22"/>
              </w:rPr>
              <w:t>Item</w:t>
            </w:r>
          </w:p>
        </w:tc>
        <w:tc>
          <w:tcPr>
            <w:tcW w:w="3960" w:type="dxa"/>
          </w:tcPr>
          <w:p w14:paraId="7647D909" w14:textId="77777777" w:rsidR="00EC5981" w:rsidRPr="00735C06" w:rsidRDefault="00EC5981" w:rsidP="00773446">
            <w:pPr>
              <w:pStyle w:val="EndnoteText"/>
              <w:rPr>
                <w:rFonts w:cs="Arial"/>
                <w:sz w:val="22"/>
                <w:szCs w:val="22"/>
              </w:rPr>
            </w:pPr>
            <w:r w:rsidRPr="00735C06">
              <w:rPr>
                <w:rFonts w:cs="Arial"/>
                <w:sz w:val="22"/>
                <w:szCs w:val="22"/>
              </w:rPr>
              <w:t>Person/Unit Responsible</w:t>
            </w:r>
          </w:p>
        </w:tc>
      </w:tr>
      <w:tr w:rsidR="00EC5981" w:rsidRPr="00735C06" w14:paraId="75254AB9" w14:textId="77777777" w:rsidTr="00EC5981">
        <w:tc>
          <w:tcPr>
            <w:tcW w:w="445" w:type="dxa"/>
          </w:tcPr>
          <w:p w14:paraId="5DABB1D9" w14:textId="77777777" w:rsidR="00EC5981" w:rsidRPr="00735C06" w:rsidRDefault="00EC5981" w:rsidP="00773446">
            <w:pPr>
              <w:pStyle w:val="EndnoteText"/>
              <w:rPr>
                <w:rFonts w:cs="Arial"/>
                <w:sz w:val="22"/>
                <w:szCs w:val="22"/>
              </w:rPr>
            </w:pPr>
            <w:r w:rsidRPr="00735C06">
              <w:rPr>
                <w:rFonts w:cs="Arial"/>
                <w:sz w:val="22"/>
                <w:szCs w:val="22"/>
              </w:rPr>
              <w:t>1</w:t>
            </w:r>
          </w:p>
        </w:tc>
        <w:tc>
          <w:tcPr>
            <w:tcW w:w="5490" w:type="dxa"/>
          </w:tcPr>
          <w:p w14:paraId="1ED2BAE2" w14:textId="77777777" w:rsidR="00EC5981" w:rsidRPr="00735C06" w:rsidRDefault="00085CD2" w:rsidP="00085CD2">
            <w:pPr>
              <w:pStyle w:val="EndnoteText"/>
              <w:rPr>
                <w:rFonts w:cs="Arial"/>
                <w:sz w:val="22"/>
                <w:szCs w:val="22"/>
              </w:rPr>
            </w:pPr>
            <w:r w:rsidRPr="00735C06">
              <w:rPr>
                <w:rFonts w:cs="Arial"/>
                <w:sz w:val="22"/>
                <w:szCs w:val="22"/>
              </w:rPr>
              <w:t>Risk assessment (including SESP when required) and s</w:t>
            </w:r>
            <w:r w:rsidR="00EC5981" w:rsidRPr="00735C06">
              <w:rPr>
                <w:rFonts w:cs="Arial"/>
                <w:sz w:val="22"/>
                <w:szCs w:val="22"/>
              </w:rPr>
              <w:t xml:space="preserve">igning of MPS agreements </w:t>
            </w:r>
          </w:p>
        </w:tc>
        <w:tc>
          <w:tcPr>
            <w:tcW w:w="3960" w:type="dxa"/>
          </w:tcPr>
          <w:p w14:paraId="15583CE8" w14:textId="77777777" w:rsidR="00EC5981" w:rsidRPr="00735C06" w:rsidRDefault="000E3E58" w:rsidP="00773446">
            <w:pPr>
              <w:pStyle w:val="EndnoteText"/>
              <w:rPr>
                <w:rFonts w:cs="Arial"/>
                <w:sz w:val="22"/>
                <w:szCs w:val="22"/>
              </w:rPr>
            </w:pPr>
            <w:r w:rsidRPr="00735C06">
              <w:rPr>
                <w:rFonts w:cs="Arial"/>
                <w:sz w:val="22"/>
                <w:szCs w:val="22"/>
              </w:rPr>
              <w:t>Resident Representative</w:t>
            </w:r>
            <w:r w:rsidR="00EE5937" w:rsidRPr="00735C06">
              <w:rPr>
                <w:rFonts w:cs="Arial"/>
                <w:sz w:val="22"/>
                <w:szCs w:val="22"/>
              </w:rPr>
              <w:t xml:space="preserve"> or Regional Hub Director</w:t>
            </w:r>
          </w:p>
        </w:tc>
      </w:tr>
      <w:tr w:rsidR="00EC5981" w:rsidRPr="00735C06" w14:paraId="21F8554A" w14:textId="77777777" w:rsidTr="00EC5981">
        <w:tc>
          <w:tcPr>
            <w:tcW w:w="445" w:type="dxa"/>
          </w:tcPr>
          <w:p w14:paraId="32B08F1F" w14:textId="77777777" w:rsidR="00EC5981" w:rsidRPr="00735C06" w:rsidRDefault="00EC5981" w:rsidP="006C240D">
            <w:pPr>
              <w:pStyle w:val="EndnoteText"/>
              <w:rPr>
                <w:rFonts w:cs="Arial"/>
                <w:sz w:val="22"/>
                <w:szCs w:val="22"/>
              </w:rPr>
            </w:pPr>
            <w:r w:rsidRPr="00735C06">
              <w:rPr>
                <w:rFonts w:cs="Arial"/>
                <w:sz w:val="22"/>
                <w:szCs w:val="22"/>
              </w:rPr>
              <w:t>2</w:t>
            </w:r>
          </w:p>
        </w:tc>
        <w:tc>
          <w:tcPr>
            <w:tcW w:w="5490" w:type="dxa"/>
          </w:tcPr>
          <w:p w14:paraId="3A6F721A" w14:textId="77777777" w:rsidR="00EC5981" w:rsidRPr="00735C06" w:rsidRDefault="00EC5981" w:rsidP="00773446">
            <w:pPr>
              <w:pStyle w:val="EndnoteText"/>
              <w:rPr>
                <w:rFonts w:cs="Arial"/>
                <w:sz w:val="22"/>
                <w:szCs w:val="22"/>
              </w:rPr>
            </w:pPr>
            <w:r w:rsidRPr="00735C06">
              <w:rPr>
                <w:rFonts w:cs="Arial"/>
                <w:sz w:val="22"/>
                <w:szCs w:val="22"/>
              </w:rPr>
              <w:t xml:space="preserve">Advance Clearance on </w:t>
            </w:r>
            <w:r w:rsidR="00962B7B" w:rsidRPr="00735C06">
              <w:rPr>
                <w:rFonts w:cs="Arial"/>
                <w:sz w:val="22"/>
                <w:szCs w:val="22"/>
              </w:rPr>
              <w:t>C</w:t>
            </w:r>
            <w:r w:rsidRPr="00735C06">
              <w:rPr>
                <w:rFonts w:cs="Arial"/>
                <w:sz w:val="22"/>
                <w:szCs w:val="22"/>
              </w:rPr>
              <w:t>hanges to GMS Distribution</w:t>
            </w:r>
          </w:p>
        </w:tc>
        <w:tc>
          <w:tcPr>
            <w:tcW w:w="3960" w:type="dxa"/>
          </w:tcPr>
          <w:p w14:paraId="6079211E" w14:textId="3092C8B2" w:rsidR="00EC5981" w:rsidRPr="00735C06" w:rsidRDefault="00EC5981" w:rsidP="00773446">
            <w:pPr>
              <w:pStyle w:val="EndnoteText"/>
              <w:rPr>
                <w:rFonts w:cs="Arial"/>
                <w:sz w:val="22"/>
                <w:szCs w:val="22"/>
              </w:rPr>
            </w:pPr>
            <w:r w:rsidRPr="00735C06">
              <w:rPr>
                <w:rFonts w:cs="Arial"/>
                <w:sz w:val="22"/>
                <w:szCs w:val="22"/>
              </w:rPr>
              <w:t>Regional Bureau</w:t>
            </w:r>
            <w:r w:rsidR="000E3E58" w:rsidRPr="00735C06">
              <w:rPr>
                <w:rFonts w:cs="Arial"/>
                <w:sz w:val="22"/>
                <w:szCs w:val="22"/>
              </w:rPr>
              <w:t xml:space="preserve">, </w:t>
            </w:r>
            <w:r w:rsidR="00A44D10" w:rsidRPr="00735C06">
              <w:rPr>
                <w:rFonts w:cs="Arial"/>
                <w:sz w:val="22"/>
                <w:szCs w:val="22"/>
              </w:rPr>
              <w:t>BMS/</w:t>
            </w:r>
            <w:r w:rsidR="000E3E58" w:rsidRPr="00735C06">
              <w:rPr>
                <w:rFonts w:cs="Arial"/>
                <w:sz w:val="22"/>
                <w:szCs w:val="22"/>
              </w:rPr>
              <w:t>OFM</w:t>
            </w:r>
          </w:p>
        </w:tc>
      </w:tr>
      <w:tr w:rsidR="00EC5981" w:rsidRPr="00735C06" w14:paraId="6CEC4CEF" w14:textId="77777777" w:rsidTr="00EC5981">
        <w:tc>
          <w:tcPr>
            <w:tcW w:w="445" w:type="dxa"/>
          </w:tcPr>
          <w:p w14:paraId="4EECC61B" w14:textId="77777777" w:rsidR="00EC5981" w:rsidRPr="00735C06" w:rsidRDefault="00EC5981" w:rsidP="006C240D">
            <w:pPr>
              <w:pStyle w:val="EndnoteText"/>
              <w:rPr>
                <w:rFonts w:cs="Arial"/>
                <w:sz w:val="22"/>
                <w:szCs w:val="22"/>
              </w:rPr>
            </w:pPr>
            <w:r w:rsidRPr="00735C06">
              <w:rPr>
                <w:rFonts w:cs="Arial"/>
                <w:sz w:val="22"/>
                <w:szCs w:val="22"/>
              </w:rPr>
              <w:t>3</w:t>
            </w:r>
          </w:p>
        </w:tc>
        <w:tc>
          <w:tcPr>
            <w:tcW w:w="5490" w:type="dxa"/>
          </w:tcPr>
          <w:p w14:paraId="6C78EBEC" w14:textId="77777777" w:rsidR="00EC5981" w:rsidRPr="00735C06" w:rsidRDefault="00EC5981" w:rsidP="00773446">
            <w:pPr>
              <w:pStyle w:val="EndnoteText"/>
              <w:rPr>
                <w:rFonts w:cs="Arial"/>
                <w:sz w:val="22"/>
                <w:szCs w:val="22"/>
              </w:rPr>
            </w:pPr>
            <w:r w:rsidRPr="00735C06">
              <w:rPr>
                <w:rFonts w:cs="Arial"/>
                <w:sz w:val="22"/>
                <w:szCs w:val="22"/>
              </w:rPr>
              <w:t>Exception Clauses on Restrict</w:t>
            </w:r>
            <w:r w:rsidR="000E3E58" w:rsidRPr="00735C06">
              <w:rPr>
                <w:rFonts w:cs="Arial"/>
                <w:sz w:val="22"/>
                <w:szCs w:val="22"/>
              </w:rPr>
              <w:t>ing</w:t>
            </w:r>
            <w:r w:rsidRPr="00735C06">
              <w:rPr>
                <w:rFonts w:cs="Arial"/>
                <w:sz w:val="22"/>
                <w:szCs w:val="22"/>
              </w:rPr>
              <w:t xml:space="preserve"> Competition</w:t>
            </w:r>
          </w:p>
        </w:tc>
        <w:tc>
          <w:tcPr>
            <w:tcW w:w="3960" w:type="dxa"/>
          </w:tcPr>
          <w:p w14:paraId="75FFAF12" w14:textId="77777777" w:rsidR="00EC5981" w:rsidRPr="00735C06" w:rsidRDefault="00EC5981" w:rsidP="00773446">
            <w:pPr>
              <w:pStyle w:val="EndnoteText"/>
              <w:rPr>
                <w:rFonts w:cs="Arial"/>
                <w:sz w:val="22"/>
                <w:szCs w:val="22"/>
              </w:rPr>
            </w:pPr>
            <w:r w:rsidRPr="00735C06">
              <w:rPr>
                <w:rFonts w:cs="Arial"/>
                <w:sz w:val="22"/>
                <w:szCs w:val="22"/>
              </w:rPr>
              <w:t>Regional Bureau</w:t>
            </w:r>
            <w:r w:rsidR="000E3E58" w:rsidRPr="00735C06">
              <w:rPr>
                <w:rFonts w:cs="Arial"/>
                <w:sz w:val="22"/>
                <w:szCs w:val="22"/>
              </w:rPr>
              <w:t xml:space="preserve">, </w:t>
            </w:r>
            <w:r w:rsidRPr="00735C06">
              <w:rPr>
                <w:rFonts w:cs="Arial"/>
                <w:sz w:val="22"/>
                <w:szCs w:val="22"/>
              </w:rPr>
              <w:t>Chief Procurement Officer</w:t>
            </w:r>
          </w:p>
        </w:tc>
      </w:tr>
      <w:tr w:rsidR="00EC5981" w:rsidRPr="00735C06" w14:paraId="71EC2E54" w14:textId="77777777" w:rsidTr="00EC5981">
        <w:tc>
          <w:tcPr>
            <w:tcW w:w="445" w:type="dxa"/>
          </w:tcPr>
          <w:p w14:paraId="40504F5B" w14:textId="77777777" w:rsidR="00EC5981" w:rsidRPr="00735C06" w:rsidRDefault="00EC5981" w:rsidP="00773446">
            <w:pPr>
              <w:pStyle w:val="EndnoteText"/>
              <w:rPr>
                <w:rFonts w:cs="Arial"/>
                <w:sz w:val="22"/>
                <w:szCs w:val="22"/>
              </w:rPr>
            </w:pPr>
            <w:r w:rsidRPr="00735C06">
              <w:rPr>
                <w:rFonts w:cs="Arial"/>
                <w:sz w:val="22"/>
                <w:szCs w:val="22"/>
              </w:rPr>
              <w:t>4</w:t>
            </w:r>
          </w:p>
        </w:tc>
        <w:tc>
          <w:tcPr>
            <w:tcW w:w="5490" w:type="dxa"/>
          </w:tcPr>
          <w:p w14:paraId="64012A80" w14:textId="77777777" w:rsidR="00EC5981" w:rsidRPr="00735C06" w:rsidRDefault="00EC5981" w:rsidP="00AB5476">
            <w:pPr>
              <w:pStyle w:val="EndnoteText"/>
              <w:rPr>
                <w:rFonts w:cs="Arial"/>
                <w:sz w:val="22"/>
                <w:szCs w:val="22"/>
              </w:rPr>
            </w:pPr>
            <w:r w:rsidRPr="00735C06">
              <w:rPr>
                <w:rFonts w:cs="Arial"/>
                <w:sz w:val="22"/>
                <w:szCs w:val="22"/>
              </w:rPr>
              <w:t>Clearance for MPS exceeding 10% of previous year Regional Bureau programme delivery</w:t>
            </w:r>
          </w:p>
        </w:tc>
        <w:tc>
          <w:tcPr>
            <w:tcW w:w="3960" w:type="dxa"/>
          </w:tcPr>
          <w:p w14:paraId="1BC8658A" w14:textId="77777777" w:rsidR="00EC5981" w:rsidRPr="00735C06" w:rsidRDefault="00CA27D4" w:rsidP="00773446">
            <w:pPr>
              <w:pStyle w:val="EndnoteText"/>
              <w:rPr>
                <w:rFonts w:cs="Arial"/>
                <w:sz w:val="22"/>
                <w:szCs w:val="22"/>
              </w:rPr>
            </w:pPr>
            <w:r w:rsidRPr="00735C06">
              <w:rPr>
                <w:rFonts w:cs="Arial"/>
                <w:sz w:val="22"/>
                <w:szCs w:val="22"/>
              </w:rPr>
              <w:t>Regional Bureau</w:t>
            </w:r>
          </w:p>
        </w:tc>
      </w:tr>
      <w:tr w:rsidR="00EC5981" w:rsidRPr="00735C06" w14:paraId="73838A95" w14:textId="77777777" w:rsidTr="00EC5981">
        <w:tc>
          <w:tcPr>
            <w:tcW w:w="445" w:type="dxa"/>
          </w:tcPr>
          <w:p w14:paraId="0CBA4C7F" w14:textId="77777777" w:rsidR="00EC5981" w:rsidRPr="00735C06" w:rsidRDefault="00EC5981" w:rsidP="00773446">
            <w:pPr>
              <w:pStyle w:val="EndnoteText"/>
              <w:rPr>
                <w:rFonts w:cs="Arial"/>
                <w:sz w:val="22"/>
                <w:szCs w:val="22"/>
              </w:rPr>
            </w:pPr>
            <w:r w:rsidRPr="00735C06">
              <w:rPr>
                <w:rFonts w:cs="Arial"/>
                <w:sz w:val="22"/>
                <w:szCs w:val="22"/>
              </w:rPr>
              <w:t>5</w:t>
            </w:r>
          </w:p>
        </w:tc>
        <w:tc>
          <w:tcPr>
            <w:tcW w:w="5490" w:type="dxa"/>
          </w:tcPr>
          <w:p w14:paraId="621560E7" w14:textId="77777777" w:rsidR="00EC5981" w:rsidRPr="00735C06" w:rsidRDefault="00EC5981" w:rsidP="00AB5476">
            <w:pPr>
              <w:pStyle w:val="EndnoteText"/>
              <w:rPr>
                <w:rFonts w:cs="Arial"/>
                <w:sz w:val="22"/>
                <w:szCs w:val="22"/>
              </w:rPr>
            </w:pPr>
            <w:r w:rsidRPr="00735C06">
              <w:rPr>
                <w:rFonts w:cs="Arial"/>
                <w:sz w:val="22"/>
                <w:szCs w:val="22"/>
              </w:rPr>
              <w:t>Clearance for MPS exceeding 30% of previous year CO programme delivery</w:t>
            </w:r>
          </w:p>
        </w:tc>
        <w:tc>
          <w:tcPr>
            <w:tcW w:w="3960" w:type="dxa"/>
          </w:tcPr>
          <w:p w14:paraId="693363AB" w14:textId="77777777" w:rsidR="00EC5981" w:rsidRPr="00735C06" w:rsidRDefault="00EC5981" w:rsidP="00773446">
            <w:pPr>
              <w:pStyle w:val="EndnoteText"/>
              <w:rPr>
                <w:rFonts w:cs="Arial"/>
                <w:sz w:val="22"/>
                <w:szCs w:val="22"/>
              </w:rPr>
            </w:pPr>
            <w:r w:rsidRPr="00735C06">
              <w:rPr>
                <w:rFonts w:cs="Arial"/>
                <w:sz w:val="22"/>
                <w:szCs w:val="22"/>
              </w:rPr>
              <w:t>Regional Bureau</w:t>
            </w:r>
          </w:p>
        </w:tc>
      </w:tr>
      <w:tr w:rsidR="00EC5981" w:rsidRPr="00735C06" w14:paraId="55B639E1" w14:textId="77777777" w:rsidTr="00EC5981">
        <w:tc>
          <w:tcPr>
            <w:tcW w:w="445" w:type="dxa"/>
          </w:tcPr>
          <w:p w14:paraId="186872D0" w14:textId="77777777" w:rsidR="00EC5981" w:rsidRPr="00735C06" w:rsidRDefault="00EC5981" w:rsidP="00773446">
            <w:pPr>
              <w:pStyle w:val="EndnoteText"/>
              <w:rPr>
                <w:rFonts w:cs="Arial"/>
                <w:sz w:val="22"/>
                <w:szCs w:val="22"/>
              </w:rPr>
            </w:pPr>
            <w:r w:rsidRPr="00735C06">
              <w:rPr>
                <w:rFonts w:cs="Arial"/>
                <w:sz w:val="22"/>
                <w:szCs w:val="22"/>
              </w:rPr>
              <w:t>6</w:t>
            </w:r>
          </w:p>
        </w:tc>
        <w:tc>
          <w:tcPr>
            <w:tcW w:w="5490" w:type="dxa"/>
          </w:tcPr>
          <w:p w14:paraId="7A0952A0" w14:textId="45D579B1" w:rsidR="00EC5981" w:rsidRPr="00735C06" w:rsidRDefault="00EC5981" w:rsidP="00824EC7">
            <w:pPr>
              <w:pStyle w:val="EndnoteText"/>
              <w:rPr>
                <w:rFonts w:cs="Arial"/>
                <w:sz w:val="22"/>
                <w:szCs w:val="22"/>
              </w:rPr>
            </w:pPr>
            <w:r w:rsidRPr="00735C06">
              <w:rPr>
                <w:rFonts w:cs="Arial"/>
                <w:sz w:val="22"/>
                <w:szCs w:val="22"/>
              </w:rPr>
              <w:t>Approval of MPS Non-standard</w:t>
            </w:r>
            <w:r w:rsidR="00824EC7" w:rsidRPr="00735C06">
              <w:rPr>
                <w:rFonts w:cs="Arial"/>
                <w:sz w:val="22"/>
                <w:szCs w:val="22"/>
              </w:rPr>
              <w:t xml:space="preserve"> terms</w:t>
            </w:r>
          </w:p>
        </w:tc>
        <w:tc>
          <w:tcPr>
            <w:tcW w:w="3960" w:type="dxa"/>
          </w:tcPr>
          <w:p w14:paraId="52B3C5C0" w14:textId="29AA4CE6" w:rsidR="00EC5981" w:rsidRPr="00735C06" w:rsidRDefault="00EC5981" w:rsidP="0090160A">
            <w:pPr>
              <w:pStyle w:val="EndnoteText"/>
              <w:rPr>
                <w:rFonts w:cs="Arial"/>
                <w:sz w:val="22"/>
                <w:szCs w:val="22"/>
              </w:rPr>
            </w:pPr>
            <w:r w:rsidRPr="00735C06">
              <w:rPr>
                <w:rFonts w:cs="Arial"/>
                <w:sz w:val="22"/>
                <w:szCs w:val="22"/>
              </w:rPr>
              <w:t>Regional Bureau</w:t>
            </w:r>
            <w:r w:rsidR="00A463D9" w:rsidRPr="00735C06">
              <w:rPr>
                <w:rFonts w:cs="Arial"/>
                <w:sz w:val="22"/>
                <w:szCs w:val="22"/>
              </w:rPr>
              <w:t xml:space="preserve">, </w:t>
            </w:r>
            <w:r w:rsidRPr="00735C06">
              <w:rPr>
                <w:rFonts w:cs="Arial"/>
                <w:sz w:val="22"/>
                <w:szCs w:val="22"/>
              </w:rPr>
              <w:t>BMS</w:t>
            </w:r>
            <w:r w:rsidR="00A463D9" w:rsidRPr="00735C06">
              <w:rPr>
                <w:rFonts w:cs="Arial"/>
                <w:sz w:val="22"/>
                <w:szCs w:val="22"/>
              </w:rPr>
              <w:t>/</w:t>
            </w:r>
            <w:r w:rsidRPr="00735C06">
              <w:rPr>
                <w:rFonts w:cs="Arial"/>
                <w:sz w:val="22"/>
                <w:szCs w:val="22"/>
              </w:rPr>
              <w:t>LO</w:t>
            </w:r>
          </w:p>
        </w:tc>
      </w:tr>
      <w:tr w:rsidR="00EC5981" w:rsidRPr="00735C06" w14:paraId="23E70CBC" w14:textId="77777777" w:rsidTr="00EC5981">
        <w:tc>
          <w:tcPr>
            <w:tcW w:w="445" w:type="dxa"/>
          </w:tcPr>
          <w:p w14:paraId="4AD7527E" w14:textId="77777777" w:rsidR="00EC5981" w:rsidRPr="00735C06" w:rsidRDefault="00EC5981" w:rsidP="00773446">
            <w:pPr>
              <w:pStyle w:val="EndnoteText"/>
              <w:rPr>
                <w:rFonts w:cs="Arial"/>
                <w:sz w:val="22"/>
                <w:szCs w:val="22"/>
              </w:rPr>
            </w:pPr>
            <w:r w:rsidRPr="00735C06">
              <w:rPr>
                <w:rFonts w:cs="Arial"/>
                <w:sz w:val="22"/>
                <w:szCs w:val="22"/>
              </w:rPr>
              <w:t>7</w:t>
            </w:r>
          </w:p>
        </w:tc>
        <w:tc>
          <w:tcPr>
            <w:tcW w:w="5490" w:type="dxa"/>
          </w:tcPr>
          <w:p w14:paraId="418478E0" w14:textId="77777777" w:rsidR="00EC5981" w:rsidRPr="00735C06" w:rsidRDefault="00EC5981" w:rsidP="00EC5981">
            <w:pPr>
              <w:pStyle w:val="EndnoteText"/>
              <w:rPr>
                <w:rFonts w:cs="Arial"/>
                <w:sz w:val="22"/>
                <w:szCs w:val="22"/>
              </w:rPr>
            </w:pPr>
            <w:r w:rsidRPr="00735C06">
              <w:rPr>
                <w:rFonts w:cs="Arial"/>
                <w:sz w:val="22"/>
                <w:szCs w:val="22"/>
              </w:rPr>
              <w:t>Clearance for MPS for complex services</w:t>
            </w:r>
          </w:p>
        </w:tc>
        <w:tc>
          <w:tcPr>
            <w:tcW w:w="3960" w:type="dxa"/>
          </w:tcPr>
          <w:p w14:paraId="121DFFB2" w14:textId="77777777" w:rsidR="00EC5981" w:rsidRPr="00735C06" w:rsidRDefault="00EC5981" w:rsidP="00773446">
            <w:pPr>
              <w:pStyle w:val="EndnoteText"/>
              <w:rPr>
                <w:rFonts w:cs="Arial"/>
                <w:sz w:val="22"/>
                <w:szCs w:val="22"/>
              </w:rPr>
            </w:pPr>
            <w:r w:rsidRPr="00735C06">
              <w:rPr>
                <w:rFonts w:cs="Arial"/>
                <w:sz w:val="22"/>
                <w:szCs w:val="22"/>
              </w:rPr>
              <w:t>Regional Bureau</w:t>
            </w:r>
            <w:r w:rsidR="00A463D9" w:rsidRPr="00735C06">
              <w:rPr>
                <w:rFonts w:cs="Arial"/>
                <w:sz w:val="22"/>
                <w:szCs w:val="22"/>
              </w:rPr>
              <w:t xml:space="preserve">, </w:t>
            </w:r>
            <w:r w:rsidRPr="00735C06">
              <w:rPr>
                <w:rFonts w:cs="Arial"/>
                <w:sz w:val="22"/>
                <w:szCs w:val="22"/>
              </w:rPr>
              <w:t>Chief Procurement Officer</w:t>
            </w:r>
          </w:p>
        </w:tc>
      </w:tr>
      <w:tr w:rsidR="00EC5981" w:rsidRPr="00735C06" w14:paraId="091FEA32" w14:textId="77777777" w:rsidTr="00EC5981">
        <w:tc>
          <w:tcPr>
            <w:tcW w:w="445" w:type="dxa"/>
          </w:tcPr>
          <w:p w14:paraId="71E03D32" w14:textId="77777777" w:rsidR="00EC5981" w:rsidRPr="00735C06" w:rsidRDefault="00A463D9" w:rsidP="00773446">
            <w:pPr>
              <w:pStyle w:val="EndnoteText"/>
              <w:rPr>
                <w:rFonts w:cs="Arial"/>
                <w:sz w:val="22"/>
                <w:szCs w:val="22"/>
              </w:rPr>
            </w:pPr>
            <w:r w:rsidRPr="00735C06">
              <w:rPr>
                <w:rFonts w:cs="Arial"/>
                <w:sz w:val="22"/>
                <w:szCs w:val="22"/>
              </w:rPr>
              <w:t>8</w:t>
            </w:r>
          </w:p>
        </w:tc>
        <w:tc>
          <w:tcPr>
            <w:tcW w:w="5490" w:type="dxa"/>
          </w:tcPr>
          <w:p w14:paraId="42988A25" w14:textId="43DFC278" w:rsidR="00EC5981" w:rsidRPr="00735C06" w:rsidRDefault="00EC5981" w:rsidP="009131EE">
            <w:pPr>
              <w:pStyle w:val="EndnoteText"/>
              <w:rPr>
                <w:rFonts w:cs="Arial"/>
                <w:sz w:val="22"/>
                <w:szCs w:val="22"/>
              </w:rPr>
            </w:pPr>
            <w:r w:rsidRPr="00735C06">
              <w:rPr>
                <w:rFonts w:cs="Arial"/>
                <w:sz w:val="22"/>
                <w:szCs w:val="22"/>
                <w:lang w:val="en-GB"/>
              </w:rPr>
              <w:t>Clearance for changes to requirement</w:t>
            </w:r>
            <w:r w:rsidR="009131EE" w:rsidRPr="00735C06">
              <w:rPr>
                <w:rFonts w:cs="Arial"/>
                <w:sz w:val="22"/>
                <w:szCs w:val="22"/>
                <w:vertAlign w:val="superscript"/>
                <w:lang w:val="en-GB"/>
              </w:rPr>
              <w:t xml:space="preserve"> </w:t>
            </w:r>
            <w:r w:rsidRPr="00735C06">
              <w:rPr>
                <w:rFonts w:cs="Arial"/>
                <w:sz w:val="22"/>
                <w:szCs w:val="22"/>
                <w:lang w:val="en-GB"/>
              </w:rPr>
              <w:t>that all costs incurred on MPS, including any exchange differences, be paid from funds received under the MPS</w:t>
            </w:r>
          </w:p>
        </w:tc>
        <w:tc>
          <w:tcPr>
            <w:tcW w:w="3960" w:type="dxa"/>
          </w:tcPr>
          <w:p w14:paraId="70F88554" w14:textId="0A2A28D0" w:rsidR="00EC5981" w:rsidRPr="00735C06" w:rsidRDefault="00EC5981" w:rsidP="00EC5981">
            <w:pPr>
              <w:pStyle w:val="EndnoteText"/>
              <w:rPr>
                <w:rFonts w:cs="Arial"/>
                <w:sz w:val="22"/>
                <w:szCs w:val="22"/>
              </w:rPr>
            </w:pPr>
            <w:r w:rsidRPr="00735C06">
              <w:rPr>
                <w:rFonts w:cs="Arial"/>
                <w:sz w:val="22"/>
                <w:szCs w:val="22"/>
              </w:rPr>
              <w:t>Regional Bureau</w:t>
            </w:r>
            <w:r w:rsidR="00971F00" w:rsidRPr="00735C06">
              <w:rPr>
                <w:rFonts w:cs="Arial"/>
                <w:sz w:val="22"/>
                <w:szCs w:val="22"/>
              </w:rPr>
              <w:t xml:space="preserve">, </w:t>
            </w:r>
            <w:r w:rsidRPr="00735C06">
              <w:rPr>
                <w:rFonts w:cs="Arial"/>
                <w:sz w:val="22"/>
                <w:szCs w:val="22"/>
              </w:rPr>
              <w:t>BMS</w:t>
            </w:r>
            <w:r w:rsidR="00A44D10" w:rsidRPr="00735C06">
              <w:rPr>
                <w:rFonts w:cs="Arial"/>
                <w:sz w:val="22"/>
                <w:szCs w:val="22"/>
              </w:rPr>
              <w:t>/</w:t>
            </w:r>
            <w:r w:rsidRPr="00735C06">
              <w:rPr>
                <w:rFonts w:cs="Arial"/>
                <w:sz w:val="22"/>
                <w:szCs w:val="22"/>
              </w:rPr>
              <w:t>OFM</w:t>
            </w:r>
          </w:p>
        </w:tc>
      </w:tr>
    </w:tbl>
    <w:p w14:paraId="3F4FFABC" w14:textId="77777777" w:rsidR="00971F00" w:rsidRPr="00735C06" w:rsidRDefault="00971F00" w:rsidP="00AC71F1">
      <w:pPr>
        <w:rPr>
          <w:rFonts w:cs="Arial"/>
          <w:b/>
          <w:bCs/>
        </w:rPr>
      </w:pPr>
    </w:p>
    <w:p w14:paraId="7A52D8E2" w14:textId="77777777" w:rsidR="00AC71F1" w:rsidRPr="00735C06" w:rsidRDefault="00AC71F1" w:rsidP="00AC71F1">
      <w:pPr>
        <w:rPr>
          <w:rFonts w:cs="Arial"/>
          <w:vanish/>
        </w:rPr>
      </w:pPr>
      <w:r w:rsidRPr="00735C06">
        <w:rPr>
          <w:rFonts w:cs="Arial"/>
          <w:vanish/>
        </w:rPr>
        <w:t>Structure Element - Roles &amp; Responsibilities</w:t>
      </w:r>
    </w:p>
    <w:p w14:paraId="57574718" w14:textId="77777777" w:rsidR="00426E89" w:rsidRPr="00735C06" w:rsidRDefault="00913E52" w:rsidP="00AC71F1">
      <w:pPr>
        <w:rPr>
          <w:rFonts w:cs="Arial"/>
        </w:rPr>
      </w:pPr>
      <w:r w:rsidRPr="00735C06">
        <w:rPr>
          <w:rFonts w:cs="Arial"/>
          <w:b/>
        </w:rPr>
        <w:t>Table</w:t>
      </w:r>
      <w:r w:rsidR="00C62C1B" w:rsidRPr="00735C06">
        <w:rPr>
          <w:rFonts w:cs="Arial"/>
          <w:b/>
        </w:rPr>
        <w:t xml:space="preserve"> </w:t>
      </w:r>
      <w:r w:rsidR="00935F3C" w:rsidRPr="00735C06">
        <w:rPr>
          <w:rFonts w:cs="Arial"/>
          <w:b/>
        </w:rPr>
        <w:t>1</w:t>
      </w:r>
      <w:r w:rsidR="00AC6BA4" w:rsidRPr="00735C06">
        <w:rPr>
          <w:rFonts w:cs="Arial"/>
          <w:lang w:val="en-GB"/>
        </w:rPr>
        <w:t xml:space="preserve">: </w:t>
      </w:r>
      <w:r w:rsidR="00EF2361" w:rsidRPr="00735C06">
        <w:rPr>
          <w:rFonts w:cs="Arial"/>
          <w:lang w:val="en-GB"/>
        </w:rPr>
        <w:t>Exceptions and Clearances</w:t>
      </w:r>
    </w:p>
    <w:tbl>
      <w:tblPr>
        <w:tblStyle w:val="TableGrid"/>
        <w:tblW w:w="9895" w:type="dxa"/>
        <w:tblLook w:val="04A0" w:firstRow="1" w:lastRow="0" w:firstColumn="1" w:lastColumn="0" w:noHBand="0" w:noVBand="1"/>
      </w:tblPr>
      <w:tblGrid>
        <w:gridCol w:w="5935"/>
        <w:gridCol w:w="3960"/>
      </w:tblGrid>
      <w:tr w:rsidR="006141C9" w:rsidRPr="00735C06" w14:paraId="731541F6" w14:textId="77777777" w:rsidTr="53816861">
        <w:trPr>
          <w:tblHeader/>
        </w:trPr>
        <w:tc>
          <w:tcPr>
            <w:tcW w:w="5935" w:type="dxa"/>
          </w:tcPr>
          <w:p w14:paraId="4A4F3A43" w14:textId="77777777" w:rsidR="006141C9" w:rsidRPr="00735C06" w:rsidRDefault="006141C9" w:rsidP="00773446">
            <w:pPr>
              <w:rPr>
                <w:rFonts w:cs="Arial"/>
                <w:b/>
                <w:lang w:val="en-GB"/>
              </w:rPr>
            </w:pPr>
            <w:r w:rsidRPr="00735C06">
              <w:rPr>
                <w:rFonts w:cs="Arial"/>
                <w:b/>
                <w:lang w:val="en-GB"/>
              </w:rPr>
              <w:t>Exception</w:t>
            </w:r>
          </w:p>
        </w:tc>
        <w:tc>
          <w:tcPr>
            <w:tcW w:w="3960" w:type="dxa"/>
          </w:tcPr>
          <w:p w14:paraId="5C7AEE4F" w14:textId="77777777" w:rsidR="006141C9" w:rsidRPr="00735C06" w:rsidRDefault="006141C9" w:rsidP="00773446">
            <w:pPr>
              <w:rPr>
                <w:rFonts w:cs="Arial"/>
                <w:b/>
                <w:lang w:val="en-GB"/>
              </w:rPr>
            </w:pPr>
            <w:r w:rsidRPr="00735C06">
              <w:rPr>
                <w:rFonts w:cs="Arial"/>
                <w:b/>
                <w:lang w:val="en-GB"/>
              </w:rPr>
              <w:t>Clearance Required</w:t>
            </w:r>
          </w:p>
        </w:tc>
      </w:tr>
      <w:tr w:rsidR="006141C9" w:rsidRPr="00735C06" w14:paraId="0E8B7683" w14:textId="77777777" w:rsidTr="53816861">
        <w:tc>
          <w:tcPr>
            <w:tcW w:w="5935" w:type="dxa"/>
          </w:tcPr>
          <w:p w14:paraId="11905E79" w14:textId="25077A2B" w:rsidR="006141C9" w:rsidRPr="00735C06" w:rsidRDefault="006141C9" w:rsidP="00824EC7">
            <w:pPr>
              <w:rPr>
                <w:rFonts w:cs="Arial"/>
                <w:lang w:val="en-GB"/>
              </w:rPr>
            </w:pPr>
            <w:r w:rsidRPr="00735C06">
              <w:rPr>
                <w:rFonts w:cs="Arial"/>
                <w:lang w:val="en-GB"/>
              </w:rPr>
              <w:t>Proposed changes to clauses in the MPS Agreement Template</w:t>
            </w:r>
          </w:p>
        </w:tc>
        <w:tc>
          <w:tcPr>
            <w:tcW w:w="3960" w:type="dxa"/>
          </w:tcPr>
          <w:p w14:paraId="6A851535" w14:textId="514F41DC" w:rsidR="006141C9" w:rsidRPr="00735C06" w:rsidRDefault="006141C9" w:rsidP="00A44D10">
            <w:pPr>
              <w:rPr>
                <w:rFonts w:cs="Arial"/>
                <w:lang w:val="en-GB"/>
              </w:rPr>
            </w:pPr>
            <w:r w:rsidRPr="00735C06">
              <w:rPr>
                <w:rFonts w:cs="Arial"/>
                <w:lang w:val="en-GB"/>
              </w:rPr>
              <w:t xml:space="preserve">Advance clearance required from the Regional Bureau and </w:t>
            </w:r>
            <w:r w:rsidR="00F414D5" w:rsidRPr="00735C06">
              <w:rPr>
                <w:rFonts w:cs="Arial"/>
                <w:lang w:val="en-GB"/>
              </w:rPr>
              <w:t>BMS</w:t>
            </w:r>
            <w:r w:rsidR="00A44D10" w:rsidRPr="00735C06">
              <w:rPr>
                <w:rFonts w:cs="Arial"/>
                <w:lang w:val="en-GB"/>
              </w:rPr>
              <w:t>/LO</w:t>
            </w:r>
          </w:p>
        </w:tc>
      </w:tr>
      <w:tr w:rsidR="006141C9" w:rsidRPr="00735C06" w14:paraId="0D90A442" w14:textId="77777777" w:rsidTr="53816861">
        <w:tc>
          <w:tcPr>
            <w:tcW w:w="5935" w:type="dxa"/>
          </w:tcPr>
          <w:p w14:paraId="174E346B" w14:textId="0C66F623" w:rsidR="006141C9" w:rsidRPr="00735C06" w:rsidRDefault="006141C9" w:rsidP="004B6DE3">
            <w:pPr>
              <w:rPr>
                <w:rFonts w:cs="Arial"/>
                <w:lang w:val="en-GB"/>
              </w:rPr>
            </w:pPr>
            <w:r w:rsidRPr="00735C06">
              <w:rPr>
                <w:rFonts w:cs="Arial"/>
                <w:lang w:val="en-GB"/>
              </w:rPr>
              <w:t>Proposed MPS clauses that restrict competition</w:t>
            </w:r>
          </w:p>
        </w:tc>
        <w:tc>
          <w:tcPr>
            <w:tcW w:w="3960" w:type="dxa"/>
          </w:tcPr>
          <w:p w14:paraId="415AF1E9" w14:textId="26763367" w:rsidR="001D1684" w:rsidRPr="00735C06" w:rsidRDefault="006141C9" w:rsidP="001D1684">
            <w:pPr>
              <w:rPr>
                <w:rFonts w:cs="Arial"/>
              </w:rPr>
            </w:pPr>
            <w:r w:rsidRPr="00735C06">
              <w:rPr>
                <w:rFonts w:cs="Arial"/>
                <w:lang w:val="en-GB"/>
              </w:rPr>
              <w:t>Advance clearance required from the</w:t>
            </w:r>
            <w:r w:rsidR="001D1684" w:rsidRPr="001E121C">
              <w:rPr>
                <w:rFonts w:cs="Arial"/>
              </w:rPr>
              <w:t xml:space="preserve"> </w:t>
            </w:r>
            <w:r w:rsidR="001D1684" w:rsidRPr="00DC5211">
              <w:rPr>
                <w:rFonts w:cs="Arial"/>
              </w:rPr>
              <w:t>Chief Procurement Officer premised on the endorsement of the Regional Bureau</w:t>
            </w:r>
            <w:r w:rsidR="001D1684">
              <w:rPr>
                <w:rFonts w:cs="Arial"/>
              </w:rPr>
              <w:t>.’</w:t>
            </w:r>
          </w:p>
          <w:p w14:paraId="2E3DA285" w14:textId="77777777" w:rsidR="006141C9" w:rsidRPr="00735C06" w:rsidRDefault="006141C9" w:rsidP="00773446">
            <w:pPr>
              <w:rPr>
                <w:rFonts w:cs="Arial"/>
                <w:lang w:val="en-GB"/>
              </w:rPr>
            </w:pPr>
          </w:p>
        </w:tc>
      </w:tr>
      <w:tr w:rsidR="000029EF" w:rsidRPr="00735C06" w14:paraId="36FD3080" w14:textId="77777777" w:rsidTr="53816861">
        <w:tc>
          <w:tcPr>
            <w:tcW w:w="5935" w:type="dxa"/>
          </w:tcPr>
          <w:p w14:paraId="373E6330" w14:textId="77777777" w:rsidR="000029EF" w:rsidRPr="00AA552B" w:rsidRDefault="000029EF" w:rsidP="53816861">
            <w:pPr>
              <w:jc w:val="both"/>
              <w:rPr>
                <w:rFonts w:cs="Arial"/>
                <w:lang w:val="en-GB"/>
              </w:rPr>
            </w:pPr>
            <w:r w:rsidRPr="00AA552B">
              <w:rPr>
                <w:rFonts w:cs="Arial"/>
                <w:lang w:val="en-GB"/>
              </w:rPr>
              <w:t>Proposed MPS will cause Funds managed through MPS to exceed 30% of country office programme delivery in the previous year</w:t>
            </w:r>
          </w:p>
        </w:tc>
        <w:tc>
          <w:tcPr>
            <w:tcW w:w="3960" w:type="dxa"/>
          </w:tcPr>
          <w:p w14:paraId="6F7001AD" w14:textId="77777777" w:rsidR="000029EF" w:rsidRPr="00AA552B" w:rsidRDefault="000029EF" w:rsidP="53816861">
            <w:pPr>
              <w:rPr>
                <w:rFonts w:cs="Arial"/>
                <w:lang w:val="en-GB"/>
              </w:rPr>
            </w:pPr>
            <w:r w:rsidRPr="00AA552B">
              <w:rPr>
                <w:rFonts w:cs="Arial"/>
                <w:lang w:val="en-GB"/>
              </w:rPr>
              <w:t>Advance clearance required from the Regional Bureau, noting the lower regional threshold of 10%</w:t>
            </w:r>
          </w:p>
        </w:tc>
      </w:tr>
      <w:tr w:rsidR="000029EF" w:rsidRPr="00735C06" w14:paraId="6796D47D" w14:textId="77777777" w:rsidTr="53816861">
        <w:tc>
          <w:tcPr>
            <w:tcW w:w="5935" w:type="dxa"/>
          </w:tcPr>
          <w:p w14:paraId="2A3A72A5" w14:textId="77777777" w:rsidR="000029EF" w:rsidRPr="00735C06" w:rsidRDefault="000029EF" w:rsidP="000029EF">
            <w:pPr>
              <w:rPr>
                <w:rFonts w:cs="Arial"/>
                <w:lang w:val="en-GB"/>
              </w:rPr>
            </w:pPr>
            <w:r w:rsidRPr="00735C06">
              <w:rPr>
                <w:rFonts w:cs="Arial"/>
                <w:lang w:val="en-GB"/>
              </w:rPr>
              <w:t>Proposed MPS for complex services, such as civil and construction works and large information technology implementations</w:t>
            </w:r>
          </w:p>
        </w:tc>
        <w:tc>
          <w:tcPr>
            <w:tcW w:w="3960" w:type="dxa"/>
          </w:tcPr>
          <w:p w14:paraId="1F4CFD1C" w14:textId="77777777" w:rsidR="000029EF" w:rsidRPr="00735C06" w:rsidRDefault="000029EF" w:rsidP="000029EF">
            <w:pPr>
              <w:jc w:val="both"/>
              <w:rPr>
                <w:rFonts w:cs="Arial"/>
                <w:lang w:val="en-GB"/>
              </w:rPr>
            </w:pPr>
            <w:r w:rsidRPr="00735C06">
              <w:rPr>
                <w:rFonts w:cs="Arial"/>
                <w:lang w:val="en-GB"/>
              </w:rPr>
              <w:t>Advance clearance required from the Regional Bureau and the Chief Procurement Officer</w:t>
            </w:r>
          </w:p>
        </w:tc>
      </w:tr>
      <w:tr w:rsidR="000029EF" w:rsidRPr="00735C06" w14:paraId="49A364A8" w14:textId="77777777" w:rsidTr="53816861">
        <w:tc>
          <w:tcPr>
            <w:tcW w:w="5935" w:type="dxa"/>
          </w:tcPr>
          <w:p w14:paraId="2062BDE4" w14:textId="65B2C610" w:rsidR="000029EF" w:rsidRPr="00735C06" w:rsidRDefault="000029EF" w:rsidP="009131EE">
            <w:pPr>
              <w:rPr>
                <w:rFonts w:cs="Arial"/>
                <w:lang w:val="en-GB"/>
              </w:rPr>
            </w:pPr>
            <w:r w:rsidRPr="00735C06">
              <w:rPr>
                <w:rFonts w:cs="Arial"/>
                <w:lang w:val="en-GB"/>
              </w:rPr>
              <w:t>Proposed changes to requirement</w:t>
            </w:r>
            <w:r w:rsidR="009131EE" w:rsidRPr="00735C06">
              <w:rPr>
                <w:rFonts w:cs="Arial"/>
              </w:rPr>
              <w:t xml:space="preserve"> </w:t>
            </w:r>
            <w:r w:rsidRPr="00735C06">
              <w:rPr>
                <w:rFonts w:cs="Arial"/>
                <w:lang w:val="en-GB"/>
              </w:rPr>
              <w:t>that all costs incurred on MPS, including any exchange differences, be paid from funds received under the MPS</w:t>
            </w:r>
          </w:p>
        </w:tc>
        <w:tc>
          <w:tcPr>
            <w:tcW w:w="3960" w:type="dxa"/>
          </w:tcPr>
          <w:p w14:paraId="071B9EAF" w14:textId="0E6C665E" w:rsidR="000029EF" w:rsidRPr="00735C06" w:rsidRDefault="000029EF" w:rsidP="000029EF">
            <w:pPr>
              <w:jc w:val="both"/>
              <w:rPr>
                <w:rFonts w:cs="Arial"/>
                <w:lang w:val="en-GB"/>
              </w:rPr>
            </w:pPr>
            <w:r w:rsidRPr="00735C06">
              <w:rPr>
                <w:rFonts w:cs="Arial"/>
                <w:lang w:val="en-GB"/>
              </w:rPr>
              <w:t>Advance clearance required from the Regional Bureau and BMS/OFM</w:t>
            </w:r>
          </w:p>
        </w:tc>
      </w:tr>
    </w:tbl>
    <w:p w14:paraId="6630723B" w14:textId="77777777" w:rsidR="00DF44B7" w:rsidRPr="00735C06" w:rsidRDefault="00DF44B7" w:rsidP="00AC71F1">
      <w:pPr>
        <w:rPr>
          <w:rFonts w:cs="Arial"/>
        </w:rPr>
      </w:pPr>
    </w:p>
    <w:p w14:paraId="2DB78F63" w14:textId="441A3154" w:rsidR="0012205C" w:rsidRDefault="0012205C" w:rsidP="00AC71F1">
      <w:pPr>
        <w:rPr>
          <w:rFonts w:cs="Arial"/>
          <w:b/>
        </w:rPr>
      </w:pPr>
      <w:r w:rsidRPr="00735C06">
        <w:rPr>
          <w:rFonts w:cs="Arial"/>
          <w:b/>
        </w:rPr>
        <w:t xml:space="preserve">Table </w:t>
      </w:r>
      <w:r w:rsidR="00935F3C" w:rsidRPr="00735C06">
        <w:rPr>
          <w:rFonts w:cs="Arial"/>
          <w:b/>
        </w:rPr>
        <w:t>2</w:t>
      </w:r>
      <w:r w:rsidRPr="00735C06">
        <w:rPr>
          <w:rFonts w:cs="Arial"/>
        </w:rPr>
        <w:t xml:space="preserve">: </w:t>
      </w:r>
      <w:r w:rsidRPr="00735C06">
        <w:rPr>
          <w:rFonts w:cs="Arial"/>
          <w:b/>
        </w:rPr>
        <w:t>Risk Management</w:t>
      </w:r>
    </w:p>
    <w:tbl>
      <w:tblPr>
        <w:tblStyle w:val="TableGrid"/>
        <w:tblW w:w="9576" w:type="dxa"/>
        <w:tblLayout w:type="fixed"/>
        <w:tblLook w:val="04A0" w:firstRow="1" w:lastRow="0" w:firstColumn="1" w:lastColumn="0" w:noHBand="0" w:noVBand="1"/>
      </w:tblPr>
      <w:tblGrid>
        <w:gridCol w:w="2988"/>
        <w:gridCol w:w="6588"/>
      </w:tblGrid>
      <w:tr w:rsidR="0096129B" w:rsidRPr="00735C06" w14:paraId="3042CF34" w14:textId="77777777" w:rsidTr="000029EF">
        <w:trPr>
          <w:tblHeader/>
        </w:trPr>
        <w:tc>
          <w:tcPr>
            <w:tcW w:w="2988" w:type="dxa"/>
          </w:tcPr>
          <w:p w14:paraId="7604A280" w14:textId="77777777" w:rsidR="0096129B" w:rsidRPr="00735C06" w:rsidRDefault="0096129B" w:rsidP="00773446">
            <w:pPr>
              <w:jc w:val="both"/>
              <w:rPr>
                <w:rFonts w:cs="Arial"/>
                <w:b/>
                <w:lang w:val="en-GB"/>
              </w:rPr>
            </w:pPr>
            <w:r w:rsidRPr="00735C06">
              <w:rPr>
                <w:rFonts w:cs="Arial"/>
                <w:b/>
                <w:lang w:val="en-GB"/>
              </w:rPr>
              <w:lastRenderedPageBreak/>
              <w:t>Description of Risk</w:t>
            </w:r>
          </w:p>
        </w:tc>
        <w:tc>
          <w:tcPr>
            <w:tcW w:w="6588" w:type="dxa"/>
          </w:tcPr>
          <w:p w14:paraId="2ADB0B07" w14:textId="77777777" w:rsidR="0096129B" w:rsidRPr="00735C06" w:rsidRDefault="0096129B" w:rsidP="00773446">
            <w:pPr>
              <w:jc w:val="both"/>
              <w:rPr>
                <w:rFonts w:cs="Arial"/>
                <w:b/>
                <w:lang w:val="en-GB"/>
              </w:rPr>
            </w:pPr>
            <w:r w:rsidRPr="00735C06">
              <w:rPr>
                <w:rFonts w:cs="Arial"/>
                <w:b/>
                <w:lang w:val="en-GB"/>
              </w:rPr>
              <w:t>Mitigation Steps</w:t>
            </w:r>
          </w:p>
        </w:tc>
      </w:tr>
      <w:tr w:rsidR="0096129B" w:rsidRPr="00735C06" w14:paraId="62398A7E" w14:textId="77777777" w:rsidTr="000029EF">
        <w:tc>
          <w:tcPr>
            <w:tcW w:w="2988" w:type="dxa"/>
          </w:tcPr>
          <w:p w14:paraId="0E13D88F" w14:textId="77777777" w:rsidR="0096129B" w:rsidRPr="00735C06" w:rsidRDefault="0096129B" w:rsidP="00773446">
            <w:pPr>
              <w:rPr>
                <w:rFonts w:cs="Arial"/>
                <w:lang w:val="en-GB"/>
              </w:rPr>
            </w:pPr>
            <w:r w:rsidRPr="00735C06">
              <w:rPr>
                <w:rFonts w:cs="Arial"/>
                <w:lang w:val="en-GB"/>
              </w:rPr>
              <w:t>Capacity: The office does not have appropriate capacity to provide the service, either because of the type of service or the expected scale/volume.</w:t>
            </w:r>
          </w:p>
        </w:tc>
        <w:tc>
          <w:tcPr>
            <w:tcW w:w="6588" w:type="dxa"/>
          </w:tcPr>
          <w:p w14:paraId="2A67912F" w14:textId="2269CADF" w:rsidR="0096129B" w:rsidRPr="00735C06" w:rsidRDefault="0096129B" w:rsidP="00824EC7">
            <w:pPr>
              <w:jc w:val="both"/>
              <w:rPr>
                <w:rFonts w:cs="Arial"/>
                <w:lang w:val="en-GB"/>
              </w:rPr>
            </w:pPr>
            <w:r w:rsidRPr="00735C06">
              <w:rPr>
                <w:rFonts w:cs="Arial"/>
                <w:lang w:val="en-GB"/>
              </w:rPr>
              <w:t xml:space="preserve">Capacity assessment: Before </w:t>
            </w:r>
            <w:proofErr w:type="gramStart"/>
            <w:r w:rsidRPr="00735C06">
              <w:rPr>
                <w:rFonts w:cs="Arial"/>
                <w:lang w:val="en-GB"/>
              </w:rPr>
              <w:t>entering into</w:t>
            </w:r>
            <w:proofErr w:type="gramEnd"/>
            <w:r w:rsidRPr="00735C06">
              <w:rPr>
                <w:rFonts w:cs="Arial"/>
                <w:lang w:val="en-GB"/>
              </w:rPr>
              <w:t xml:space="preserve"> a</w:t>
            </w:r>
            <w:r w:rsidR="00824EC7" w:rsidRPr="00735C06">
              <w:rPr>
                <w:rFonts w:cs="Arial"/>
                <w:lang w:val="en-GB"/>
              </w:rPr>
              <w:t>n MPS agreement</w:t>
            </w:r>
            <w:r w:rsidRPr="00735C06">
              <w:rPr>
                <w:rFonts w:cs="Arial"/>
                <w:lang w:val="en-GB"/>
              </w:rPr>
              <w:t>, the country office</w:t>
            </w:r>
            <w:r w:rsidR="00DF2F5A">
              <w:rPr>
                <w:rFonts w:cs="Arial"/>
                <w:lang w:val="en-GB"/>
              </w:rPr>
              <w:t xml:space="preserve">, </w:t>
            </w:r>
            <w:r w:rsidR="00DF2F5A" w:rsidRPr="00DC5211">
              <w:rPr>
                <w:rFonts w:cs="Arial"/>
                <w:lang w:val="en-GB"/>
              </w:rPr>
              <w:t xml:space="preserve">in consultation with the </w:t>
            </w:r>
            <w:r w:rsidR="004D5412" w:rsidRPr="00DC5211">
              <w:rPr>
                <w:rFonts w:cs="Arial"/>
                <w:lang w:val="en-GB"/>
              </w:rPr>
              <w:t>regional hub</w:t>
            </w:r>
            <w:r w:rsidR="004D5412">
              <w:rPr>
                <w:rFonts w:cs="Arial"/>
                <w:lang w:val="en-GB"/>
              </w:rPr>
              <w:t>,</w:t>
            </w:r>
            <w:r w:rsidRPr="00735C06">
              <w:rPr>
                <w:rFonts w:cs="Arial"/>
                <w:lang w:val="en-GB"/>
              </w:rPr>
              <w:t xml:space="preserve"> should evaluate its own capacity to provide the service using UNDP’s DIM capacity assessment process. The assessment should </w:t>
            </w:r>
            <w:proofErr w:type="gramStart"/>
            <w:r w:rsidRPr="00735C06">
              <w:rPr>
                <w:rFonts w:cs="Arial"/>
                <w:lang w:val="en-GB"/>
              </w:rPr>
              <w:t>take i</w:t>
            </w:r>
            <w:r w:rsidR="00606ADB" w:rsidRPr="00735C06">
              <w:rPr>
                <w:rFonts w:cs="Arial"/>
                <w:lang w:val="en-GB"/>
              </w:rPr>
              <w:t>nto account</w:t>
            </w:r>
            <w:proofErr w:type="gramEnd"/>
            <w:r w:rsidR="00606ADB" w:rsidRPr="00735C06">
              <w:rPr>
                <w:rFonts w:cs="Arial"/>
                <w:lang w:val="en-GB"/>
              </w:rPr>
              <w:t xml:space="preserve"> the country office, </w:t>
            </w:r>
            <w:r w:rsidR="00616F7A" w:rsidRPr="00735C06">
              <w:rPr>
                <w:rFonts w:cs="Arial"/>
                <w:lang w:val="en-GB"/>
              </w:rPr>
              <w:t xml:space="preserve">regional hub and Global Shared Service Unit’s </w:t>
            </w:r>
            <w:r w:rsidRPr="00735C06">
              <w:rPr>
                <w:rFonts w:cs="Arial"/>
                <w:lang w:val="en-GB"/>
              </w:rPr>
              <w:t xml:space="preserve">previous experience with regard to the specific type and scale of service anticipated. </w:t>
            </w:r>
            <w:r w:rsidR="004D5412" w:rsidRPr="00DC5211">
              <w:rPr>
                <w:rFonts w:cs="Arial"/>
                <w:lang w:val="en-GB"/>
              </w:rPr>
              <w:t>The assessment and related measures will require the approval of the Regional Bureau.</w:t>
            </w:r>
          </w:p>
        </w:tc>
      </w:tr>
      <w:tr w:rsidR="0096129B" w:rsidRPr="00735C06" w14:paraId="436B70DE" w14:textId="77777777" w:rsidTr="000029EF">
        <w:tc>
          <w:tcPr>
            <w:tcW w:w="2988" w:type="dxa"/>
          </w:tcPr>
          <w:p w14:paraId="5482FC7B" w14:textId="77777777" w:rsidR="0096129B" w:rsidRPr="00735C06" w:rsidRDefault="0096129B" w:rsidP="00773446">
            <w:pPr>
              <w:rPr>
                <w:rFonts w:cs="Arial"/>
                <w:lang w:val="en-GB"/>
              </w:rPr>
            </w:pPr>
            <w:r w:rsidRPr="00735C06">
              <w:rPr>
                <w:rFonts w:cs="Arial"/>
                <w:lang w:val="en-GB"/>
              </w:rPr>
              <w:t xml:space="preserve">Inherent Risk: Certain </w:t>
            </w:r>
            <w:proofErr w:type="gramStart"/>
            <w:r w:rsidRPr="00735C06">
              <w:rPr>
                <w:rFonts w:cs="Arial"/>
                <w:lang w:val="en-GB"/>
              </w:rPr>
              <w:t>services</w:t>
            </w:r>
            <w:proofErr w:type="gramEnd"/>
            <w:r w:rsidRPr="00735C06">
              <w:rPr>
                <w:rFonts w:cs="Arial"/>
                <w:lang w:val="en-GB"/>
              </w:rPr>
              <w:t xml:space="preserve"> types carry higher or longer term risks</w:t>
            </w:r>
          </w:p>
        </w:tc>
        <w:tc>
          <w:tcPr>
            <w:tcW w:w="6588" w:type="dxa"/>
          </w:tcPr>
          <w:p w14:paraId="401CEC6D" w14:textId="77777777" w:rsidR="0096129B" w:rsidRPr="00735C06" w:rsidRDefault="0096129B" w:rsidP="00773446">
            <w:pPr>
              <w:jc w:val="both"/>
              <w:rPr>
                <w:rFonts w:cs="Arial"/>
                <w:lang w:val="en-GB"/>
              </w:rPr>
            </w:pPr>
            <w:r w:rsidRPr="00735C06">
              <w:rPr>
                <w:rFonts w:cs="Arial"/>
                <w:lang w:val="en-GB"/>
              </w:rPr>
              <w:t xml:space="preserve">Certain types of services, such as civil works, may include quality or performance warranties that extend past the completion of the activity, and could therefore expose UNDP to significant residual risk. </w:t>
            </w:r>
          </w:p>
          <w:p w14:paraId="30A6E119" w14:textId="77777777" w:rsidR="0096129B" w:rsidRPr="00735C06" w:rsidRDefault="0096129B" w:rsidP="00773446">
            <w:pPr>
              <w:jc w:val="both"/>
              <w:rPr>
                <w:rFonts w:cs="Arial"/>
                <w:lang w:val="en-GB"/>
              </w:rPr>
            </w:pPr>
          </w:p>
          <w:p w14:paraId="0D164B36" w14:textId="77777777" w:rsidR="0096129B" w:rsidRPr="00735C06" w:rsidRDefault="0096129B" w:rsidP="00773446">
            <w:pPr>
              <w:jc w:val="both"/>
              <w:rPr>
                <w:rFonts w:cs="Arial"/>
                <w:lang w:val="en-GB"/>
              </w:rPr>
            </w:pPr>
            <w:r w:rsidRPr="00735C06">
              <w:rPr>
                <w:rFonts w:cs="Arial"/>
                <w:lang w:val="en-GB"/>
              </w:rPr>
              <w:t xml:space="preserve">Because of this enhanced risk profile, additional safeguards are necessary to properly evaluate technical and legal risks and ensure they are addressed/mitigated fully before the office accepts to provide the service. </w:t>
            </w:r>
          </w:p>
          <w:p w14:paraId="2B5002E7" w14:textId="77777777" w:rsidR="0096129B" w:rsidRPr="00735C06" w:rsidRDefault="0096129B" w:rsidP="00773446">
            <w:pPr>
              <w:jc w:val="both"/>
              <w:rPr>
                <w:rFonts w:cs="Arial"/>
                <w:lang w:val="en-GB"/>
              </w:rPr>
            </w:pPr>
          </w:p>
          <w:p w14:paraId="378C18CF" w14:textId="77777777" w:rsidR="0096129B" w:rsidRPr="00735C06" w:rsidRDefault="00606ADB" w:rsidP="00773446">
            <w:pPr>
              <w:jc w:val="both"/>
              <w:rPr>
                <w:rFonts w:cs="Arial"/>
                <w:lang w:val="en-GB"/>
              </w:rPr>
            </w:pPr>
            <w:r w:rsidRPr="00735C06">
              <w:rPr>
                <w:rFonts w:cs="Arial"/>
                <w:lang w:val="en-GB"/>
              </w:rPr>
              <w:t>E</w:t>
            </w:r>
            <w:r w:rsidR="0096129B" w:rsidRPr="00735C06">
              <w:rPr>
                <w:rFonts w:cs="Arial"/>
                <w:lang w:val="en-GB"/>
              </w:rPr>
              <w:t>xperience</w:t>
            </w:r>
            <w:r w:rsidRPr="00735C06">
              <w:rPr>
                <w:rFonts w:cs="Arial"/>
                <w:lang w:val="en-GB"/>
              </w:rPr>
              <w:t>s in UNDP offices have</w:t>
            </w:r>
            <w:r w:rsidR="0096129B" w:rsidRPr="00735C06">
              <w:rPr>
                <w:rFonts w:cs="Arial"/>
                <w:lang w:val="en-GB"/>
              </w:rPr>
              <w:t xml:space="preserve"> shown that, for complex services where there is considerable professional judgment necessary when evaluating the quality of the product, it is important to avoid conflict of interest by building in contractual safeguards, such as an independent agent to certify the work done, rather than relying on the client (government employees) for certification.</w:t>
            </w:r>
          </w:p>
          <w:p w14:paraId="14A07C38" w14:textId="77777777" w:rsidR="0096129B" w:rsidRPr="00735C06" w:rsidRDefault="0096129B" w:rsidP="00773446">
            <w:pPr>
              <w:jc w:val="both"/>
              <w:rPr>
                <w:rFonts w:cs="Arial"/>
                <w:lang w:val="en-GB"/>
              </w:rPr>
            </w:pPr>
          </w:p>
          <w:p w14:paraId="6BCA1A9A" w14:textId="77777777" w:rsidR="0096129B" w:rsidRPr="00735C06" w:rsidRDefault="0096129B" w:rsidP="00773446">
            <w:pPr>
              <w:jc w:val="both"/>
              <w:rPr>
                <w:rFonts w:cs="Arial"/>
                <w:lang w:val="en-GB"/>
              </w:rPr>
            </w:pPr>
            <w:r w:rsidRPr="00735C06">
              <w:rPr>
                <w:rFonts w:cs="Arial"/>
                <w:lang w:val="en-GB"/>
              </w:rPr>
              <w:t>The office should complete a risk assessment to evaluate the risks to UNDP of providing the specific services requested and ensure adequate mitigation measures are in place. Where risks have been evaluated as high, the MPS must be cleared by the Regional Bureau.</w:t>
            </w:r>
          </w:p>
        </w:tc>
      </w:tr>
      <w:tr w:rsidR="0096129B" w:rsidRPr="00735C06" w14:paraId="4703FAA6" w14:textId="77777777" w:rsidTr="000029EF">
        <w:tc>
          <w:tcPr>
            <w:tcW w:w="2988" w:type="dxa"/>
          </w:tcPr>
          <w:p w14:paraId="0BD5D649" w14:textId="77777777" w:rsidR="0096129B" w:rsidRPr="00735C06" w:rsidRDefault="0096129B" w:rsidP="00773446">
            <w:pPr>
              <w:rPr>
                <w:rFonts w:cs="Arial"/>
                <w:lang w:val="en-GB"/>
              </w:rPr>
            </w:pPr>
            <w:r w:rsidRPr="00735C06">
              <w:rPr>
                <w:rFonts w:cs="Arial"/>
                <w:lang w:val="en-GB"/>
              </w:rPr>
              <w:t>Reputational Risk: UNDP is not protected and is held accountable for subsequent decisions or actions by another party</w:t>
            </w:r>
          </w:p>
        </w:tc>
        <w:tc>
          <w:tcPr>
            <w:tcW w:w="6588" w:type="dxa"/>
          </w:tcPr>
          <w:p w14:paraId="258A55A2" w14:textId="77777777" w:rsidR="0096129B" w:rsidRPr="00735C06" w:rsidRDefault="0096129B" w:rsidP="00CD534D">
            <w:pPr>
              <w:jc w:val="both"/>
              <w:rPr>
                <w:rFonts w:cs="Arial"/>
                <w:lang w:val="en-GB"/>
              </w:rPr>
            </w:pPr>
            <w:r w:rsidRPr="00735C06">
              <w:rPr>
                <w:rFonts w:cs="Arial"/>
                <w:lang w:val="en-GB"/>
              </w:rPr>
              <w:t>In each MPS, UNDP is responsible for completing a whole process. For instance, when carrying out procurement/recruitment, if the office is responsible for evaluating the bids</w:t>
            </w:r>
            <w:r w:rsidR="006D5A16" w:rsidRPr="00735C06">
              <w:rPr>
                <w:rFonts w:cs="Arial"/>
                <w:lang w:val="en-GB"/>
              </w:rPr>
              <w:t xml:space="preserve">, </w:t>
            </w:r>
            <w:r w:rsidRPr="00735C06">
              <w:rPr>
                <w:rFonts w:cs="Arial"/>
                <w:lang w:val="en-GB"/>
              </w:rPr>
              <w:t xml:space="preserve">the office </w:t>
            </w:r>
            <w:r w:rsidR="00182B74" w:rsidRPr="00735C06">
              <w:rPr>
                <w:rFonts w:cs="Arial"/>
                <w:lang w:val="en-GB"/>
              </w:rPr>
              <w:t xml:space="preserve">is also </w:t>
            </w:r>
            <w:r w:rsidRPr="00735C06">
              <w:rPr>
                <w:rFonts w:cs="Arial"/>
                <w:lang w:val="en-GB"/>
              </w:rPr>
              <w:t xml:space="preserve">responsible for </w:t>
            </w:r>
            <w:r w:rsidR="00182B74" w:rsidRPr="00735C06">
              <w:rPr>
                <w:rFonts w:cs="Arial"/>
                <w:lang w:val="en-GB"/>
              </w:rPr>
              <w:t xml:space="preserve">the final </w:t>
            </w:r>
            <w:r w:rsidRPr="00735C06">
              <w:rPr>
                <w:rFonts w:cs="Arial"/>
                <w:lang w:val="en-GB"/>
              </w:rPr>
              <w:t xml:space="preserve">selection. UNDP should not be restricted to making a recommendation to the government, which the government could then ignore, yet </w:t>
            </w:r>
            <w:r w:rsidR="00CD534D" w:rsidRPr="00735C06">
              <w:rPr>
                <w:rFonts w:cs="Arial"/>
                <w:lang w:val="en-GB"/>
              </w:rPr>
              <w:t xml:space="preserve">may </w:t>
            </w:r>
            <w:r w:rsidRPr="00735C06">
              <w:rPr>
                <w:rFonts w:cs="Arial"/>
                <w:lang w:val="en-GB"/>
              </w:rPr>
              <w:t>claim</w:t>
            </w:r>
            <w:r w:rsidR="00CD534D" w:rsidRPr="00735C06">
              <w:rPr>
                <w:rFonts w:cs="Arial"/>
                <w:lang w:val="en-GB"/>
              </w:rPr>
              <w:t xml:space="preserve"> that</w:t>
            </w:r>
            <w:r w:rsidRPr="00735C06">
              <w:rPr>
                <w:rFonts w:cs="Arial"/>
                <w:lang w:val="en-GB"/>
              </w:rPr>
              <w:t xml:space="preserve"> UNDP were involved in the process.</w:t>
            </w:r>
          </w:p>
        </w:tc>
      </w:tr>
      <w:tr w:rsidR="000029EF" w:rsidRPr="00735C06" w14:paraId="3E61A5A9" w14:textId="77777777" w:rsidTr="000029EF">
        <w:tc>
          <w:tcPr>
            <w:tcW w:w="2988" w:type="dxa"/>
          </w:tcPr>
          <w:p w14:paraId="7EB38120" w14:textId="77777777" w:rsidR="000029EF" w:rsidRPr="00735C06" w:rsidRDefault="000029EF" w:rsidP="000029EF">
            <w:pPr>
              <w:rPr>
                <w:rFonts w:cs="Arial"/>
                <w:lang w:val="en-GB"/>
              </w:rPr>
            </w:pPr>
            <w:r w:rsidRPr="00735C06">
              <w:rPr>
                <w:rFonts w:cs="Arial"/>
                <w:lang w:val="en-GB"/>
              </w:rPr>
              <w:t>Social and Environmental Risk: Potential impacts on people or the environment.</w:t>
            </w:r>
          </w:p>
        </w:tc>
        <w:tc>
          <w:tcPr>
            <w:tcW w:w="6588" w:type="dxa"/>
          </w:tcPr>
          <w:p w14:paraId="476DAC20" w14:textId="77777777" w:rsidR="000029EF" w:rsidRPr="00735C06" w:rsidRDefault="000029EF" w:rsidP="000029EF">
            <w:pPr>
              <w:jc w:val="both"/>
              <w:rPr>
                <w:rFonts w:cs="Arial"/>
                <w:lang w:val="en-GB"/>
              </w:rPr>
            </w:pPr>
            <w:r w:rsidRPr="00735C06">
              <w:rPr>
                <w:rFonts w:cs="Arial"/>
                <w:lang w:val="en-GB"/>
              </w:rPr>
              <w:t xml:space="preserve">Potential social and environmental risks and management measures to be identified through the </w:t>
            </w:r>
            <w:r w:rsidR="00C531A9" w:rsidRPr="00735C06">
              <w:rPr>
                <w:rFonts w:cs="Arial"/>
                <w:lang w:val="en-GB"/>
              </w:rPr>
              <w:t>Social and Environmental Screening Procedures (</w:t>
            </w:r>
            <w:r w:rsidRPr="00735C06">
              <w:rPr>
                <w:rFonts w:cs="Arial"/>
                <w:lang w:val="en-GB"/>
              </w:rPr>
              <w:t>SESP</w:t>
            </w:r>
            <w:r w:rsidR="00C531A9" w:rsidRPr="00735C06">
              <w:rPr>
                <w:rFonts w:cs="Arial"/>
                <w:lang w:val="en-GB"/>
              </w:rPr>
              <w:t>)</w:t>
            </w:r>
            <w:r w:rsidRPr="00735C06">
              <w:rPr>
                <w:rFonts w:cs="Arial"/>
                <w:lang w:val="en-GB"/>
              </w:rPr>
              <w:t xml:space="preserve">, when required. UNDP’s Accountability Mechanism will provide a mechanism to receive and respond to complaints and grievances. </w:t>
            </w:r>
          </w:p>
          <w:p w14:paraId="55711912" w14:textId="77777777" w:rsidR="008B1456" w:rsidRPr="00735C06" w:rsidRDefault="008B1456" w:rsidP="000029EF">
            <w:pPr>
              <w:jc w:val="both"/>
              <w:rPr>
                <w:rFonts w:cs="Arial"/>
                <w:lang w:val="en-GB"/>
              </w:rPr>
            </w:pPr>
          </w:p>
          <w:p w14:paraId="6EDBB262" w14:textId="77777777" w:rsidR="008123D0" w:rsidRPr="00735C06" w:rsidRDefault="008B1456" w:rsidP="008123D0">
            <w:pPr>
              <w:autoSpaceDE w:val="0"/>
              <w:autoSpaceDN w:val="0"/>
              <w:rPr>
                <w:rFonts w:cs="Arial"/>
              </w:rPr>
            </w:pPr>
            <w:r w:rsidRPr="00735C06">
              <w:rPr>
                <w:rFonts w:cs="Arial"/>
                <w:lang w:val="en-GB"/>
              </w:rPr>
              <w:t xml:space="preserve">If the services contribute to results that are articulated in a partner’s project document or other instrument, the document must be screened using </w:t>
            </w:r>
            <w:r w:rsidR="00C531A9" w:rsidRPr="00735C06">
              <w:rPr>
                <w:rFonts w:cs="Arial"/>
                <w:lang w:val="en-GB"/>
              </w:rPr>
              <w:t xml:space="preserve">UNDP’s SESP </w:t>
            </w:r>
            <w:r w:rsidRPr="00735C06">
              <w:rPr>
                <w:rFonts w:cs="Arial"/>
                <w:lang w:val="en-GB"/>
              </w:rPr>
              <w:t xml:space="preserve">unless exempt based on the risk-informed criteria. </w:t>
            </w:r>
          </w:p>
          <w:p w14:paraId="7D575A8D" w14:textId="77777777" w:rsidR="008123D0" w:rsidRPr="00735C06" w:rsidRDefault="00000000" w:rsidP="008123D0">
            <w:pPr>
              <w:autoSpaceDE w:val="0"/>
              <w:autoSpaceDN w:val="0"/>
              <w:spacing w:before="40" w:after="40"/>
              <w:rPr>
                <w:rFonts w:cs="Arial"/>
              </w:rPr>
            </w:pPr>
            <w:hyperlink r:id="rId16" w:history="1">
              <w:r w:rsidR="008123D0" w:rsidRPr="00735C06">
                <w:rPr>
                  <w:rStyle w:val="Hyperlink"/>
                  <w:rFonts w:cs="Arial"/>
                </w:rPr>
                <w:t>Social and Environmental Compliance Review and Stakeholder Response Mechanism</w:t>
              </w:r>
            </w:hyperlink>
          </w:p>
          <w:p w14:paraId="1B39C44B" w14:textId="77777777" w:rsidR="008123D0" w:rsidRPr="00735C06" w:rsidRDefault="00000000" w:rsidP="008123D0">
            <w:pPr>
              <w:autoSpaceDE w:val="0"/>
              <w:autoSpaceDN w:val="0"/>
              <w:spacing w:before="40" w:after="40"/>
              <w:rPr>
                <w:rFonts w:cs="Arial"/>
              </w:rPr>
            </w:pPr>
            <w:hyperlink r:id="rId17" w:history="1">
              <w:r w:rsidR="00FC152C" w:rsidRPr="00735C06">
                <w:rPr>
                  <w:rStyle w:val="Hyperlink"/>
                  <w:rFonts w:cs="Arial"/>
                </w:rPr>
                <w:t>Social and Environmental Compliance Review</w:t>
              </w:r>
            </w:hyperlink>
            <w:r w:rsidR="008123D0" w:rsidRPr="00735C06">
              <w:rPr>
                <w:rFonts w:cs="Arial"/>
              </w:rPr>
              <w:t xml:space="preserve"> </w:t>
            </w:r>
          </w:p>
          <w:p w14:paraId="122C2879" w14:textId="77777777" w:rsidR="008123D0" w:rsidRPr="00735C06" w:rsidRDefault="00000000" w:rsidP="008123D0">
            <w:pPr>
              <w:autoSpaceDE w:val="0"/>
              <w:autoSpaceDN w:val="0"/>
              <w:spacing w:before="40" w:after="40"/>
              <w:rPr>
                <w:rFonts w:cs="Arial"/>
              </w:rPr>
            </w:pPr>
            <w:hyperlink r:id="rId18" w:history="1">
              <w:r w:rsidR="00FC152C" w:rsidRPr="00735C06">
                <w:rPr>
                  <w:rStyle w:val="Hyperlink"/>
                  <w:rFonts w:cs="Arial"/>
                </w:rPr>
                <w:t>Stakeholder Response Mechanism</w:t>
              </w:r>
            </w:hyperlink>
          </w:p>
          <w:p w14:paraId="4319586A" w14:textId="77777777" w:rsidR="008B1456" w:rsidRPr="00735C06" w:rsidRDefault="008B1456" w:rsidP="000029EF">
            <w:pPr>
              <w:jc w:val="both"/>
              <w:rPr>
                <w:rFonts w:cs="Arial"/>
                <w:lang w:val="en-GB"/>
              </w:rPr>
            </w:pPr>
          </w:p>
        </w:tc>
      </w:tr>
      <w:tr w:rsidR="000029EF" w:rsidRPr="00735C06" w14:paraId="141B0AC8" w14:textId="77777777" w:rsidTr="000029EF">
        <w:tc>
          <w:tcPr>
            <w:tcW w:w="2988" w:type="dxa"/>
          </w:tcPr>
          <w:p w14:paraId="431D255A" w14:textId="77777777" w:rsidR="000029EF" w:rsidRPr="00735C06" w:rsidRDefault="000029EF" w:rsidP="000029EF">
            <w:pPr>
              <w:rPr>
                <w:rFonts w:cs="Arial"/>
                <w:lang w:val="en-GB"/>
              </w:rPr>
            </w:pPr>
            <w:r w:rsidRPr="00735C06">
              <w:rPr>
                <w:rFonts w:cs="Arial"/>
                <w:lang w:val="en-GB"/>
              </w:rPr>
              <w:lastRenderedPageBreak/>
              <w:t>Office over-reliance on MPS: Excessive amounts of MPS in an office may undermine UNDP’s core business of making substantive contributions to development outcomes through development projects</w:t>
            </w:r>
          </w:p>
        </w:tc>
        <w:tc>
          <w:tcPr>
            <w:tcW w:w="6588" w:type="dxa"/>
          </w:tcPr>
          <w:p w14:paraId="502EC92F" w14:textId="77777777" w:rsidR="000029EF" w:rsidRPr="00735C06" w:rsidRDefault="000029EF" w:rsidP="000029EF">
            <w:pPr>
              <w:jc w:val="both"/>
              <w:rPr>
                <w:rFonts w:cs="Arial"/>
                <w:lang w:val="en-GB"/>
              </w:rPr>
            </w:pPr>
            <w:r w:rsidRPr="00735C06">
              <w:rPr>
                <w:rFonts w:cs="Arial"/>
                <w:b/>
                <w:lang w:val="en-GB"/>
              </w:rPr>
              <w:t>MPS does not change UNDP’s model of primarily delivering development assistance through programmes and projects</w:t>
            </w:r>
            <w:r w:rsidRPr="00735C06">
              <w:rPr>
                <w:rFonts w:cs="Arial"/>
                <w:lang w:val="en-GB"/>
              </w:rPr>
              <w:t>. MPS will not become a dominant means of delivering UNDP activities nor viewed as a route to deliver development assistance by circumventing formulation of project documents.</w:t>
            </w:r>
          </w:p>
          <w:p w14:paraId="2DE8E199" w14:textId="77777777" w:rsidR="000029EF" w:rsidRPr="00735C06" w:rsidRDefault="000029EF" w:rsidP="000029EF">
            <w:pPr>
              <w:jc w:val="both"/>
              <w:rPr>
                <w:rFonts w:cs="Arial"/>
                <w:lang w:val="en-GB"/>
              </w:rPr>
            </w:pPr>
          </w:p>
          <w:p w14:paraId="5A237609" w14:textId="77777777" w:rsidR="000029EF" w:rsidRPr="00735C06" w:rsidRDefault="000029EF" w:rsidP="000029EF">
            <w:pPr>
              <w:jc w:val="both"/>
              <w:rPr>
                <w:rFonts w:cs="Arial"/>
                <w:lang w:val="en-GB"/>
              </w:rPr>
            </w:pPr>
            <w:r w:rsidRPr="00735C06">
              <w:rPr>
                <w:rFonts w:cs="Arial"/>
                <w:lang w:val="en-GB"/>
              </w:rPr>
              <w:t>Within each region, the Regional Bureau will be responsible for ensuring that the total value of funds managed through MPS within the region does not exceed 10% of the region’s programme delivery in the previous year.</w:t>
            </w:r>
          </w:p>
          <w:p w14:paraId="1D740DBD" w14:textId="77777777" w:rsidR="000029EF" w:rsidRPr="00735C06" w:rsidRDefault="000029EF" w:rsidP="000029EF">
            <w:pPr>
              <w:jc w:val="both"/>
              <w:rPr>
                <w:rFonts w:cs="Arial"/>
                <w:lang w:val="en-GB"/>
              </w:rPr>
            </w:pPr>
          </w:p>
          <w:p w14:paraId="083FD6AB" w14:textId="77777777" w:rsidR="000029EF" w:rsidRPr="00735C06" w:rsidRDefault="000029EF" w:rsidP="000029EF">
            <w:pPr>
              <w:jc w:val="both"/>
              <w:rPr>
                <w:rFonts w:cs="Arial"/>
                <w:lang w:val="en-GB"/>
              </w:rPr>
            </w:pPr>
            <w:proofErr w:type="gramStart"/>
            <w:r w:rsidRPr="00735C06">
              <w:rPr>
                <w:rFonts w:cs="Arial"/>
                <w:lang w:val="en-GB"/>
              </w:rPr>
              <w:t>Furthermore</w:t>
            </w:r>
            <w:proofErr w:type="gramEnd"/>
            <w:r w:rsidRPr="00735C06">
              <w:rPr>
                <w:rFonts w:cs="Arial"/>
                <w:lang w:val="en-GB"/>
              </w:rPr>
              <w:t xml:space="preserve"> each Regional Bureau will be responsible for ensuring that, within the above 10% regional limit, within each Country Office the resources managed through MPS do not exceed 30% of the office’s programme delivery in the previous year.</w:t>
            </w:r>
          </w:p>
        </w:tc>
      </w:tr>
      <w:tr w:rsidR="000029EF" w:rsidRPr="00735C06" w14:paraId="4A88A6F2" w14:textId="77777777" w:rsidTr="000029EF">
        <w:tc>
          <w:tcPr>
            <w:tcW w:w="2988" w:type="dxa"/>
          </w:tcPr>
          <w:p w14:paraId="6C795805" w14:textId="77777777" w:rsidR="000029EF" w:rsidRPr="00735C06" w:rsidRDefault="000029EF" w:rsidP="000029EF">
            <w:pPr>
              <w:rPr>
                <w:rFonts w:cs="Arial"/>
                <w:lang w:val="en-GB"/>
              </w:rPr>
            </w:pPr>
            <w:r w:rsidRPr="00735C06">
              <w:rPr>
                <w:rFonts w:cs="Arial"/>
                <w:lang w:val="en-GB"/>
              </w:rPr>
              <w:t>Exchange rate: Cash management/Currency risks</w:t>
            </w:r>
          </w:p>
        </w:tc>
        <w:tc>
          <w:tcPr>
            <w:tcW w:w="6588" w:type="dxa"/>
          </w:tcPr>
          <w:p w14:paraId="0632AEF5" w14:textId="77777777" w:rsidR="000029EF" w:rsidRPr="00735C06" w:rsidRDefault="000029EF" w:rsidP="000029EF">
            <w:pPr>
              <w:jc w:val="both"/>
              <w:rPr>
                <w:rFonts w:cs="Arial"/>
                <w:lang w:val="en-GB"/>
              </w:rPr>
            </w:pPr>
            <w:r w:rsidRPr="00735C06">
              <w:rPr>
                <w:rFonts w:cs="Arial"/>
                <w:lang w:val="en-GB"/>
              </w:rPr>
              <w:t xml:space="preserve">UNDP’s operating and reporting currency is US dollars. </w:t>
            </w:r>
            <w:proofErr w:type="gramStart"/>
            <w:r w:rsidRPr="00735C06">
              <w:rPr>
                <w:rFonts w:cs="Arial"/>
                <w:lang w:val="en-GB"/>
              </w:rPr>
              <w:t>As a general rule</w:t>
            </w:r>
            <w:proofErr w:type="gramEnd"/>
            <w:r w:rsidRPr="00735C06">
              <w:rPr>
                <w:rFonts w:cs="Arial"/>
                <w:lang w:val="en-GB"/>
              </w:rPr>
              <w:t>, as anticipated in Articles 3 and 8f of the Standard Memorandum for Provision of Services Template, all costs incurred on MPS will be paid from the funds received under the MPS, and modifications to services may be necessary to ensure that funding shall be sufficient to cover all expenses for the provision of such services. This includes exchange rate fluctuations.</w:t>
            </w:r>
          </w:p>
          <w:p w14:paraId="616E9949" w14:textId="77777777" w:rsidR="000029EF" w:rsidRPr="00735C06" w:rsidRDefault="000029EF" w:rsidP="000029EF">
            <w:pPr>
              <w:jc w:val="both"/>
              <w:rPr>
                <w:rFonts w:cs="Arial"/>
                <w:lang w:val="en-GB"/>
              </w:rPr>
            </w:pPr>
          </w:p>
          <w:p w14:paraId="6AFB6CC5" w14:textId="77777777" w:rsidR="000029EF" w:rsidRPr="00735C06" w:rsidRDefault="000029EF" w:rsidP="000029EF">
            <w:pPr>
              <w:jc w:val="both"/>
              <w:rPr>
                <w:rFonts w:eastAsiaTheme="majorEastAsia" w:cs="Arial"/>
                <w:b/>
                <w:bCs/>
                <w:color w:val="5B9BD5" w:themeColor="accent1"/>
                <w:lang w:val="en-GB"/>
              </w:rPr>
            </w:pPr>
            <w:r w:rsidRPr="00735C06">
              <w:rPr>
                <w:rFonts w:cs="Arial"/>
                <w:lang w:val="en-GB"/>
              </w:rPr>
              <w:t>No modifications to these clauses may be made without advance written consent from the UNDP Treasurer, and all risks associated with any modifications to these clauses will be borne by the respective Country Office.</w:t>
            </w:r>
          </w:p>
        </w:tc>
      </w:tr>
      <w:tr w:rsidR="000029EF" w:rsidRPr="00735C06" w14:paraId="65282DBF" w14:textId="77777777" w:rsidTr="000029EF">
        <w:tc>
          <w:tcPr>
            <w:tcW w:w="2988" w:type="dxa"/>
          </w:tcPr>
          <w:p w14:paraId="7779629C" w14:textId="6A72F7E4" w:rsidR="000029EF" w:rsidRPr="00735C06" w:rsidRDefault="000029EF" w:rsidP="00CE3E63">
            <w:pPr>
              <w:rPr>
                <w:rFonts w:cs="Arial"/>
                <w:lang w:val="en-GB"/>
              </w:rPr>
            </w:pPr>
            <w:r w:rsidRPr="00735C06">
              <w:rPr>
                <w:rFonts w:cs="Arial"/>
                <w:lang w:val="en-GB"/>
              </w:rPr>
              <w:t>Co</w:t>
            </w:r>
            <w:r w:rsidR="00CE3E63" w:rsidRPr="00735C06">
              <w:rPr>
                <w:rFonts w:cs="Arial"/>
                <w:lang w:val="en-GB"/>
              </w:rPr>
              <w:t xml:space="preserve">mpliance </w:t>
            </w:r>
            <w:proofErr w:type="gramStart"/>
            <w:r w:rsidR="00CE3E63" w:rsidRPr="00735C06">
              <w:rPr>
                <w:rFonts w:cs="Arial"/>
                <w:lang w:val="en-GB"/>
              </w:rPr>
              <w:t xml:space="preserve">with </w:t>
            </w:r>
            <w:r w:rsidRPr="00735C06">
              <w:rPr>
                <w:rFonts w:cs="Arial"/>
                <w:lang w:val="en-GB"/>
              </w:rPr>
              <w:t xml:space="preserve"> UNDP</w:t>
            </w:r>
            <w:proofErr w:type="gramEnd"/>
            <w:r w:rsidRPr="00735C06">
              <w:rPr>
                <w:rFonts w:cs="Arial"/>
                <w:lang w:val="en-GB"/>
              </w:rPr>
              <w:t xml:space="preserve"> </w:t>
            </w:r>
            <w:r w:rsidR="00CE3E63" w:rsidRPr="00735C06">
              <w:rPr>
                <w:rFonts w:cs="Arial"/>
                <w:lang w:val="en-GB"/>
              </w:rPr>
              <w:t>policies</w:t>
            </w:r>
          </w:p>
        </w:tc>
        <w:tc>
          <w:tcPr>
            <w:tcW w:w="6588" w:type="dxa"/>
          </w:tcPr>
          <w:p w14:paraId="06C8EC91" w14:textId="2BA8A36D" w:rsidR="000029EF" w:rsidRPr="00DC5211" w:rsidRDefault="000029EF" w:rsidP="000029EF">
            <w:pPr>
              <w:jc w:val="both"/>
              <w:rPr>
                <w:rFonts w:cs="Arial"/>
                <w:lang w:val="en-GB"/>
              </w:rPr>
            </w:pPr>
            <w:r w:rsidRPr="00DC5211">
              <w:rPr>
                <w:rFonts w:cs="Arial"/>
                <w:lang w:val="en-GB"/>
              </w:rPr>
              <w:t xml:space="preserve">All requests for MPS clauses that </w:t>
            </w:r>
            <w:r w:rsidR="003D7CB3" w:rsidRPr="00DC5211">
              <w:rPr>
                <w:rFonts w:cs="Arial"/>
                <w:lang w:val="en-GB"/>
              </w:rPr>
              <w:t xml:space="preserve">may </w:t>
            </w:r>
            <w:r w:rsidRPr="00DC5211">
              <w:rPr>
                <w:rFonts w:cs="Arial"/>
                <w:lang w:val="en-GB"/>
              </w:rPr>
              <w:t xml:space="preserve">restrict competition </w:t>
            </w:r>
            <w:r w:rsidR="003D7CB3" w:rsidRPr="00DC5211">
              <w:rPr>
                <w:rFonts w:cs="Arial"/>
                <w:lang w:val="en-GB"/>
              </w:rPr>
              <w:t xml:space="preserve">in procurement </w:t>
            </w:r>
            <w:r w:rsidRPr="00DC5211">
              <w:rPr>
                <w:rFonts w:cs="Arial"/>
                <w:lang w:val="en-GB"/>
              </w:rPr>
              <w:t>must be reviewed and cleared in advance by CPO, BMS (see Restricted Competition section above)</w:t>
            </w:r>
          </w:p>
        </w:tc>
      </w:tr>
      <w:tr w:rsidR="00F412B7" w:rsidRPr="00735C06" w14:paraId="067D421D" w14:textId="77777777" w:rsidTr="000029EF">
        <w:tc>
          <w:tcPr>
            <w:tcW w:w="2988" w:type="dxa"/>
          </w:tcPr>
          <w:p w14:paraId="2184833A" w14:textId="66D3991B" w:rsidR="00F412B7" w:rsidRPr="00F412B7" w:rsidRDefault="00F412B7" w:rsidP="00CE3E63">
            <w:pPr>
              <w:rPr>
                <w:rFonts w:cs="Arial"/>
                <w:highlight w:val="green"/>
                <w:lang w:val="en-GB"/>
              </w:rPr>
            </w:pPr>
            <w:r w:rsidRPr="00DC5211">
              <w:rPr>
                <w:rFonts w:cs="Arial"/>
                <w:lang w:val="en-GB"/>
              </w:rPr>
              <w:t>Receipt of payments: payments are not received from the funding partner in a timely manner</w:t>
            </w:r>
          </w:p>
        </w:tc>
        <w:tc>
          <w:tcPr>
            <w:tcW w:w="6588" w:type="dxa"/>
          </w:tcPr>
          <w:p w14:paraId="73AB1CD0" w14:textId="7AE36196" w:rsidR="00F412B7" w:rsidRPr="00DC5211" w:rsidRDefault="00F412B7" w:rsidP="002332D0">
            <w:pPr>
              <w:jc w:val="both"/>
              <w:rPr>
                <w:rFonts w:cs="Arial"/>
                <w:lang w:val="en-GB"/>
              </w:rPr>
            </w:pPr>
            <w:r w:rsidRPr="00DC5211">
              <w:rPr>
                <w:rFonts w:cs="Arial"/>
                <w:lang w:val="en-GB"/>
              </w:rPr>
              <w:t xml:space="preserve">Receipt of payments: </w:t>
            </w:r>
            <w:hyperlink r:id="rId19" w:history="1">
              <w:r w:rsidR="002332D0" w:rsidRPr="00DC5211">
                <w:rPr>
                  <w:rStyle w:val="Hyperlink"/>
                  <w:rFonts w:cs="Arial"/>
                  <w:lang w:val="en-GB"/>
                </w:rPr>
                <w:t>UNDP’s risk management guidelines for contributions by donors to ‘other resources’</w:t>
              </w:r>
            </w:hyperlink>
            <w:r w:rsidR="002332D0" w:rsidRPr="00DC5211">
              <w:rPr>
                <w:rFonts w:cs="Arial"/>
                <w:lang w:val="en-GB"/>
              </w:rPr>
              <w:t xml:space="preserve"> applies. </w:t>
            </w:r>
            <w:r w:rsidR="00387985" w:rsidRPr="00DC5211">
              <w:rPr>
                <w:rFonts w:cs="Arial"/>
                <w:lang w:val="en-GB"/>
              </w:rPr>
              <w:t>Services shall be suspended or terminated where funding is not received</w:t>
            </w:r>
            <w:r w:rsidR="005947A1" w:rsidRPr="00DC5211">
              <w:rPr>
                <w:rFonts w:cs="Arial"/>
                <w:lang w:val="en-GB"/>
              </w:rPr>
              <w:t xml:space="preserve"> per the agreed payment schedule</w:t>
            </w:r>
            <w:r w:rsidR="00387985" w:rsidRPr="00DC5211">
              <w:rPr>
                <w:rFonts w:cs="Arial"/>
                <w:lang w:val="en-GB"/>
              </w:rPr>
              <w:t xml:space="preserve">. </w:t>
            </w:r>
          </w:p>
        </w:tc>
      </w:tr>
    </w:tbl>
    <w:p w14:paraId="516FE5A2" w14:textId="77777777" w:rsidR="00C05B6F" w:rsidRPr="00735C06" w:rsidRDefault="00C05B6F" w:rsidP="00AC71F1">
      <w:pPr>
        <w:rPr>
          <w:rFonts w:cs="Arial"/>
        </w:rPr>
      </w:pPr>
    </w:p>
    <w:p w14:paraId="1D9CCB40" w14:textId="77777777" w:rsidR="00771D7E" w:rsidRPr="00735C06" w:rsidRDefault="00771D7E" w:rsidP="00AC71F1">
      <w:pPr>
        <w:rPr>
          <w:rFonts w:cs="Arial"/>
          <w:b/>
          <w:lang w:val="en-GB"/>
        </w:rPr>
      </w:pPr>
      <w:r w:rsidRPr="00735C06">
        <w:rPr>
          <w:rFonts w:cs="Arial"/>
          <w:b/>
          <w:lang w:val="en-GB"/>
        </w:rPr>
        <w:t>Annex 1</w:t>
      </w:r>
    </w:p>
    <w:p w14:paraId="232E2A9F" w14:textId="77777777" w:rsidR="00A40B21" w:rsidRPr="00735C06" w:rsidRDefault="00D66D5C" w:rsidP="00AC71F1">
      <w:pPr>
        <w:rPr>
          <w:rFonts w:cs="Arial"/>
          <w:b/>
          <w:lang w:val="en-GB"/>
        </w:rPr>
      </w:pPr>
      <w:r w:rsidRPr="00735C06">
        <w:rPr>
          <w:rFonts w:cs="Arial"/>
          <w:b/>
          <w:lang w:val="en-GB"/>
        </w:rPr>
        <w:t>MPS Service Offering</w:t>
      </w:r>
    </w:p>
    <w:p w14:paraId="3D25DD78" w14:textId="77777777" w:rsidR="00771D7E" w:rsidRPr="00735C06" w:rsidRDefault="00771D7E" w:rsidP="00771D7E">
      <w:pPr>
        <w:numPr>
          <w:ilvl w:val="0"/>
          <w:numId w:val="12"/>
        </w:numPr>
        <w:rPr>
          <w:rFonts w:cs="Arial"/>
          <w:i/>
          <w:lang w:val="en-GB"/>
        </w:rPr>
      </w:pPr>
      <w:r w:rsidRPr="00735C06">
        <w:rPr>
          <w:rFonts w:cs="Arial"/>
          <w:i/>
          <w:lang w:val="en-GB"/>
        </w:rPr>
        <w:t>Advocacy and Policy</w:t>
      </w:r>
    </w:p>
    <w:p w14:paraId="70AE17E9" w14:textId="77777777" w:rsidR="00771D7E" w:rsidRPr="00735C06" w:rsidRDefault="00771D7E" w:rsidP="00771D7E">
      <w:pPr>
        <w:rPr>
          <w:rFonts w:cs="Arial"/>
          <w:lang w:val="en-GB"/>
        </w:rPr>
      </w:pPr>
      <w:r w:rsidRPr="00735C06">
        <w:rPr>
          <w:rFonts w:cs="Arial"/>
          <w:lang w:val="en-GB"/>
        </w:rPr>
        <w:lastRenderedPageBreak/>
        <w:t>Programme governments may request UNDP to contribute its expertise and provide advice to aid in policy formulation. This includes advisory services on:</w:t>
      </w:r>
    </w:p>
    <w:p w14:paraId="61D8453F" w14:textId="77777777" w:rsidR="00771D7E" w:rsidRPr="00735C06" w:rsidRDefault="00771D7E" w:rsidP="00771D7E">
      <w:pPr>
        <w:numPr>
          <w:ilvl w:val="0"/>
          <w:numId w:val="14"/>
        </w:numPr>
        <w:rPr>
          <w:rFonts w:cs="Arial"/>
          <w:lang w:val="en-GB"/>
        </w:rPr>
      </w:pPr>
      <w:r w:rsidRPr="00735C06">
        <w:rPr>
          <w:rFonts w:cs="Arial"/>
          <w:lang w:val="en-GB"/>
        </w:rPr>
        <w:t xml:space="preserve">Democratic governance and </w:t>
      </w:r>
      <w:proofErr w:type="gramStart"/>
      <w:r w:rsidRPr="00735C06">
        <w:rPr>
          <w:rFonts w:cs="Arial"/>
          <w:lang w:val="en-GB"/>
        </w:rPr>
        <w:t>peace-building</w:t>
      </w:r>
      <w:proofErr w:type="gramEnd"/>
    </w:p>
    <w:p w14:paraId="40E5689D" w14:textId="77777777" w:rsidR="00771D7E" w:rsidRPr="00735C06" w:rsidRDefault="00771D7E" w:rsidP="00771D7E">
      <w:pPr>
        <w:numPr>
          <w:ilvl w:val="0"/>
          <w:numId w:val="14"/>
        </w:numPr>
        <w:rPr>
          <w:rFonts w:cs="Arial"/>
          <w:lang w:val="en-GB"/>
        </w:rPr>
      </w:pPr>
      <w:r w:rsidRPr="00735C06">
        <w:rPr>
          <w:rFonts w:cs="Arial"/>
          <w:lang w:val="en-GB"/>
        </w:rPr>
        <w:t xml:space="preserve">Energy, </w:t>
      </w:r>
      <w:proofErr w:type="gramStart"/>
      <w:r w:rsidRPr="00735C06">
        <w:rPr>
          <w:rFonts w:cs="Arial"/>
          <w:lang w:val="en-GB"/>
        </w:rPr>
        <w:t>environment</w:t>
      </w:r>
      <w:proofErr w:type="gramEnd"/>
      <w:r w:rsidRPr="00735C06">
        <w:rPr>
          <w:rFonts w:cs="Arial"/>
          <w:lang w:val="en-GB"/>
        </w:rPr>
        <w:t xml:space="preserve"> and strategies for mitigation of and adaptation to climate change including:</w:t>
      </w:r>
    </w:p>
    <w:p w14:paraId="3BEB2A00" w14:textId="77777777" w:rsidR="00771D7E" w:rsidRPr="00735C06" w:rsidRDefault="00771D7E" w:rsidP="00771D7E">
      <w:pPr>
        <w:numPr>
          <w:ilvl w:val="1"/>
          <w:numId w:val="14"/>
        </w:numPr>
        <w:rPr>
          <w:rFonts w:cs="Arial"/>
          <w:lang w:val="en-GB"/>
        </w:rPr>
      </w:pPr>
      <w:r w:rsidRPr="00735C06">
        <w:rPr>
          <w:rFonts w:cs="Arial"/>
          <w:lang w:val="en-GB"/>
        </w:rPr>
        <w:t>Integrating biodiversity and ecosystem management into development planning and production sector activities</w:t>
      </w:r>
    </w:p>
    <w:p w14:paraId="47B7091B" w14:textId="77777777" w:rsidR="00771D7E" w:rsidRPr="00735C06" w:rsidRDefault="00771D7E" w:rsidP="00771D7E">
      <w:pPr>
        <w:numPr>
          <w:ilvl w:val="1"/>
          <w:numId w:val="14"/>
        </w:numPr>
        <w:rPr>
          <w:rFonts w:cs="Arial"/>
          <w:lang w:val="en-GB"/>
        </w:rPr>
      </w:pPr>
      <w:r w:rsidRPr="00735C06">
        <w:rPr>
          <w:rFonts w:cs="Arial"/>
          <w:lang w:val="en-GB"/>
        </w:rPr>
        <w:t>Unlocking the potential of protected areas by ensuring that they are properly managed, sustainably financed, and contributing to sustainable development</w:t>
      </w:r>
    </w:p>
    <w:p w14:paraId="53E5391C" w14:textId="77777777" w:rsidR="00771D7E" w:rsidRPr="00735C06" w:rsidRDefault="00771D7E" w:rsidP="00771D7E">
      <w:pPr>
        <w:numPr>
          <w:ilvl w:val="1"/>
          <w:numId w:val="14"/>
        </w:numPr>
        <w:rPr>
          <w:rFonts w:cs="Arial"/>
          <w:lang w:val="en-GB"/>
        </w:rPr>
      </w:pPr>
      <w:r w:rsidRPr="00735C06">
        <w:rPr>
          <w:rFonts w:cs="Arial"/>
          <w:lang w:val="en-GB"/>
        </w:rPr>
        <w:t xml:space="preserve">Managing and rehabilitating ecosystems for adaptation to and mitigation of climate change. </w:t>
      </w:r>
    </w:p>
    <w:p w14:paraId="1BCCBB05" w14:textId="77777777" w:rsidR="00771D7E" w:rsidRPr="00735C06" w:rsidRDefault="00771D7E" w:rsidP="00771D7E">
      <w:pPr>
        <w:numPr>
          <w:ilvl w:val="1"/>
          <w:numId w:val="14"/>
        </w:numPr>
        <w:rPr>
          <w:rFonts w:cs="Arial"/>
          <w:lang w:val="en-GB"/>
        </w:rPr>
      </w:pPr>
      <w:r w:rsidRPr="00735C06">
        <w:rPr>
          <w:rFonts w:cs="Arial"/>
          <w:lang w:val="en-GB"/>
        </w:rPr>
        <w:t>Promoting access to clean and affordable energy</w:t>
      </w:r>
    </w:p>
    <w:p w14:paraId="182F6C1C" w14:textId="77777777" w:rsidR="00771D7E" w:rsidRPr="00735C06" w:rsidRDefault="00771D7E" w:rsidP="00771D7E">
      <w:pPr>
        <w:numPr>
          <w:ilvl w:val="1"/>
          <w:numId w:val="14"/>
        </w:numPr>
        <w:rPr>
          <w:rFonts w:cs="Arial"/>
          <w:lang w:val="en-GB"/>
        </w:rPr>
      </w:pPr>
      <w:r w:rsidRPr="00735C06">
        <w:rPr>
          <w:rFonts w:cs="Arial"/>
          <w:lang w:val="en-GB"/>
        </w:rPr>
        <w:t>Promoting low emission urban and transport infrastructure</w:t>
      </w:r>
    </w:p>
    <w:p w14:paraId="6E5337F9" w14:textId="77777777" w:rsidR="00771D7E" w:rsidRPr="00735C06" w:rsidRDefault="00771D7E" w:rsidP="00771D7E">
      <w:pPr>
        <w:numPr>
          <w:ilvl w:val="1"/>
          <w:numId w:val="14"/>
        </w:numPr>
        <w:rPr>
          <w:rFonts w:cs="Arial"/>
          <w:lang w:val="en-GB"/>
        </w:rPr>
      </w:pPr>
      <w:r w:rsidRPr="00735C06">
        <w:rPr>
          <w:rFonts w:cs="Arial"/>
          <w:lang w:val="en-GB"/>
        </w:rPr>
        <w:t>Sustainable management of oceans in a changing climate</w:t>
      </w:r>
    </w:p>
    <w:p w14:paraId="09974871" w14:textId="77777777" w:rsidR="00771D7E" w:rsidRPr="00735C06" w:rsidRDefault="00771D7E" w:rsidP="00771D7E">
      <w:pPr>
        <w:numPr>
          <w:ilvl w:val="1"/>
          <w:numId w:val="14"/>
        </w:numPr>
        <w:rPr>
          <w:rFonts w:cs="Arial"/>
          <w:lang w:val="en-GB"/>
        </w:rPr>
      </w:pPr>
      <w:r w:rsidRPr="00735C06">
        <w:rPr>
          <w:rFonts w:cs="Arial"/>
          <w:lang w:val="en-GB"/>
        </w:rPr>
        <w:t>Protection of trans-boundary surface and ground waters in a changing climate</w:t>
      </w:r>
    </w:p>
    <w:p w14:paraId="0BC2C9A2" w14:textId="77777777" w:rsidR="00771D7E" w:rsidRPr="00735C06" w:rsidRDefault="00771D7E" w:rsidP="00771D7E">
      <w:pPr>
        <w:numPr>
          <w:ilvl w:val="1"/>
          <w:numId w:val="14"/>
        </w:numPr>
        <w:rPr>
          <w:rFonts w:cs="Arial"/>
          <w:lang w:val="en-GB"/>
        </w:rPr>
      </w:pPr>
      <w:r w:rsidRPr="00735C06">
        <w:rPr>
          <w:rFonts w:cs="Arial"/>
          <w:lang w:val="en-GB"/>
        </w:rPr>
        <w:t>Climate resilient integrated water resource and coastal management</w:t>
      </w:r>
    </w:p>
    <w:p w14:paraId="4ABDF044" w14:textId="77777777" w:rsidR="00771D7E" w:rsidRPr="00735C06" w:rsidRDefault="00771D7E" w:rsidP="00771D7E">
      <w:pPr>
        <w:numPr>
          <w:ilvl w:val="1"/>
          <w:numId w:val="14"/>
        </w:numPr>
        <w:rPr>
          <w:rFonts w:cs="Arial"/>
          <w:lang w:val="en-GB"/>
        </w:rPr>
      </w:pPr>
      <w:r w:rsidRPr="00735C06">
        <w:rPr>
          <w:rFonts w:cs="Arial"/>
          <w:lang w:val="en-GB"/>
        </w:rPr>
        <w:t>Sustainable development in drylands and other fragile ecosystems, through UNDP’s Global Policy Centre for Resilient Ecosystems and Desertification</w:t>
      </w:r>
    </w:p>
    <w:p w14:paraId="73B7452E" w14:textId="77777777" w:rsidR="00771D7E" w:rsidRPr="00735C06" w:rsidRDefault="00771D7E" w:rsidP="00771D7E">
      <w:pPr>
        <w:numPr>
          <w:ilvl w:val="1"/>
          <w:numId w:val="14"/>
        </w:numPr>
        <w:rPr>
          <w:rFonts w:cs="Arial"/>
          <w:lang w:val="en-GB"/>
        </w:rPr>
      </w:pPr>
      <w:r w:rsidRPr="00735C06">
        <w:rPr>
          <w:rFonts w:cs="Arial"/>
          <w:lang w:val="en-GB"/>
        </w:rPr>
        <w:t>Access to new and innovative finance mechanisms, such as climate/green bonds, timber and sustainable forestry funds, and carbon funds</w:t>
      </w:r>
    </w:p>
    <w:p w14:paraId="58E5E5CD" w14:textId="77777777" w:rsidR="00771D7E" w:rsidRPr="00735C06" w:rsidRDefault="00771D7E" w:rsidP="00771D7E">
      <w:pPr>
        <w:numPr>
          <w:ilvl w:val="0"/>
          <w:numId w:val="14"/>
        </w:numPr>
        <w:rPr>
          <w:rFonts w:cs="Arial"/>
          <w:lang w:val="en-GB"/>
        </w:rPr>
      </w:pPr>
      <w:r w:rsidRPr="00735C06">
        <w:rPr>
          <w:rFonts w:cs="Arial"/>
          <w:lang w:val="en-GB"/>
        </w:rPr>
        <w:t>Policies to promote and achieve gender equality</w:t>
      </w:r>
    </w:p>
    <w:p w14:paraId="06ADDF7D" w14:textId="77777777" w:rsidR="00771D7E" w:rsidRPr="00735C06" w:rsidRDefault="00771D7E" w:rsidP="00771D7E">
      <w:pPr>
        <w:numPr>
          <w:ilvl w:val="0"/>
          <w:numId w:val="14"/>
        </w:numPr>
        <w:rPr>
          <w:rFonts w:cs="Arial"/>
          <w:lang w:val="en-GB"/>
        </w:rPr>
      </w:pPr>
      <w:r w:rsidRPr="00735C06">
        <w:rPr>
          <w:rFonts w:cs="Arial"/>
          <w:lang w:val="en-GB"/>
        </w:rPr>
        <w:t xml:space="preserve">Policies that </w:t>
      </w:r>
      <w:r w:rsidRPr="00735C06">
        <w:rPr>
          <w:rFonts w:cs="Arial"/>
        </w:rPr>
        <w:t xml:space="preserve">promote an integrated approach to achieve sustainable development that tackle the connected issues of multidimensional poverty, inequality and exclusion, and sustainability, while enhancing knowledge, </w:t>
      </w:r>
      <w:proofErr w:type="gramStart"/>
      <w:r w:rsidRPr="00735C06">
        <w:rPr>
          <w:rFonts w:cs="Arial"/>
        </w:rPr>
        <w:t>skills</w:t>
      </w:r>
      <w:proofErr w:type="gramEnd"/>
      <w:r w:rsidRPr="00735C06">
        <w:rPr>
          <w:rFonts w:cs="Arial"/>
        </w:rPr>
        <w:t xml:space="preserve"> and production technologies to reduce risks and sustain development gains</w:t>
      </w:r>
    </w:p>
    <w:p w14:paraId="5763751B" w14:textId="77777777" w:rsidR="00771D7E" w:rsidRPr="00735C06" w:rsidRDefault="00771D7E" w:rsidP="00771D7E">
      <w:pPr>
        <w:numPr>
          <w:ilvl w:val="0"/>
          <w:numId w:val="14"/>
        </w:numPr>
        <w:rPr>
          <w:rFonts w:cs="Arial"/>
          <w:lang w:val="en-GB"/>
        </w:rPr>
      </w:pPr>
      <w:r w:rsidRPr="00735C06">
        <w:rPr>
          <w:rFonts w:cs="Arial"/>
          <w:lang w:val="en-GB"/>
        </w:rPr>
        <w:t>Integrating attention to HIV/AIDS in national planning efforts</w:t>
      </w:r>
    </w:p>
    <w:p w14:paraId="1D907D94" w14:textId="77777777" w:rsidR="00771D7E" w:rsidRPr="00735C06" w:rsidRDefault="00771D7E" w:rsidP="00771D7E">
      <w:pPr>
        <w:numPr>
          <w:ilvl w:val="0"/>
          <w:numId w:val="14"/>
        </w:numPr>
        <w:rPr>
          <w:rFonts w:cs="Arial"/>
          <w:lang w:val="en-GB"/>
        </w:rPr>
      </w:pPr>
      <w:r w:rsidRPr="00735C06">
        <w:rPr>
          <w:rFonts w:cs="Arial"/>
          <w:lang w:val="en-GB"/>
        </w:rPr>
        <w:t>Economic recovery after disasters or conflicts to achieve early and long-term economic and livelihoods recovery of the people</w:t>
      </w:r>
    </w:p>
    <w:p w14:paraId="4B2E5867" w14:textId="77777777" w:rsidR="00771D7E" w:rsidRPr="00735C06" w:rsidRDefault="00771D7E" w:rsidP="00771D7E">
      <w:pPr>
        <w:numPr>
          <w:ilvl w:val="0"/>
          <w:numId w:val="14"/>
        </w:numPr>
        <w:rPr>
          <w:rFonts w:cs="Arial"/>
          <w:lang w:val="en-GB"/>
        </w:rPr>
      </w:pPr>
      <w:r w:rsidRPr="00735C06">
        <w:rPr>
          <w:rFonts w:cs="Arial"/>
          <w:lang w:val="en-GB"/>
        </w:rPr>
        <w:t>South-South Cooperation - knowledge broker, capacity development supporter and partnership facilitator when developing countries work together to find solutions to common development challenges</w:t>
      </w:r>
    </w:p>
    <w:p w14:paraId="0E3ACAE4" w14:textId="2E8CF406" w:rsidR="00ED2018" w:rsidRPr="00735C06" w:rsidRDefault="00ED2018" w:rsidP="00771D7E">
      <w:pPr>
        <w:numPr>
          <w:ilvl w:val="0"/>
          <w:numId w:val="14"/>
        </w:numPr>
        <w:rPr>
          <w:rFonts w:cs="Arial"/>
          <w:lang w:val="en-GB"/>
        </w:rPr>
      </w:pPr>
      <w:r w:rsidRPr="00735C06">
        <w:rPr>
          <w:rFonts w:cs="Arial"/>
        </w:rPr>
        <w:t>“Knowledge management (KM), including KM needs assessments, planning, organizing and facilitation of e-discussions and consultations, preparation of KM strategies, lessons learned activities and KM events such as knowledge fairs, community of practice meetings, webinars, KM training and other KM services tailored to clients’ needs.</w:t>
      </w:r>
    </w:p>
    <w:p w14:paraId="00865523" w14:textId="77777777" w:rsidR="00771D7E" w:rsidRPr="00735C06" w:rsidRDefault="00771D7E" w:rsidP="00771D7E">
      <w:pPr>
        <w:numPr>
          <w:ilvl w:val="0"/>
          <w:numId w:val="14"/>
        </w:numPr>
        <w:rPr>
          <w:rFonts w:cs="Arial"/>
          <w:lang w:val="en-GB"/>
        </w:rPr>
      </w:pPr>
      <w:r w:rsidRPr="00735C06">
        <w:rPr>
          <w:rFonts w:cs="Arial"/>
          <w:lang w:val="en-GB"/>
        </w:rPr>
        <w:lastRenderedPageBreak/>
        <w:t xml:space="preserve">Sustainable Public Procurement - carried out with a view to maximising net benefits for both the client and the and the wider world, </w:t>
      </w:r>
      <w:proofErr w:type="gramStart"/>
      <w:r w:rsidRPr="00735C06">
        <w:rPr>
          <w:rFonts w:cs="Arial"/>
          <w:lang w:val="en-GB"/>
        </w:rPr>
        <w:t>taking into account</w:t>
      </w:r>
      <w:proofErr w:type="gramEnd"/>
      <w:r w:rsidRPr="00735C06">
        <w:rPr>
          <w:rFonts w:cs="Arial"/>
          <w:lang w:val="en-GB"/>
        </w:rPr>
        <w:t xml:space="preserve"> environmental concerns, social issues and macroeconomic benefits, rather than considering only price and quality at the point of procurement</w:t>
      </w:r>
    </w:p>
    <w:p w14:paraId="3C7CDE0E" w14:textId="77777777" w:rsidR="00771D7E" w:rsidRPr="00735C06" w:rsidRDefault="00771D7E" w:rsidP="00771D7E">
      <w:pPr>
        <w:numPr>
          <w:ilvl w:val="0"/>
          <w:numId w:val="14"/>
        </w:numPr>
        <w:rPr>
          <w:rFonts w:cs="Arial"/>
          <w:lang w:val="en-GB"/>
        </w:rPr>
      </w:pPr>
      <w:r w:rsidRPr="00735C06">
        <w:rPr>
          <w:rFonts w:cs="Arial"/>
          <w:lang w:val="en-GB"/>
        </w:rPr>
        <w:t xml:space="preserve">Implementing innovative approaches, such as e-procurement </w:t>
      </w:r>
    </w:p>
    <w:p w14:paraId="1D5F9DB9" w14:textId="77777777" w:rsidR="00771D7E" w:rsidRPr="00735C06" w:rsidRDefault="00771D7E" w:rsidP="00771D7E">
      <w:pPr>
        <w:tabs>
          <w:tab w:val="left" w:pos="360"/>
        </w:tabs>
        <w:rPr>
          <w:rFonts w:cs="Arial"/>
        </w:rPr>
      </w:pPr>
      <w:r w:rsidRPr="00735C06">
        <w:rPr>
          <w:rFonts w:cs="Arial"/>
        </w:rPr>
        <w:t>11)</w:t>
      </w:r>
      <w:r w:rsidRPr="00735C06">
        <w:rPr>
          <w:rFonts w:cs="Arial"/>
        </w:rPr>
        <w:tab/>
        <w:t>Implementation of the Sustainable Development Goals</w:t>
      </w:r>
    </w:p>
    <w:p w14:paraId="783290F4" w14:textId="221F8835" w:rsidR="00771D7E" w:rsidRPr="00735C06" w:rsidRDefault="00771D7E" w:rsidP="00771D7E">
      <w:pPr>
        <w:tabs>
          <w:tab w:val="left" w:pos="90"/>
          <w:tab w:val="left" w:pos="360"/>
        </w:tabs>
        <w:ind w:left="360" w:hanging="360"/>
        <w:rPr>
          <w:rFonts w:cs="Arial"/>
        </w:rPr>
      </w:pPr>
      <w:r w:rsidRPr="00735C06">
        <w:rPr>
          <w:rFonts w:cs="Arial"/>
        </w:rPr>
        <w:t>12)</w:t>
      </w:r>
      <w:r w:rsidRPr="00735C06">
        <w:rPr>
          <w:rFonts w:cs="Arial"/>
        </w:rPr>
        <w:tab/>
        <w:t xml:space="preserve">Advice on </w:t>
      </w:r>
      <w:r w:rsidR="00621401" w:rsidRPr="00735C06">
        <w:rPr>
          <w:rFonts w:cs="Arial"/>
        </w:rPr>
        <w:t xml:space="preserve">development and </w:t>
      </w:r>
      <w:r w:rsidRPr="00735C06">
        <w:rPr>
          <w:rFonts w:cs="Arial"/>
        </w:rPr>
        <w:t>implemen</w:t>
      </w:r>
      <w:r w:rsidR="0061614E" w:rsidRPr="00735C06">
        <w:rPr>
          <w:rFonts w:cs="Arial"/>
        </w:rPr>
        <w:t>ta</w:t>
      </w:r>
      <w:r w:rsidRPr="00735C06">
        <w:rPr>
          <w:rFonts w:cs="Arial"/>
        </w:rPr>
        <w:t>ti</w:t>
      </w:r>
      <w:r w:rsidR="00621401" w:rsidRPr="00735C06">
        <w:rPr>
          <w:rFonts w:cs="Arial"/>
        </w:rPr>
        <w:t xml:space="preserve">on of </w:t>
      </w:r>
      <w:r w:rsidRPr="00735C06">
        <w:rPr>
          <w:rFonts w:cs="Arial"/>
        </w:rPr>
        <w:t>sustainable programme and project management policies, which UNDP has already implemented itself</w:t>
      </w:r>
    </w:p>
    <w:p w14:paraId="46EFDD2C" w14:textId="77777777" w:rsidR="00771D7E" w:rsidRPr="00735C06" w:rsidRDefault="00771D7E" w:rsidP="00771D7E">
      <w:pPr>
        <w:tabs>
          <w:tab w:val="left" w:pos="360"/>
        </w:tabs>
        <w:rPr>
          <w:rFonts w:cs="Arial"/>
        </w:rPr>
      </w:pPr>
      <w:r w:rsidRPr="00735C06">
        <w:rPr>
          <w:rFonts w:cs="Arial"/>
        </w:rPr>
        <w:t>13)</w:t>
      </w:r>
      <w:r w:rsidRPr="00735C06">
        <w:rPr>
          <w:rFonts w:cs="Arial"/>
        </w:rPr>
        <w:tab/>
        <w:t>Advice on implementing sustainable operations management and achieving climate neutrality</w:t>
      </w:r>
    </w:p>
    <w:p w14:paraId="7B04B6A0" w14:textId="77777777" w:rsidR="00771D7E" w:rsidRPr="00735C06" w:rsidRDefault="00771D7E" w:rsidP="00771D7E">
      <w:pPr>
        <w:tabs>
          <w:tab w:val="left" w:pos="360"/>
        </w:tabs>
        <w:ind w:left="360" w:hanging="360"/>
        <w:rPr>
          <w:rFonts w:cs="Arial"/>
        </w:rPr>
      </w:pPr>
      <w:r w:rsidRPr="00735C06">
        <w:rPr>
          <w:rFonts w:cs="Arial"/>
        </w:rPr>
        <w:t>14)</w:t>
      </w:r>
      <w:r w:rsidRPr="00735C06">
        <w:rPr>
          <w:rFonts w:cs="Arial"/>
        </w:rPr>
        <w:tab/>
        <w:t xml:space="preserve">Advice government on the best global thinking on public service policies, </w:t>
      </w:r>
      <w:proofErr w:type="gramStart"/>
      <w:r w:rsidRPr="00735C06">
        <w:rPr>
          <w:rFonts w:cs="Arial"/>
        </w:rPr>
        <w:t>strategies</w:t>
      </w:r>
      <w:proofErr w:type="gramEnd"/>
      <w:r w:rsidRPr="00735C06">
        <w:rPr>
          <w:rFonts w:cs="Arial"/>
        </w:rPr>
        <w:t xml:space="preserve"> and institutional innovation, through UNDP’s Global Centre for Public Service Excellence</w:t>
      </w:r>
    </w:p>
    <w:p w14:paraId="7EDF0990" w14:textId="77777777" w:rsidR="00771D7E" w:rsidRPr="00735C06" w:rsidRDefault="00771D7E" w:rsidP="00771D7E">
      <w:pPr>
        <w:rPr>
          <w:rFonts w:cs="Arial"/>
        </w:rPr>
      </w:pPr>
      <w:r w:rsidRPr="00735C06">
        <w:rPr>
          <w:rFonts w:cs="Arial"/>
        </w:rPr>
        <w:t>Some countries already use private sector consultancy firms to provide such expertise. Programme governments may request UNDP to identify and hire recognized experts on consultancy contracts, or to seek service provision by UNDP expert staff, either providing the advisory services directly or managing/guiding the consultant(s)</w:t>
      </w:r>
    </w:p>
    <w:p w14:paraId="4D7ED9D0" w14:textId="77777777" w:rsidR="00771D7E" w:rsidRPr="00735C06" w:rsidRDefault="00771D7E" w:rsidP="00AC71F1">
      <w:pPr>
        <w:rPr>
          <w:rFonts w:cs="Arial"/>
        </w:rPr>
      </w:pPr>
    </w:p>
    <w:p w14:paraId="1676EE2F" w14:textId="77777777" w:rsidR="001027F9" w:rsidRPr="00735C06" w:rsidRDefault="001027F9" w:rsidP="001027F9">
      <w:pPr>
        <w:numPr>
          <w:ilvl w:val="0"/>
          <w:numId w:val="12"/>
        </w:numPr>
        <w:rPr>
          <w:rFonts w:cs="Arial"/>
          <w:i/>
          <w:lang w:val="en-GB"/>
        </w:rPr>
      </w:pPr>
      <w:r w:rsidRPr="00735C06">
        <w:rPr>
          <w:rFonts w:cs="Arial"/>
          <w:i/>
          <w:lang w:val="en-GB"/>
        </w:rPr>
        <w:t>Support to Implementation</w:t>
      </w:r>
    </w:p>
    <w:p w14:paraId="6B9C50F2" w14:textId="77777777" w:rsidR="001027F9" w:rsidRPr="00735C06" w:rsidRDefault="001027F9" w:rsidP="001027F9">
      <w:pPr>
        <w:numPr>
          <w:ilvl w:val="0"/>
          <w:numId w:val="16"/>
        </w:numPr>
        <w:rPr>
          <w:rFonts w:cs="Arial"/>
          <w:lang w:val="en-GB"/>
        </w:rPr>
      </w:pPr>
      <w:r w:rsidRPr="00735C06">
        <w:rPr>
          <w:rFonts w:cs="Arial"/>
          <w:lang w:val="en-GB"/>
        </w:rPr>
        <w:t>Procurement and related services by the UNDP office to the programme government:</w:t>
      </w:r>
    </w:p>
    <w:p w14:paraId="66DA45E1" w14:textId="77777777" w:rsidR="001027F9" w:rsidRPr="00735C06" w:rsidRDefault="001027F9" w:rsidP="001027F9">
      <w:pPr>
        <w:numPr>
          <w:ilvl w:val="1"/>
          <w:numId w:val="16"/>
        </w:numPr>
        <w:rPr>
          <w:rFonts w:cs="Arial"/>
          <w:lang w:val="en-GB"/>
        </w:rPr>
      </w:pPr>
      <w:r w:rsidRPr="00735C06">
        <w:rPr>
          <w:rFonts w:cs="Arial"/>
          <w:lang w:val="en-GB"/>
        </w:rPr>
        <w:t>Procurement of goods. If the office has access to strong procurement capacity it may be able to take advantage of economies of scale and offer procurement services where there is demand from programme governments</w:t>
      </w:r>
    </w:p>
    <w:p w14:paraId="5EB7AD37" w14:textId="77777777" w:rsidR="001027F9" w:rsidRPr="00735C06" w:rsidRDefault="001027F9" w:rsidP="001027F9">
      <w:pPr>
        <w:numPr>
          <w:ilvl w:val="1"/>
          <w:numId w:val="16"/>
        </w:numPr>
        <w:rPr>
          <w:rFonts w:cs="Arial"/>
          <w:lang w:val="en-GB"/>
        </w:rPr>
      </w:pPr>
      <w:r w:rsidRPr="00735C06">
        <w:rPr>
          <w:rFonts w:cs="Arial"/>
          <w:lang w:val="en-GB"/>
        </w:rPr>
        <w:t>Providing Sustainable Public Procurement services</w:t>
      </w:r>
    </w:p>
    <w:p w14:paraId="00610BED" w14:textId="189C526E" w:rsidR="001027F9" w:rsidRPr="00735C06" w:rsidRDefault="001027F9" w:rsidP="00EE20FB">
      <w:pPr>
        <w:numPr>
          <w:ilvl w:val="1"/>
          <w:numId w:val="16"/>
        </w:numPr>
        <w:rPr>
          <w:rFonts w:cs="Arial"/>
          <w:lang w:val="en-GB"/>
        </w:rPr>
      </w:pPr>
      <w:r w:rsidRPr="00735C06">
        <w:rPr>
          <w:rFonts w:cs="Arial"/>
          <w:lang w:val="en-GB"/>
        </w:rPr>
        <w:t xml:space="preserve">Procurement of consultant services. Because of its brand, geographical reach and access to international networks, UNDP may </w:t>
      </w:r>
      <w:proofErr w:type="gramStart"/>
      <w:r w:rsidRPr="00735C06">
        <w:rPr>
          <w:rFonts w:cs="Arial"/>
          <w:lang w:val="en-GB"/>
        </w:rPr>
        <w:t>enter into</w:t>
      </w:r>
      <w:proofErr w:type="gramEnd"/>
      <w:r w:rsidRPr="00735C06">
        <w:rPr>
          <w:rFonts w:cs="Arial"/>
          <w:lang w:val="en-GB"/>
        </w:rPr>
        <w:t xml:space="preserve"> MPS to identify and contract appropriately qualified consultants to work on a government project.</w:t>
      </w:r>
      <w:r w:rsidR="0084394A" w:rsidRPr="00735C06">
        <w:rPr>
          <w:rFonts w:cs="Arial"/>
          <w:lang w:val="en-GB"/>
        </w:rPr>
        <w:t xml:space="preserve"> </w:t>
      </w:r>
      <w:r w:rsidRPr="00735C06">
        <w:rPr>
          <w:rFonts w:cs="Arial"/>
          <w:lang w:val="en-GB"/>
        </w:rPr>
        <w:t>Integrated activities involving procurement of goods and services, for example:</w:t>
      </w:r>
    </w:p>
    <w:p w14:paraId="261344D0" w14:textId="6B063514" w:rsidR="006C76C4" w:rsidRPr="00735C06" w:rsidRDefault="00843550" w:rsidP="009131EE">
      <w:pPr>
        <w:pStyle w:val="NormalWeb"/>
        <w:numPr>
          <w:ilvl w:val="0"/>
          <w:numId w:val="30"/>
        </w:numPr>
        <w:spacing w:before="0" w:beforeAutospacing="0" w:after="150" w:afterAutospacing="0" w:line="360" w:lineRule="atLeast"/>
        <w:rPr>
          <w:rFonts w:asciiTheme="minorHAnsi" w:hAnsiTheme="minorHAnsi" w:cs="Arial"/>
          <w:sz w:val="22"/>
          <w:szCs w:val="22"/>
          <w:lang w:val="en-GB"/>
        </w:rPr>
      </w:pPr>
      <w:r w:rsidRPr="00735C06">
        <w:rPr>
          <w:rFonts w:asciiTheme="minorHAnsi" w:hAnsiTheme="minorHAnsi" w:cs="Arial"/>
          <w:sz w:val="22"/>
          <w:szCs w:val="22"/>
          <w:lang w:val="en-GB"/>
        </w:rPr>
        <w:t>I</w:t>
      </w:r>
      <w:r w:rsidR="006C76C4" w:rsidRPr="00735C06">
        <w:rPr>
          <w:rFonts w:asciiTheme="minorHAnsi" w:hAnsiTheme="minorHAnsi" w:cs="Arial"/>
          <w:sz w:val="22"/>
          <w:szCs w:val="22"/>
          <w:lang w:val="en-GB"/>
        </w:rPr>
        <w:t xml:space="preserve">mplementation of infrastructure projects </w:t>
      </w:r>
      <w:r w:rsidRPr="00735C06">
        <w:rPr>
          <w:rFonts w:asciiTheme="minorHAnsi" w:hAnsiTheme="minorHAnsi" w:cs="Arial"/>
          <w:sz w:val="22"/>
          <w:szCs w:val="22"/>
          <w:lang w:val="en-GB"/>
        </w:rPr>
        <w:t xml:space="preserve">and works promoting sustainable building practices </w:t>
      </w:r>
      <w:r w:rsidR="006C76C4" w:rsidRPr="00735C06">
        <w:rPr>
          <w:rFonts w:asciiTheme="minorHAnsi" w:hAnsiTheme="minorHAnsi" w:cs="Arial"/>
          <w:sz w:val="22"/>
          <w:szCs w:val="22"/>
          <w:lang w:val="en-GB"/>
        </w:rPr>
        <w:t>with best practice in sustainable design and construction</w:t>
      </w:r>
      <w:r w:rsidR="006C76C4" w:rsidRPr="00735C06">
        <w:rPr>
          <w:rFonts w:asciiTheme="minorHAnsi" w:hAnsiTheme="minorHAnsi" w:cs="Arial"/>
          <w:color w:val="62676C"/>
          <w:spacing w:val="8"/>
          <w:sz w:val="22"/>
          <w:szCs w:val="22"/>
          <w:shd w:val="clear" w:color="auto" w:fill="F5F8FA"/>
        </w:rPr>
        <w:t xml:space="preserve">. </w:t>
      </w:r>
      <w:r w:rsidRPr="00735C06">
        <w:rPr>
          <w:rFonts w:asciiTheme="minorHAnsi" w:hAnsiTheme="minorHAnsi" w:cs="Arial"/>
          <w:sz w:val="22"/>
          <w:szCs w:val="22"/>
          <w:lang w:val="en-GB"/>
        </w:rPr>
        <w:t>UNDP, with its expertise in mitigating negative social and climatic impacts and maximizing positive impacts of construction projects may be requested to develop, manage construction sites including environmenta</w:t>
      </w:r>
      <w:r w:rsidR="00CB54D9" w:rsidRPr="00735C06">
        <w:rPr>
          <w:rFonts w:asciiTheme="minorHAnsi" w:hAnsiTheme="minorHAnsi" w:cs="Arial"/>
          <w:sz w:val="22"/>
          <w:szCs w:val="22"/>
          <w:lang w:val="en-GB"/>
        </w:rPr>
        <w:t>l</w:t>
      </w:r>
      <w:r w:rsidRPr="00735C06">
        <w:rPr>
          <w:rFonts w:asciiTheme="minorHAnsi" w:hAnsiTheme="minorHAnsi" w:cs="Arial"/>
          <w:sz w:val="22"/>
          <w:szCs w:val="22"/>
          <w:lang w:val="en-GB"/>
        </w:rPr>
        <w:t xml:space="preserve"> management systems </w:t>
      </w:r>
      <w:r w:rsidR="006C76C4" w:rsidRPr="00735C06">
        <w:rPr>
          <w:rFonts w:asciiTheme="minorHAnsi" w:hAnsiTheme="minorHAnsi" w:cs="Arial"/>
          <w:sz w:val="22"/>
          <w:szCs w:val="22"/>
          <w:lang w:val="en-GB"/>
        </w:rPr>
        <w:t>​</w:t>
      </w:r>
    </w:p>
    <w:p w14:paraId="592492E7" w14:textId="77777777" w:rsidR="001027F9" w:rsidRPr="00735C06" w:rsidRDefault="001027F9" w:rsidP="001027F9">
      <w:pPr>
        <w:numPr>
          <w:ilvl w:val="1"/>
          <w:numId w:val="15"/>
        </w:numPr>
        <w:rPr>
          <w:rFonts w:cs="Arial"/>
          <w:lang w:val="en-GB"/>
        </w:rPr>
      </w:pPr>
      <w:r w:rsidRPr="00735C06">
        <w:rPr>
          <w:rFonts w:cs="Arial"/>
          <w:lang w:val="en-GB"/>
        </w:rPr>
        <w:t xml:space="preserve">Events Management for a conference that contributes to a development outcome reflected in the CPD or is consistent with UNDP’s Strategic Plan as well as emerging national priorities. UNDP, because of its global reach, may be asked to manage logistical aspects of a global conference hosted by the recipient country, when the programme government does not </w:t>
      </w:r>
      <w:r w:rsidRPr="00735C06">
        <w:rPr>
          <w:rFonts w:cs="Arial"/>
          <w:lang w:val="en-GB"/>
        </w:rPr>
        <w:lastRenderedPageBreak/>
        <w:t>itself have the capacity to do so or would prefer that UNDP do so to help assure funding partners of transparency</w:t>
      </w:r>
    </w:p>
    <w:p w14:paraId="6B24922A" w14:textId="77777777" w:rsidR="00F97E22" w:rsidRPr="00735C06" w:rsidRDefault="00F97E22" w:rsidP="00F97E22">
      <w:pPr>
        <w:numPr>
          <w:ilvl w:val="1"/>
          <w:numId w:val="15"/>
        </w:numPr>
        <w:rPr>
          <w:rFonts w:cs="Arial"/>
          <w:lang w:val="en-GB"/>
        </w:rPr>
      </w:pPr>
      <w:r w:rsidRPr="00735C06">
        <w:rPr>
          <w:rFonts w:cs="Arial"/>
          <w:lang w:val="en-GB"/>
        </w:rPr>
        <w:t>Support to establish government service centres. In some countries, there is demand for support and capacity building for newly decentralized functions to local government. Some UNDP offices reported interest in support with designing procedures for and establishing service centres for local governments while working with the local government to build its own capacities</w:t>
      </w:r>
    </w:p>
    <w:p w14:paraId="750844D3" w14:textId="426084CA" w:rsidR="00F97E22" w:rsidRPr="00735C06" w:rsidRDefault="007A780B" w:rsidP="00F97E22">
      <w:pPr>
        <w:numPr>
          <w:ilvl w:val="0"/>
          <w:numId w:val="16"/>
        </w:numPr>
        <w:rPr>
          <w:rFonts w:cs="Arial"/>
          <w:lang w:val="en-GB"/>
        </w:rPr>
      </w:pPr>
      <w:r w:rsidRPr="00735C06">
        <w:rPr>
          <w:rFonts w:cs="Arial"/>
          <w:lang w:val="en-GB"/>
        </w:rPr>
        <w:t xml:space="preserve">Procure using </w:t>
      </w:r>
      <w:r w:rsidR="00F97E22" w:rsidRPr="00735C06">
        <w:rPr>
          <w:rFonts w:cs="Arial"/>
          <w:lang w:val="en-GB"/>
        </w:rPr>
        <w:t xml:space="preserve">UNDP Corporate </w:t>
      </w:r>
      <w:proofErr w:type="gramStart"/>
      <w:r w:rsidR="00F97E22" w:rsidRPr="00735C06">
        <w:rPr>
          <w:rFonts w:cs="Arial"/>
          <w:lang w:val="en-GB"/>
        </w:rPr>
        <w:t>Long Term</w:t>
      </w:r>
      <w:proofErr w:type="gramEnd"/>
      <w:r w:rsidR="00F97E22" w:rsidRPr="00735C06">
        <w:rPr>
          <w:rFonts w:cs="Arial"/>
          <w:lang w:val="en-GB"/>
        </w:rPr>
        <w:t xml:space="preserve"> Agreements (LTAs), whether established by UNDP global or regional service centres or by individual business units. A list of all UNDP Corporate LTAs is maintained at </w:t>
      </w:r>
      <w:hyperlink r:id="rId20" w:history="1">
        <w:r w:rsidR="00C96F3D" w:rsidRPr="004776A6">
          <w:rPr>
            <w:rStyle w:val="Hyperlink"/>
            <w:rFonts w:cs="Arial"/>
            <w:lang w:val="en-GB"/>
          </w:rPr>
          <w:t>https://intranet.undp.org/unit/oolts/oso/psu/Lists/UNDP%20and%20nonUNDP%20LTAs/default.aspx</w:t>
        </w:r>
      </w:hyperlink>
      <w:r w:rsidR="00C96F3D">
        <w:rPr>
          <w:rFonts w:cs="Arial"/>
          <w:lang w:val="en-GB"/>
        </w:rPr>
        <w:t>.</w:t>
      </w:r>
      <w:r w:rsidR="0012763F" w:rsidRPr="00735C06">
        <w:rPr>
          <w:rStyle w:val="Hyperlink"/>
          <w:rFonts w:cs="Arial"/>
          <w:color w:val="auto"/>
          <w:u w:val="none"/>
          <w:lang w:val="en-GB"/>
        </w:rPr>
        <w:t xml:space="preserve">  </w:t>
      </w:r>
      <w:r w:rsidR="0022337C" w:rsidRPr="00735C06">
        <w:rPr>
          <w:rStyle w:val="Hyperlink"/>
          <w:rFonts w:cs="Arial"/>
          <w:color w:val="auto"/>
          <w:u w:val="none"/>
          <w:lang w:val="en-GB"/>
        </w:rPr>
        <w:t xml:space="preserve">In </w:t>
      </w:r>
      <w:r w:rsidR="00B625D2" w:rsidRPr="00735C06">
        <w:rPr>
          <w:rStyle w:val="Hyperlink"/>
          <w:rFonts w:cs="Arial"/>
          <w:color w:val="auto"/>
          <w:u w:val="none"/>
          <w:lang w:val="en-GB"/>
        </w:rPr>
        <w:t xml:space="preserve">determining the best source of an LTA, </w:t>
      </w:r>
      <w:r w:rsidR="00AF5CD1" w:rsidRPr="00735C06">
        <w:rPr>
          <w:rStyle w:val="Hyperlink"/>
          <w:rFonts w:cs="Arial"/>
          <w:color w:val="auto"/>
          <w:u w:val="none"/>
          <w:lang w:val="en-GB"/>
        </w:rPr>
        <w:t xml:space="preserve">BMS/Office of Sourcing and Operations </w:t>
      </w:r>
      <w:r w:rsidR="0012763F" w:rsidRPr="00735C06">
        <w:rPr>
          <w:rStyle w:val="Hyperlink"/>
          <w:rFonts w:cs="Arial"/>
          <w:color w:val="auto"/>
          <w:u w:val="none"/>
          <w:lang w:val="en-GB"/>
        </w:rPr>
        <w:t xml:space="preserve">may </w:t>
      </w:r>
      <w:r w:rsidR="00B625D2" w:rsidRPr="00735C06">
        <w:rPr>
          <w:rStyle w:val="Hyperlink"/>
          <w:rFonts w:cs="Arial"/>
          <w:color w:val="auto"/>
          <w:u w:val="none"/>
          <w:lang w:val="en-GB"/>
        </w:rPr>
        <w:t xml:space="preserve">also </w:t>
      </w:r>
      <w:r w:rsidR="0012763F" w:rsidRPr="00735C06">
        <w:rPr>
          <w:rStyle w:val="Hyperlink"/>
          <w:rFonts w:cs="Arial"/>
          <w:color w:val="auto"/>
          <w:u w:val="none"/>
          <w:lang w:val="en-GB"/>
        </w:rPr>
        <w:t xml:space="preserve">consider </w:t>
      </w:r>
      <w:r w:rsidR="00B625D2" w:rsidRPr="00735C06">
        <w:rPr>
          <w:rStyle w:val="Hyperlink"/>
          <w:rFonts w:cs="Arial"/>
          <w:color w:val="auto"/>
          <w:u w:val="none"/>
          <w:lang w:val="en-GB"/>
        </w:rPr>
        <w:t xml:space="preserve">the use of </w:t>
      </w:r>
      <w:r w:rsidR="0022337C" w:rsidRPr="00735C06">
        <w:rPr>
          <w:rStyle w:val="Hyperlink"/>
          <w:rFonts w:cs="Arial"/>
          <w:color w:val="auto"/>
          <w:u w:val="none"/>
          <w:lang w:val="en-GB"/>
        </w:rPr>
        <w:t xml:space="preserve">LTAs </w:t>
      </w:r>
      <w:r w:rsidR="00B625D2" w:rsidRPr="00735C06">
        <w:rPr>
          <w:rStyle w:val="Hyperlink"/>
          <w:rFonts w:cs="Arial"/>
          <w:color w:val="auto"/>
          <w:u w:val="none"/>
          <w:lang w:val="en-GB"/>
        </w:rPr>
        <w:t xml:space="preserve">established by other UN </w:t>
      </w:r>
      <w:r w:rsidR="00EE20FB" w:rsidRPr="00735C06">
        <w:rPr>
          <w:rStyle w:val="Hyperlink"/>
          <w:rFonts w:cs="Arial"/>
          <w:color w:val="auto"/>
          <w:u w:val="none"/>
          <w:lang w:val="en-GB"/>
        </w:rPr>
        <w:t>agencies.</w:t>
      </w:r>
      <w:r w:rsidR="0012763F" w:rsidRPr="00735C06">
        <w:rPr>
          <w:rStyle w:val="Hyperlink"/>
          <w:rFonts w:cs="Arial"/>
          <w:color w:val="auto"/>
          <w:u w:val="none"/>
          <w:lang w:val="en-GB"/>
        </w:rPr>
        <w:t xml:space="preserve">  </w:t>
      </w:r>
    </w:p>
    <w:p w14:paraId="59453E53" w14:textId="29C64558" w:rsidR="0012205C" w:rsidRPr="00735C06" w:rsidRDefault="00F97E22" w:rsidP="00F97E22">
      <w:pPr>
        <w:numPr>
          <w:ilvl w:val="0"/>
          <w:numId w:val="16"/>
        </w:numPr>
        <w:rPr>
          <w:rFonts w:cs="Arial"/>
          <w:lang w:val="en-GB"/>
        </w:rPr>
      </w:pPr>
      <w:r w:rsidRPr="00735C06">
        <w:rPr>
          <w:rFonts w:cs="Arial"/>
          <w:lang w:val="en-GB"/>
        </w:rPr>
        <w:t>Procurement services offered by t</w:t>
      </w:r>
      <w:r w:rsidR="009131EE" w:rsidRPr="00735C06">
        <w:rPr>
          <w:rFonts w:cs="Arial"/>
          <w:lang w:val="en-GB"/>
        </w:rPr>
        <w:t>he UNDP Global Procurement Unit</w:t>
      </w:r>
      <w:r w:rsidR="009131EE" w:rsidRPr="00735C06">
        <w:rPr>
          <w:rStyle w:val="FootnoteReference"/>
          <w:rFonts w:cs="Arial"/>
          <w:lang w:val="en-GB"/>
        </w:rPr>
        <w:footnoteReference w:id="2"/>
      </w:r>
      <w:r w:rsidR="009131EE" w:rsidRPr="00735C06">
        <w:rPr>
          <w:rFonts w:cs="Arial"/>
          <w:lang w:val="en-GB"/>
        </w:rPr>
        <w:t>.</w:t>
      </w:r>
    </w:p>
    <w:p w14:paraId="5074D0BD" w14:textId="77777777" w:rsidR="00F97E22" w:rsidRPr="00735C06" w:rsidRDefault="00F97E22" w:rsidP="00F97E22">
      <w:pPr>
        <w:numPr>
          <w:ilvl w:val="0"/>
          <w:numId w:val="16"/>
        </w:numPr>
        <w:rPr>
          <w:rFonts w:cs="Arial"/>
          <w:lang w:val="en-GB"/>
        </w:rPr>
      </w:pPr>
      <w:r w:rsidRPr="00735C06">
        <w:rPr>
          <w:rFonts w:cs="Arial"/>
          <w:lang w:val="en-GB"/>
        </w:rPr>
        <w:t xml:space="preserve"> These include:</w:t>
      </w:r>
    </w:p>
    <w:p w14:paraId="2C78D3A7" w14:textId="77777777" w:rsidR="00F97E22" w:rsidRPr="00735C06" w:rsidRDefault="00F97E22" w:rsidP="00F97E22">
      <w:pPr>
        <w:numPr>
          <w:ilvl w:val="1"/>
          <w:numId w:val="16"/>
        </w:numPr>
        <w:rPr>
          <w:rFonts w:cs="Arial"/>
          <w:lang w:val="en-GB"/>
        </w:rPr>
      </w:pPr>
      <w:r w:rsidRPr="00735C06">
        <w:rPr>
          <w:rFonts w:cs="Arial"/>
          <w:lang w:val="en-GB"/>
        </w:rPr>
        <w:t xml:space="preserve">Electoral procurement </w:t>
      </w:r>
    </w:p>
    <w:p w14:paraId="325C8436" w14:textId="77777777" w:rsidR="00F97E22" w:rsidRPr="00735C06" w:rsidRDefault="00F97E22" w:rsidP="00F97E22">
      <w:pPr>
        <w:numPr>
          <w:ilvl w:val="1"/>
          <w:numId w:val="16"/>
        </w:numPr>
        <w:rPr>
          <w:rFonts w:cs="Arial"/>
          <w:lang w:val="en-GB"/>
        </w:rPr>
      </w:pPr>
      <w:r w:rsidRPr="00735C06">
        <w:rPr>
          <w:rFonts w:cs="Arial"/>
          <w:lang w:val="en-GB"/>
        </w:rPr>
        <w:t>Global Health Procurement</w:t>
      </w:r>
    </w:p>
    <w:p w14:paraId="2248DD97" w14:textId="77777777" w:rsidR="00F97E22" w:rsidRPr="00735C06" w:rsidRDefault="00F97E22" w:rsidP="00F97E22">
      <w:pPr>
        <w:numPr>
          <w:ilvl w:val="1"/>
          <w:numId w:val="16"/>
        </w:numPr>
        <w:rPr>
          <w:rFonts w:cs="Arial"/>
          <w:lang w:val="en-GB"/>
        </w:rPr>
      </w:pPr>
      <w:r w:rsidRPr="00735C06">
        <w:rPr>
          <w:rFonts w:cs="Arial"/>
          <w:lang w:val="en-GB"/>
        </w:rPr>
        <w:t xml:space="preserve">Crisis Prevention and Recovery: </w:t>
      </w:r>
    </w:p>
    <w:p w14:paraId="6069B8C1" w14:textId="77777777" w:rsidR="00F97E22" w:rsidRPr="00735C06" w:rsidRDefault="00F97E22" w:rsidP="00F97E22">
      <w:pPr>
        <w:numPr>
          <w:ilvl w:val="1"/>
          <w:numId w:val="15"/>
        </w:numPr>
        <w:rPr>
          <w:rFonts w:cs="Arial"/>
          <w:lang w:val="en-GB"/>
        </w:rPr>
      </w:pPr>
      <w:r w:rsidRPr="00735C06">
        <w:rPr>
          <w:rFonts w:cs="Arial"/>
          <w:lang w:val="en-GB"/>
        </w:rPr>
        <w:t>System development and guidance to strengthen procurement preparedness and responsiveness to crises and emergencies</w:t>
      </w:r>
    </w:p>
    <w:p w14:paraId="52E1A837" w14:textId="77777777" w:rsidR="00F97E22" w:rsidRPr="00735C06" w:rsidRDefault="00F97E22" w:rsidP="00F97E22">
      <w:pPr>
        <w:numPr>
          <w:ilvl w:val="1"/>
          <w:numId w:val="15"/>
        </w:numPr>
        <w:rPr>
          <w:rFonts w:cs="Arial"/>
          <w:lang w:val="en-GB"/>
        </w:rPr>
      </w:pPr>
      <w:r w:rsidRPr="00735C06">
        <w:rPr>
          <w:rFonts w:cs="Arial"/>
          <w:lang w:val="en-GB"/>
        </w:rPr>
        <w:t>Access to a roster of procurement experts specializing in areas such as strategic advisory services, operational procurement, capacity building etc.</w:t>
      </w:r>
    </w:p>
    <w:p w14:paraId="35FF3999" w14:textId="77777777" w:rsidR="00F97E22" w:rsidRPr="00735C06" w:rsidRDefault="00F97E22" w:rsidP="00F97E22">
      <w:pPr>
        <w:numPr>
          <w:ilvl w:val="1"/>
          <w:numId w:val="15"/>
        </w:numPr>
        <w:rPr>
          <w:rFonts w:cs="Arial"/>
          <w:b/>
          <w:lang w:val="en-GB"/>
        </w:rPr>
      </w:pPr>
      <w:r w:rsidRPr="00735C06">
        <w:rPr>
          <w:rFonts w:cs="Arial"/>
          <w:lang w:val="en-GB"/>
        </w:rPr>
        <w:t xml:space="preserve">Procurement of other specialized goods such as solar powered equipment, armoured </w:t>
      </w:r>
      <w:proofErr w:type="gramStart"/>
      <w:r w:rsidRPr="00735C06">
        <w:rPr>
          <w:rFonts w:cs="Arial"/>
          <w:lang w:val="en-GB"/>
        </w:rPr>
        <w:t>vehicles</w:t>
      </w:r>
      <w:proofErr w:type="gramEnd"/>
      <w:r w:rsidRPr="00735C06">
        <w:rPr>
          <w:rFonts w:cs="Arial"/>
          <w:lang w:val="en-GB"/>
        </w:rPr>
        <w:t xml:space="preserve"> and containerized building solutions etc.</w:t>
      </w:r>
    </w:p>
    <w:p w14:paraId="102C6887" w14:textId="64B23F89" w:rsidR="006E2178" w:rsidRPr="00735C06" w:rsidRDefault="0012205C" w:rsidP="003950DA">
      <w:pPr>
        <w:rPr>
          <w:rFonts w:cs="Arial"/>
        </w:rPr>
      </w:pPr>
      <w:r w:rsidRPr="00735C06">
        <w:rPr>
          <w:rFonts w:cs="Arial"/>
        </w:rPr>
        <w:t xml:space="preserve"> </w:t>
      </w:r>
      <w:bookmarkStart w:id="2" w:name="Lessons"/>
      <w:bookmarkEnd w:id="2"/>
    </w:p>
    <w:p w14:paraId="365F15B7" w14:textId="77777777" w:rsidR="009131EE" w:rsidRPr="00735C06" w:rsidRDefault="009131EE">
      <w:pPr>
        <w:rPr>
          <w:rFonts w:cs="Arial"/>
        </w:rPr>
      </w:pPr>
    </w:p>
    <w:sectPr w:rsidR="009131EE" w:rsidRPr="00735C06">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E9B2" w14:textId="77777777" w:rsidR="00E60838" w:rsidRDefault="00E60838" w:rsidP="002E543D">
      <w:pPr>
        <w:spacing w:after="0" w:line="240" w:lineRule="auto"/>
      </w:pPr>
      <w:r>
        <w:separator/>
      </w:r>
    </w:p>
  </w:endnote>
  <w:endnote w:type="continuationSeparator" w:id="0">
    <w:p w14:paraId="429179D7" w14:textId="77777777" w:rsidR="00E60838" w:rsidRDefault="00E60838" w:rsidP="002E543D">
      <w:pPr>
        <w:spacing w:after="0" w:line="240" w:lineRule="auto"/>
      </w:pPr>
      <w:r>
        <w:continuationSeparator/>
      </w:r>
    </w:p>
  </w:endnote>
  <w:endnote w:type="continuationNotice" w:id="1">
    <w:p w14:paraId="1BCBAD4A" w14:textId="77777777" w:rsidR="00E60838" w:rsidRDefault="00E608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7671" w14:textId="12DDECA9" w:rsidR="00B80150" w:rsidRPr="005B59F0" w:rsidRDefault="00B80150" w:rsidP="00B80150">
    <w:pPr>
      <w:pStyle w:val="Footer"/>
      <w:rPr>
        <w:rFonts w:cstheme="minorHAnsi"/>
      </w:rPr>
    </w:pPr>
    <w:r w:rsidRPr="00CA0B5F">
      <w:rPr>
        <w:rFonts w:cstheme="minorHAnsi"/>
      </w:rPr>
      <w:t xml:space="preserve">Page </w:t>
    </w:r>
    <w:r w:rsidRPr="00CA0B5F">
      <w:rPr>
        <w:rFonts w:cstheme="minorHAnsi"/>
        <w:shd w:val="clear" w:color="auto" w:fill="E6E6E6"/>
      </w:rPr>
      <w:fldChar w:fldCharType="begin"/>
    </w:r>
    <w:r w:rsidRPr="00CA0B5F">
      <w:rPr>
        <w:rFonts w:cstheme="minorHAnsi"/>
      </w:rPr>
      <w:instrText xml:space="preserve"> PAGE  \* Arabic  \* MERGEFORMAT </w:instrText>
    </w:r>
    <w:r w:rsidRPr="00CA0B5F">
      <w:rPr>
        <w:rFonts w:cstheme="minorHAnsi"/>
        <w:shd w:val="clear" w:color="auto" w:fill="E6E6E6"/>
      </w:rPr>
      <w:fldChar w:fldCharType="separate"/>
    </w:r>
    <w:r w:rsidRPr="00CA0B5F">
      <w:rPr>
        <w:rFonts w:cstheme="minorHAnsi"/>
        <w:shd w:val="clear" w:color="auto" w:fill="E6E6E6"/>
      </w:rPr>
      <w:t>1</w:t>
    </w:r>
    <w:r w:rsidRPr="00CA0B5F">
      <w:rPr>
        <w:rFonts w:cstheme="minorHAnsi"/>
        <w:shd w:val="clear" w:color="auto" w:fill="E6E6E6"/>
      </w:rPr>
      <w:fldChar w:fldCharType="end"/>
    </w:r>
    <w:r w:rsidRPr="00CA0B5F">
      <w:rPr>
        <w:rFonts w:cstheme="minorHAnsi"/>
      </w:rPr>
      <w:t xml:space="preserve"> of </w:t>
    </w:r>
    <w:r w:rsidRPr="00CA0B5F">
      <w:rPr>
        <w:rFonts w:cstheme="minorHAnsi"/>
        <w:shd w:val="clear" w:color="auto" w:fill="E6E6E6"/>
      </w:rPr>
      <w:fldChar w:fldCharType="begin"/>
    </w:r>
    <w:r w:rsidRPr="00CA0B5F">
      <w:rPr>
        <w:rFonts w:cstheme="minorHAnsi"/>
      </w:rPr>
      <w:instrText xml:space="preserve"> NUMPAGES  \* Arabic  \* MERGEFORMAT </w:instrText>
    </w:r>
    <w:r w:rsidRPr="00CA0B5F">
      <w:rPr>
        <w:rFonts w:cstheme="minorHAnsi"/>
        <w:shd w:val="clear" w:color="auto" w:fill="E6E6E6"/>
      </w:rPr>
      <w:fldChar w:fldCharType="separate"/>
    </w:r>
    <w:r w:rsidRPr="00CA0B5F">
      <w:rPr>
        <w:rFonts w:cstheme="minorHAnsi"/>
        <w:shd w:val="clear" w:color="auto" w:fill="E6E6E6"/>
      </w:rPr>
      <w:t>9</w:t>
    </w:r>
    <w:r w:rsidRPr="00CA0B5F">
      <w:rPr>
        <w:rFonts w:cstheme="minorHAnsi"/>
        <w:shd w:val="clear" w:color="auto" w:fill="E6E6E6"/>
      </w:rPr>
      <w:fldChar w:fldCharType="end"/>
    </w:r>
    <w:r w:rsidRPr="00CA0B5F">
      <w:rPr>
        <w:rFonts w:cstheme="minorHAnsi"/>
      </w:rPr>
      <w:ptab w:relativeTo="margin" w:alignment="center" w:leader="none"/>
    </w:r>
    <w:r w:rsidRPr="00CA0B5F">
      <w:rPr>
        <w:rFonts w:cstheme="minorHAnsi"/>
      </w:rPr>
      <w:t>Effective</w:t>
    </w:r>
    <w:r w:rsidRPr="005B59F0">
      <w:rPr>
        <w:rFonts w:cstheme="minorHAnsi"/>
      </w:rPr>
      <w:t xml:space="preserve"> Date: </w:t>
    </w:r>
    <w:r w:rsidR="00AE7E91" w:rsidRPr="005B59F0">
      <w:rPr>
        <w:rFonts w:cstheme="minorHAnsi"/>
      </w:rPr>
      <w:t>12</w:t>
    </w:r>
    <w:r w:rsidRPr="005B59F0">
      <w:rPr>
        <w:rFonts w:cstheme="minorHAnsi"/>
      </w:rPr>
      <w:t>/</w:t>
    </w:r>
    <w:r w:rsidR="00AE7E91" w:rsidRPr="005B59F0">
      <w:rPr>
        <w:rFonts w:cstheme="minorHAnsi"/>
      </w:rPr>
      <w:t>12</w:t>
    </w:r>
    <w:r w:rsidRPr="005B59F0">
      <w:rPr>
        <w:rFonts w:cstheme="minorHAnsi"/>
      </w:rPr>
      <w:t>/20</w:t>
    </w:r>
    <w:r w:rsidR="00AE7E91" w:rsidRPr="005B59F0">
      <w:rPr>
        <w:rFonts w:cstheme="minorHAnsi"/>
      </w:rPr>
      <w:t>17</w:t>
    </w:r>
    <w:r w:rsidRPr="005B59F0">
      <w:rPr>
        <w:rFonts w:cstheme="minorHAnsi"/>
      </w:rPr>
      <w:ptab w:relativeTo="margin" w:alignment="right" w:leader="none"/>
    </w:r>
    <w:r w:rsidRPr="005B59F0">
      <w:rPr>
        <w:rFonts w:cstheme="minorHAnsi"/>
      </w:rPr>
      <w:t xml:space="preserve">Version #: </w:t>
    </w:r>
    <w:sdt>
      <w:sdtPr>
        <w:rPr>
          <w:rFonts w:cstheme="minorHAnsi"/>
          <w:color w:val="2B579A"/>
          <w:shd w:val="clear" w:color="auto" w:fill="E6E6E6"/>
        </w:rPr>
        <w:alias w:val="POPPRefItemVersion"/>
        <w:tag w:val="UNDP_POPP_REFITEM_VERSION"/>
        <w:id w:val="73021575"/>
        <w:placeholder>
          <w:docPart w:val="5D7927E1FB634DBF8CACE0978D9DF1D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AE7E91" w:rsidRPr="005B59F0">
          <w:rPr>
            <w:rFonts w:cstheme="minorHAnsi"/>
          </w:rPr>
          <w:t>1</w:t>
        </w:r>
      </w:sdtContent>
    </w:sdt>
  </w:p>
  <w:p w14:paraId="148DDFFF" w14:textId="6E0354A8" w:rsidR="00DF44B7" w:rsidRPr="005B59F0" w:rsidRDefault="00DF44B7" w:rsidP="00B80150">
    <w:pPr>
      <w:pStyle w:val="Footer"/>
      <w:jc w:val="cen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31BDF" w14:textId="77777777" w:rsidR="00E60838" w:rsidRDefault="00E60838" w:rsidP="002E543D">
      <w:pPr>
        <w:spacing w:after="0" w:line="240" w:lineRule="auto"/>
      </w:pPr>
      <w:r>
        <w:separator/>
      </w:r>
    </w:p>
  </w:footnote>
  <w:footnote w:type="continuationSeparator" w:id="0">
    <w:p w14:paraId="4A40883F" w14:textId="77777777" w:rsidR="00E60838" w:rsidRDefault="00E60838" w:rsidP="002E543D">
      <w:pPr>
        <w:spacing w:after="0" w:line="240" w:lineRule="auto"/>
      </w:pPr>
      <w:r>
        <w:continuationSeparator/>
      </w:r>
    </w:p>
  </w:footnote>
  <w:footnote w:type="continuationNotice" w:id="1">
    <w:p w14:paraId="2CFF5C56" w14:textId="77777777" w:rsidR="00E60838" w:rsidRDefault="00E60838">
      <w:pPr>
        <w:spacing w:after="0" w:line="240" w:lineRule="auto"/>
      </w:pPr>
    </w:p>
  </w:footnote>
  <w:footnote w:id="2">
    <w:p w14:paraId="253C4A9B" w14:textId="7138159F" w:rsidR="00DF44B7" w:rsidRPr="009131EE" w:rsidRDefault="00DF44B7" w:rsidP="009131EE">
      <w:pPr>
        <w:rPr>
          <w:rFonts w:cs="Arial"/>
          <w:sz w:val="20"/>
          <w:szCs w:val="20"/>
        </w:rPr>
      </w:pPr>
      <w:r>
        <w:rPr>
          <w:rStyle w:val="FootnoteReference"/>
        </w:rPr>
        <w:footnoteRef/>
      </w:r>
      <w:r>
        <w:t xml:space="preserve"> </w:t>
      </w:r>
      <w:r w:rsidRPr="009131EE">
        <w:rPr>
          <w:rFonts w:cs="Arial"/>
          <w:sz w:val="20"/>
          <w:szCs w:val="20"/>
        </w:rPr>
        <w:t xml:space="preserve">Based in Copenhagen, Denmark - </w:t>
      </w:r>
      <w:hyperlink r:id="rId1" w:history="1">
        <w:r w:rsidRPr="00F15B72">
          <w:rPr>
            <w:rStyle w:val="Hyperlink"/>
            <w:rFonts w:cs="Arial"/>
            <w:sz w:val="20"/>
            <w:szCs w:val="20"/>
          </w:rPr>
          <w:t>https://intranet.undp.org/unit/oolts/oso/psu/special/SitePages/intranet.aspx</w:t>
        </w:r>
      </w:hyperlink>
      <w:r>
        <w:rPr>
          <w:rFonts w:cs="Arial"/>
          <w:sz w:val="20"/>
          <w:szCs w:val="20"/>
        </w:rPr>
        <w:t xml:space="preserve"> </w:t>
      </w:r>
    </w:p>
    <w:p w14:paraId="1506DC00" w14:textId="77777777" w:rsidR="00DF44B7" w:rsidRPr="00D3153E" w:rsidRDefault="00DF44B7" w:rsidP="009131EE">
      <w:pPr>
        <w:rPr>
          <w:rFonts w:cs="Arial"/>
        </w:rPr>
      </w:pPr>
    </w:p>
    <w:p w14:paraId="372A7377" w14:textId="7730E4CB" w:rsidR="00DF44B7" w:rsidRDefault="00DF44B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00A0" w14:textId="68CF98A4" w:rsidR="00BC1C8C" w:rsidRDefault="00BC1C8C" w:rsidP="00BC1C8C">
    <w:pPr>
      <w:pStyle w:val="Header"/>
      <w:jc w:val="right"/>
    </w:pPr>
    <w:r>
      <w:rPr>
        <w:noProof/>
      </w:rPr>
      <w:drawing>
        <wp:inline distT="0" distB="0" distL="0" distR="0" wp14:anchorId="267A6085" wp14:editId="44992209">
          <wp:extent cx="280657" cy="583949"/>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7921" b="16703"/>
                  <a:stretch/>
                </pic:blipFill>
                <pic:spPr bwMode="auto">
                  <a:xfrm>
                    <a:off x="0" y="0"/>
                    <a:ext cx="280657" cy="58394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606"/>
    <w:multiLevelType w:val="hybridMultilevel"/>
    <w:tmpl w:val="5054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D6F8B"/>
    <w:multiLevelType w:val="hybridMultilevel"/>
    <w:tmpl w:val="E0EA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6538E"/>
    <w:multiLevelType w:val="hybridMultilevel"/>
    <w:tmpl w:val="79F66274"/>
    <w:lvl w:ilvl="0" w:tplc="04090011">
      <w:start w:val="1"/>
      <w:numFmt w:val="decimal"/>
      <w:lvlText w:val="%1)"/>
      <w:lvlJc w:val="left"/>
      <w:pPr>
        <w:ind w:left="720" w:hanging="360"/>
      </w:pPr>
    </w:lvl>
    <w:lvl w:ilvl="1" w:tplc="633C642E">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127AB"/>
    <w:multiLevelType w:val="hybridMultilevel"/>
    <w:tmpl w:val="E7A4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C3E21"/>
    <w:multiLevelType w:val="hybridMultilevel"/>
    <w:tmpl w:val="41385FFA"/>
    <w:lvl w:ilvl="0" w:tplc="6CAEC5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A16EBA"/>
    <w:multiLevelType w:val="hybridMultilevel"/>
    <w:tmpl w:val="47A631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961C61"/>
    <w:multiLevelType w:val="hybridMultilevel"/>
    <w:tmpl w:val="19B244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806FE8"/>
    <w:multiLevelType w:val="multilevel"/>
    <w:tmpl w:val="09F20D80"/>
    <w:lvl w:ilvl="0">
      <w:start w:val="1"/>
      <w:numFmt w:val="decimal"/>
      <w:lvlText w:val="%1."/>
      <w:lvlJc w:val="left"/>
      <w:pPr>
        <w:ind w:left="360" w:hanging="360"/>
      </w:pPr>
      <w:rPr>
        <w:rFonts w:hint="default"/>
        <w:color w:val="FFFFFF" w:themeColor="background1"/>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B1383F"/>
    <w:multiLevelType w:val="hybridMultilevel"/>
    <w:tmpl w:val="204A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037F0"/>
    <w:multiLevelType w:val="hybridMultilevel"/>
    <w:tmpl w:val="515A75BA"/>
    <w:lvl w:ilvl="0" w:tplc="0E6227C0">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7E4BBF"/>
    <w:multiLevelType w:val="hybridMultilevel"/>
    <w:tmpl w:val="5E1A62B4"/>
    <w:lvl w:ilvl="0" w:tplc="37FC4116">
      <w:start w:val="1"/>
      <w:numFmt w:val="lowerLetter"/>
      <w:lvlText w:val="(%1)"/>
      <w:lvlJc w:val="left"/>
      <w:pPr>
        <w:tabs>
          <w:tab w:val="num" w:pos="1080"/>
        </w:tabs>
        <w:ind w:left="108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1" w15:restartNumberingAfterBreak="0">
    <w:nsid w:val="35FD7394"/>
    <w:multiLevelType w:val="hybridMultilevel"/>
    <w:tmpl w:val="70FCE1FC"/>
    <w:lvl w:ilvl="0" w:tplc="182A5104">
      <w:start w:val="1"/>
      <w:numFmt w:val="lowerLetter"/>
      <w:lvlText w:val="(%1)"/>
      <w:lvlJc w:val="left"/>
      <w:pPr>
        <w:tabs>
          <w:tab w:val="num" w:pos="1622"/>
        </w:tabs>
        <w:ind w:left="1622" w:hanging="360"/>
      </w:pPr>
    </w:lvl>
    <w:lvl w:ilvl="1" w:tplc="04090019">
      <w:start w:val="1"/>
      <w:numFmt w:val="decimal"/>
      <w:lvlText w:val="%2."/>
      <w:lvlJc w:val="left"/>
      <w:pPr>
        <w:tabs>
          <w:tab w:val="num" w:pos="1622"/>
        </w:tabs>
        <w:ind w:left="1622" w:hanging="360"/>
      </w:pPr>
    </w:lvl>
    <w:lvl w:ilvl="2" w:tplc="0409001B">
      <w:start w:val="1"/>
      <w:numFmt w:val="decimal"/>
      <w:lvlText w:val="%3."/>
      <w:lvlJc w:val="left"/>
      <w:pPr>
        <w:tabs>
          <w:tab w:val="num" w:pos="2342"/>
        </w:tabs>
        <w:ind w:left="2342" w:hanging="360"/>
      </w:pPr>
    </w:lvl>
    <w:lvl w:ilvl="3" w:tplc="0409000F">
      <w:start w:val="1"/>
      <w:numFmt w:val="decimal"/>
      <w:lvlText w:val="%4."/>
      <w:lvlJc w:val="left"/>
      <w:pPr>
        <w:tabs>
          <w:tab w:val="num" w:pos="3062"/>
        </w:tabs>
        <w:ind w:left="3062" w:hanging="360"/>
      </w:pPr>
    </w:lvl>
    <w:lvl w:ilvl="4" w:tplc="04090019">
      <w:start w:val="1"/>
      <w:numFmt w:val="decimal"/>
      <w:lvlText w:val="%5."/>
      <w:lvlJc w:val="left"/>
      <w:pPr>
        <w:tabs>
          <w:tab w:val="num" w:pos="3782"/>
        </w:tabs>
        <w:ind w:left="3782" w:hanging="360"/>
      </w:pPr>
    </w:lvl>
    <w:lvl w:ilvl="5" w:tplc="0409001B">
      <w:start w:val="1"/>
      <w:numFmt w:val="decimal"/>
      <w:lvlText w:val="%6."/>
      <w:lvlJc w:val="left"/>
      <w:pPr>
        <w:tabs>
          <w:tab w:val="num" w:pos="4502"/>
        </w:tabs>
        <w:ind w:left="4502" w:hanging="360"/>
      </w:pPr>
    </w:lvl>
    <w:lvl w:ilvl="6" w:tplc="0409000F">
      <w:start w:val="1"/>
      <w:numFmt w:val="decimal"/>
      <w:lvlText w:val="%7."/>
      <w:lvlJc w:val="left"/>
      <w:pPr>
        <w:tabs>
          <w:tab w:val="num" w:pos="5222"/>
        </w:tabs>
        <w:ind w:left="5222" w:hanging="360"/>
      </w:pPr>
    </w:lvl>
    <w:lvl w:ilvl="7" w:tplc="04090019">
      <w:start w:val="1"/>
      <w:numFmt w:val="decimal"/>
      <w:lvlText w:val="%8."/>
      <w:lvlJc w:val="left"/>
      <w:pPr>
        <w:tabs>
          <w:tab w:val="num" w:pos="5942"/>
        </w:tabs>
        <w:ind w:left="5942" w:hanging="360"/>
      </w:pPr>
    </w:lvl>
    <w:lvl w:ilvl="8" w:tplc="0409001B">
      <w:start w:val="1"/>
      <w:numFmt w:val="decimal"/>
      <w:lvlText w:val="%9."/>
      <w:lvlJc w:val="left"/>
      <w:pPr>
        <w:tabs>
          <w:tab w:val="num" w:pos="6662"/>
        </w:tabs>
        <w:ind w:left="6662" w:hanging="360"/>
      </w:pPr>
    </w:lvl>
  </w:abstractNum>
  <w:abstractNum w:abstractNumId="12" w15:restartNumberingAfterBreak="0">
    <w:nsid w:val="388E6C19"/>
    <w:multiLevelType w:val="hybridMultilevel"/>
    <w:tmpl w:val="3C5E67BC"/>
    <w:lvl w:ilvl="0" w:tplc="EBE078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32CDC"/>
    <w:multiLevelType w:val="hybridMultilevel"/>
    <w:tmpl w:val="81003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CB3CF9"/>
    <w:multiLevelType w:val="hybridMultilevel"/>
    <w:tmpl w:val="6AFCA78E"/>
    <w:lvl w:ilvl="0" w:tplc="4784170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449C5F4A"/>
    <w:multiLevelType w:val="hybridMultilevel"/>
    <w:tmpl w:val="47AABC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B0B4691C">
      <w:numFmt w:val="bullet"/>
      <w:lvlText w:val="-"/>
      <w:lvlJc w:val="left"/>
      <w:pPr>
        <w:ind w:left="2520" w:hanging="360"/>
      </w:pPr>
      <w:rPr>
        <w:rFonts w:ascii="Calibri" w:eastAsiaTheme="minorHAnsi" w:hAnsi="Calibri" w:cstheme="minorBid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E84499"/>
    <w:multiLevelType w:val="multilevel"/>
    <w:tmpl w:val="CA4670DA"/>
    <w:lvl w:ilvl="0">
      <w:start w:val="1"/>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7" w15:restartNumberingAfterBreak="0">
    <w:nsid w:val="5303647A"/>
    <w:multiLevelType w:val="hybridMultilevel"/>
    <w:tmpl w:val="BF06FBFC"/>
    <w:lvl w:ilvl="0" w:tplc="BDD0728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322789"/>
    <w:multiLevelType w:val="hybridMultilevel"/>
    <w:tmpl w:val="F27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645F3"/>
    <w:multiLevelType w:val="hybridMultilevel"/>
    <w:tmpl w:val="5D6C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34E2C"/>
    <w:multiLevelType w:val="hybridMultilevel"/>
    <w:tmpl w:val="4C14EA3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81562D"/>
    <w:multiLevelType w:val="hybridMultilevel"/>
    <w:tmpl w:val="E30CE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831BD6"/>
    <w:multiLevelType w:val="hybridMultilevel"/>
    <w:tmpl w:val="36F01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A44AB6"/>
    <w:multiLevelType w:val="singleLevel"/>
    <w:tmpl w:val="C1B26246"/>
    <w:lvl w:ilvl="0">
      <w:start w:val="1"/>
      <w:numFmt w:val="lowerLetter"/>
      <w:lvlText w:val="(%1)"/>
      <w:lvlJc w:val="left"/>
      <w:pPr>
        <w:tabs>
          <w:tab w:val="num" w:pos="720"/>
        </w:tabs>
        <w:ind w:left="360" w:hanging="360"/>
      </w:pPr>
    </w:lvl>
  </w:abstractNum>
  <w:abstractNum w:abstractNumId="24" w15:restartNumberingAfterBreak="0">
    <w:nsid w:val="71C86140"/>
    <w:multiLevelType w:val="hybridMultilevel"/>
    <w:tmpl w:val="A028C06E"/>
    <w:lvl w:ilvl="0" w:tplc="D5CC8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9F7E96"/>
    <w:multiLevelType w:val="hybridMultilevel"/>
    <w:tmpl w:val="239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287E43"/>
    <w:multiLevelType w:val="hybridMultilevel"/>
    <w:tmpl w:val="5FD4C3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64434"/>
    <w:multiLevelType w:val="hybridMultilevel"/>
    <w:tmpl w:val="600E687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024FE4"/>
    <w:multiLevelType w:val="hybridMultilevel"/>
    <w:tmpl w:val="8BBAFA82"/>
    <w:lvl w:ilvl="0" w:tplc="1D36275E">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082417">
    <w:abstractNumId w:val="7"/>
  </w:num>
  <w:num w:numId="2" w16cid:durableId="441845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8589738">
    <w:abstractNumId w:val="14"/>
  </w:num>
  <w:num w:numId="4" w16cid:durableId="659389774">
    <w:abstractNumId w:val="19"/>
  </w:num>
  <w:num w:numId="5" w16cid:durableId="336735274">
    <w:abstractNumId w:val="5"/>
  </w:num>
  <w:num w:numId="6" w16cid:durableId="1997806718">
    <w:abstractNumId w:val="10"/>
  </w:num>
  <w:num w:numId="7" w16cid:durableId="365759451">
    <w:abstractNumId w:val="25"/>
  </w:num>
  <w:num w:numId="8" w16cid:durableId="840389574">
    <w:abstractNumId w:val="6"/>
  </w:num>
  <w:num w:numId="9" w16cid:durableId="893464357">
    <w:abstractNumId w:val="3"/>
  </w:num>
  <w:num w:numId="10" w16cid:durableId="1501505576">
    <w:abstractNumId w:val="23"/>
  </w:num>
  <w:num w:numId="11" w16cid:durableId="316150948">
    <w:abstractNumId w:val="1"/>
  </w:num>
  <w:num w:numId="12" w16cid:durableId="281378274">
    <w:abstractNumId w:val="17"/>
  </w:num>
  <w:num w:numId="13" w16cid:durableId="1507591354">
    <w:abstractNumId w:val="0"/>
  </w:num>
  <w:num w:numId="14" w16cid:durableId="764617639">
    <w:abstractNumId w:val="20"/>
  </w:num>
  <w:num w:numId="15" w16cid:durableId="1708869439">
    <w:abstractNumId w:val="15"/>
  </w:num>
  <w:num w:numId="16" w16cid:durableId="1444302769">
    <w:abstractNumId w:val="2"/>
  </w:num>
  <w:num w:numId="17" w16cid:durableId="73556859">
    <w:abstractNumId w:val="27"/>
  </w:num>
  <w:num w:numId="18" w16cid:durableId="414280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730463">
    <w:abstractNumId w:val="21"/>
  </w:num>
  <w:num w:numId="20" w16cid:durableId="1258126973">
    <w:abstractNumId w:val="8"/>
  </w:num>
  <w:num w:numId="21" w16cid:durableId="682900054">
    <w:abstractNumId w:val="18"/>
  </w:num>
  <w:num w:numId="22" w16cid:durableId="159272093">
    <w:abstractNumId w:val="16"/>
  </w:num>
  <w:num w:numId="23" w16cid:durableId="1394741514">
    <w:abstractNumId w:val="26"/>
  </w:num>
  <w:num w:numId="24" w16cid:durableId="1413552975">
    <w:abstractNumId w:val="9"/>
  </w:num>
  <w:num w:numId="25" w16cid:durableId="590625234">
    <w:abstractNumId w:val="4"/>
  </w:num>
  <w:num w:numId="26" w16cid:durableId="718360662">
    <w:abstractNumId w:val="13"/>
  </w:num>
  <w:num w:numId="27" w16cid:durableId="127823981">
    <w:abstractNumId w:val="28"/>
  </w:num>
  <w:num w:numId="28" w16cid:durableId="694313489">
    <w:abstractNumId w:val="24"/>
  </w:num>
  <w:num w:numId="29" w16cid:durableId="200940929">
    <w:abstractNumId w:val="12"/>
  </w:num>
  <w:num w:numId="30" w16cid:durableId="15562837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F1"/>
    <w:rsid w:val="000029EF"/>
    <w:rsid w:val="000044C6"/>
    <w:rsid w:val="00007368"/>
    <w:rsid w:val="00012425"/>
    <w:rsid w:val="00015E98"/>
    <w:rsid w:val="00022610"/>
    <w:rsid w:val="00024B0C"/>
    <w:rsid w:val="00026662"/>
    <w:rsid w:val="00027BD6"/>
    <w:rsid w:val="000362EC"/>
    <w:rsid w:val="00036CBF"/>
    <w:rsid w:val="0004375A"/>
    <w:rsid w:val="00046B24"/>
    <w:rsid w:val="0004706C"/>
    <w:rsid w:val="000533CA"/>
    <w:rsid w:val="0005449C"/>
    <w:rsid w:val="00056880"/>
    <w:rsid w:val="00060F05"/>
    <w:rsid w:val="0006363A"/>
    <w:rsid w:val="00065C0F"/>
    <w:rsid w:val="00070126"/>
    <w:rsid w:val="00070578"/>
    <w:rsid w:val="00075A77"/>
    <w:rsid w:val="0007679B"/>
    <w:rsid w:val="000774E5"/>
    <w:rsid w:val="00081BF8"/>
    <w:rsid w:val="000829AF"/>
    <w:rsid w:val="00083B48"/>
    <w:rsid w:val="000845E0"/>
    <w:rsid w:val="00085CD2"/>
    <w:rsid w:val="0008734C"/>
    <w:rsid w:val="0009112B"/>
    <w:rsid w:val="000918EE"/>
    <w:rsid w:val="000A283E"/>
    <w:rsid w:val="000B05A4"/>
    <w:rsid w:val="000B0992"/>
    <w:rsid w:val="000B0C19"/>
    <w:rsid w:val="000B3A64"/>
    <w:rsid w:val="000B599D"/>
    <w:rsid w:val="000C1B92"/>
    <w:rsid w:val="000C5B18"/>
    <w:rsid w:val="000D1551"/>
    <w:rsid w:val="000D27EE"/>
    <w:rsid w:val="000D43C0"/>
    <w:rsid w:val="000E10B0"/>
    <w:rsid w:val="000E3E58"/>
    <w:rsid w:val="000E77FC"/>
    <w:rsid w:val="000F01EA"/>
    <w:rsid w:val="000F33F7"/>
    <w:rsid w:val="000F6367"/>
    <w:rsid w:val="000F7EA0"/>
    <w:rsid w:val="00100ADA"/>
    <w:rsid w:val="00101F47"/>
    <w:rsid w:val="001027F9"/>
    <w:rsid w:val="001035A6"/>
    <w:rsid w:val="00105ED7"/>
    <w:rsid w:val="00107D54"/>
    <w:rsid w:val="0011593D"/>
    <w:rsid w:val="00117019"/>
    <w:rsid w:val="0012205C"/>
    <w:rsid w:val="0012410B"/>
    <w:rsid w:val="001241F3"/>
    <w:rsid w:val="00125FD8"/>
    <w:rsid w:val="001267DB"/>
    <w:rsid w:val="0012763F"/>
    <w:rsid w:val="00133CED"/>
    <w:rsid w:val="00135777"/>
    <w:rsid w:val="001370DE"/>
    <w:rsid w:val="00137EE0"/>
    <w:rsid w:val="001413AF"/>
    <w:rsid w:val="00141DAE"/>
    <w:rsid w:val="0014475A"/>
    <w:rsid w:val="0014596B"/>
    <w:rsid w:val="00153468"/>
    <w:rsid w:val="00153E68"/>
    <w:rsid w:val="0015567E"/>
    <w:rsid w:val="0015794D"/>
    <w:rsid w:val="00157D25"/>
    <w:rsid w:val="001606C8"/>
    <w:rsid w:val="001608C4"/>
    <w:rsid w:val="001648A0"/>
    <w:rsid w:val="00167399"/>
    <w:rsid w:val="001675A0"/>
    <w:rsid w:val="00167F3E"/>
    <w:rsid w:val="00170ABB"/>
    <w:rsid w:val="00172FD8"/>
    <w:rsid w:val="0017513C"/>
    <w:rsid w:val="0018041D"/>
    <w:rsid w:val="00182442"/>
    <w:rsid w:val="00182B74"/>
    <w:rsid w:val="001837E0"/>
    <w:rsid w:val="00185CB5"/>
    <w:rsid w:val="00191430"/>
    <w:rsid w:val="001977AC"/>
    <w:rsid w:val="001A1CA1"/>
    <w:rsid w:val="001B0BEA"/>
    <w:rsid w:val="001B3BB2"/>
    <w:rsid w:val="001C5CB3"/>
    <w:rsid w:val="001C74CC"/>
    <w:rsid w:val="001D1684"/>
    <w:rsid w:val="001D2902"/>
    <w:rsid w:val="001E1DBD"/>
    <w:rsid w:val="001E5F42"/>
    <w:rsid w:val="001E6EF9"/>
    <w:rsid w:val="001E74D0"/>
    <w:rsid w:val="001E7805"/>
    <w:rsid w:val="001F2852"/>
    <w:rsid w:val="001F6032"/>
    <w:rsid w:val="002052B6"/>
    <w:rsid w:val="00205954"/>
    <w:rsid w:val="00205FF3"/>
    <w:rsid w:val="0021053A"/>
    <w:rsid w:val="00210AB0"/>
    <w:rsid w:val="00210D85"/>
    <w:rsid w:val="002135CB"/>
    <w:rsid w:val="00215D1B"/>
    <w:rsid w:val="0022337C"/>
    <w:rsid w:val="0022524C"/>
    <w:rsid w:val="002318C4"/>
    <w:rsid w:val="002332D0"/>
    <w:rsid w:val="00233AC7"/>
    <w:rsid w:val="00233D42"/>
    <w:rsid w:val="00235A33"/>
    <w:rsid w:val="00235EDB"/>
    <w:rsid w:val="002361FB"/>
    <w:rsid w:val="00242FFC"/>
    <w:rsid w:val="00243104"/>
    <w:rsid w:val="00244B6B"/>
    <w:rsid w:val="0024767F"/>
    <w:rsid w:val="002542AD"/>
    <w:rsid w:val="00254732"/>
    <w:rsid w:val="00254735"/>
    <w:rsid w:val="002557E7"/>
    <w:rsid w:val="0026021E"/>
    <w:rsid w:val="002615C9"/>
    <w:rsid w:val="00265C9E"/>
    <w:rsid w:val="0026616C"/>
    <w:rsid w:val="002669A0"/>
    <w:rsid w:val="00270AFD"/>
    <w:rsid w:val="00271F7A"/>
    <w:rsid w:val="00273C3F"/>
    <w:rsid w:val="002761DF"/>
    <w:rsid w:val="002772A6"/>
    <w:rsid w:val="0028195F"/>
    <w:rsid w:val="00281E2B"/>
    <w:rsid w:val="002840B0"/>
    <w:rsid w:val="00291796"/>
    <w:rsid w:val="002966F9"/>
    <w:rsid w:val="00297FD2"/>
    <w:rsid w:val="002A1C53"/>
    <w:rsid w:val="002A20C7"/>
    <w:rsid w:val="002A3313"/>
    <w:rsid w:val="002A440E"/>
    <w:rsid w:val="002B0E14"/>
    <w:rsid w:val="002B2B8C"/>
    <w:rsid w:val="002B4707"/>
    <w:rsid w:val="002B4C03"/>
    <w:rsid w:val="002B5F53"/>
    <w:rsid w:val="002C2AA8"/>
    <w:rsid w:val="002C33BC"/>
    <w:rsid w:val="002C6130"/>
    <w:rsid w:val="002C6E26"/>
    <w:rsid w:val="002D7523"/>
    <w:rsid w:val="002E5152"/>
    <w:rsid w:val="002E543D"/>
    <w:rsid w:val="002F0A5B"/>
    <w:rsid w:val="002F0C40"/>
    <w:rsid w:val="002F1AFF"/>
    <w:rsid w:val="002F5226"/>
    <w:rsid w:val="002F6DFB"/>
    <w:rsid w:val="002F72AD"/>
    <w:rsid w:val="00301310"/>
    <w:rsid w:val="003029B4"/>
    <w:rsid w:val="00305018"/>
    <w:rsid w:val="0030522E"/>
    <w:rsid w:val="00312ACE"/>
    <w:rsid w:val="00313FB4"/>
    <w:rsid w:val="003359E8"/>
    <w:rsid w:val="00341258"/>
    <w:rsid w:val="0034699A"/>
    <w:rsid w:val="0034769E"/>
    <w:rsid w:val="00347ECD"/>
    <w:rsid w:val="0035148B"/>
    <w:rsid w:val="00352719"/>
    <w:rsid w:val="003551D6"/>
    <w:rsid w:val="003553E7"/>
    <w:rsid w:val="00355482"/>
    <w:rsid w:val="00360D43"/>
    <w:rsid w:val="00360FD7"/>
    <w:rsid w:val="003674FB"/>
    <w:rsid w:val="00367ECF"/>
    <w:rsid w:val="003701D7"/>
    <w:rsid w:val="003723D8"/>
    <w:rsid w:val="00373682"/>
    <w:rsid w:val="00373841"/>
    <w:rsid w:val="00375EF6"/>
    <w:rsid w:val="00387985"/>
    <w:rsid w:val="0039159B"/>
    <w:rsid w:val="00391AB3"/>
    <w:rsid w:val="003929D2"/>
    <w:rsid w:val="0039448C"/>
    <w:rsid w:val="00394CAF"/>
    <w:rsid w:val="003950DA"/>
    <w:rsid w:val="00395F4F"/>
    <w:rsid w:val="003A061C"/>
    <w:rsid w:val="003A3C68"/>
    <w:rsid w:val="003B1564"/>
    <w:rsid w:val="003B169E"/>
    <w:rsid w:val="003B3A9F"/>
    <w:rsid w:val="003B4598"/>
    <w:rsid w:val="003B59C0"/>
    <w:rsid w:val="003B6930"/>
    <w:rsid w:val="003B694C"/>
    <w:rsid w:val="003B78AC"/>
    <w:rsid w:val="003B7BD3"/>
    <w:rsid w:val="003C08BE"/>
    <w:rsid w:val="003C1561"/>
    <w:rsid w:val="003D7CB3"/>
    <w:rsid w:val="003E478A"/>
    <w:rsid w:val="003E79F4"/>
    <w:rsid w:val="003F2C40"/>
    <w:rsid w:val="003F4823"/>
    <w:rsid w:val="003F588F"/>
    <w:rsid w:val="003F680B"/>
    <w:rsid w:val="003F6DA4"/>
    <w:rsid w:val="0040345C"/>
    <w:rsid w:val="00404BE7"/>
    <w:rsid w:val="00406D21"/>
    <w:rsid w:val="00406D8D"/>
    <w:rsid w:val="00410233"/>
    <w:rsid w:val="00413B7E"/>
    <w:rsid w:val="0042016E"/>
    <w:rsid w:val="004233FC"/>
    <w:rsid w:val="004246E5"/>
    <w:rsid w:val="00426125"/>
    <w:rsid w:val="00426E89"/>
    <w:rsid w:val="00427BB6"/>
    <w:rsid w:val="00430B9A"/>
    <w:rsid w:val="00431B74"/>
    <w:rsid w:val="00433C6A"/>
    <w:rsid w:val="00435AA0"/>
    <w:rsid w:val="00441BD4"/>
    <w:rsid w:val="00445081"/>
    <w:rsid w:val="00452CA4"/>
    <w:rsid w:val="00454827"/>
    <w:rsid w:val="00454E7D"/>
    <w:rsid w:val="00457460"/>
    <w:rsid w:val="004632AB"/>
    <w:rsid w:val="00463B83"/>
    <w:rsid w:val="00470ADA"/>
    <w:rsid w:val="0047288F"/>
    <w:rsid w:val="00474732"/>
    <w:rsid w:val="00476E09"/>
    <w:rsid w:val="00477855"/>
    <w:rsid w:val="00481A96"/>
    <w:rsid w:val="0048484E"/>
    <w:rsid w:val="00484D8E"/>
    <w:rsid w:val="0048542D"/>
    <w:rsid w:val="00486079"/>
    <w:rsid w:val="0049242C"/>
    <w:rsid w:val="00496250"/>
    <w:rsid w:val="00496665"/>
    <w:rsid w:val="00497AE5"/>
    <w:rsid w:val="004A35BD"/>
    <w:rsid w:val="004A5622"/>
    <w:rsid w:val="004A568A"/>
    <w:rsid w:val="004A7D78"/>
    <w:rsid w:val="004A7F8F"/>
    <w:rsid w:val="004B091D"/>
    <w:rsid w:val="004B1343"/>
    <w:rsid w:val="004B3A7C"/>
    <w:rsid w:val="004B422B"/>
    <w:rsid w:val="004B4439"/>
    <w:rsid w:val="004B5762"/>
    <w:rsid w:val="004B6DE3"/>
    <w:rsid w:val="004B7F43"/>
    <w:rsid w:val="004C2352"/>
    <w:rsid w:val="004D1FB7"/>
    <w:rsid w:val="004D4ED7"/>
    <w:rsid w:val="004D5412"/>
    <w:rsid w:val="004D72F2"/>
    <w:rsid w:val="004E6FBC"/>
    <w:rsid w:val="004F15F4"/>
    <w:rsid w:val="00506A6B"/>
    <w:rsid w:val="00507879"/>
    <w:rsid w:val="00510574"/>
    <w:rsid w:val="005117CB"/>
    <w:rsid w:val="00520A6A"/>
    <w:rsid w:val="00522057"/>
    <w:rsid w:val="00524889"/>
    <w:rsid w:val="00527C89"/>
    <w:rsid w:val="00532053"/>
    <w:rsid w:val="00532CB6"/>
    <w:rsid w:val="0053544D"/>
    <w:rsid w:val="00535A3D"/>
    <w:rsid w:val="00540B65"/>
    <w:rsid w:val="005436D5"/>
    <w:rsid w:val="00544C96"/>
    <w:rsid w:val="00545E5B"/>
    <w:rsid w:val="00546312"/>
    <w:rsid w:val="00547623"/>
    <w:rsid w:val="0055331B"/>
    <w:rsid w:val="005627AB"/>
    <w:rsid w:val="005664C8"/>
    <w:rsid w:val="00567200"/>
    <w:rsid w:val="00567E8B"/>
    <w:rsid w:val="00570D44"/>
    <w:rsid w:val="00570F82"/>
    <w:rsid w:val="005712C6"/>
    <w:rsid w:val="00573D92"/>
    <w:rsid w:val="00581692"/>
    <w:rsid w:val="00585F57"/>
    <w:rsid w:val="005866B2"/>
    <w:rsid w:val="005939BF"/>
    <w:rsid w:val="005947A1"/>
    <w:rsid w:val="00597B25"/>
    <w:rsid w:val="005A0718"/>
    <w:rsid w:val="005A3B9C"/>
    <w:rsid w:val="005A5F0F"/>
    <w:rsid w:val="005A6177"/>
    <w:rsid w:val="005B0AB6"/>
    <w:rsid w:val="005B19AB"/>
    <w:rsid w:val="005B335F"/>
    <w:rsid w:val="005B3831"/>
    <w:rsid w:val="005B475A"/>
    <w:rsid w:val="005B59F0"/>
    <w:rsid w:val="005B5BAC"/>
    <w:rsid w:val="005B69D4"/>
    <w:rsid w:val="005B79AE"/>
    <w:rsid w:val="005C0691"/>
    <w:rsid w:val="005C34B0"/>
    <w:rsid w:val="005C589B"/>
    <w:rsid w:val="005C5F45"/>
    <w:rsid w:val="005C5F6F"/>
    <w:rsid w:val="005C6070"/>
    <w:rsid w:val="005C6310"/>
    <w:rsid w:val="005D4162"/>
    <w:rsid w:val="005E12A3"/>
    <w:rsid w:val="005E2E23"/>
    <w:rsid w:val="005E5050"/>
    <w:rsid w:val="005E65FC"/>
    <w:rsid w:val="005E74E6"/>
    <w:rsid w:val="005F69C8"/>
    <w:rsid w:val="005F6A02"/>
    <w:rsid w:val="005F7C35"/>
    <w:rsid w:val="00601954"/>
    <w:rsid w:val="00602902"/>
    <w:rsid w:val="00605AEC"/>
    <w:rsid w:val="00606620"/>
    <w:rsid w:val="00606ADB"/>
    <w:rsid w:val="00613C4F"/>
    <w:rsid w:val="006141C9"/>
    <w:rsid w:val="00614832"/>
    <w:rsid w:val="0061614E"/>
    <w:rsid w:val="00616454"/>
    <w:rsid w:val="00616F7A"/>
    <w:rsid w:val="00620BEE"/>
    <w:rsid w:val="00620CCA"/>
    <w:rsid w:val="00621401"/>
    <w:rsid w:val="00624304"/>
    <w:rsid w:val="00624E68"/>
    <w:rsid w:val="00625B96"/>
    <w:rsid w:val="0063230A"/>
    <w:rsid w:val="00643804"/>
    <w:rsid w:val="006445CC"/>
    <w:rsid w:val="00654BAF"/>
    <w:rsid w:val="00654FAC"/>
    <w:rsid w:val="006558D8"/>
    <w:rsid w:val="00661635"/>
    <w:rsid w:val="006649C1"/>
    <w:rsid w:val="0066600D"/>
    <w:rsid w:val="00667A76"/>
    <w:rsid w:val="00670BE6"/>
    <w:rsid w:val="00672EC8"/>
    <w:rsid w:val="006762D1"/>
    <w:rsid w:val="006779B6"/>
    <w:rsid w:val="00682C76"/>
    <w:rsid w:val="00683872"/>
    <w:rsid w:val="006855DA"/>
    <w:rsid w:val="00687BD4"/>
    <w:rsid w:val="006A012C"/>
    <w:rsid w:val="006A050C"/>
    <w:rsid w:val="006A0657"/>
    <w:rsid w:val="006A7E5A"/>
    <w:rsid w:val="006B29E0"/>
    <w:rsid w:val="006C061E"/>
    <w:rsid w:val="006C16C3"/>
    <w:rsid w:val="006C240D"/>
    <w:rsid w:val="006C31B3"/>
    <w:rsid w:val="006C477A"/>
    <w:rsid w:val="006C76C4"/>
    <w:rsid w:val="006D0066"/>
    <w:rsid w:val="006D0F6D"/>
    <w:rsid w:val="006D5A16"/>
    <w:rsid w:val="006D66A4"/>
    <w:rsid w:val="006E144F"/>
    <w:rsid w:val="006E14AF"/>
    <w:rsid w:val="006E2178"/>
    <w:rsid w:val="006E26DC"/>
    <w:rsid w:val="006E740E"/>
    <w:rsid w:val="006F66F4"/>
    <w:rsid w:val="00706763"/>
    <w:rsid w:val="00714269"/>
    <w:rsid w:val="007151D2"/>
    <w:rsid w:val="00715FB6"/>
    <w:rsid w:val="007220F6"/>
    <w:rsid w:val="00723385"/>
    <w:rsid w:val="00724B80"/>
    <w:rsid w:val="007307ED"/>
    <w:rsid w:val="00731F4C"/>
    <w:rsid w:val="00734E35"/>
    <w:rsid w:val="00735C06"/>
    <w:rsid w:val="00740532"/>
    <w:rsid w:val="00740DD6"/>
    <w:rsid w:val="00742F11"/>
    <w:rsid w:val="00743A11"/>
    <w:rsid w:val="0074408A"/>
    <w:rsid w:val="00744759"/>
    <w:rsid w:val="007452B0"/>
    <w:rsid w:val="007469D8"/>
    <w:rsid w:val="00760970"/>
    <w:rsid w:val="0076451A"/>
    <w:rsid w:val="0076465E"/>
    <w:rsid w:val="0076753E"/>
    <w:rsid w:val="00771D4D"/>
    <w:rsid w:val="00771D7E"/>
    <w:rsid w:val="00771D95"/>
    <w:rsid w:val="00772AAE"/>
    <w:rsid w:val="00773446"/>
    <w:rsid w:val="00782DEF"/>
    <w:rsid w:val="007854CA"/>
    <w:rsid w:val="00791BE6"/>
    <w:rsid w:val="007921A6"/>
    <w:rsid w:val="0079274E"/>
    <w:rsid w:val="007951FF"/>
    <w:rsid w:val="007977E3"/>
    <w:rsid w:val="007A1186"/>
    <w:rsid w:val="007A5AA0"/>
    <w:rsid w:val="007A780B"/>
    <w:rsid w:val="007B1B35"/>
    <w:rsid w:val="007B1EE9"/>
    <w:rsid w:val="007B2D79"/>
    <w:rsid w:val="007B5B40"/>
    <w:rsid w:val="007B7EB8"/>
    <w:rsid w:val="007C01EF"/>
    <w:rsid w:val="007C4D1A"/>
    <w:rsid w:val="007C65F9"/>
    <w:rsid w:val="007D3780"/>
    <w:rsid w:val="007D4386"/>
    <w:rsid w:val="007D52B4"/>
    <w:rsid w:val="007D6393"/>
    <w:rsid w:val="007D6404"/>
    <w:rsid w:val="007E0837"/>
    <w:rsid w:val="007E1D1E"/>
    <w:rsid w:val="007E4753"/>
    <w:rsid w:val="007F1427"/>
    <w:rsid w:val="007F3791"/>
    <w:rsid w:val="007F4345"/>
    <w:rsid w:val="007F4C28"/>
    <w:rsid w:val="00801CA3"/>
    <w:rsid w:val="00804A68"/>
    <w:rsid w:val="00805C38"/>
    <w:rsid w:val="008123D0"/>
    <w:rsid w:val="00812F08"/>
    <w:rsid w:val="00824EC7"/>
    <w:rsid w:val="00827EBF"/>
    <w:rsid w:val="00831E84"/>
    <w:rsid w:val="008343E7"/>
    <w:rsid w:val="00843550"/>
    <w:rsid w:val="0084394A"/>
    <w:rsid w:val="00851395"/>
    <w:rsid w:val="00856309"/>
    <w:rsid w:val="00857A58"/>
    <w:rsid w:val="00860D19"/>
    <w:rsid w:val="008617A7"/>
    <w:rsid w:val="00861C99"/>
    <w:rsid w:val="00862116"/>
    <w:rsid w:val="00863387"/>
    <w:rsid w:val="008668EB"/>
    <w:rsid w:val="00874181"/>
    <w:rsid w:val="008806A2"/>
    <w:rsid w:val="00880760"/>
    <w:rsid w:val="00880DD8"/>
    <w:rsid w:val="008940FB"/>
    <w:rsid w:val="00895AEA"/>
    <w:rsid w:val="008A4FB1"/>
    <w:rsid w:val="008A51DF"/>
    <w:rsid w:val="008B03F4"/>
    <w:rsid w:val="008B1456"/>
    <w:rsid w:val="008B19A7"/>
    <w:rsid w:val="008B2107"/>
    <w:rsid w:val="008B3BC9"/>
    <w:rsid w:val="008C0A6C"/>
    <w:rsid w:val="008C1FEA"/>
    <w:rsid w:val="008C5108"/>
    <w:rsid w:val="008C5EF6"/>
    <w:rsid w:val="008C722F"/>
    <w:rsid w:val="008D15BF"/>
    <w:rsid w:val="008D183A"/>
    <w:rsid w:val="008D1F98"/>
    <w:rsid w:val="008D55D3"/>
    <w:rsid w:val="008D7EF0"/>
    <w:rsid w:val="008E35C9"/>
    <w:rsid w:val="008E48E6"/>
    <w:rsid w:val="008E52FA"/>
    <w:rsid w:val="008E72B9"/>
    <w:rsid w:val="008F5E6F"/>
    <w:rsid w:val="009007CD"/>
    <w:rsid w:val="0090160A"/>
    <w:rsid w:val="009026B5"/>
    <w:rsid w:val="009064AA"/>
    <w:rsid w:val="00912D5A"/>
    <w:rsid w:val="009131EE"/>
    <w:rsid w:val="00913E52"/>
    <w:rsid w:val="00915754"/>
    <w:rsid w:val="009239EA"/>
    <w:rsid w:val="00924E56"/>
    <w:rsid w:val="009278FF"/>
    <w:rsid w:val="00931D52"/>
    <w:rsid w:val="009337F2"/>
    <w:rsid w:val="00933B71"/>
    <w:rsid w:val="00935F3C"/>
    <w:rsid w:val="00940BEF"/>
    <w:rsid w:val="009520BF"/>
    <w:rsid w:val="00952CFE"/>
    <w:rsid w:val="00955B79"/>
    <w:rsid w:val="0096129B"/>
    <w:rsid w:val="00961B81"/>
    <w:rsid w:val="00962550"/>
    <w:rsid w:val="00962B7B"/>
    <w:rsid w:val="00963834"/>
    <w:rsid w:val="0097101C"/>
    <w:rsid w:val="00971F00"/>
    <w:rsid w:val="00976488"/>
    <w:rsid w:val="00982505"/>
    <w:rsid w:val="00986129"/>
    <w:rsid w:val="0098738D"/>
    <w:rsid w:val="00990586"/>
    <w:rsid w:val="00991444"/>
    <w:rsid w:val="00992C67"/>
    <w:rsid w:val="00994B6D"/>
    <w:rsid w:val="0099532A"/>
    <w:rsid w:val="00996309"/>
    <w:rsid w:val="009A3DFB"/>
    <w:rsid w:val="009A3EBB"/>
    <w:rsid w:val="009A4CC0"/>
    <w:rsid w:val="009A64D3"/>
    <w:rsid w:val="009A6C4F"/>
    <w:rsid w:val="009C64D6"/>
    <w:rsid w:val="009D406D"/>
    <w:rsid w:val="009D6354"/>
    <w:rsid w:val="009E3A8A"/>
    <w:rsid w:val="009E52F8"/>
    <w:rsid w:val="009E541F"/>
    <w:rsid w:val="009E76BC"/>
    <w:rsid w:val="009E7FDB"/>
    <w:rsid w:val="009F07AA"/>
    <w:rsid w:val="009F2217"/>
    <w:rsid w:val="009F372B"/>
    <w:rsid w:val="009F59C2"/>
    <w:rsid w:val="00A01A14"/>
    <w:rsid w:val="00A02713"/>
    <w:rsid w:val="00A05A2E"/>
    <w:rsid w:val="00A05BF5"/>
    <w:rsid w:val="00A129D4"/>
    <w:rsid w:val="00A13CC0"/>
    <w:rsid w:val="00A20BF1"/>
    <w:rsid w:val="00A243DA"/>
    <w:rsid w:val="00A24415"/>
    <w:rsid w:val="00A26D57"/>
    <w:rsid w:val="00A3570D"/>
    <w:rsid w:val="00A3571C"/>
    <w:rsid w:val="00A3581F"/>
    <w:rsid w:val="00A36B35"/>
    <w:rsid w:val="00A40B21"/>
    <w:rsid w:val="00A4342C"/>
    <w:rsid w:val="00A43664"/>
    <w:rsid w:val="00A44D10"/>
    <w:rsid w:val="00A453BA"/>
    <w:rsid w:val="00A463D9"/>
    <w:rsid w:val="00A46C7D"/>
    <w:rsid w:val="00A540A9"/>
    <w:rsid w:val="00A5527C"/>
    <w:rsid w:val="00A5530D"/>
    <w:rsid w:val="00A5722E"/>
    <w:rsid w:val="00A62A17"/>
    <w:rsid w:val="00A63E5E"/>
    <w:rsid w:val="00A64570"/>
    <w:rsid w:val="00A6543E"/>
    <w:rsid w:val="00A66397"/>
    <w:rsid w:val="00A70433"/>
    <w:rsid w:val="00A70757"/>
    <w:rsid w:val="00A748D1"/>
    <w:rsid w:val="00A81A66"/>
    <w:rsid w:val="00A85FF2"/>
    <w:rsid w:val="00A908B8"/>
    <w:rsid w:val="00A91C3C"/>
    <w:rsid w:val="00A93A23"/>
    <w:rsid w:val="00A96B7D"/>
    <w:rsid w:val="00AA076F"/>
    <w:rsid w:val="00AA07B9"/>
    <w:rsid w:val="00AA50D7"/>
    <w:rsid w:val="00AA552B"/>
    <w:rsid w:val="00AA7F22"/>
    <w:rsid w:val="00AB154B"/>
    <w:rsid w:val="00AB1A06"/>
    <w:rsid w:val="00AB5476"/>
    <w:rsid w:val="00AC5135"/>
    <w:rsid w:val="00AC6BA4"/>
    <w:rsid w:val="00AC71F1"/>
    <w:rsid w:val="00AD10A0"/>
    <w:rsid w:val="00AD136F"/>
    <w:rsid w:val="00AD723D"/>
    <w:rsid w:val="00AE097A"/>
    <w:rsid w:val="00AE2BDE"/>
    <w:rsid w:val="00AE3BFD"/>
    <w:rsid w:val="00AE42E5"/>
    <w:rsid w:val="00AE7E91"/>
    <w:rsid w:val="00AF0F70"/>
    <w:rsid w:val="00AF1EE5"/>
    <w:rsid w:val="00AF3E6B"/>
    <w:rsid w:val="00AF5CD1"/>
    <w:rsid w:val="00AF638C"/>
    <w:rsid w:val="00AF7101"/>
    <w:rsid w:val="00B007B2"/>
    <w:rsid w:val="00B0324D"/>
    <w:rsid w:val="00B0543F"/>
    <w:rsid w:val="00B05FCA"/>
    <w:rsid w:val="00B07D9C"/>
    <w:rsid w:val="00B16744"/>
    <w:rsid w:val="00B17671"/>
    <w:rsid w:val="00B22CEC"/>
    <w:rsid w:val="00B3691E"/>
    <w:rsid w:val="00B40229"/>
    <w:rsid w:val="00B40E2D"/>
    <w:rsid w:val="00B45ED6"/>
    <w:rsid w:val="00B5026A"/>
    <w:rsid w:val="00B518F7"/>
    <w:rsid w:val="00B52F97"/>
    <w:rsid w:val="00B60CE4"/>
    <w:rsid w:val="00B625D2"/>
    <w:rsid w:val="00B643FA"/>
    <w:rsid w:val="00B64A12"/>
    <w:rsid w:val="00B74057"/>
    <w:rsid w:val="00B77041"/>
    <w:rsid w:val="00B80150"/>
    <w:rsid w:val="00B86F6C"/>
    <w:rsid w:val="00B87DA7"/>
    <w:rsid w:val="00B91A29"/>
    <w:rsid w:val="00B93ABB"/>
    <w:rsid w:val="00B96B91"/>
    <w:rsid w:val="00BA1964"/>
    <w:rsid w:val="00BA1AB8"/>
    <w:rsid w:val="00BA5CCA"/>
    <w:rsid w:val="00BA6DED"/>
    <w:rsid w:val="00BB01BB"/>
    <w:rsid w:val="00BB0A6E"/>
    <w:rsid w:val="00BB1836"/>
    <w:rsid w:val="00BB19CE"/>
    <w:rsid w:val="00BB313D"/>
    <w:rsid w:val="00BB3D45"/>
    <w:rsid w:val="00BB42CF"/>
    <w:rsid w:val="00BB6E9F"/>
    <w:rsid w:val="00BB7AE8"/>
    <w:rsid w:val="00BC0A0C"/>
    <w:rsid w:val="00BC1C8C"/>
    <w:rsid w:val="00BC1D3A"/>
    <w:rsid w:val="00BC520D"/>
    <w:rsid w:val="00BC563B"/>
    <w:rsid w:val="00BD1AF9"/>
    <w:rsid w:val="00BD22E4"/>
    <w:rsid w:val="00BD3DAD"/>
    <w:rsid w:val="00BD45C5"/>
    <w:rsid w:val="00BD66FA"/>
    <w:rsid w:val="00BE0A18"/>
    <w:rsid w:val="00BE0E3E"/>
    <w:rsid w:val="00BE10C3"/>
    <w:rsid w:val="00BE6450"/>
    <w:rsid w:val="00BE70DC"/>
    <w:rsid w:val="00BF1EDF"/>
    <w:rsid w:val="00BF3604"/>
    <w:rsid w:val="00BF4E4C"/>
    <w:rsid w:val="00BF6F30"/>
    <w:rsid w:val="00BF76B2"/>
    <w:rsid w:val="00C01F8C"/>
    <w:rsid w:val="00C03740"/>
    <w:rsid w:val="00C05B6F"/>
    <w:rsid w:val="00C06D14"/>
    <w:rsid w:val="00C06FB7"/>
    <w:rsid w:val="00C07DF2"/>
    <w:rsid w:val="00C21581"/>
    <w:rsid w:val="00C2604A"/>
    <w:rsid w:val="00C3095B"/>
    <w:rsid w:val="00C30E97"/>
    <w:rsid w:val="00C33B2D"/>
    <w:rsid w:val="00C355E1"/>
    <w:rsid w:val="00C36EE8"/>
    <w:rsid w:val="00C37227"/>
    <w:rsid w:val="00C3723B"/>
    <w:rsid w:val="00C37EA5"/>
    <w:rsid w:val="00C4109F"/>
    <w:rsid w:val="00C5128C"/>
    <w:rsid w:val="00C531A9"/>
    <w:rsid w:val="00C54F73"/>
    <w:rsid w:val="00C5738A"/>
    <w:rsid w:val="00C60F8B"/>
    <w:rsid w:val="00C62C1B"/>
    <w:rsid w:val="00C633CD"/>
    <w:rsid w:val="00C64C17"/>
    <w:rsid w:val="00C67EAC"/>
    <w:rsid w:val="00C730A8"/>
    <w:rsid w:val="00C76C5B"/>
    <w:rsid w:val="00C82891"/>
    <w:rsid w:val="00C879BB"/>
    <w:rsid w:val="00C92486"/>
    <w:rsid w:val="00C96F3D"/>
    <w:rsid w:val="00C972A7"/>
    <w:rsid w:val="00C974E4"/>
    <w:rsid w:val="00CA0B5F"/>
    <w:rsid w:val="00CA27D4"/>
    <w:rsid w:val="00CA33F4"/>
    <w:rsid w:val="00CA37F8"/>
    <w:rsid w:val="00CA56C9"/>
    <w:rsid w:val="00CB54D9"/>
    <w:rsid w:val="00CC16B8"/>
    <w:rsid w:val="00CC5246"/>
    <w:rsid w:val="00CC52DA"/>
    <w:rsid w:val="00CC77DD"/>
    <w:rsid w:val="00CC7891"/>
    <w:rsid w:val="00CC7D5F"/>
    <w:rsid w:val="00CD0B94"/>
    <w:rsid w:val="00CD4814"/>
    <w:rsid w:val="00CD534D"/>
    <w:rsid w:val="00CE131E"/>
    <w:rsid w:val="00CE2EA9"/>
    <w:rsid w:val="00CE3E63"/>
    <w:rsid w:val="00CE5D90"/>
    <w:rsid w:val="00CE62BB"/>
    <w:rsid w:val="00CF2021"/>
    <w:rsid w:val="00CF5824"/>
    <w:rsid w:val="00D10C76"/>
    <w:rsid w:val="00D11099"/>
    <w:rsid w:val="00D1114D"/>
    <w:rsid w:val="00D1211A"/>
    <w:rsid w:val="00D1269B"/>
    <w:rsid w:val="00D13201"/>
    <w:rsid w:val="00D14823"/>
    <w:rsid w:val="00D16606"/>
    <w:rsid w:val="00D20231"/>
    <w:rsid w:val="00D22EA5"/>
    <w:rsid w:val="00D23803"/>
    <w:rsid w:val="00D26791"/>
    <w:rsid w:val="00D301D1"/>
    <w:rsid w:val="00D3153E"/>
    <w:rsid w:val="00D335C0"/>
    <w:rsid w:val="00D33713"/>
    <w:rsid w:val="00D34AEF"/>
    <w:rsid w:val="00D40CCE"/>
    <w:rsid w:val="00D45C46"/>
    <w:rsid w:val="00D465BB"/>
    <w:rsid w:val="00D46F79"/>
    <w:rsid w:val="00D500D4"/>
    <w:rsid w:val="00D55B3F"/>
    <w:rsid w:val="00D60802"/>
    <w:rsid w:val="00D6137B"/>
    <w:rsid w:val="00D66D5C"/>
    <w:rsid w:val="00D67C6F"/>
    <w:rsid w:val="00D70735"/>
    <w:rsid w:val="00D72CF9"/>
    <w:rsid w:val="00D80E6A"/>
    <w:rsid w:val="00D8150C"/>
    <w:rsid w:val="00D819B2"/>
    <w:rsid w:val="00D85CEB"/>
    <w:rsid w:val="00D86EAA"/>
    <w:rsid w:val="00D92ED6"/>
    <w:rsid w:val="00D96579"/>
    <w:rsid w:val="00DA712B"/>
    <w:rsid w:val="00DB0C5D"/>
    <w:rsid w:val="00DB259A"/>
    <w:rsid w:val="00DC31E1"/>
    <w:rsid w:val="00DC5211"/>
    <w:rsid w:val="00DC658F"/>
    <w:rsid w:val="00DD3F01"/>
    <w:rsid w:val="00DE46F2"/>
    <w:rsid w:val="00DE7638"/>
    <w:rsid w:val="00DF06D7"/>
    <w:rsid w:val="00DF0771"/>
    <w:rsid w:val="00DF0A29"/>
    <w:rsid w:val="00DF2F5A"/>
    <w:rsid w:val="00DF44B7"/>
    <w:rsid w:val="00DF6946"/>
    <w:rsid w:val="00E001A7"/>
    <w:rsid w:val="00E00ABF"/>
    <w:rsid w:val="00E03CD4"/>
    <w:rsid w:val="00E03F2C"/>
    <w:rsid w:val="00E042B3"/>
    <w:rsid w:val="00E06A9D"/>
    <w:rsid w:val="00E07DAE"/>
    <w:rsid w:val="00E14CCB"/>
    <w:rsid w:val="00E214B8"/>
    <w:rsid w:val="00E21A06"/>
    <w:rsid w:val="00E235A3"/>
    <w:rsid w:val="00E31D6D"/>
    <w:rsid w:val="00E37579"/>
    <w:rsid w:val="00E42144"/>
    <w:rsid w:val="00E444C0"/>
    <w:rsid w:val="00E471F6"/>
    <w:rsid w:val="00E60838"/>
    <w:rsid w:val="00E66660"/>
    <w:rsid w:val="00E72781"/>
    <w:rsid w:val="00E7434C"/>
    <w:rsid w:val="00E761A0"/>
    <w:rsid w:val="00E815BA"/>
    <w:rsid w:val="00E82D28"/>
    <w:rsid w:val="00E908CF"/>
    <w:rsid w:val="00E95B45"/>
    <w:rsid w:val="00E95E2E"/>
    <w:rsid w:val="00E966E1"/>
    <w:rsid w:val="00EA2BFC"/>
    <w:rsid w:val="00EA3857"/>
    <w:rsid w:val="00EB0B65"/>
    <w:rsid w:val="00EB4513"/>
    <w:rsid w:val="00EB4A6F"/>
    <w:rsid w:val="00EB573B"/>
    <w:rsid w:val="00EB7C23"/>
    <w:rsid w:val="00EC1B8C"/>
    <w:rsid w:val="00EC5981"/>
    <w:rsid w:val="00EC6061"/>
    <w:rsid w:val="00EC6DAF"/>
    <w:rsid w:val="00ED066A"/>
    <w:rsid w:val="00ED103E"/>
    <w:rsid w:val="00ED1826"/>
    <w:rsid w:val="00ED2018"/>
    <w:rsid w:val="00ED32FA"/>
    <w:rsid w:val="00ED3F1D"/>
    <w:rsid w:val="00ED6BE8"/>
    <w:rsid w:val="00EE20FB"/>
    <w:rsid w:val="00EE2650"/>
    <w:rsid w:val="00EE2B5A"/>
    <w:rsid w:val="00EE2C79"/>
    <w:rsid w:val="00EE4887"/>
    <w:rsid w:val="00EE5937"/>
    <w:rsid w:val="00EE5EFB"/>
    <w:rsid w:val="00EE6099"/>
    <w:rsid w:val="00EE71C2"/>
    <w:rsid w:val="00EF05AE"/>
    <w:rsid w:val="00EF2361"/>
    <w:rsid w:val="00EF5348"/>
    <w:rsid w:val="00EF6543"/>
    <w:rsid w:val="00F014A1"/>
    <w:rsid w:val="00F032AB"/>
    <w:rsid w:val="00F05737"/>
    <w:rsid w:val="00F05CB6"/>
    <w:rsid w:val="00F113B5"/>
    <w:rsid w:val="00F14A8F"/>
    <w:rsid w:val="00F14F59"/>
    <w:rsid w:val="00F159C3"/>
    <w:rsid w:val="00F20D1F"/>
    <w:rsid w:val="00F25D92"/>
    <w:rsid w:val="00F31DBB"/>
    <w:rsid w:val="00F33715"/>
    <w:rsid w:val="00F379F8"/>
    <w:rsid w:val="00F412B7"/>
    <w:rsid w:val="00F414D5"/>
    <w:rsid w:val="00F417E1"/>
    <w:rsid w:val="00F431EF"/>
    <w:rsid w:val="00F44AD4"/>
    <w:rsid w:val="00F513B2"/>
    <w:rsid w:val="00F52C23"/>
    <w:rsid w:val="00F54E6C"/>
    <w:rsid w:val="00F5553B"/>
    <w:rsid w:val="00F56381"/>
    <w:rsid w:val="00F61DD4"/>
    <w:rsid w:val="00F661C6"/>
    <w:rsid w:val="00F672B8"/>
    <w:rsid w:val="00F673F3"/>
    <w:rsid w:val="00F67FE2"/>
    <w:rsid w:val="00F737C3"/>
    <w:rsid w:val="00F7422B"/>
    <w:rsid w:val="00F81A74"/>
    <w:rsid w:val="00F86C4F"/>
    <w:rsid w:val="00F8735D"/>
    <w:rsid w:val="00F904DA"/>
    <w:rsid w:val="00F93125"/>
    <w:rsid w:val="00F9331E"/>
    <w:rsid w:val="00F93FF3"/>
    <w:rsid w:val="00F9723B"/>
    <w:rsid w:val="00F978FA"/>
    <w:rsid w:val="00F97E22"/>
    <w:rsid w:val="00FA153E"/>
    <w:rsid w:val="00FA19DE"/>
    <w:rsid w:val="00FA258B"/>
    <w:rsid w:val="00FA2593"/>
    <w:rsid w:val="00FA2614"/>
    <w:rsid w:val="00FA2F47"/>
    <w:rsid w:val="00FA5B2E"/>
    <w:rsid w:val="00FA6CDC"/>
    <w:rsid w:val="00FB1D18"/>
    <w:rsid w:val="00FB3409"/>
    <w:rsid w:val="00FB78F7"/>
    <w:rsid w:val="00FB7CEF"/>
    <w:rsid w:val="00FC152C"/>
    <w:rsid w:val="00FC1C81"/>
    <w:rsid w:val="00FC6B40"/>
    <w:rsid w:val="00FC7B21"/>
    <w:rsid w:val="00FD1C10"/>
    <w:rsid w:val="00FD4C71"/>
    <w:rsid w:val="00FE12E6"/>
    <w:rsid w:val="00FE7ADF"/>
    <w:rsid w:val="00FF09A5"/>
    <w:rsid w:val="00FF0E6B"/>
    <w:rsid w:val="00FF5583"/>
    <w:rsid w:val="00FF61DB"/>
    <w:rsid w:val="08302185"/>
    <w:rsid w:val="1E058F36"/>
    <w:rsid w:val="35C5666A"/>
    <w:rsid w:val="376136CB"/>
    <w:rsid w:val="39DC722C"/>
    <w:rsid w:val="53816861"/>
    <w:rsid w:val="55AC99E3"/>
    <w:rsid w:val="6AC0B9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FE54"/>
  <w15:docId w15:val="{48A634DD-EB02-456F-A31B-798ADE50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1F1"/>
    <w:rPr>
      <w:color w:val="0563C1" w:themeColor="hyperlink"/>
      <w:u w:val="single"/>
    </w:rPr>
  </w:style>
  <w:style w:type="paragraph" w:styleId="ListParagraph">
    <w:name w:val="List Paragraph"/>
    <w:basedOn w:val="Normal"/>
    <w:uiPriority w:val="34"/>
    <w:qFormat/>
    <w:rsid w:val="00FC1C81"/>
    <w:pPr>
      <w:ind w:left="720"/>
      <w:contextualSpacing/>
    </w:pPr>
  </w:style>
  <w:style w:type="paragraph" w:styleId="Header">
    <w:name w:val="header"/>
    <w:basedOn w:val="Normal"/>
    <w:link w:val="HeaderChar"/>
    <w:uiPriority w:val="99"/>
    <w:unhideWhenUsed/>
    <w:rsid w:val="002E5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43D"/>
  </w:style>
  <w:style w:type="paragraph" w:styleId="Footer">
    <w:name w:val="footer"/>
    <w:basedOn w:val="Normal"/>
    <w:link w:val="FooterChar"/>
    <w:uiPriority w:val="99"/>
    <w:unhideWhenUsed/>
    <w:rsid w:val="002E5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43D"/>
  </w:style>
  <w:style w:type="paragraph" w:styleId="BalloonText">
    <w:name w:val="Balloon Text"/>
    <w:basedOn w:val="Normal"/>
    <w:link w:val="BalloonTextChar"/>
    <w:uiPriority w:val="99"/>
    <w:semiHidden/>
    <w:unhideWhenUsed/>
    <w:rsid w:val="002E5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43D"/>
    <w:rPr>
      <w:rFonts w:ascii="Segoe UI" w:hAnsi="Segoe UI" w:cs="Segoe UI"/>
      <w:sz w:val="18"/>
      <w:szCs w:val="18"/>
    </w:rPr>
  </w:style>
  <w:style w:type="paragraph" w:styleId="FootnoteText">
    <w:name w:val="footnote text"/>
    <w:basedOn w:val="Normal"/>
    <w:link w:val="FootnoteTextChar"/>
    <w:uiPriority w:val="99"/>
    <w:unhideWhenUsed/>
    <w:rsid w:val="008A51DF"/>
    <w:pPr>
      <w:spacing w:after="0" w:line="240" w:lineRule="auto"/>
    </w:pPr>
    <w:rPr>
      <w:sz w:val="20"/>
      <w:szCs w:val="20"/>
    </w:rPr>
  </w:style>
  <w:style w:type="character" w:customStyle="1" w:styleId="FootnoteTextChar">
    <w:name w:val="Footnote Text Char"/>
    <w:basedOn w:val="DefaultParagraphFont"/>
    <w:link w:val="FootnoteText"/>
    <w:uiPriority w:val="99"/>
    <w:rsid w:val="008A51DF"/>
    <w:rPr>
      <w:sz w:val="20"/>
      <w:szCs w:val="20"/>
    </w:rPr>
  </w:style>
  <w:style w:type="character" w:styleId="FootnoteReference">
    <w:name w:val="footnote reference"/>
    <w:basedOn w:val="DefaultParagraphFont"/>
    <w:uiPriority w:val="99"/>
    <w:unhideWhenUsed/>
    <w:rsid w:val="008A51DF"/>
    <w:rPr>
      <w:vertAlign w:val="superscript"/>
    </w:rPr>
  </w:style>
  <w:style w:type="paragraph" w:styleId="EndnoteText">
    <w:name w:val="endnote text"/>
    <w:basedOn w:val="Normal"/>
    <w:link w:val="EndnoteTextChar"/>
    <w:uiPriority w:val="99"/>
    <w:unhideWhenUsed/>
    <w:rsid w:val="00EF6543"/>
    <w:pPr>
      <w:spacing w:after="0" w:line="240" w:lineRule="auto"/>
    </w:pPr>
    <w:rPr>
      <w:sz w:val="20"/>
      <w:szCs w:val="20"/>
    </w:rPr>
  </w:style>
  <w:style w:type="character" w:customStyle="1" w:styleId="EndnoteTextChar">
    <w:name w:val="Endnote Text Char"/>
    <w:basedOn w:val="DefaultParagraphFont"/>
    <w:link w:val="EndnoteText"/>
    <w:uiPriority w:val="99"/>
    <w:rsid w:val="00EF6543"/>
    <w:rPr>
      <w:sz w:val="20"/>
      <w:szCs w:val="20"/>
    </w:rPr>
  </w:style>
  <w:style w:type="character" w:styleId="EndnoteReference">
    <w:name w:val="endnote reference"/>
    <w:basedOn w:val="DefaultParagraphFont"/>
    <w:uiPriority w:val="99"/>
    <w:semiHidden/>
    <w:unhideWhenUsed/>
    <w:rsid w:val="00EF6543"/>
    <w:rPr>
      <w:vertAlign w:val="superscript"/>
    </w:rPr>
  </w:style>
  <w:style w:type="table" w:styleId="TableGrid">
    <w:name w:val="Table Grid"/>
    <w:basedOn w:val="TableNormal"/>
    <w:uiPriority w:val="59"/>
    <w:rsid w:val="00426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4732"/>
    <w:rPr>
      <w:sz w:val="16"/>
      <w:szCs w:val="16"/>
    </w:rPr>
  </w:style>
  <w:style w:type="paragraph" w:styleId="CommentText">
    <w:name w:val="annotation text"/>
    <w:basedOn w:val="Normal"/>
    <w:link w:val="CommentTextChar"/>
    <w:uiPriority w:val="99"/>
    <w:unhideWhenUsed/>
    <w:rsid w:val="00254732"/>
    <w:pPr>
      <w:spacing w:line="240" w:lineRule="auto"/>
    </w:pPr>
    <w:rPr>
      <w:sz w:val="20"/>
      <w:szCs w:val="20"/>
    </w:rPr>
  </w:style>
  <w:style w:type="character" w:customStyle="1" w:styleId="CommentTextChar">
    <w:name w:val="Comment Text Char"/>
    <w:basedOn w:val="DefaultParagraphFont"/>
    <w:link w:val="CommentText"/>
    <w:uiPriority w:val="99"/>
    <w:rsid w:val="00254732"/>
    <w:rPr>
      <w:sz w:val="20"/>
      <w:szCs w:val="20"/>
    </w:rPr>
  </w:style>
  <w:style w:type="paragraph" w:styleId="CommentSubject">
    <w:name w:val="annotation subject"/>
    <w:basedOn w:val="CommentText"/>
    <w:next w:val="CommentText"/>
    <w:link w:val="CommentSubjectChar"/>
    <w:uiPriority w:val="99"/>
    <w:semiHidden/>
    <w:unhideWhenUsed/>
    <w:rsid w:val="00254732"/>
    <w:rPr>
      <w:b/>
      <w:bCs/>
    </w:rPr>
  </w:style>
  <w:style w:type="character" w:customStyle="1" w:styleId="CommentSubjectChar">
    <w:name w:val="Comment Subject Char"/>
    <w:basedOn w:val="CommentTextChar"/>
    <w:link w:val="CommentSubject"/>
    <w:uiPriority w:val="99"/>
    <w:semiHidden/>
    <w:rsid w:val="00254732"/>
    <w:rPr>
      <w:b/>
      <w:bCs/>
      <w:sz w:val="20"/>
      <w:szCs w:val="20"/>
    </w:rPr>
  </w:style>
  <w:style w:type="paragraph" w:styleId="Revision">
    <w:name w:val="Revision"/>
    <w:hidden/>
    <w:uiPriority w:val="99"/>
    <w:semiHidden/>
    <w:rsid w:val="00A463D9"/>
    <w:pPr>
      <w:spacing w:after="0" w:line="240" w:lineRule="auto"/>
    </w:pPr>
  </w:style>
  <w:style w:type="character" w:styleId="FollowedHyperlink">
    <w:name w:val="FollowedHyperlink"/>
    <w:basedOn w:val="DefaultParagraphFont"/>
    <w:uiPriority w:val="99"/>
    <w:semiHidden/>
    <w:unhideWhenUsed/>
    <w:rsid w:val="008123D0"/>
    <w:rPr>
      <w:color w:val="954F72" w:themeColor="followedHyperlink"/>
      <w:u w:val="single"/>
    </w:rPr>
  </w:style>
  <w:style w:type="paragraph" w:styleId="NormalWeb">
    <w:name w:val="Normal (Web)"/>
    <w:basedOn w:val="Normal"/>
    <w:uiPriority w:val="99"/>
    <w:unhideWhenUsed/>
    <w:rsid w:val="006C76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76C4"/>
  </w:style>
  <w:style w:type="character" w:styleId="UnresolvedMention">
    <w:name w:val="Unresolved Mention"/>
    <w:basedOn w:val="DefaultParagraphFont"/>
    <w:uiPriority w:val="99"/>
    <w:semiHidden/>
    <w:unhideWhenUsed/>
    <w:rsid w:val="00C96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67660">
      <w:bodyDiv w:val="1"/>
      <w:marLeft w:val="0"/>
      <w:marRight w:val="0"/>
      <w:marTop w:val="0"/>
      <w:marBottom w:val="0"/>
      <w:divBdr>
        <w:top w:val="none" w:sz="0" w:space="0" w:color="auto"/>
        <w:left w:val="none" w:sz="0" w:space="0" w:color="auto"/>
        <w:bottom w:val="none" w:sz="0" w:space="0" w:color="auto"/>
        <w:right w:val="none" w:sz="0" w:space="0" w:color="auto"/>
      </w:divBdr>
    </w:div>
    <w:div w:id="1053849793">
      <w:bodyDiv w:val="1"/>
      <w:marLeft w:val="0"/>
      <w:marRight w:val="0"/>
      <w:marTop w:val="0"/>
      <w:marBottom w:val="0"/>
      <w:divBdr>
        <w:top w:val="none" w:sz="0" w:space="0" w:color="auto"/>
        <w:left w:val="none" w:sz="0" w:space="0" w:color="auto"/>
        <w:bottom w:val="none" w:sz="0" w:space="0" w:color="auto"/>
        <w:right w:val="none" w:sz="0" w:space="0" w:color="auto"/>
      </w:divBdr>
    </w:div>
    <w:div w:id="12168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SitePages/POPPSubject.aspx?SBJID=339&amp;Menu=BusinessUnit" TargetMode="External"/><Relationship Id="rId18" Type="http://schemas.openxmlformats.org/officeDocument/2006/relationships/hyperlink" Target="http://www.undp.org/sr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opp.undp.org/SitePages/POPPSubject.aspx?SBJID=431" TargetMode="External"/><Relationship Id="rId17" Type="http://schemas.openxmlformats.org/officeDocument/2006/relationships/hyperlink" Target="http://www.undp.org/sec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dp.org/secu-srm" TargetMode="External"/><Relationship Id="rId20" Type="http://schemas.openxmlformats.org/officeDocument/2006/relationships/hyperlink" Target="https://intranet.undp.org/unit/oolts/oso/psu/Lists/UNDP%20and%20nonUNDP%20LTA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UNDP_POPP_DOCUMENT_LIBRARY/Public/PPM_Programming%20Standards_Quality%20Standards%20for%20Programming.docx?web=1"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intranet.undp.org/unit/bom/ofrm/SitePages/Risk_Management_Guidelines.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tranet.undp.org/unit/bom/ofrm/SitePages/Risk_Management_Guidelin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SitePages/POPPSubject.aspx?SBJID=431"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ntranet.undp.org/unit/oolts/oso/psu/special/SitePages/intrane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7927E1FB634DBF8CACE0978D9DF1D4"/>
        <w:category>
          <w:name w:val="General"/>
          <w:gallery w:val="placeholder"/>
        </w:category>
        <w:types>
          <w:type w:val="bbPlcHdr"/>
        </w:types>
        <w:behaviors>
          <w:behavior w:val="content"/>
        </w:behaviors>
        <w:guid w:val="{EE3A4C32-8DC7-46F8-986A-294351C600C3}"/>
      </w:docPartPr>
      <w:docPartBody>
        <w:p w:rsidR="00000000" w:rsidRDefault="00CB2A9A" w:rsidP="00CB2A9A">
          <w:pPr>
            <w:pStyle w:val="5D7927E1FB634DBF8CACE0978D9DF1D4"/>
          </w:pPr>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9A"/>
    <w:rsid w:val="00A01C02"/>
    <w:rsid w:val="00CB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A9A"/>
    <w:rPr>
      <w:color w:val="808080"/>
    </w:rPr>
  </w:style>
  <w:style w:type="paragraph" w:customStyle="1" w:styleId="5D7927E1FB634DBF8CACE0978D9DF1D4">
    <w:name w:val="5D7927E1FB634DBF8CACE0978D9DF1D4"/>
    <w:rsid w:val="00CB2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4E5EB98AFACA49B955F57620F5DD44" ma:contentTypeVersion="13" ma:contentTypeDescription="Create a new document." ma:contentTypeScope="" ma:versionID="a997f55d5477f8511a78f499632dca18">
  <xsd:schema xmlns:xsd="http://www.w3.org/2001/XMLSchema" xmlns:xs="http://www.w3.org/2001/XMLSchema" xmlns:p="http://schemas.microsoft.com/office/2006/metadata/properties" xmlns:ns2="1bac64ba-0994-44c4-ac1f-cfbdbbcd60dd" xmlns:ns3="c26dc373-2944-4fff-a656-1635ba5514b5" targetNamespace="http://schemas.microsoft.com/office/2006/metadata/properties" ma:root="true" ma:fieldsID="2f08016dc5318cf97f1dada1bbf180c6" ns2:_="" ns3:_="">
    <xsd:import namespace="1bac64ba-0994-44c4-ac1f-cfbdbbcd60dd"/>
    <xsd:import namespace="c26dc373-2944-4fff-a656-1635ba55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64ba-0994-44c4-ac1f-cfbdbbcd6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dc373-2944-4fff-a656-1635ba5514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83B17-6765-4AF0-8AC9-6123E224108C}">
  <ds:schemaRefs>
    <ds:schemaRef ds:uri="http://schemas.microsoft.com/sharepoint/v3/contenttype/forms"/>
  </ds:schemaRefs>
</ds:datastoreItem>
</file>

<file path=customXml/itemProps2.xml><?xml version="1.0" encoding="utf-8"?>
<ds:datastoreItem xmlns:ds="http://schemas.openxmlformats.org/officeDocument/2006/customXml" ds:itemID="{9AEAC666-F6F0-49A1-B39C-625C436C8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64ba-0994-44c4-ac1f-cfbdbbcd60dd"/>
    <ds:schemaRef ds:uri="c26dc373-2944-4fff-a656-1635ba5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5118E-8831-42FB-921E-9B27245FFA00}">
  <ds:schemaRefs>
    <ds:schemaRef ds:uri="http://schemas.openxmlformats.org/officeDocument/2006/bibliography"/>
  </ds:schemaRefs>
</ds:datastoreItem>
</file>

<file path=customXml/itemProps4.xml><?xml version="1.0" encoding="utf-8"?>
<ds:datastoreItem xmlns:ds="http://schemas.openxmlformats.org/officeDocument/2006/customXml" ds:itemID="{E7AC1722-6ED9-435B-A01E-670ECBC4C7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4833</Words>
  <Characters>27549</Characters>
  <Application>Microsoft Office Word</Application>
  <DocSecurity>0</DocSecurity>
  <Lines>229</Lines>
  <Paragraphs>64</Paragraphs>
  <ScaleCrop>false</ScaleCrop>
  <Company/>
  <LinksUpToDate>false</LinksUpToDate>
  <CharactersWithSpaces>32318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Ekor</dc:creator>
  <cp:keywords/>
  <cp:lastModifiedBy>Emiliana Zhivkova</cp:lastModifiedBy>
  <cp:revision>7</cp:revision>
  <cp:lastPrinted>2017-12-08T11:52:00Z</cp:lastPrinted>
  <dcterms:created xsi:type="dcterms:W3CDTF">2023-08-09T12:53:00Z</dcterms:created>
  <dcterms:modified xsi:type="dcterms:W3CDTF">2023-08-09T13:00:00Z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0x010100DF4E5EB98AFACA49B955F57620F5DD44</vt:lpwstr>
  </property>
  <property fmtid="{D5CDD505-2E9C-101B-9397-08002B2CF9AE}" pid="3" name="_dlc_DocIdItemGuid">
    <vt:lpwstr>b6249f8a-9bdb-46f5-a2d7-58a1cfebf620</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ies>
</file>