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697A8" w14:textId="77777777" w:rsidR="00362A2C" w:rsidRPr="003D1724" w:rsidRDefault="00CE1689" w:rsidP="00D37CEA">
      <w:pPr>
        <w:spacing w:after="191" w:line="259" w:lineRule="auto"/>
        <w:ind w:left="0" w:firstLine="0"/>
        <w:jc w:val="left"/>
      </w:pPr>
      <w:r>
        <w:rPr>
          <w:b/>
          <w:sz w:val="28"/>
        </w:rPr>
        <w:t xml:space="preserve">Rapprochement de compte bancaire </w:t>
      </w:r>
      <w:r>
        <w:rPr>
          <w:sz w:val="22"/>
        </w:rPr>
        <w:t xml:space="preserve"> </w:t>
      </w:r>
    </w:p>
    <w:p w14:paraId="7E3697A9" w14:textId="435F0001" w:rsidR="00362A2C" w:rsidRPr="003D1724" w:rsidRDefault="00AF39DE" w:rsidP="00D37CEA">
      <w:pPr>
        <w:numPr>
          <w:ilvl w:val="0"/>
          <w:numId w:val="1"/>
        </w:numPr>
        <w:ind w:left="360" w:hanging="360"/>
        <w:rPr>
          <w:sz w:val="22"/>
        </w:rPr>
      </w:pPr>
      <w:r w:rsidRPr="00AF39DE">
        <w:rPr>
          <w:sz w:val="22"/>
        </w:rPr>
        <w:t>Le processus de rapprochement bancaire permet de vérifier les écritures figurant sur l'extrait de compte en rapprochant ces informations des transactions externes ainsi que des transactions générées par le système dans les comptes fournisseurs, les comptes clients, la paie et le grand livre. Au cours du processus de rapprochement bancaire, des transactions externes peuvent être créées pour les entrées d'origine bancaire telles que les frais bancaires et les intérêts.</w:t>
      </w:r>
      <w:r w:rsidR="00CE1689">
        <w:rPr>
          <w:sz w:val="22"/>
        </w:rPr>
        <w:t xml:space="preserve">.  </w:t>
      </w:r>
    </w:p>
    <w:p w14:paraId="7E3697AA" w14:textId="77777777" w:rsidR="00362A2C" w:rsidRPr="003D1724" w:rsidRDefault="00CE1689" w:rsidP="00D37CEA">
      <w:pPr>
        <w:spacing w:after="82" w:line="259" w:lineRule="auto"/>
        <w:ind w:left="0" w:firstLine="0"/>
        <w:jc w:val="left"/>
        <w:rPr>
          <w:sz w:val="22"/>
        </w:rPr>
      </w:pPr>
      <w:r>
        <w:rPr>
          <w:sz w:val="22"/>
        </w:rPr>
        <w:t xml:space="preserve">  </w:t>
      </w:r>
    </w:p>
    <w:p w14:paraId="7E3697AB" w14:textId="1006C85E" w:rsidR="00362A2C" w:rsidRPr="003D1724" w:rsidRDefault="00AF39DE" w:rsidP="00D37CEA">
      <w:pPr>
        <w:numPr>
          <w:ilvl w:val="0"/>
          <w:numId w:val="1"/>
        </w:numPr>
        <w:ind w:left="360" w:hanging="360"/>
        <w:rPr>
          <w:sz w:val="22"/>
        </w:rPr>
      </w:pPr>
      <w:r w:rsidRPr="00AF39DE">
        <w:rPr>
          <w:sz w:val="22"/>
        </w:rPr>
        <w:t>Le processus de rapprochement bancaire dans Quantum comporte les étapes suivantes</w:t>
      </w:r>
      <w:r w:rsidR="00CE1689">
        <w:rPr>
          <w:sz w:val="22"/>
        </w:rPr>
        <w:t xml:space="preserve">.  </w:t>
      </w:r>
    </w:p>
    <w:p w14:paraId="7E3697AC" w14:textId="77777777" w:rsidR="00362A2C" w:rsidRPr="003D1724" w:rsidRDefault="00CE1689" w:rsidP="00D37CEA">
      <w:pPr>
        <w:spacing w:after="0" w:line="259" w:lineRule="auto"/>
        <w:ind w:left="0" w:firstLine="0"/>
        <w:jc w:val="left"/>
        <w:rPr>
          <w:sz w:val="22"/>
        </w:rPr>
      </w:pPr>
      <w:r>
        <w:rPr>
          <w:sz w:val="22"/>
        </w:rPr>
        <w:t xml:space="preserve"> </w:t>
      </w:r>
    </w:p>
    <w:p w14:paraId="7E3697AD" w14:textId="77777777" w:rsidR="00362A2C" w:rsidRPr="003D1724" w:rsidRDefault="00CE1689" w:rsidP="00D37CEA">
      <w:pPr>
        <w:spacing w:after="0" w:line="259" w:lineRule="auto"/>
        <w:ind w:left="355" w:hanging="10"/>
        <w:jc w:val="left"/>
        <w:rPr>
          <w:sz w:val="22"/>
        </w:rPr>
      </w:pPr>
      <w:r>
        <w:rPr>
          <w:b/>
          <w:sz w:val="22"/>
        </w:rPr>
        <w:t xml:space="preserve">Première étape : Rapprochement  </w:t>
      </w:r>
    </w:p>
    <w:p w14:paraId="7E3697AE" w14:textId="77777777" w:rsidR="00362A2C" w:rsidRPr="003D1724" w:rsidRDefault="00CE1689" w:rsidP="00D37CEA">
      <w:pPr>
        <w:spacing w:after="49" w:line="259" w:lineRule="auto"/>
        <w:ind w:left="0" w:firstLine="0"/>
        <w:jc w:val="left"/>
        <w:rPr>
          <w:sz w:val="22"/>
        </w:rPr>
      </w:pPr>
      <w:r>
        <w:rPr>
          <w:sz w:val="22"/>
        </w:rPr>
        <w:t xml:space="preserve"> </w:t>
      </w:r>
    </w:p>
    <w:p w14:paraId="7E3697AF" w14:textId="77777777" w:rsidR="00362A2C" w:rsidRPr="003D1724" w:rsidRDefault="00CE1689" w:rsidP="00D37CEA">
      <w:pPr>
        <w:numPr>
          <w:ilvl w:val="0"/>
          <w:numId w:val="1"/>
        </w:numPr>
        <w:ind w:left="360" w:hanging="360"/>
        <w:rPr>
          <w:sz w:val="22"/>
        </w:rPr>
      </w:pPr>
      <w:r>
        <w:rPr>
          <w:sz w:val="22"/>
        </w:rPr>
        <w:t xml:space="preserve">La mise en concordance des transactions dans Atlas avec celles figurant sur les relevés bancaires se fait principalement en 3 endroits, à savoir :  </w:t>
      </w:r>
    </w:p>
    <w:p w14:paraId="7E3697B0" w14:textId="6BFF22A1" w:rsidR="00362A2C" w:rsidRPr="003D1724" w:rsidRDefault="00CE1689" w:rsidP="00D37CEA">
      <w:pPr>
        <w:pStyle w:val="ListParagraph"/>
        <w:numPr>
          <w:ilvl w:val="0"/>
          <w:numId w:val="3"/>
        </w:numPr>
        <w:spacing w:after="35"/>
        <w:ind w:left="749"/>
        <w:jc w:val="left"/>
        <w:rPr>
          <w:sz w:val="22"/>
        </w:rPr>
      </w:pPr>
      <w:r>
        <w:rPr>
          <w:sz w:val="22"/>
        </w:rPr>
        <w:t xml:space="preserve">La page </w:t>
      </w:r>
      <w:r>
        <w:rPr>
          <w:b/>
          <w:i/>
          <w:sz w:val="22"/>
        </w:rPr>
        <w:t>Rapprochement manuel</w:t>
      </w:r>
      <w:r>
        <w:rPr>
          <w:sz w:val="22"/>
        </w:rPr>
        <w:t xml:space="preserve">, </w:t>
      </w:r>
      <w:r w:rsidR="00AF39DE" w:rsidRPr="00AF39DE">
        <w:rPr>
          <w:sz w:val="22"/>
        </w:rPr>
        <w:t>nécessite une correspondance manuelle des détails des relevés bancaires avec les transactions du livre auxiliaire ou les journaux du GL. La méthode de rapprochement manuel peut également être utilisée pour rapprocher les détails des relevés bancaires qui n'ont pas pu être rapprochés automatiquement.</w:t>
      </w:r>
      <w:r>
        <w:rPr>
          <w:sz w:val="22"/>
        </w:rPr>
        <w:t xml:space="preserve">.  </w:t>
      </w:r>
    </w:p>
    <w:p w14:paraId="76F5C6A9" w14:textId="77777777" w:rsidR="00AF39DE" w:rsidRDefault="00CE1689" w:rsidP="00D37CEA">
      <w:pPr>
        <w:pStyle w:val="ListParagraph"/>
        <w:numPr>
          <w:ilvl w:val="0"/>
          <w:numId w:val="3"/>
        </w:numPr>
        <w:spacing w:after="35"/>
        <w:ind w:left="749"/>
        <w:jc w:val="left"/>
        <w:rPr>
          <w:sz w:val="22"/>
        </w:rPr>
      </w:pPr>
      <w:r>
        <w:rPr>
          <w:sz w:val="22"/>
        </w:rPr>
        <w:t xml:space="preserve">Le </w:t>
      </w:r>
      <w:r>
        <w:rPr>
          <w:b/>
          <w:i/>
          <w:sz w:val="22"/>
        </w:rPr>
        <w:t>rapprochement automatique</w:t>
      </w:r>
      <w:r>
        <w:rPr>
          <w:sz w:val="22"/>
        </w:rPr>
        <w:t xml:space="preserve">, </w:t>
      </w:r>
      <w:r w:rsidR="00AF39DE" w:rsidRPr="00AF39DE">
        <w:rPr>
          <w:sz w:val="22"/>
        </w:rPr>
        <w:t>un processus centralisé qui fait correspondre automatiquement les transactions Quantum avec les relevés bancaires chargés dans Quantum via le centre de paiement du système de gestion de la trésorerie (TMS).</w:t>
      </w:r>
    </w:p>
    <w:p w14:paraId="7E3697B1" w14:textId="0EC6AD5F" w:rsidR="00362A2C" w:rsidRPr="003D1724" w:rsidRDefault="00CE1689" w:rsidP="00D37CEA">
      <w:pPr>
        <w:pStyle w:val="ListParagraph"/>
        <w:numPr>
          <w:ilvl w:val="0"/>
          <w:numId w:val="3"/>
        </w:numPr>
        <w:spacing w:after="35"/>
        <w:ind w:left="749"/>
        <w:jc w:val="left"/>
        <w:rPr>
          <w:sz w:val="22"/>
        </w:rPr>
      </w:pPr>
      <w:r>
        <w:rPr>
          <w:sz w:val="22"/>
        </w:rPr>
        <w:t xml:space="preserve">  </w:t>
      </w:r>
    </w:p>
    <w:p w14:paraId="7E3697B3" w14:textId="0FB40A32" w:rsidR="00362A2C" w:rsidRPr="003D1724" w:rsidRDefault="00CE1689" w:rsidP="00D37CEA">
      <w:pPr>
        <w:spacing w:after="0" w:line="259" w:lineRule="auto"/>
        <w:ind w:left="355" w:hanging="10"/>
        <w:jc w:val="left"/>
        <w:rPr>
          <w:b/>
          <w:sz w:val="22"/>
        </w:rPr>
      </w:pPr>
      <w:r>
        <w:rPr>
          <w:b/>
          <w:sz w:val="22"/>
        </w:rPr>
        <w:t xml:space="preserve">Deuxième étape : </w:t>
      </w:r>
      <w:r w:rsidR="00AF39DE" w:rsidRPr="00AF39DE">
        <w:rPr>
          <w:b/>
          <w:sz w:val="22"/>
        </w:rPr>
        <w:t>Examination des résultats des relevés bancaires automatiques et résolution des exceptions</w:t>
      </w:r>
      <w:r>
        <w:rPr>
          <w:b/>
          <w:sz w:val="22"/>
        </w:rPr>
        <w:t xml:space="preserve">.   </w:t>
      </w:r>
    </w:p>
    <w:p w14:paraId="7E3697B4" w14:textId="77777777" w:rsidR="00362A2C" w:rsidRPr="003D1724" w:rsidRDefault="00CE1689" w:rsidP="00D37CEA">
      <w:pPr>
        <w:spacing w:after="54" w:line="259" w:lineRule="auto"/>
        <w:ind w:left="0" w:firstLine="0"/>
        <w:jc w:val="left"/>
        <w:rPr>
          <w:sz w:val="22"/>
        </w:rPr>
      </w:pPr>
      <w:r>
        <w:rPr>
          <w:sz w:val="22"/>
        </w:rPr>
        <w:t xml:space="preserve"> </w:t>
      </w:r>
    </w:p>
    <w:p w14:paraId="7E3697B5" w14:textId="3D02D00D" w:rsidR="00362A2C" w:rsidRDefault="00AF39DE" w:rsidP="00AF39DE">
      <w:pPr>
        <w:ind w:left="345" w:firstLine="0"/>
        <w:rPr>
          <w:sz w:val="22"/>
        </w:rPr>
      </w:pPr>
      <w:r w:rsidRPr="00AF39DE">
        <w:rPr>
          <w:sz w:val="22"/>
        </w:rPr>
        <w:t xml:space="preserve">Une fois le processus de rapprochement automatique des relevés bancaires terminé, examinez les résultats du rapprochement dans la zone de travail </w:t>
      </w:r>
      <w:r>
        <w:rPr>
          <w:sz w:val="22"/>
        </w:rPr>
        <w:t>« </w:t>
      </w:r>
      <w:r w:rsidRPr="00AF39DE">
        <w:rPr>
          <w:sz w:val="22"/>
        </w:rPr>
        <w:t>Relevés bancaires et rapprochement</w:t>
      </w:r>
      <w:r>
        <w:rPr>
          <w:sz w:val="22"/>
        </w:rPr>
        <w:t> »</w:t>
      </w:r>
      <w:r w:rsidRPr="00AF39DE">
        <w:rPr>
          <w:sz w:val="22"/>
        </w:rPr>
        <w:t>. La région Réconciliation des relevés bancaires affiche les lignes qui sont réconciliées, non réconciliées et toutes les exceptions.</w:t>
      </w:r>
    </w:p>
    <w:p w14:paraId="2FF46AA6" w14:textId="4EAC39AC" w:rsidR="00AF39DE" w:rsidRDefault="00AF39DE" w:rsidP="00AF39DE">
      <w:pPr>
        <w:ind w:left="345" w:firstLine="0"/>
        <w:rPr>
          <w:sz w:val="22"/>
        </w:rPr>
      </w:pPr>
    </w:p>
    <w:p w14:paraId="402D4D62" w14:textId="7A411819" w:rsidR="00AF39DE" w:rsidRPr="00942F9B" w:rsidRDefault="00AF39DE" w:rsidP="00AF39DE">
      <w:pPr>
        <w:ind w:left="345" w:firstLine="0"/>
        <w:rPr>
          <w:sz w:val="22"/>
          <w:lang w:val="fr-CH"/>
        </w:rPr>
      </w:pPr>
      <w:r w:rsidRPr="00942F9B">
        <w:rPr>
          <w:b/>
          <w:sz w:val="22"/>
          <w:lang w:val="fr-CH"/>
        </w:rPr>
        <w:t>Troisième étape</w:t>
      </w:r>
    </w:p>
    <w:p w14:paraId="7E3697B6" w14:textId="77777777" w:rsidR="00362A2C" w:rsidRPr="00942F9B" w:rsidRDefault="00CE1689" w:rsidP="00D37CEA">
      <w:pPr>
        <w:spacing w:after="82" w:line="259" w:lineRule="auto"/>
        <w:ind w:left="0" w:firstLine="0"/>
        <w:jc w:val="left"/>
        <w:rPr>
          <w:sz w:val="22"/>
          <w:lang w:val="fr-CH"/>
        </w:rPr>
      </w:pPr>
      <w:r w:rsidRPr="00942F9B">
        <w:rPr>
          <w:sz w:val="22"/>
          <w:lang w:val="fr-CH"/>
        </w:rPr>
        <w:t xml:space="preserve"> </w:t>
      </w:r>
    </w:p>
    <w:p w14:paraId="7E3697B7" w14:textId="49CA610D" w:rsidR="00362A2C" w:rsidRDefault="00AF39DE" w:rsidP="00AF39DE">
      <w:pPr>
        <w:ind w:left="345" w:firstLine="0"/>
        <w:rPr>
          <w:sz w:val="22"/>
        </w:rPr>
      </w:pPr>
      <w:r w:rsidRPr="00AF39DE">
        <w:rPr>
          <w:sz w:val="22"/>
        </w:rPr>
        <w:t>Résoudre toute ligne de relevé non réconciliée en rapprochant manuellement les lignes de relevé aux transactions disponibles. Créer des transactions externes pour les frais bancaires et les intérêts</w:t>
      </w:r>
      <w:r w:rsidR="00CE1689">
        <w:rPr>
          <w:sz w:val="22"/>
        </w:rPr>
        <w:t xml:space="preserve">.  </w:t>
      </w:r>
    </w:p>
    <w:p w14:paraId="73FA16E5" w14:textId="5C4D53F7" w:rsidR="00D033BF" w:rsidRDefault="00D033BF" w:rsidP="00AF39DE">
      <w:pPr>
        <w:ind w:left="345" w:firstLine="0"/>
        <w:rPr>
          <w:sz w:val="22"/>
        </w:rPr>
      </w:pPr>
    </w:p>
    <w:p w14:paraId="56D0F02F" w14:textId="2355B6AA" w:rsidR="00D033BF" w:rsidRDefault="00D033BF" w:rsidP="00D033BF">
      <w:pPr>
        <w:ind w:left="345" w:firstLine="0"/>
        <w:rPr>
          <w:b/>
          <w:bCs/>
          <w:sz w:val="22"/>
        </w:rPr>
      </w:pPr>
      <w:r w:rsidRPr="00D033BF">
        <w:rPr>
          <w:b/>
          <w:bCs/>
          <w:sz w:val="22"/>
        </w:rPr>
        <w:t xml:space="preserve">Quatrième </w:t>
      </w:r>
      <w:r>
        <w:rPr>
          <w:b/>
          <w:bCs/>
          <w:sz w:val="22"/>
        </w:rPr>
        <w:t>é</w:t>
      </w:r>
      <w:r w:rsidRPr="00D033BF">
        <w:rPr>
          <w:b/>
          <w:bCs/>
          <w:sz w:val="22"/>
        </w:rPr>
        <w:t>tape : Créer la comptabilité et transférer au grand livre</w:t>
      </w:r>
    </w:p>
    <w:p w14:paraId="083C31F8" w14:textId="77777777" w:rsidR="00D033BF" w:rsidRPr="00D033BF" w:rsidRDefault="00D033BF" w:rsidP="00D033BF">
      <w:pPr>
        <w:ind w:left="345" w:firstLine="0"/>
        <w:rPr>
          <w:b/>
          <w:bCs/>
          <w:sz w:val="22"/>
        </w:rPr>
      </w:pPr>
    </w:p>
    <w:p w14:paraId="289B18D0" w14:textId="77777777" w:rsidR="00D033BF" w:rsidRPr="00D033BF" w:rsidRDefault="00D033BF" w:rsidP="00D033BF">
      <w:pPr>
        <w:ind w:left="345" w:firstLine="0"/>
        <w:rPr>
          <w:sz w:val="22"/>
        </w:rPr>
      </w:pPr>
      <w:r w:rsidRPr="00D033BF">
        <w:rPr>
          <w:sz w:val="22"/>
        </w:rPr>
        <w:t>Créez des écritures de journal pour les transactions externes en soumettant le processus Créer une comptabilité. Le processus crée et, facultativement, transfère et comptabilise les écritures de journal dans le grand livre. Si vous ne transférez pas immédiatement les écritures au grand livre, vous pouvez soumettre ultérieurement le processus Enregistrer les écritures au grand livre auxiliaire.</w:t>
      </w:r>
    </w:p>
    <w:p w14:paraId="61139FF4" w14:textId="77777777" w:rsidR="00D033BF" w:rsidRPr="00D033BF" w:rsidRDefault="00D033BF" w:rsidP="00D033BF">
      <w:pPr>
        <w:ind w:left="345" w:firstLine="0"/>
        <w:rPr>
          <w:sz w:val="22"/>
        </w:rPr>
      </w:pPr>
    </w:p>
    <w:p w14:paraId="48EC3CEA" w14:textId="778D51F1" w:rsidR="00D033BF" w:rsidRPr="00D033BF" w:rsidRDefault="00D033BF" w:rsidP="00D033BF">
      <w:pPr>
        <w:ind w:left="345" w:firstLine="0"/>
        <w:rPr>
          <w:b/>
          <w:bCs/>
          <w:sz w:val="22"/>
        </w:rPr>
      </w:pPr>
      <w:r w:rsidRPr="00D033BF">
        <w:rPr>
          <w:b/>
          <w:bCs/>
          <w:sz w:val="22"/>
        </w:rPr>
        <w:t xml:space="preserve">Cinquième étape 5 : Rapport de rapprochement entre la trésorerie et le grand livre.   </w:t>
      </w:r>
    </w:p>
    <w:p w14:paraId="29E9BEB7" w14:textId="13D6A4C7" w:rsidR="00D033BF" w:rsidRPr="00D033BF" w:rsidRDefault="00D033BF" w:rsidP="00D033BF">
      <w:pPr>
        <w:ind w:left="345" w:firstLine="0"/>
        <w:rPr>
          <w:sz w:val="22"/>
        </w:rPr>
      </w:pPr>
      <w:r w:rsidRPr="00D033BF">
        <w:rPr>
          <w:sz w:val="22"/>
        </w:rPr>
        <w:t xml:space="preserve">Si les étapes de rapprochement sont suivies correctement, il ne devrait pas y avoir de problème pour passer à l'étape 5, qui est le rapport de rapprochement de la trésorerie et du grand livre. Le rapport de rapprochement de la caisse au grand livre compare le solde du compte de caisse du GL au solde du </w:t>
      </w:r>
      <w:r w:rsidRPr="00D033BF">
        <w:rPr>
          <w:sz w:val="22"/>
        </w:rPr>
        <w:lastRenderedPageBreak/>
        <w:t xml:space="preserve">compte bancaire. Il affiche les écritures de journal du compte de caisse du GL non rapprochées et les lignes de relevé bancaire non rapprochées qui permettent d'identifier les divergences entre les soldes. Cette opération est effectuée sur la base </w:t>
      </w:r>
      <w:r>
        <w:rPr>
          <w:sz w:val="22"/>
        </w:rPr>
        <w:t>d’un série</w:t>
      </w:r>
      <w:r w:rsidRPr="00D033BF">
        <w:rPr>
          <w:sz w:val="22"/>
        </w:rPr>
        <w:t xml:space="preserve"> de périodes spécifiée.</w:t>
      </w:r>
    </w:p>
    <w:p w14:paraId="074646EE" w14:textId="77777777" w:rsidR="00D033BF" w:rsidRPr="00D033BF" w:rsidRDefault="00D033BF" w:rsidP="00D033BF">
      <w:pPr>
        <w:ind w:left="345" w:firstLine="0"/>
        <w:rPr>
          <w:sz w:val="22"/>
        </w:rPr>
      </w:pPr>
    </w:p>
    <w:p w14:paraId="2E1BC0C6" w14:textId="555290E9" w:rsidR="00D033BF" w:rsidRPr="00D033BF" w:rsidRDefault="00D033BF" w:rsidP="00D033BF">
      <w:pPr>
        <w:ind w:left="345" w:firstLine="0"/>
        <w:rPr>
          <w:sz w:val="22"/>
        </w:rPr>
      </w:pPr>
      <w:r w:rsidRPr="00D033BF">
        <w:rPr>
          <w:sz w:val="22"/>
        </w:rPr>
        <w:t xml:space="preserve">Le rapport de rapprochement entre la trésorerie et le grand livre général </w:t>
      </w:r>
      <w:r w:rsidR="00483D70">
        <w:rPr>
          <w:sz w:val="22"/>
        </w:rPr>
        <w:t>liste</w:t>
      </w:r>
      <w:r w:rsidRPr="00D033BF">
        <w:rPr>
          <w:sz w:val="22"/>
        </w:rPr>
        <w:t xml:space="preserve"> les transactions du grand livre auxiliaire qui sont comptabilisées dans le grand livre général mais qui ne sont pas rapprochées dans la gestion de trésorerie. </w:t>
      </w:r>
    </w:p>
    <w:p w14:paraId="79BF3B20" w14:textId="77777777" w:rsidR="00D033BF" w:rsidRPr="00D033BF" w:rsidRDefault="00D033BF" w:rsidP="00D033BF">
      <w:pPr>
        <w:ind w:left="345" w:firstLine="0"/>
        <w:rPr>
          <w:sz w:val="22"/>
        </w:rPr>
      </w:pPr>
      <w:r w:rsidRPr="00D033BF">
        <w:rPr>
          <w:sz w:val="22"/>
        </w:rPr>
        <w:t xml:space="preserve"> </w:t>
      </w:r>
    </w:p>
    <w:p w14:paraId="384C3A9A" w14:textId="77777777" w:rsidR="00D033BF" w:rsidRPr="00D033BF" w:rsidRDefault="00D033BF" w:rsidP="00D033BF">
      <w:pPr>
        <w:ind w:left="345" w:firstLine="0"/>
        <w:rPr>
          <w:sz w:val="22"/>
        </w:rPr>
      </w:pPr>
      <w:r w:rsidRPr="00D033BF">
        <w:rPr>
          <w:sz w:val="22"/>
        </w:rPr>
        <w:t xml:space="preserve">Un compte de trésorerie GL unique est attribué à chaque compte bancaire et utilisé pour enregistrer toutes les transactions de trésorerie afin de faciliter ce rapprochement livre-banque. </w:t>
      </w:r>
    </w:p>
    <w:p w14:paraId="5F710913" w14:textId="77777777" w:rsidR="00D033BF" w:rsidRPr="00D033BF" w:rsidRDefault="00D033BF" w:rsidP="00D033BF">
      <w:pPr>
        <w:ind w:left="345" w:firstLine="0"/>
        <w:rPr>
          <w:sz w:val="22"/>
        </w:rPr>
      </w:pPr>
    </w:p>
    <w:p w14:paraId="0E7603A9" w14:textId="6289663C" w:rsidR="00D033BF" w:rsidRDefault="00D033BF" w:rsidP="00D033BF">
      <w:pPr>
        <w:ind w:left="345" w:firstLine="0"/>
        <w:rPr>
          <w:b/>
          <w:bCs/>
          <w:sz w:val="22"/>
        </w:rPr>
      </w:pPr>
      <w:r w:rsidRPr="00D033BF">
        <w:rPr>
          <w:b/>
          <w:bCs/>
          <w:sz w:val="22"/>
        </w:rPr>
        <w:t>Sixième Étape : - Rapport sur les espèces en transit</w:t>
      </w:r>
    </w:p>
    <w:p w14:paraId="4C23F200" w14:textId="77777777" w:rsidR="00D033BF" w:rsidRPr="00D033BF" w:rsidRDefault="00D033BF" w:rsidP="00D033BF">
      <w:pPr>
        <w:ind w:left="345" w:firstLine="0"/>
        <w:rPr>
          <w:b/>
          <w:bCs/>
          <w:sz w:val="22"/>
        </w:rPr>
      </w:pPr>
    </w:p>
    <w:p w14:paraId="1D9AFF7A" w14:textId="60771121" w:rsidR="00D033BF" w:rsidRPr="003D1724" w:rsidRDefault="00D033BF" w:rsidP="00D033BF">
      <w:pPr>
        <w:ind w:left="345" w:firstLine="0"/>
        <w:rPr>
          <w:sz w:val="22"/>
        </w:rPr>
      </w:pPr>
      <w:r w:rsidRPr="00D033BF">
        <w:rPr>
          <w:sz w:val="22"/>
        </w:rPr>
        <w:t>Tous les éléments non rapprochés du côté du système, tels que les chèques, les transferts électroniques, la paie et les dépôts, apparaissent dans le rapport Cash in Transit. Un compte de compensation de trésorerie GL unique est attribué à chaque compte bancaire. Tous les éléments non réconciliés apparaissant dans ce compte de compensation de trésorerie sont temporaires, car ils seront compensés une fois que les transactions auront été reflétées dans les relevés bancaires et réconciliées.</w:t>
      </w:r>
    </w:p>
    <w:p w14:paraId="7E3697B8" w14:textId="77777777" w:rsidR="00362A2C" w:rsidRPr="003D1724" w:rsidRDefault="00CE1689" w:rsidP="00D37CEA">
      <w:pPr>
        <w:spacing w:after="85" w:line="259" w:lineRule="auto"/>
        <w:ind w:left="0" w:firstLine="0"/>
        <w:jc w:val="left"/>
        <w:rPr>
          <w:sz w:val="22"/>
        </w:rPr>
      </w:pPr>
      <w:r>
        <w:rPr>
          <w:sz w:val="22"/>
        </w:rPr>
        <w:t xml:space="preserve"> </w:t>
      </w:r>
    </w:p>
    <w:sectPr w:rsidR="00362A2C" w:rsidRPr="003D1724">
      <w:headerReference w:type="even" r:id="rId12"/>
      <w:headerReference w:type="default" r:id="rId13"/>
      <w:footerReference w:type="even" r:id="rId14"/>
      <w:footerReference w:type="default" r:id="rId15"/>
      <w:headerReference w:type="first" r:id="rId16"/>
      <w:footerReference w:type="first" r:id="rId17"/>
      <w:pgSz w:w="11906" w:h="16838"/>
      <w:pgMar w:top="1440" w:right="841"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FA43" w14:textId="77777777" w:rsidR="00A401FF" w:rsidRDefault="00A401FF" w:rsidP="00506A4B">
      <w:pPr>
        <w:spacing w:after="0" w:line="240" w:lineRule="auto"/>
      </w:pPr>
      <w:r>
        <w:separator/>
      </w:r>
    </w:p>
  </w:endnote>
  <w:endnote w:type="continuationSeparator" w:id="0">
    <w:p w14:paraId="4458869E" w14:textId="77777777" w:rsidR="00A401FF" w:rsidRDefault="00A401FF" w:rsidP="0050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F11E0" w14:textId="77777777" w:rsidR="00942F9B" w:rsidRDefault="00942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F9F2" w14:textId="7213A24B" w:rsidR="00506A4B" w:rsidRPr="003D1724" w:rsidRDefault="003D1724" w:rsidP="00166F7F">
    <w:pPr>
      <w:pStyle w:val="Footer"/>
      <w:ind w:left="0" w:firstLine="0"/>
      <w:rPr>
        <w:sz w:val="22"/>
      </w:rPr>
    </w:pPr>
    <w:r>
      <w:t xml:space="preserve">Page </w:t>
    </w:r>
    <w:r w:rsidRPr="003D1724">
      <w:rPr>
        <w:b/>
        <w:sz w:val="22"/>
      </w:rPr>
      <w:fldChar w:fldCharType="begin"/>
    </w:r>
    <w:r w:rsidRPr="003D1724">
      <w:rPr>
        <w:b/>
        <w:sz w:val="22"/>
      </w:rPr>
      <w:instrText xml:space="preserve"> PAGE  \* Arabic  \* MERGEFORMAT </w:instrText>
    </w:r>
    <w:r w:rsidRPr="003D1724">
      <w:rPr>
        <w:b/>
        <w:sz w:val="22"/>
      </w:rPr>
      <w:fldChar w:fldCharType="separate"/>
    </w:r>
    <w:r w:rsidR="00FD3B22">
      <w:rPr>
        <w:b/>
        <w:noProof/>
        <w:sz w:val="22"/>
      </w:rPr>
      <w:t>1</w:t>
    </w:r>
    <w:r w:rsidRPr="003D1724">
      <w:rPr>
        <w:b/>
        <w:sz w:val="22"/>
      </w:rPr>
      <w:fldChar w:fldCharType="end"/>
    </w:r>
    <w:r>
      <w:t xml:space="preserve"> sur </w:t>
    </w:r>
    <w:r w:rsidRPr="003D1724">
      <w:rPr>
        <w:b/>
        <w:sz w:val="22"/>
      </w:rPr>
      <w:fldChar w:fldCharType="begin"/>
    </w:r>
    <w:r w:rsidRPr="003D1724">
      <w:rPr>
        <w:b/>
        <w:sz w:val="22"/>
      </w:rPr>
      <w:instrText xml:space="preserve"> NUMPAGES  \* Arabic  \* MERGEFORMAT </w:instrText>
    </w:r>
    <w:r w:rsidRPr="003D1724">
      <w:rPr>
        <w:b/>
        <w:sz w:val="22"/>
      </w:rPr>
      <w:fldChar w:fldCharType="separate"/>
    </w:r>
    <w:r w:rsidR="00FD3B22">
      <w:rPr>
        <w:b/>
        <w:noProof/>
        <w:sz w:val="22"/>
      </w:rPr>
      <w:t>2</w:t>
    </w:r>
    <w:r w:rsidRPr="003D1724">
      <w:rPr>
        <w:b/>
        <w:sz w:val="22"/>
      </w:rPr>
      <w:fldChar w:fldCharType="end"/>
    </w:r>
    <w:r>
      <w:ptab w:relativeTo="margin" w:alignment="center" w:leader="none"/>
    </w:r>
    <w:r>
      <w:t>Date d’entrée en vigueur :</w:t>
    </w:r>
    <w:r>
      <w:rPr>
        <w:sz w:val="22"/>
      </w:rPr>
      <w:t xml:space="preserve"> </w:t>
    </w:r>
    <w:r w:rsidR="00A76108" w:rsidRPr="00A76108">
      <w:rPr>
        <w:sz w:val="22"/>
      </w:rPr>
      <w:t>01/01/2012</w:t>
    </w:r>
    <w:r w:rsidR="00A76108" w:rsidRPr="00A76108">
      <w:rPr>
        <w:sz w:val="22"/>
      </w:rPr>
      <w:t xml:space="preserve"> </w:t>
    </w:r>
    <w:r>
      <w:ptab w:relativeTo="margin" w:alignment="right" w:leader="none"/>
    </w:r>
    <w:r>
      <w:rPr>
        <w:sz w:val="22"/>
      </w:rPr>
      <w:t xml:space="preserve">Numéro de version : </w:t>
    </w:r>
    <w:sdt>
      <w:sdtPr>
        <w:rPr>
          <w:sz w:val="22"/>
        </w:rPr>
        <w:alias w:val="POPPRefItemVersion"/>
        <w:tag w:val="UNDP_POPP_REFITEM_VERSION"/>
        <w:id w:val="495304188"/>
        <w:placeholder>
          <w:docPart w:val="DC27E39762C34DE7879BF8675182FBF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D022B437-F050-40B3-A661-6D79A949CE8E}"/>
        <w:text/>
      </w:sdtPr>
      <w:sdtContent>
        <w:r>
          <w:rPr>
            <w:sz w:val="22"/>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E2C6" w14:textId="77777777" w:rsidR="00942F9B" w:rsidRDefault="00942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2C0F4" w14:textId="77777777" w:rsidR="00A401FF" w:rsidRDefault="00A401FF" w:rsidP="00506A4B">
      <w:pPr>
        <w:spacing w:after="0" w:line="240" w:lineRule="auto"/>
      </w:pPr>
      <w:r>
        <w:separator/>
      </w:r>
    </w:p>
  </w:footnote>
  <w:footnote w:type="continuationSeparator" w:id="0">
    <w:p w14:paraId="74C1B441" w14:textId="77777777" w:rsidR="00A401FF" w:rsidRDefault="00A401FF" w:rsidP="00506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1FA47" w14:textId="77777777" w:rsidR="00942F9B" w:rsidRDefault="00942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11E1A" w14:textId="602E6077" w:rsidR="00506A4B" w:rsidRDefault="00506A4B" w:rsidP="00166F7F">
    <w:pPr>
      <w:pStyle w:val="Header"/>
      <w:jc w:val="right"/>
    </w:pPr>
    <w:r>
      <w:rPr>
        <w:noProof/>
        <w:lang w:val="en-US"/>
      </w:rPr>
      <w:drawing>
        <wp:inline distT="0" distB="0" distL="0" distR="0" wp14:anchorId="413AD86A" wp14:editId="2A3FAED1">
          <wp:extent cx="30480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7615"/>
                  <a:stretch/>
                </pic:blipFill>
                <pic:spPr bwMode="auto">
                  <a:xfrm>
                    <a:off x="0" y="0"/>
                    <a:ext cx="304855" cy="579225"/>
                  </a:xfrm>
                  <a:prstGeom prst="rect">
                    <a:avLst/>
                  </a:prstGeom>
                  <a:ln>
                    <a:noFill/>
                  </a:ln>
                  <a:extLst>
                    <a:ext uri="{53640926-AAD7-44D8-BBD7-CCE9431645EC}">
                      <a14:shadowObscured xmlns:a14="http://schemas.microsoft.com/office/drawing/2010/main"/>
                    </a:ext>
                  </a:extLst>
                </pic:spPr>
              </pic:pic>
            </a:graphicData>
          </a:graphic>
        </wp:inline>
      </w:drawing>
    </w:r>
  </w:p>
  <w:p w14:paraId="37B1825A" w14:textId="77777777" w:rsidR="00506A4B" w:rsidRDefault="00506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7EB8A" w14:textId="77777777" w:rsidR="00942F9B" w:rsidRDefault="00942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43013"/>
    <w:multiLevelType w:val="hybridMultilevel"/>
    <w:tmpl w:val="0F14B468"/>
    <w:lvl w:ilvl="0" w:tplc="8814CCEE">
      <w:start w:val="1"/>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4CDB2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5C2F1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AA141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B8D3F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D0557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622C4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0EAD5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C652D4">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E56943"/>
    <w:multiLevelType w:val="hybridMultilevel"/>
    <w:tmpl w:val="00785E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2A2FD6"/>
    <w:multiLevelType w:val="hybridMultilevel"/>
    <w:tmpl w:val="AB52F7F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 w15:restartNumberingAfterBreak="0">
    <w:nsid w:val="621A41A5"/>
    <w:multiLevelType w:val="hybridMultilevel"/>
    <w:tmpl w:val="13BA0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97996129">
    <w:abstractNumId w:val="0"/>
  </w:num>
  <w:num w:numId="2" w16cid:durableId="1533960433">
    <w:abstractNumId w:val="3"/>
  </w:num>
  <w:num w:numId="3" w16cid:durableId="1005329926">
    <w:abstractNumId w:val="1"/>
  </w:num>
  <w:num w:numId="4" w16cid:durableId="1127627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2C"/>
    <w:rsid w:val="000E30F0"/>
    <w:rsid w:val="00166F7F"/>
    <w:rsid w:val="001D0FE2"/>
    <w:rsid w:val="00225168"/>
    <w:rsid w:val="00361E5D"/>
    <w:rsid w:val="00362A2C"/>
    <w:rsid w:val="003D1724"/>
    <w:rsid w:val="00483D70"/>
    <w:rsid w:val="00506A4B"/>
    <w:rsid w:val="00636531"/>
    <w:rsid w:val="00652449"/>
    <w:rsid w:val="006F36EB"/>
    <w:rsid w:val="0083208B"/>
    <w:rsid w:val="008E1685"/>
    <w:rsid w:val="00942F9B"/>
    <w:rsid w:val="00A401FF"/>
    <w:rsid w:val="00A72550"/>
    <w:rsid w:val="00A760B9"/>
    <w:rsid w:val="00A76108"/>
    <w:rsid w:val="00A8541D"/>
    <w:rsid w:val="00AF39DE"/>
    <w:rsid w:val="00CE1689"/>
    <w:rsid w:val="00D033BF"/>
    <w:rsid w:val="00D2581D"/>
    <w:rsid w:val="00D37CEA"/>
    <w:rsid w:val="00D806B6"/>
    <w:rsid w:val="00D84329"/>
    <w:rsid w:val="00EB42DE"/>
    <w:rsid w:val="00FD3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697A8"/>
  <w15:docId w15:val="{7F5ED7EC-0431-4DB5-AAA5-B87D9FCC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3" w:lineRule="auto"/>
      <w:ind w:left="716" w:hanging="370"/>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A4B"/>
    <w:rPr>
      <w:rFonts w:ascii="Calibri" w:eastAsia="Calibri" w:hAnsi="Calibri" w:cs="Calibri"/>
      <w:color w:val="000000"/>
      <w:sz w:val="20"/>
    </w:rPr>
  </w:style>
  <w:style w:type="paragraph" w:styleId="Footer">
    <w:name w:val="footer"/>
    <w:basedOn w:val="Normal"/>
    <w:link w:val="FooterChar"/>
    <w:uiPriority w:val="99"/>
    <w:unhideWhenUsed/>
    <w:rsid w:val="00506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A4B"/>
    <w:rPr>
      <w:rFonts w:ascii="Calibri" w:eastAsia="Calibri" w:hAnsi="Calibri" w:cs="Calibri"/>
      <w:color w:val="000000"/>
      <w:sz w:val="20"/>
    </w:rPr>
  </w:style>
  <w:style w:type="character" w:styleId="PlaceholderText">
    <w:name w:val="Placeholder Text"/>
    <w:basedOn w:val="DefaultParagraphFont"/>
    <w:uiPriority w:val="99"/>
    <w:semiHidden/>
    <w:rsid w:val="00506A4B"/>
    <w:rPr>
      <w:color w:val="808080"/>
    </w:rPr>
  </w:style>
  <w:style w:type="paragraph" w:styleId="ListParagraph">
    <w:name w:val="List Paragraph"/>
    <w:basedOn w:val="Normal"/>
    <w:uiPriority w:val="34"/>
    <w:qFormat/>
    <w:rsid w:val="00166F7F"/>
    <w:pPr>
      <w:ind w:left="720"/>
      <w:contextualSpacing/>
    </w:pPr>
  </w:style>
  <w:style w:type="paragraph" w:styleId="BalloonText">
    <w:name w:val="Balloon Text"/>
    <w:basedOn w:val="Normal"/>
    <w:link w:val="BalloonTextChar"/>
    <w:uiPriority w:val="99"/>
    <w:semiHidden/>
    <w:unhideWhenUsed/>
    <w:rsid w:val="003D1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724"/>
    <w:rPr>
      <w:rFonts w:ascii="Tahoma" w:eastAsia="Calibri" w:hAnsi="Tahoma" w:cs="Tahoma"/>
      <w:color w:val="000000"/>
      <w:sz w:val="16"/>
      <w:szCs w:val="16"/>
    </w:rPr>
  </w:style>
  <w:style w:type="paragraph" w:styleId="Revision">
    <w:name w:val="Revision"/>
    <w:hidden/>
    <w:uiPriority w:val="99"/>
    <w:semiHidden/>
    <w:rsid w:val="00636531"/>
    <w:pPr>
      <w:spacing w:after="0" w:line="240" w:lineRule="auto"/>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27E39762C34DE7879BF8675182FBF3"/>
        <w:category>
          <w:name w:val="General"/>
          <w:gallery w:val="placeholder"/>
        </w:category>
        <w:types>
          <w:type w:val="bbPlcHdr"/>
        </w:types>
        <w:behaviors>
          <w:behavior w:val="content"/>
        </w:behaviors>
        <w:guid w:val="{06E7BCE9-2215-4D27-A2C9-5F6B8A5F47D7}"/>
      </w:docPartPr>
      <w:docPartBody>
        <w:p w:rsidR="00027B3D" w:rsidRDefault="007B0151">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1E6"/>
    <w:rsid w:val="00027B3D"/>
    <w:rsid w:val="00044673"/>
    <w:rsid w:val="000F5BED"/>
    <w:rsid w:val="003F71E6"/>
    <w:rsid w:val="007B0151"/>
    <w:rsid w:val="00857F75"/>
    <w:rsid w:val="00995E42"/>
    <w:rsid w:val="00D80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082E3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01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01/01/2012                                                Version #: 1.0</DLCPolicyLabelClientValue>
    <UNDP_POPP_PLANNED_REVIEWDATE xmlns="8264c5cc-ec60-4b56-8111-ce635d3d139a">2019-05-31T22:00:00+00:00</UNDP_POPP_PLANNED_REVIEWDATE>
    <UNDP_POPP_DOCUMENT_LANGUAGE xmlns="8264c5cc-ec60-4b56-8111-ce635d3d139a">French</UNDP_POPP_DOCUMENT_LANGUAGE>
    <UNDP_POPP_BUSINESSUNITID_HIDDEN xmlns="8264c5cc-ec60-4b56-8111-ce635d3d139a" xsi:nil="true"/>
    <UNDP_POPP_EFFECTIVEDATE xmlns="8264c5cc-ec60-4b56-8111-ce635d3d139a">2011-12-31T23:00:00+00:00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Rapprochement de compte bancaire</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POPP-11-3716</_dlc_DocId>
    <_dlc_DocIdUrl xmlns="8264c5cc-ec60-4b56-8111-ce635d3d139a">
      <Url>https://popp.undp.org/_layouts/15/DocIdRedir.aspx?ID=POPP-11-3716</Url>
      <Description>POPP-11-3716</Description>
    </_dlc_DocIdUrl>
    <DLCPolicyLabelValue xmlns="e560140e-7b2f-4392-90df-e7567e3021a3">Effective Date: 01/01/2012                                                Version #: 1</DLCPolicyLabelValue>
    <UNDP_POPP_REJECT_COMMENTS xmlns="8264c5cc-ec60-4b56-8111-ce635d3d139a" xsi:nil="true"/>
    <POPPIsArchived xmlns="e560140e-7b2f-4392-90df-e7567e3021a3">false</POPPIsArchived>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923F4731-C28C-4B7B-91ED-1C8409171374}">
  <ds:schemaRefs>
    <ds:schemaRef ds:uri="http://schemas.microsoft.com/sharepoint/events"/>
  </ds:schemaRefs>
</ds:datastoreItem>
</file>

<file path=customXml/itemProps2.xml><?xml version="1.0" encoding="utf-8"?>
<ds:datastoreItem xmlns:ds="http://schemas.openxmlformats.org/officeDocument/2006/customXml" ds:itemID="{5CE0ACCF-717C-4007-8670-8AE8F7BE9A6B}">
  <ds:schemaRefs>
    <ds:schemaRef ds:uri="http://schemas.microsoft.com/sharepoint/v3/contenttype/forms"/>
  </ds:schemaRefs>
</ds:datastoreItem>
</file>

<file path=customXml/itemProps3.xml><?xml version="1.0" encoding="utf-8"?>
<ds:datastoreItem xmlns:ds="http://schemas.openxmlformats.org/officeDocument/2006/customXml" ds:itemID="{D022B437-F050-40B3-A661-6D79A949CE8E}">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C2A36D0A-8541-4802-9576-7002F9D26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DB5AFA-1C03-4D61-9BD4-7CCF0EF1150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616</Words>
  <Characters>3517</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4</cp:revision>
  <dcterms:created xsi:type="dcterms:W3CDTF">2023-01-27T08:51:00Z</dcterms:created>
  <dcterms:modified xsi:type="dcterms:W3CDTF">2024-05-28T12:31:00Z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27afa5c4-2122-4cb2-9158-abc593db3836</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