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697A8" w14:textId="77777777" w:rsidR="00362A2C" w:rsidRPr="003D1724" w:rsidRDefault="00CE1689" w:rsidP="00D37CEA">
      <w:pPr>
        <w:spacing w:after="191" w:line="259" w:lineRule="auto"/>
        <w:ind w:left="0" w:firstLine="0"/>
        <w:jc w:val="left"/>
      </w:pPr>
      <w:r>
        <w:rPr>
          <w:b/>
          <w:sz w:val="28"/>
        </w:rPr>
        <w:t xml:space="preserve">Conciliación de cuenta bancaria </w:t>
      </w:r>
      <w:r>
        <w:rPr>
          <w:sz w:val="22"/>
        </w:rPr>
        <w:t xml:space="preserve"> </w:t>
      </w:r>
    </w:p>
    <w:p w14:paraId="7E3697A9" w14:textId="77777777" w:rsidR="00362A2C" w:rsidRPr="003D1724" w:rsidRDefault="00CE1689" w:rsidP="00D37CEA">
      <w:pPr>
        <w:numPr>
          <w:ilvl w:val="0"/>
          <w:numId w:val="1"/>
        </w:numPr>
        <w:ind w:left="360" w:hanging="360"/>
        <w:rPr>
          <w:sz w:val="22"/>
        </w:rPr>
      </w:pPr>
      <w:r>
        <w:rPr>
          <w:sz w:val="22"/>
        </w:rPr>
        <w:t xml:space="preserve">El objetivo de la conciliación de cuenta bancaria es demostrar que las entradas en Atlas son correctas y que están conciliadas con las transacciones registradas por el banco. Cualquier diferencia debe ser analizada e informada.  </w:t>
      </w:r>
    </w:p>
    <w:p w14:paraId="7E3697AA" w14:textId="77777777" w:rsidR="00362A2C" w:rsidRPr="003D1724" w:rsidRDefault="00CE1689" w:rsidP="00D37CEA">
      <w:pPr>
        <w:spacing w:after="82" w:line="259" w:lineRule="auto"/>
        <w:ind w:left="0" w:firstLine="0"/>
        <w:jc w:val="left"/>
        <w:rPr>
          <w:sz w:val="22"/>
        </w:rPr>
      </w:pPr>
      <w:r>
        <w:rPr>
          <w:sz w:val="22"/>
        </w:rPr>
        <w:t xml:space="preserve">  </w:t>
      </w:r>
    </w:p>
    <w:p w14:paraId="7E3697AB" w14:textId="5BB5A515" w:rsidR="00362A2C" w:rsidRPr="003D1724" w:rsidRDefault="000E69AC" w:rsidP="00D37CEA">
      <w:pPr>
        <w:numPr>
          <w:ilvl w:val="0"/>
          <w:numId w:val="1"/>
        </w:numPr>
        <w:ind w:left="360" w:hanging="360"/>
        <w:rPr>
          <w:sz w:val="22"/>
        </w:rPr>
      </w:pPr>
      <w:r>
        <w:rPr>
          <w:sz w:val="22"/>
        </w:rPr>
        <w:t>La comparación de las transacciones en Quantum comprende los siguientes pasos</w:t>
      </w:r>
      <w:r w:rsidR="00CE1689">
        <w:rPr>
          <w:sz w:val="22"/>
        </w:rPr>
        <w:t xml:space="preserve">  </w:t>
      </w:r>
    </w:p>
    <w:p w14:paraId="7E3697AC" w14:textId="77777777" w:rsidR="00362A2C" w:rsidRPr="003D1724" w:rsidRDefault="00CE1689" w:rsidP="00D37CEA">
      <w:pPr>
        <w:spacing w:after="0" w:line="259" w:lineRule="auto"/>
        <w:ind w:left="0" w:firstLine="0"/>
        <w:jc w:val="left"/>
        <w:rPr>
          <w:sz w:val="22"/>
        </w:rPr>
      </w:pPr>
      <w:r>
        <w:rPr>
          <w:sz w:val="22"/>
        </w:rPr>
        <w:t xml:space="preserve"> </w:t>
      </w:r>
    </w:p>
    <w:p w14:paraId="7E3697AD" w14:textId="77777777" w:rsidR="00362A2C" w:rsidRPr="003D1724" w:rsidRDefault="00CE1689" w:rsidP="00D37CEA">
      <w:pPr>
        <w:spacing w:after="0" w:line="259" w:lineRule="auto"/>
        <w:ind w:left="355" w:hanging="10"/>
        <w:jc w:val="left"/>
        <w:rPr>
          <w:sz w:val="22"/>
        </w:rPr>
      </w:pPr>
      <w:r>
        <w:rPr>
          <w:b/>
          <w:sz w:val="22"/>
        </w:rPr>
        <w:t xml:space="preserve">Primer paso: Conciliación  </w:t>
      </w:r>
    </w:p>
    <w:p w14:paraId="7E3697AE" w14:textId="77777777" w:rsidR="00362A2C" w:rsidRPr="003D1724" w:rsidRDefault="00CE1689" w:rsidP="00D37CEA">
      <w:pPr>
        <w:spacing w:after="49" w:line="259" w:lineRule="auto"/>
        <w:ind w:left="0" w:firstLine="0"/>
        <w:jc w:val="left"/>
        <w:rPr>
          <w:sz w:val="22"/>
        </w:rPr>
      </w:pPr>
      <w:r>
        <w:rPr>
          <w:sz w:val="22"/>
        </w:rPr>
        <w:t xml:space="preserve"> </w:t>
      </w:r>
    </w:p>
    <w:p w14:paraId="7E3697AF" w14:textId="77777777" w:rsidR="00362A2C" w:rsidRPr="003D1724" w:rsidRDefault="00CE1689" w:rsidP="00D37CEA">
      <w:pPr>
        <w:numPr>
          <w:ilvl w:val="0"/>
          <w:numId w:val="1"/>
        </w:numPr>
        <w:ind w:left="360" w:hanging="360"/>
        <w:rPr>
          <w:sz w:val="22"/>
        </w:rPr>
      </w:pPr>
      <w:r>
        <w:rPr>
          <w:sz w:val="22"/>
        </w:rPr>
        <w:t xml:space="preserve">La comparación de las transacciones en Atlas con las de los estados de cuenta bancarios se realiza principalmente en 3 espacios:  </w:t>
      </w:r>
    </w:p>
    <w:p w14:paraId="7E3697B0" w14:textId="6AA0550D" w:rsidR="00362A2C" w:rsidRPr="003D1724" w:rsidRDefault="00CE1689" w:rsidP="23AF5629">
      <w:pPr>
        <w:pStyle w:val="ListParagraph"/>
        <w:numPr>
          <w:ilvl w:val="0"/>
          <w:numId w:val="3"/>
        </w:numPr>
        <w:spacing w:after="35"/>
        <w:ind w:left="749"/>
        <w:jc w:val="left"/>
        <w:rPr>
          <w:sz w:val="22"/>
        </w:rPr>
      </w:pPr>
      <w:r w:rsidRPr="23AF5629">
        <w:rPr>
          <w:sz w:val="22"/>
        </w:rPr>
        <w:t xml:space="preserve">La página de </w:t>
      </w:r>
      <w:r w:rsidRPr="23AF5629">
        <w:rPr>
          <w:b/>
          <w:bCs/>
          <w:i/>
          <w:iCs/>
          <w:sz w:val="22"/>
        </w:rPr>
        <w:t>conciliación manual</w:t>
      </w:r>
      <w:r w:rsidRPr="23AF5629">
        <w:rPr>
          <w:sz w:val="22"/>
        </w:rPr>
        <w:t xml:space="preserve">, que registra las transacciones de todos los subsistemas (cuentas por pagar [AP, </w:t>
      </w:r>
      <w:r w:rsidRPr="23AF5629">
        <w:rPr>
          <w:i/>
          <w:iCs/>
          <w:sz w:val="22"/>
        </w:rPr>
        <w:t>Accounts Payable</w:t>
      </w:r>
      <w:r w:rsidRPr="23AF5629">
        <w:rPr>
          <w:sz w:val="22"/>
        </w:rPr>
        <w:t xml:space="preserve">, por sus siglas en inglés], cuentas por cobrar [AR, </w:t>
      </w:r>
      <w:r w:rsidRPr="23AF5629">
        <w:rPr>
          <w:i/>
          <w:iCs/>
          <w:sz w:val="22"/>
        </w:rPr>
        <w:t>Accounts Receivable</w:t>
      </w:r>
      <w:r w:rsidRPr="23AF5629">
        <w:rPr>
          <w:sz w:val="22"/>
        </w:rPr>
        <w:t xml:space="preserve">, por sus siglas en inglés], transferencias bancarias [TR, </w:t>
      </w:r>
      <w:r w:rsidRPr="23AF5629">
        <w:rPr>
          <w:i/>
          <w:iCs/>
          <w:sz w:val="22"/>
        </w:rPr>
        <w:t>Tran</w:t>
      </w:r>
      <w:r w:rsidR="10C1CBA9" w:rsidRPr="23AF5629">
        <w:rPr>
          <w:i/>
          <w:iCs/>
          <w:sz w:val="22"/>
        </w:rPr>
        <w:t>s</w:t>
      </w:r>
      <w:r w:rsidRPr="23AF5629">
        <w:rPr>
          <w:i/>
          <w:iCs/>
          <w:sz w:val="22"/>
        </w:rPr>
        <w:t>fers</w:t>
      </w:r>
      <w:r w:rsidR="73F342FF" w:rsidRPr="23AF5629">
        <w:rPr>
          <w:i/>
          <w:iCs/>
          <w:sz w:val="22"/>
        </w:rPr>
        <w:t>/Deals</w:t>
      </w:r>
      <w:r w:rsidRPr="23AF5629">
        <w:rPr>
          <w:sz w:val="22"/>
        </w:rPr>
        <w:t xml:space="preserve">, por sus siglas en inglés], operaciones y transacciones externas), lo que permite comparar todo en una sola pantalla.  </w:t>
      </w:r>
    </w:p>
    <w:p w14:paraId="7E3697B1" w14:textId="58C136CB" w:rsidR="00362A2C" w:rsidRPr="003D1724" w:rsidRDefault="00CE1689" w:rsidP="00D37CEA">
      <w:pPr>
        <w:pStyle w:val="ListParagraph"/>
        <w:numPr>
          <w:ilvl w:val="0"/>
          <w:numId w:val="3"/>
        </w:numPr>
        <w:spacing w:after="35"/>
        <w:ind w:left="749"/>
        <w:jc w:val="left"/>
        <w:rPr>
          <w:sz w:val="22"/>
        </w:rPr>
      </w:pPr>
      <w:r>
        <w:rPr>
          <w:sz w:val="22"/>
        </w:rPr>
        <w:t xml:space="preserve">La </w:t>
      </w:r>
      <w:r>
        <w:rPr>
          <w:b/>
          <w:i/>
          <w:sz w:val="22"/>
        </w:rPr>
        <w:t>conciliación automática</w:t>
      </w:r>
      <w:r>
        <w:rPr>
          <w:sz w:val="22"/>
        </w:rPr>
        <w:t xml:space="preserve">, </w:t>
      </w:r>
      <w:r w:rsidR="000E69AC">
        <w:rPr>
          <w:sz w:val="22"/>
        </w:rPr>
        <w:t>que es u</w:t>
      </w:r>
      <w:r w:rsidR="000E69AC" w:rsidRPr="000E69AC">
        <w:rPr>
          <w:sz w:val="22"/>
        </w:rPr>
        <w:t>n proceso centralizado que coteja automáticamente las transacciones de Quantum con los extractos bancarios cargados en Quantum a través del centro de pagos del Sistema de Gestión de Tesorería (TMS).</w:t>
      </w:r>
    </w:p>
    <w:p w14:paraId="0AE2B595" w14:textId="77777777" w:rsidR="000E69AC" w:rsidRDefault="000E69AC" w:rsidP="00D37CEA">
      <w:pPr>
        <w:spacing w:after="0" w:line="259" w:lineRule="auto"/>
        <w:ind w:left="355" w:hanging="10"/>
        <w:jc w:val="left"/>
        <w:rPr>
          <w:b/>
          <w:sz w:val="22"/>
        </w:rPr>
      </w:pPr>
    </w:p>
    <w:p w14:paraId="7E3697B3" w14:textId="1299A5FF" w:rsidR="00362A2C" w:rsidRPr="003D1724" w:rsidRDefault="000E69AC" w:rsidP="00D37CEA">
      <w:pPr>
        <w:spacing w:after="0" w:line="259" w:lineRule="auto"/>
        <w:ind w:left="355" w:hanging="10"/>
        <w:jc w:val="left"/>
        <w:rPr>
          <w:b/>
          <w:sz w:val="22"/>
        </w:rPr>
      </w:pPr>
      <w:r w:rsidRPr="000E69AC">
        <w:rPr>
          <w:b/>
          <w:sz w:val="22"/>
        </w:rPr>
        <w:t>Paso 2: Revisar los Resultados de la Conciliación Automática de Extractos Bancarios y Resolver las Excepciones</w:t>
      </w:r>
      <w:r w:rsidR="00CE1689">
        <w:rPr>
          <w:b/>
          <w:sz w:val="22"/>
        </w:rPr>
        <w:t xml:space="preserve">   </w:t>
      </w:r>
    </w:p>
    <w:p w14:paraId="7E3697B4" w14:textId="77777777" w:rsidR="00362A2C" w:rsidRPr="003D1724" w:rsidRDefault="00CE1689" w:rsidP="00D37CEA">
      <w:pPr>
        <w:spacing w:after="54" w:line="259" w:lineRule="auto"/>
        <w:ind w:left="0" w:firstLine="0"/>
        <w:jc w:val="left"/>
        <w:rPr>
          <w:sz w:val="22"/>
        </w:rPr>
      </w:pPr>
      <w:r>
        <w:rPr>
          <w:sz w:val="22"/>
        </w:rPr>
        <w:t xml:space="preserve"> </w:t>
      </w:r>
    </w:p>
    <w:p w14:paraId="739B6E00" w14:textId="77777777" w:rsidR="000E69AC" w:rsidRPr="000E69AC" w:rsidRDefault="00CE1689" w:rsidP="000E69AC">
      <w:pPr>
        <w:ind w:left="346" w:firstLine="0"/>
        <w:rPr>
          <w:sz w:val="22"/>
        </w:rPr>
      </w:pPr>
      <w:r>
        <w:rPr>
          <w:sz w:val="22"/>
        </w:rPr>
        <w:t xml:space="preserve">.   </w:t>
      </w:r>
      <w:r w:rsidR="000E69AC" w:rsidRPr="000E69AC">
        <w:rPr>
          <w:sz w:val="22"/>
        </w:rPr>
        <w:t>Una vez finalizado el proceso de conciliación automática de extractos bancarios, revise los resultados de la conciliación en el área de trabajo Extractos bancarios y conciliación. La región Conciliación de extractos bancarios muestra las líneas conciliadas, no conciliadas y cualquier excepción.</w:t>
      </w:r>
    </w:p>
    <w:p w14:paraId="2CD7EE09" w14:textId="77777777" w:rsidR="000E69AC" w:rsidRPr="000E69AC" w:rsidRDefault="000E69AC" w:rsidP="000E69AC">
      <w:pPr>
        <w:ind w:left="346" w:firstLine="0"/>
        <w:rPr>
          <w:sz w:val="22"/>
        </w:rPr>
      </w:pPr>
    </w:p>
    <w:p w14:paraId="7E3697B5" w14:textId="72D3A8CE" w:rsidR="00362A2C" w:rsidRPr="003D1724" w:rsidRDefault="000E69AC" w:rsidP="000E69AC">
      <w:pPr>
        <w:ind w:left="346" w:firstLine="0"/>
        <w:rPr>
          <w:sz w:val="22"/>
        </w:rPr>
      </w:pPr>
      <w:r w:rsidRPr="000E69AC">
        <w:rPr>
          <w:sz w:val="22"/>
        </w:rPr>
        <w:t>Resuelva las excepciones del proceso de conciliación automática de extractos bancarios conciliándolas manualmente.</w:t>
      </w:r>
    </w:p>
    <w:p w14:paraId="7E3697B6" w14:textId="523A8439" w:rsidR="00362A2C" w:rsidRPr="000E69AC" w:rsidRDefault="00CE1689" w:rsidP="000E69AC">
      <w:pPr>
        <w:spacing w:after="82" w:line="259" w:lineRule="auto"/>
        <w:ind w:left="346" w:firstLine="0"/>
        <w:jc w:val="left"/>
        <w:rPr>
          <w:b/>
          <w:bCs/>
          <w:sz w:val="22"/>
        </w:rPr>
      </w:pPr>
      <w:r w:rsidRPr="000E69AC">
        <w:rPr>
          <w:b/>
          <w:bCs/>
          <w:sz w:val="22"/>
        </w:rPr>
        <w:t xml:space="preserve"> </w:t>
      </w:r>
      <w:r w:rsidR="000E69AC" w:rsidRPr="000E69AC">
        <w:rPr>
          <w:b/>
          <w:bCs/>
          <w:sz w:val="22"/>
        </w:rPr>
        <w:t>Paso 3: Resolver las líneas de extracto no conciliadas</w:t>
      </w:r>
    </w:p>
    <w:p w14:paraId="7C4323A5" w14:textId="77777777" w:rsidR="000E69AC" w:rsidRPr="000E69AC" w:rsidRDefault="00CE1689" w:rsidP="000E69AC">
      <w:pPr>
        <w:spacing w:after="0" w:line="259" w:lineRule="auto"/>
        <w:ind w:left="346" w:firstLine="0"/>
        <w:jc w:val="left"/>
        <w:rPr>
          <w:sz w:val="22"/>
        </w:rPr>
      </w:pPr>
      <w:r>
        <w:rPr>
          <w:sz w:val="22"/>
        </w:rPr>
        <w:t xml:space="preserve">  </w:t>
      </w:r>
      <w:r w:rsidR="000E69AC" w:rsidRPr="000E69AC">
        <w:rPr>
          <w:sz w:val="22"/>
        </w:rPr>
        <w:t>Resuelva cualquier línea de extracto no conciliada conciliando manualmente las líneas de extracto con las transacciones disponibles. Cree transacciones externas para comisiones bancarias e intereses.</w:t>
      </w:r>
    </w:p>
    <w:p w14:paraId="36BB70D8" w14:textId="77777777" w:rsidR="000E69AC" w:rsidRPr="000E69AC" w:rsidRDefault="000E69AC" w:rsidP="000E69AC">
      <w:pPr>
        <w:spacing w:after="0" w:line="259" w:lineRule="auto"/>
        <w:ind w:left="346" w:firstLine="0"/>
        <w:jc w:val="left"/>
        <w:rPr>
          <w:sz w:val="22"/>
        </w:rPr>
      </w:pPr>
    </w:p>
    <w:p w14:paraId="4FE4EAB4" w14:textId="77777777" w:rsidR="000E69AC" w:rsidRPr="000E69AC" w:rsidRDefault="000E69AC" w:rsidP="000E69AC">
      <w:pPr>
        <w:spacing w:after="0" w:line="259" w:lineRule="auto"/>
        <w:ind w:left="346" w:firstLine="0"/>
        <w:jc w:val="left"/>
        <w:rPr>
          <w:b/>
          <w:bCs/>
          <w:sz w:val="22"/>
        </w:rPr>
      </w:pPr>
      <w:r w:rsidRPr="000E69AC">
        <w:rPr>
          <w:b/>
          <w:bCs/>
          <w:sz w:val="22"/>
        </w:rPr>
        <w:t>Paso 4: Crear Contabilidad y Transferir al Libro Mayor</w:t>
      </w:r>
    </w:p>
    <w:p w14:paraId="1C0CEC3C" w14:textId="77777777" w:rsidR="000E69AC" w:rsidRPr="000E69AC" w:rsidRDefault="000E69AC" w:rsidP="000E69AC">
      <w:pPr>
        <w:spacing w:after="0" w:line="259" w:lineRule="auto"/>
        <w:ind w:left="346" w:firstLine="0"/>
        <w:jc w:val="left"/>
        <w:rPr>
          <w:sz w:val="22"/>
        </w:rPr>
      </w:pPr>
      <w:r w:rsidRPr="000E69AC">
        <w:rPr>
          <w:sz w:val="22"/>
        </w:rPr>
        <w:t>Cree asientos para las transacciones externas enviando el proceso Crear Contabilidad. El proceso crea y opcionalmente transfiere y contabiliza los asientos al Libro Mayor. Si no transfiere los asientos al Libro Mayor inmediatamente, puede enviar más tarde el proceso Contabilizar asientos del libro auxiliar.</w:t>
      </w:r>
    </w:p>
    <w:p w14:paraId="36CF8267" w14:textId="77777777" w:rsidR="000E69AC" w:rsidRPr="000E69AC" w:rsidRDefault="000E69AC" w:rsidP="000E69AC">
      <w:pPr>
        <w:spacing w:after="0" w:line="259" w:lineRule="auto"/>
        <w:ind w:left="346" w:firstLine="0"/>
        <w:jc w:val="left"/>
        <w:rPr>
          <w:sz w:val="22"/>
        </w:rPr>
      </w:pPr>
    </w:p>
    <w:p w14:paraId="51CA83A2" w14:textId="77777777" w:rsidR="000E69AC" w:rsidRPr="000E69AC" w:rsidRDefault="000E69AC" w:rsidP="000E69AC">
      <w:pPr>
        <w:spacing w:after="0" w:line="259" w:lineRule="auto"/>
        <w:ind w:left="346" w:firstLine="0"/>
        <w:jc w:val="left"/>
        <w:rPr>
          <w:b/>
          <w:bCs/>
          <w:sz w:val="22"/>
        </w:rPr>
      </w:pPr>
      <w:r w:rsidRPr="000E69AC">
        <w:rPr>
          <w:b/>
          <w:bCs/>
          <w:sz w:val="22"/>
        </w:rPr>
        <w:t xml:space="preserve">Paso 5: Informe de Reconciliación de Caja al Libro Mayor.   </w:t>
      </w:r>
    </w:p>
    <w:p w14:paraId="06FC2213" w14:textId="5EEC2D27" w:rsidR="0047594C" w:rsidRPr="0047594C" w:rsidRDefault="000E69AC" w:rsidP="0047594C">
      <w:pPr>
        <w:spacing w:after="0" w:line="259" w:lineRule="auto"/>
        <w:ind w:left="346" w:firstLine="0"/>
        <w:jc w:val="left"/>
        <w:rPr>
          <w:sz w:val="22"/>
        </w:rPr>
      </w:pPr>
      <w:r w:rsidRPr="000E69AC">
        <w:rPr>
          <w:sz w:val="22"/>
        </w:rPr>
        <w:t>S</w:t>
      </w:r>
      <w:r w:rsidR="0047594C" w:rsidRPr="0047594C">
        <w:t xml:space="preserve"> </w:t>
      </w:r>
      <w:r w:rsidR="0047594C" w:rsidRPr="0047594C">
        <w:rPr>
          <w:sz w:val="22"/>
        </w:rPr>
        <w:t xml:space="preserve">Si los pasos de la reconciliación se siguen correctamente, no debería haber ningún problema para ir al Paso 5, que es el Informe de Reconciliación de Caja a Libro Mayor. El Informe de Conciliación de </w:t>
      </w:r>
      <w:r w:rsidR="0047594C" w:rsidRPr="0047594C">
        <w:rPr>
          <w:sz w:val="22"/>
        </w:rPr>
        <w:lastRenderedPageBreak/>
        <w:t>Caja con el Libro Mayor compara el saldo de la cuenta de caja del Libro Mayor con el saldo de la cuenta bancaria. Muestra los asientos no reconciliados de la cuenta de efectivo del Libro Mayor y las líneas no reconciliadas del extracto bancario que ayudan a identificar las discrepancias entre los saldos. Esto se hace basándose en el rango de periodos especificado.</w:t>
      </w:r>
    </w:p>
    <w:p w14:paraId="11B3D5F9" w14:textId="77777777" w:rsidR="0047594C" w:rsidRPr="0047594C" w:rsidRDefault="0047594C" w:rsidP="0047594C">
      <w:pPr>
        <w:spacing w:after="0" w:line="259" w:lineRule="auto"/>
        <w:ind w:left="346" w:firstLine="0"/>
        <w:jc w:val="left"/>
        <w:rPr>
          <w:sz w:val="22"/>
        </w:rPr>
      </w:pPr>
    </w:p>
    <w:p w14:paraId="3B24653C" w14:textId="77777777" w:rsidR="0047594C" w:rsidRPr="0047594C" w:rsidRDefault="0047594C" w:rsidP="0047594C">
      <w:pPr>
        <w:spacing w:after="0" w:line="259" w:lineRule="auto"/>
        <w:ind w:left="346" w:firstLine="0"/>
        <w:jc w:val="left"/>
        <w:rPr>
          <w:sz w:val="22"/>
        </w:rPr>
      </w:pPr>
      <w:r w:rsidRPr="0047594C">
        <w:rPr>
          <w:sz w:val="22"/>
        </w:rPr>
        <w:t xml:space="preserve">El Informe de Conciliación de Caja con el Libro Mayor enumera las transacciones del libro auxiliar que se contabilizan en el Libro Mayor pero que no se concilian en la Gestión de Caja. </w:t>
      </w:r>
    </w:p>
    <w:p w14:paraId="7E4C75FA" w14:textId="77777777" w:rsidR="0047594C" w:rsidRPr="0047594C" w:rsidRDefault="0047594C" w:rsidP="0047594C">
      <w:pPr>
        <w:spacing w:after="0" w:line="259" w:lineRule="auto"/>
        <w:ind w:left="346" w:firstLine="0"/>
        <w:jc w:val="left"/>
        <w:rPr>
          <w:sz w:val="22"/>
        </w:rPr>
      </w:pPr>
      <w:r w:rsidRPr="0047594C">
        <w:rPr>
          <w:sz w:val="22"/>
        </w:rPr>
        <w:t xml:space="preserve"> </w:t>
      </w:r>
    </w:p>
    <w:p w14:paraId="6128AC00" w14:textId="5656E716" w:rsidR="000E69AC" w:rsidRDefault="0047594C" w:rsidP="0047594C">
      <w:pPr>
        <w:spacing w:after="0" w:line="259" w:lineRule="auto"/>
        <w:ind w:left="346" w:firstLine="0"/>
        <w:jc w:val="left"/>
        <w:rPr>
          <w:sz w:val="22"/>
        </w:rPr>
      </w:pPr>
      <w:r w:rsidRPr="0047594C">
        <w:rPr>
          <w:sz w:val="22"/>
        </w:rPr>
        <w:t>Se asigna una única cuenta de efectivo de mayor para cada cuenta bancaria y se utiliza para registrar todas las transacciones de efectivo para facilitar esta conciliación de libro a banco.</w:t>
      </w:r>
      <w:r w:rsidR="000E69AC" w:rsidRPr="000E69AC">
        <w:rPr>
          <w:sz w:val="22"/>
        </w:rPr>
        <w:t>.</w:t>
      </w:r>
    </w:p>
    <w:p w14:paraId="521E687E" w14:textId="739B8E66" w:rsidR="0047594C" w:rsidRDefault="0047594C" w:rsidP="000E69AC">
      <w:pPr>
        <w:spacing w:after="0" w:line="259" w:lineRule="auto"/>
        <w:ind w:left="346" w:firstLine="0"/>
        <w:jc w:val="left"/>
        <w:rPr>
          <w:sz w:val="22"/>
        </w:rPr>
      </w:pPr>
    </w:p>
    <w:p w14:paraId="2AD05C49" w14:textId="77777777" w:rsidR="0047594C" w:rsidRPr="0047594C" w:rsidRDefault="0047594C" w:rsidP="0047594C">
      <w:pPr>
        <w:spacing w:after="0" w:line="259" w:lineRule="auto"/>
        <w:ind w:left="346" w:firstLine="0"/>
        <w:jc w:val="left"/>
        <w:rPr>
          <w:b/>
          <w:bCs/>
          <w:sz w:val="22"/>
        </w:rPr>
      </w:pPr>
      <w:r w:rsidRPr="0047594C">
        <w:rPr>
          <w:b/>
          <w:bCs/>
          <w:sz w:val="22"/>
        </w:rPr>
        <w:t>Paso 6: - Informe de Efectivo en Tránsito</w:t>
      </w:r>
    </w:p>
    <w:p w14:paraId="31B2DD16" w14:textId="1671378F" w:rsidR="0047594C" w:rsidRPr="000E69AC" w:rsidRDefault="0047594C" w:rsidP="0047594C">
      <w:pPr>
        <w:spacing w:after="0" w:line="259" w:lineRule="auto"/>
        <w:ind w:left="346" w:firstLine="0"/>
        <w:jc w:val="left"/>
        <w:rPr>
          <w:sz w:val="22"/>
        </w:rPr>
      </w:pPr>
      <w:r w:rsidRPr="0047594C">
        <w:rPr>
          <w:sz w:val="22"/>
        </w:rPr>
        <w:t>Todas las partidas no conciliadas del sistema, como cheques, transferencias electrónicas, nóminas y depósitos, aparecerán en el informe de Efectivo en tránsito. A cada cuenta bancaria se le asigna una única cuenta de compensación de tesorería. Todas las partidas no conciliadas que aparecen en esta cuenta de compensación de efectivo son temporales, ya que dichas partidas se compensarán una vez que las transacciones se hayan reflejado en los extractos bancarios y se hayan conciliado.</w:t>
      </w:r>
    </w:p>
    <w:p w14:paraId="705B6725" w14:textId="77777777" w:rsidR="000E69AC" w:rsidRPr="000E69AC" w:rsidRDefault="000E69AC" w:rsidP="000E69AC">
      <w:pPr>
        <w:spacing w:after="0" w:line="259" w:lineRule="auto"/>
        <w:ind w:left="0" w:firstLine="0"/>
        <w:jc w:val="left"/>
        <w:rPr>
          <w:sz w:val="22"/>
        </w:rPr>
      </w:pPr>
    </w:p>
    <w:p w14:paraId="7E3697BA" w14:textId="69D9B020" w:rsidR="00362A2C" w:rsidRDefault="00362A2C" w:rsidP="000E69AC">
      <w:pPr>
        <w:spacing w:after="0" w:line="259" w:lineRule="auto"/>
        <w:ind w:left="0" w:firstLine="0"/>
        <w:jc w:val="left"/>
        <w:rPr>
          <w:sz w:val="22"/>
        </w:rPr>
      </w:pPr>
    </w:p>
    <w:p w14:paraId="4EB5CEB7" w14:textId="77777777" w:rsidR="00D045FF" w:rsidRDefault="00D045FF" w:rsidP="00D37CEA">
      <w:pPr>
        <w:spacing w:after="0" w:line="259" w:lineRule="auto"/>
        <w:ind w:left="0" w:firstLine="0"/>
        <w:jc w:val="left"/>
        <w:rPr>
          <w:sz w:val="22"/>
        </w:rPr>
      </w:pPr>
    </w:p>
    <w:p w14:paraId="6B249F13" w14:textId="77777777" w:rsidR="00D045FF" w:rsidRDefault="00D045FF" w:rsidP="00D045FF">
      <w:pPr>
        <w:pStyle w:val="NormalWeb"/>
        <w:shd w:val="clear" w:color="auto" w:fill="FFFFFF"/>
        <w:spacing w:before="0" w:beforeAutospacing="0" w:after="0" w:afterAutospacing="0"/>
        <w:jc w:val="center"/>
        <w:rPr>
          <w:rFonts w:ascii="Calibri" w:hAnsi="Calibri"/>
          <w:color w:val="000000"/>
        </w:rPr>
      </w:pPr>
      <w:r>
        <w:rPr>
          <w:rFonts w:ascii="Calibri" w:hAnsi="Calibri"/>
          <w:i/>
          <w:iCs/>
          <w:color w:val="000000"/>
          <w:bdr w:val="none" w:sz="0" w:space="0" w:color="auto" w:frame="1"/>
        </w:rPr>
        <w:t>Disclaimer: This document was translated from English into Spanish. In the event of any discrepancy between this translation and the original English document, the original English document shall prevail.</w:t>
      </w:r>
    </w:p>
    <w:p w14:paraId="76F78B65" w14:textId="77777777" w:rsidR="00D045FF" w:rsidRDefault="00D045FF" w:rsidP="00D045FF">
      <w:pPr>
        <w:pStyle w:val="NormalWeb"/>
        <w:shd w:val="clear" w:color="auto" w:fill="FFFFFF"/>
        <w:spacing w:before="0" w:beforeAutospacing="0" w:after="0" w:afterAutospacing="0"/>
        <w:jc w:val="center"/>
        <w:rPr>
          <w:rFonts w:ascii="Calibri" w:hAnsi="Calibri"/>
          <w:color w:val="000000"/>
        </w:rPr>
      </w:pPr>
      <w:r>
        <w:rPr>
          <w:rFonts w:ascii="Calibri" w:hAnsi="Calibri"/>
          <w:i/>
          <w:iCs/>
          <w:color w:val="000000"/>
          <w:bdr w:val="none" w:sz="0" w:space="0" w:color="auto" w:frame="1"/>
        </w:rPr>
        <w:t> </w:t>
      </w:r>
    </w:p>
    <w:p w14:paraId="11AB8653" w14:textId="77777777" w:rsidR="00D045FF" w:rsidRPr="00D045FF" w:rsidRDefault="00D045FF" w:rsidP="00D045FF">
      <w:pPr>
        <w:pStyle w:val="NormalWeb"/>
        <w:shd w:val="clear" w:color="auto" w:fill="FFFFFF"/>
        <w:spacing w:before="0" w:beforeAutospacing="0" w:after="0" w:afterAutospacing="0"/>
        <w:jc w:val="center"/>
        <w:rPr>
          <w:rFonts w:ascii="Calibri" w:hAnsi="Calibri"/>
          <w:color w:val="000000"/>
          <w:lang w:val="es-ES_tradnl"/>
        </w:rPr>
      </w:pPr>
      <w:r>
        <w:rPr>
          <w:rFonts w:ascii="Calibri" w:hAnsi="Calibri"/>
          <w:i/>
          <w:iCs/>
          <w:color w:val="000000"/>
          <w:bdr w:val="none" w:sz="0" w:space="0" w:color="auto" w:frame="1"/>
          <w:shd w:val="clear" w:color="auto" w:fill="FFFFFF"/>
          <w:lang w:val="es-ES_tradnl"/>
        </w:rPr>
        <w:t>Descargo de responsabilidad: esta es una traducción de un documento original en inglés. </w:t>
      </w:r>
      <w:r>
        <w:rPr>
          <w:rFonts w:ascii="Calibri" w:hAnsi="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2FC8205E" w14:textId="77777777" w:rsidR="00D045FF" w:rsidRPr="00D045FF" w:rsidRDefault="00D045FF" w:rsidP="00D37CEA">
      <w:pPr>
        <w:spacing w:after="0" w:line="259" w:lineRule="auto"/>
        <w:ind w:left="0" w:firstLine="0"/>
        <w:jc w:val="left"/>
        <w:rPr>
          <w:sz w:val="22"/>
          <w:lang w:val="es-ES_tradnl"/>
        </w:rPr>
      </w:pPr>
    </w:p>
    <w:sectPr w:rsidR="00D045FF" w:rsidRPr="00D045FF">
      <w:headerReference w:type="even" r:id="rId12"/>
      <w:headerReference w:type="default" r:id="rId13"/>
      <w:footerReference w:type="even" r:id="rId14"/>
      <w:footerReference w:type="default" r:id="rId15"/>
      <w:headerReference w:type="first" r:id="rId16"/>
      <w:footerReference w:type="first" r:id="rId17"/>
      <w:pgSz w:w="11906" w:h="16838"/>
      <w:pgMar w:top="1440" w:right="841"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CC9D9" w14:textId="77777777" w:rsidR="00CC1F88" w:rsidRDefault="00CC1F88" w:rsidP="00506A4B">
      <w:pPr>
        <w:spacing w:after="0" w:line="240" w:lineRule="auto"/>
      </w:pPr>
      <w:r>
        <w:separator/>
      </w:r>
    </w:p>
  </w:endnote>
  <w:endnote w:type="continuationSeparator" w:id="0">
    <w:p w14:paraId="0CCF0114" w14:textId="77777777" w:rsidR="00CC1F88" w:rsidRDefault="00CC1F88" w:rsidP="00506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EAF9E" w14:textId="77777777" w:rsidR="0053575D" w:rsidRDefault="005357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AF9F2" w14:textId="1296949B" w:rsidR="00506A4B" w:rsidRPr="003D1724" w:rsidRDefault="003D1724" w:rsidP="00166F7F">
    <w:pPr>
      <w:pStyle w:val="Footer"/>
      <w:ind w:left="0" w:firstLine="0"/>
      <w:rPr>
        <w:sz w:val="22"/>
      </w:rPr>
    </w:pPr>
    <w:r>
      <w:rPr>
        <w:sz w:val="22"/>
      </w:rPr>
      <w:t>Página</w:t>
    </w:r>
    <w:r>
      <w:t xml:space="preserve"> </w:t>
    </w:r>
    <w:r w:rsidRPr="003D1724">
      <w:rPr>
        <w:b/>
        <w:sz w:val="22"/>
      </w:rPr>
      <w:fldChar w:fldCharType="begin"/>
    </w:r>
    <w:r w:rsidRPr="003D1724">
      <w:rPr>
        <w:b/>
        <w:sz w:val="22"/>
      </w:rPr>
      <w:instrText xml:space="preserve"> PAGE  \* Arabic  \* MERGEFORMAT </w:instrText>
    </w:r>
    <w:r w:rsidRPr="003D1724">
      <w:rPr>
        <w:b/>
        <w:sz w:val="22"/>
      </w:rPr>
      <w:fldChar w:fldCharType="separate"/>
    </w:r>
    <w:r w:rsidR="00D045FF">
      <w:rPr>
        <w:b/>
        <w:noProof/>
        <w:sz w:val="22"/>
      </w:rPr>
      <w:t>1</w:t>
    </w:r>
    <w:r w:rsidRPr="003D1724">
      <w:rPr>
        <w:b/>
        <w:sz w:val="22"/>
      </w:rPr>
      <w:fldChar w:fldCharType="end"/>
    </w:r>
    <w:r>
      <w:t xml:space="preserve"> </w:t>
    </w:r>
    <w:r>
      <w:rPr>
        <w:sz w:val="22"/>
      </w:rPr>
      <w:t>de</w:t>
    </w:r>
    <w:r>
      <w:t xml:space="preserve"> </w:t>
    </w:r>
    <w:r w:rsidRPr="003D1724">
      <w:rPr>
        <w:b/>
        <w:sz w:val="22"/>
      </w:rPr>
      <w:fldChar w:fldCharType="begin"/>
    </w:r>
    <w:r w:rsidRPr="003D1724">
      <w:rPr>
        <w:b/>
        <w:sz w:val="22"/>
      </w:rPr>
      <w:instrText xml:space="preserve"> NUMPAGES  \* Arabic  \* MERGEFORMAT </w:instrText>
    </w:r>
    <w:r w:rsidRPr="003D1724">
      <w:rPr>
        <w:b/>
        <w:sz w:val="22"/>
      </w:rPr>
      <w:fldChar w:fldCharType="separate"/>
    </w:r>
    <w:r w:rsidR="00D045FF">
      <w:rPr>
        <w:b/>
        <w:noProof/>
        <w:sz w:val="22"/>
      </w:rPr>
      <w:t>2</w:t>
    </w:r>
    <w:r w:rsidRPr="003D1724">
      <w:rPr>
        <w:b/>
        <w:sz w:val="22"/>
      </w:rPr>
      <w:fldChar w:fldCharType="end"/>
    </w:r>
    <w:r>
      <w:ptab w:relativeTo="margin" w:alignment="center" w:leader="none"/>
    </w:r>
    <w:r>
      <w:rPr>
        <w:sz w:val="22"/>
      </w:rPr>
      <w:t xml:space="preserve">Fecha de entrada en vigor: </w:t>
    </w:r>
    <w:r w:rsidR="00E82982" w:rsidRPr="00E82982">
      <w:rPr>
        <w:sz w:val="22"/>
      </w:rPr>
      <w:t>01/01/2012</w:t>
    </w:r>
    <w:r w:rsidR="00E82982" w:rsidRPr="00E82982">
      <w:rPr>
        <w:sz w:val="22"/>
      </w:rPr>
      <w:t xml:space="preserve"> </w:t>
    </w:r>
    <w:r>
      <w:ptab w:relativeTo="margin" w:alignment="right" w:leader="none"/>
    </w:r>
    <w:r>
      <w:rPr>
        <w:sz w:val="22"/>
      </w:rPr>
      <w:t xml:space="preserve">Versión #: </w:t>
    </w:r>
    <w:sdt>
      <w:sdtPr>
        <w:rPr>
          <w:sz w:val="22"/>
        </w:rPr>
        <w:alias w:val="POPPRefItemVersion"/>
        <w:tag w:val="UNDP_POPP_REFITEM_VERSION"/>
        <w:id w:val="495304188"/>
        <w:placeholder>
          <w:docPart w:val="DC27E39762C34DE7879BF8675182FBF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D022B437-F050-40B3-A661-6D79A949CE8E}"/>
        <w:text/>
      </w:sdtPr>
      <w:sdtContent>
        <w:r w:rsidR="00E82982">
          <w:rPr>
            <w:sz w:val="22"/>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14A4E" w14:textId="77777777" w:rsidR="0053575D" w:rsidRDefault="00535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F3D70" w14:textId="77777777" w:rsidR="00CC1F88" w:rsidRDefault="00CC1F88" w:rsidP="00506A4B">
      <w:pPr>
        <w:spacing w:after="0" w:line="240" w:lineRule="auto"/>
      </w:pPr>
      <w:r>
        <w:separator/>
      </w:r>
    </w:p>
  </w:footnote>
  <w:footnote w:type="continuationSeparator" w:id="0">
    <w:p w14:paraId="4A5FB800" w14:textId="77777777" w:rsidR="00CC1F88" w:rsidRDefault="00CC1F88" w:rsidP="00506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2EB12" w14:textId="77777777" w:rsidR="0053575D" w:rsidRDefault="00535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11E1A" w14:textId="602E6077" w:rsidR="00506A4B" w:rsidRDefault="23AF5629" w:rsidP="00166F7F">
    <w:pPr>
      <w:pStyle w:val="Header"/>
      <w:jc w:val="right"/>
    </w:pPr>
    <w:r>
      <w:rPr>
        <w:noProof/>
        <w:lang w:val="en-US"/>
      </w:rPr>
      <w:drawing>
        <wp:inline distT="0" distB="0" distL="0" distR="0" wp14:anchorId="413AD86A" wp14:editId="79A62F60">
          <wp:extent cx="293914" cy="592494"/>
          <wp:effectExtent l="0" t="0" r="0" b="0"/>
          <wp:docPr id="1262889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1">
                    <a:extLst>
                      <a:ext uri="{28A0092B-C50C-407E-A947-70E740481C1C}">
                        <a14:useLocalDpi xmlns:a14="http://schemas.microsoft.com/office/drawing/2010/main" val="0"/>
                      </a:ext>
                    </a:extLst>
                  </a:blip>
                  <a:srcRect r="3554" b="15713"/>
                  <a:stretch/>
                </pic:blipFill>
                <pic:spPr bwMode="auto">
                  <a:xfrm>
                    <a:off x="0" y="0"/>
                    <a:ext cx="293967" cy="592601"/>
                  </a:xfrm>
                  <a:prstGeom prst="rect">
                    <a:avLst/>
                  </a:prstGeom>
                  <a:ln>
                    <a:noFill/>
                  </a:ln>
                  <a:extLst>
                    <a:ext uri="{53640926-AAD7-44D8-BBD7-CCE9431645EC}">
                      <a14:shadowObscured xmlns:a14="http://schemas.microsoft.com/office/drawing/2010/main"/>
                    </a:ext>
                  </a:extLst>
                </pic:spPr>
              </pic:pic>
            </a:graphicData>
          </a:graphic>
        </wp:inline>
      </w:drawing>
    </w:r>
  </w:p>
  <w:p w14:paraId="37B1825A" w14:textId="77777777" w:rsidR="00506A4B" w:rsidRDefault="00506A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5EEBF" w14:textId="77777777" w:rsidR="0053575D" w:rsidRDefault="00535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43013"/>
    <w:multiLevelType w:val="hybridMultilevel"/>
    <w:tmpl w:val="0F14B468"/>
    <w:lvl w:ilvl="0" w:tplc="8814CCEE">
      <w:start w:val="1"/>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4CDB2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5C2F1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AA141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B8D3F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D0557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622C4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0EAD5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C652D4">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3E56943"/>
    <w:multiLevelType w:val="hybridMultilevel"/>
    <w:tmpl w:val="00785E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2A2FD6"/>
    <w:multiLevelType w:val="hybridMultilevel"/>
    <w:tmpl w:val="AB52F7F6"/>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 w15:restartNumberingAfterBreak="0">
    <w:nsid w:val="621A41A5"/>
    <w:multiLevelType w:val="hybridMultilevel"/>
    <w:tmpl w:val="13BA0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42045149">
    <w:abstractNumId w:val="0"/>
  </w:num>
  <w:num w:numId="2" w16cid:durableId="47192905">
    <w:abstractNumId w:val="3"/>
  </w:num>
  <w:num w:numId="3" w16cid:durableId="1436245582">
    <w:abstractNumId w:val="1"/>
  </w:num>
  <w:num w:numId="4" w16cid:durableId="1666859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A2C"/>
    <w:rsid w:val="000E69AC"/>
    <w:rsid w:val="001217B2"/>
    <w:rsid w:val="00166F7F"/>
    <w:rsid w:val="00335665"/>
    <w:rsid w:val="00361E5D"/>
    <w:rsid w:val="00362A2C"/>
    <w:rsid w:val="003D1724"/>
    <w:rsid w:val="0047594C"/>
    <w:rsid w:val="00492668"/>
    <w:rsid w:val="00506A4B"/>
    <w:rsid w:val="0053575D"/>
    <w:rsid w:val="0058245F"/>
    <w:rsid w:val="007B0151"/>
    <w:rsid w:val="007E4CB9"/>
    <w:rsid w:val="0083208B"/>
    <w:rsid w:val="00CC1F88"/>
    <w:rsid w:val="00CE1689"/>
    <w:rsid w:val="00D045FF"/>
    <w:rsid w:val="00D37CEA"/>
    <w:rsid w:val="00D806B6"/>
    <w:rsid w:val="00E82982"/>
    <w:rsid w:val="00F75242"/>
    <w:rsid w:val="0C2AC9D0"/>
    <w:rsid w:val="10C1CBA9"/>
    <w:rsid w:val="13E8636A"/>
    <w:rsid w:val="23AF5629"/>
    <w:rsid w:val="28EE965E"/>
    <w:rsid w:val="3252F7EF"/>
    <w:rsid w:val="3D4E87BB"/>
    <w:rsid w:val="3DB31E6D"/>
    <w:rsid w:val="3E74DF5D"/>
    <w:rsid w:val="4A07C902"/>
    <w:rsid w:val="5572F173"/>
    <w:rsid w:val="73F342FF"/>
    <w:rsid w:val="7921C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697A8"/>
  <w15:docId w15:val="{71AD5AAA-1D83-4BBF-82DF-587632CE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3" w:lineRule="auto"/>
      <w:ind w:left="716" w:hanging="370"/>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A4B"/>
    <w:rPr>
      <w:rFonts w:ascii="Calibri" w:eastAsia="Calibri" w:hAnsi="Calibri" w:cs="Calibri"/>
      <w:color w:val="000000"/>
      <w:sz w:val="20"/>
    </w:rPr>
  </w:style>
  <w:style w:type="paragraph" w:styleId="Footer">
    <w:name w:val="footer"/>
    <w:basedOn w:val="Normal"/>
    <w:link w:val="FooterChar"/>
    <w:uiPriority w:val="99"/>
    <w:unhideWhenUsed/>
    <w:rsid w:val="00506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A4B"/>
    <w:rPr>
      <w:rFonts w:ascii="Calibri" w:eastAsia="Calibri" w:hAnsi="Calibri" w:cs="Calibri"/>
      <w:color w:val="000000"/>
      <w:sz w:val="20"/>
    </w:rPr>
  </w:style>
  <w:style w:type="character" w:styleId="PlaceholderText">
    <w:name w:val="Placeholder Text"/>
    <w:basedOn w:val="DefaultParagraphFont"/>
    <w:uiPriority w:val="99"/>
    <w:semiHidden/>
    <w:rsid w:val="00506A4B"/>
    <w:rPr>
      <w:color w:val="808080"/>
    </w:rPr>
  </w:style>
  <w:style w:type="paragraph" w:styleId="ListParagraph">
    <w:name w:val="List Paragraph"/>
    <w:basedOn w:val="Normal"/>
    <w:uiPriority w:val="34"/>
    <w:qFormat/>
    <w:rsid w:val="00166F7F"/>
    <w:pPr>
      <w:ind w:left="720"/>
      <w:contextualSpacing/>
    </w:pPr>
  </w:style>
  <w:style w:type="paragraph" w:styleId="BalloonText">
    <w:name w:val="Balloon Text"/>
    <w:basedOn w:val="Normal"/>
    <w:link w:val="BalloonTextChar"/>
    <w:uiPriority w:val="99"/>
    <w:semiHidden/>
    <w:unhideWhenUsed/>
    <w:rsid w:val="003D1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724"/>
    <w:rPr>
      <w:rFonts w:ascii="Tahoma" w:eastAsia="Calibri" w:hAnsi="Tahoma" w:cs="Tahoma"/>
      <w:color w:val="000000"/>
      <w:sz w:val="16"/>
      <w:szCs w:val="16"/>
    </w:rPr>
  </w:style>
  <w:style w:type="paragraph" w:styleId="NormalWeb">
    <w:name w:val="Normal (Web)"/>
    <w:basedOn w:val="Normal"/>
    <w:uiPriority w:val="99"/>
    <w:semiHidden/>
    <w:unhideWhenUsed/>
    <w:rsid w:val="00D045FF"/>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521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27E39762C34DE7879BF8675182FBF3"/>
        <w:category>
          <w:name w:val="General"/>
          <w:gallery w:val="placeholder"/>
        </w:category>
        <w:types>
          <w:type w:val="bbPlcHdr"/>
        </w:types>
        <w:behaviors>
          <w:behavior w:val="content"/>
        </w:behaviors>
        <w:guid w:val="{06E7BCE9-2215-4D27-A2C9-5F6B8A5F47D7}"/>
      </w:docPartPr>
      <w:docPartBody>
        <w:p w:rsidR="00727FEE" w:rsidRDefault="007B0151">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1E6"/>
    <w:rsid w:val="00277982"/>
    <w:rsid w:val="00315A2E"/>
    <w:rsid w:val="00372730"/>
    <w:rsid w:val="003F71E6"/>
    <w:rsid w:val="004176D4"/>
    <w:rsid w:val="00727FEE"/>
    <w:rsid w:val="007B0151"/>
    <w:rsid w:val="00857F75"/>
    <w:rsid w:val="00D80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082E3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01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01/01/2012                                                Version #: 2.0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2011-12-31T23:00:00+00:00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Conciliación de cuenta bancaria</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POPP-11-3151</_dlc_DocId>
    <_dlc_DocIdUrl xmlns="8264c5cc-ec60-4b56-8111-ce635d3d139a">
      <Url>https://popp.undp.org/_layouts/15/DocIdRedir.aspx?ID=POPP-11-3151</Url>
      <Description>POPP-11-3151</Description>
    </_dlc_DocIdUrl>
    <DLCPolicyLabelValue xmlns="e560140e-7b2f-4392-90df-e7567e3021a3">Effective Date: 01/01/2012                                                Version #: 2</DLCPolicyLabelValue>
    <UNDP_POPP_REJECT_COMMENTS xmlns="8264c5cc-ec60-4b56-8111-ce635d3d139a" xsi:nil="true"/>
    <POPPIsArchived xmlns="e560140e-7b2f-4392-90df-e7567e3021a3">false</POPPIsArchived>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22B437-F050-40B3-A661-6D79A949CE8E}">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78C51B7B-825B-4902-82B5-2EDECD524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B5AFA-1C03-4D61-9BD4-7CCF0EF1150B}">
  <ds:schemaRefs>
    <ds:schemaRef ds:uri="office.server.policy"/>
  </ds:schemaRefs>
</ds:datastoreItem>
</file>

<file path=customXml/itemProps4.xml><?xml version="1.0" encoding="utf-8"?>
<ds:datastoreItem xmlns:ds="http://schemas.openxmlformats.org/officeDocument/2006/customXml" ds:itemID="{923F4731-C28C-4B7B-91ED-1C8409171374}">
  <ds:schemaRefs>
    <ds:schemaRef ds:uri="http://schemas.microsoft.com/sharepoint/events"/>
  </ds:schemaRefs>
</ds:datastoreItem>
</file>

<file path=customXml/itemProps5.xml><?xml version="1.0" encoding="utf-8"?>
<ds:datastoreItem xmlns:ds="http://schemas.openxmlformats.org/officeDocument/2006/customXml" ds:itemID="{5CE0ACCF-717C-4007-8670-8AE8F7BE9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6</cp:revision>
  <dcterms:created xsi:type="dcterms:W3CDTF">2020-02-19T15:54:00Z</dcterms:created>
  <dcterms:modified xsi:type="dcterms:W3CDTF">2024-05-28T12:32:00Z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a9a6d522-3e4d-4b22-95dc-e377e795daf7</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