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2E3C" w14:textId="77777777" w:rsidR="00FF368B" w:rsidRPr="00D060F3" w:rsidRDefault="00FF368B" w:rsidP="0024719C">
      <w:pPr>
        <w:spacing w:after="0" w:line="240" w:lineRule="auto"/>
        <w:jc w:val="both"/>
        <w:rPr>
          <w:rFonts w:cs="Arial"/>
          <w:b/>
          <w:bCs/>
        </w:rPr>
      </w:pPr>
    </w:p>
    <w:p w14:paraId="0AE35DFC" w14:textId="77777777" w:rsidR="00A45CB9" w:rsidRPr="00D060F3" w:rsidRDefault="00A45CB9" w:rsidP="0024719C">
      <w:pPr>
        <w:spacing w:after="0" w:line="240" w:lineRule="auto"/>
        <w:jc w:val="both"/>
        <w:rPr>
          <w:rFonts w:cs="Arial"/>
          <w:b/>
          <w:bCs/>
        </w:rPr>
      </w:pPr>
    </w:p>
    <w:p w14:paraId="46BE0664" w14:textId="6B7AA331" w:rsidR="002F6D3D" w:rsidRPr="00473D86" w:rsidRDefault="00473D86" w:rsidP="00473D86">
      <w:pPr>
        <w:jc w:val="both"/>
        <w:rPr>
          <w:b/>
          <w:sz w:val="28"/>
          <w:szCs w:val="28"/>
        </w:rPr>
      </w:pPr>
      <w:r>
        <w:rPr>
          <w:b/>
          <w:sz w:val="28"/>
          <w:szCs w:val="28"/>
        </w:rPr>
        <w:t xml:space="preserve">Négociations préalables à l’attribution </w:t>
      </w:r>
    </w:p>
    <w:p w14:paraId="576128FB" w14:textId="748D76B8" w:rsidR="007E0CC5" w:rsidRDefault="009E0319" w:rsidP="007E0CC5">
      <w:pPr>
        <w:pStyle w:val="ListParagraph"/>
        <w:numPr>
          <w:ilvl w:val="0"/>
          <w:numId w:val="43"/>
        </w:numPr>
        <w:spacing w:after="0" w:line="240" w:lineRule="auto"/>
        <w:jc w:val="both"/>
      </w:pPr>
      <w:r>
        <w:t xml:space="preserve">La négociation préalable (ci-après appelée « négociation ») est le processus au cours duquel l’Unité opérationnelle discute de certains aspects de la soumission avec le soumissionnaire qui a été recommandé pour l’attribution du contrat, dans le but de comprendre les droits et les obligations des deux parties et de parvenir à un accord mutuellement avantageux. La négociation n’est pas une étape obligatoire d’un processus d’approvisionnement. Elle </w:t>
      </w:r>
      <w:r w:rsidR="00DF2843">
        <w:t xml:space="preserve">ne peut être </w:t>
      </w:r>
      <w:r>
        <w:t xml:space="preserve">entreprise </w:t>
      </w:r>
      <w:r w:rsidR="00DF2843">
        <w:t>qu’à</w:t>
      </w:r>
      <w:r>
        <w:t xml:space="preserve"> titre exceptionnel et </w:t>
      </w:r>
      <w:r w:rsidR="00DF2843">
        <w:t xml:space="preserve">uniquement </w:t>
      </w:r>
      <w:r>
        <w:t>initiée par le PNUD</w:t>
      </w:r>
      <w:r w:rsidR="00FA438A">
        <w:rPr>
          <w:rStyle w:val="FootnoteReference"/>
          <w:lang w:val="en-US"/>
        </w:rPr>
        <w:footnoteReference w:id="1"/>
      </w:r>
      <w:r>
        <w:t xml:space="preserve"> après </w:t>
      </w:r>
      <w:r w:rsidR="00DF2843">
        <w:t>l’</w:t>
      </w:r>
      <w:r>
        <w:t>examen du processus d’approvisionnement par l’Autorité responsable de l’approvisionnement et conformément à la présente politique. Les conditions générales du PNUD pour les biens et les services ne doivent généralement pas être négociées. S’il y a un besoin exceptionnel de le faire, le Bureau juridique au Siège doit être contacté immédiatement par l’Unité opérationnelle avant que des engagements soient pris envers le fournisseur.</w:t>
      </w:r>
    </w:p>
    <w:p w14:paraId="29D46439" w14:textId="77777777" w:rsidR="007E0CC5" w:rsidRPr="007F17BC" w:rsidRDefault="007E0CC5" w:rsidP="007E0CC5">
      <w:pPr>
        <w:pStyle w:val="ListParagraph"/>
        <w:spacing w:after="0" w:line="240" w:lineRule="auto"/>
        <w:ind w:left="360"/>
        <w:jc w:val="both"/>
      </w:pPr>
    </w:p>
    <w:p w14:paraId="54159973" w14:textId="0C70262D" w:rsidR="007E0CC5" w:rsidRPr="007E0CC5" w:rsidRDefault="007E0CC5" w:rsidP="007E0CC5">
      <w:pPr>
        <w:pStyle w:val="ListParagraph"/>
        <w:spacing w:after="0" w:line="240" w:lineRule="auto"/>
        <w:ind w:left="360"/>
        <w:jc w:val="both"/>
        <w:rPr>
          <w:b/>
        </w:rPr>
      </w:pPr>
      <w:r>
        <w:rPr>
          <w:b/>
        </w:rPr>
        <w:t xml:space="preserve">Principes de négociation </w:t>
      </w:r>
    </w:p>
    <w:p w14:paraId="5BACBA33" w14:textId="77777777" w:rsidR="007E0CC5" w:rsidRDefault="007E0CC5" w:rsidP="007E0CC5">
      <w:pPr>
        <w:pStyle w:val="ListParagraph"/>
        <w:spacing w:after="0" w:line="240" w:lineRule="auto"/>
        <w:ind w:left="360"/>
        <w:jc w:val="both"/>
        <w:rPr>
          <w:lang w:val="en-US"/>
        </w:rPr>
      </w:pPr>
    </w:p>
    <w:p w14:paraId="514201EE" w14:textId="3F089346" w:rsidR="009208E7" w:rsidRPr="007E0CC5" w:rsidRDefault="007E0CC5" w:rsidP="007E0CC5">
      <w:pPr>
        <w:pStyle w:val="ListParagraph"/>
        <w:numPr>
          <w:ilvl w:val="0"/>
          <w:numId w:val="43"/>
        </w:numPr>
        <w:spacing w:after="0" w:line="240" w:lineRule="auto"/>
        <w:jc w:val="both"/>
      </w:pPr>
      <w:r>
        <w:t xml:space="preserve">Les négociations peuvent entraîner des changements </w:t>
      </w:r>
      <w:r w:rsidR="00DF2843">
        <w:t xml:space="preserve">en ce qui concerne les </w:t>
      </w:r>
      <w:r>
        <w:t xml:space="preserve">modalités et </w:t>
      </w:r>
      <w:r w:rsidR="00DF2843">
        <w:t xml:space="preserve">les </w:t>
      </w:r>
      <w:r>
        <w:t xml:space="preserve"> exigences précisées dans le document d’invitation à soumissionner et/ou à l’offre présentée par le soumissionnaire recommandé. En tant que telles, il ne faut pas confondre les négociations avec les demandes de </w:t>
      </w:r>
      <w:r w:rsidR="00DF2843">
        <w:t xml:space="preserve">clarifications </w:t>
      </w:r>
      <w:r>
        <w:t xml:space="preserve"> sur les offres qui peuvent être </w:t>
      </w:r>
      <w:r w:rsidR="00DF2843">
        <w:t xml:space="preserve">faites </w:t>
      </w:r>
      <w:r>
        <w:t xml:space="preserve">auprès de l’un ou de l’autre des soumissionnaires </w:t>
      </w:r>
      <w:r w:rsidR="00DF2843">
        <w:t xml:space="preserve">durant </w:t>
      </w:r>
      <w:r>
        <w:t xml:space="preserve">le processus d’évaluation afin de mieux comprendre les offres et/ou de supprimer tout écart non significatif par rapport aux exigences énoncées.  La négociation doit également être distinguée des discussions normales sur la finalisation du contrat administratif avec le soumissionnaire retenu.  </w:t>
      </w:r>
    </w:p>
    <w:p w14:paraId="6C50F5FA" w14:textId="77777777" w:rsidR="009208E7" w:rsidRPr="00331A52" w:rsidRDefault="009208E7" w:rsidP="0024719C">
      <w:pPr>
        <w:pStyle w:val="ListParagraph"/>
        <w:spacing w:after="0" w:line="240" w:lineRule="auto"/>
        <w:ind w:left="360"/>
        <w:jc w:val="both"/>
      </w:pPr>
    </w:p>
    <w:p w14:paraId="78F974F3" w14:textId="2C3E75E0" w:rsidR="00EF362F" w:rsidRPr="00D060F3" w:rsidRDefault="00525CAC" w:rsidP="0024719C">
      <w:pPr>
        <w:pStyle w:val="ListParagraph"/>
        <w:numPr>
          <w:ilvl w:val="6"/>
          <w:numId w:val="1"/>
        </w:numPr>
        <w:spacing w:after="0" w:line="240" w:lineRule="auto"/>
        <w:ind w:left="360"/>
        <w:jc w:val="both"/>
      </w:pPr>
      <w:r>
        <w:t xml:space="preserve">Le PNUD n’engage une négociation </w:t>
      </w:r>
      <w:r w:rsidR="00DF2843">
        <w:rPr>
          <w:u w:val="single"/>
        </w:rPr>
        <w:t xml:space="preserve">uniquement avec </w:t>
      </w:r>
      <w:r>
        <w:t xml:space="preserve">un soumissionnaire qui </w:t>
      </w:r>
      <w:r w:rsidR="00DF2843">
        <w:t xml:space="preserve">soit </w:t>
      </w:r>
      <w:r>
        <w:t>est:</w:t>
      </w:r>
    </w:p>
    <w:p w14:paraId="1508754F" w14:textId="1B23FBC7" w:rsidR="00E605B4" w:rsidRPr="00D060F3" w:rsidRDefault="007F17BC" w:rsidP="0024719C">
      <w:pPr>
        <w:pStyle w:val="ListParagraph"/>
        <w:numPr>
          <w:ilvl w:val="0"/>
          <w:numId w:val="18"/>
        </w:numPr>
        <w:spacing w:after="0" w:line="240" w:lineRule="auto"/>
        <w:jc w:val="both"/>
      </w:pPr>
      <w:r>
        <w:t>U</w:t>
      </w:r>
      <w:r w:rsidR="004354DE">
        <w:t>n soumissionnaire recommandé pour l’attribution d’un contrat en fonction des critères d’évaluation et de la méthode de sélection précisés dans le document d’invitation à soumissionner (soit l’offre recevable la plus basse soit la note combinée la plus élevée lorsqu’on utilise l’analyse cumulative) ; ou</w:t>
      </w:r>
    </w:p>
    <w:p w14:paraId="008901E3" w14:textId="3F42AE5C" w:rsidR="001A624E" w:rsidRDefault="007F17BC" w:rsidP="0024719C">
      <w:pPr>
        <w:pStyle w:val="ListParagraph"/>
        <w:numPr>
          <w:ilvl w:val="0"/>
          <w:numId w:val="18"/>
        </w:numPr>
        <w:spacing w:after="0" w:line="240" w:lineRule="auto"/>
        <w:jc w:val="both"/>
        <w:rPr>
          <w:rFonts w:cstheme="minorHAnsi"/>
        </w:rPr>
      </w:pPr>
      <w:r>
        <w:t>U</w:t>
      </w:r>
      <w:r w:rsidR="00E67641">
        <w:t>n soumissionnaire faisant l’objet d’une passation de marchés par entente directe ou d’un contrat à fournisseur unique, dont l’offre a été évaluée et jugée essentiellement conforme aux exigences.</w:t>
      </w:r>
    </w:p>
    <w:p w14:paraId="231A1F0F" w14:textId="77777777" w:rsidR="00173322" w:rsidRPr="007F17BC" w:rsidRDefault="00173322" w:rsidP="0024719C">
      <w:pPr>
        <w:pStyle w:val="ListParagraph"/>
        <w:spacing w:before="100" w:beforeAutospacing="1" w:after="100" w:afterAutospacing="1" w:line="240" w:lineRule="auto"/>
        <w:jc w:val="both"/>
        <w:rPr>
          <w:rFonts w:cstheme="minorHAnsi"/>
        </w:rPr>
      </w:pPr>
    </w:p>
    <w:p w14:paraId="3C2641C4" w14:textId="733CC9E5" w:rsidR="00173322" w:rsidRPr="00477596" w:rsidRDefault="00AD16CA" w:rsidP="0024719C">
      <w:pPr>
        <w:pStyle w:val="ListParagraph"/>
        <w:numPr>
          <w:ilvl w:val="6"/>
          <w:numId w:val="1"/>
        </w:numPr>
        <w:spacing w:after="0" w:line="240" w:lineRule="auto"/>
        <w:ind w:left="360"/>
        <w:jc w:val="both"/>
        <w:rPr>
          <w:rFonts w:cstheme="minorHAnsi"/>
        </w:rPr>
      </w:pPr>
      <w:r>
        <w:t xml:space="preserve">Les négociations doivent être menées avec le soumissionnaire recommandé, après la fin du processus d’évaluation et avec l’approbation de l’Autorité responsable de l’approvisionnement.  Elle ne doit pas être </w:t>
      </w:r>
      <w:r w:rsidR="00081C54">
        <w:t xml:space="preserve">r </w:t>
      </w:r>
      <w:r>
        <w:t xml:space="preserve">dans le but de modifier le classement des soumissionnaires et elle ne doit pas être entreprise simultanément avec deux (2) soumissionnaires ou plus. </w:t>
      </w:r>
    </w:p>
    <w:p w14:paraId="22B5CDD7" w14:textId="77777777" w:rsidR="00A25A02" w:rsidRPr="00331A52" w:rsidRDefault="00A25A02" w:rsidP="0024719C">
      <w:pPr>
        <w:pStyle w:val="ListParagraph"/>
        <w:spacing w:before="100" w:beforeAutospacing="1" w:after="100" w:afterAutospacing="1" w:line="240" w:lineRule="auto"/>
        <w:ind w:left="360"/>
        <w:jc w:val="both"/>
      </w:pPr>
    </w:p>
    <w:p w14:paraId="13B4FF8D" w14:textId="4DA9E8E8" w:rsidR="0053097E" w:rsidRPr="00E555E5" w:rsidRDefault="00410A6A" w:rsidP="00E555E5">
      <w:pPr>
        <w:pStyle w:val="ListParagraph"/>
        <w:numPr>
          <w:ilvl w:val="6"/>
          <w:numId w:val="1"/>
        </w:numPr>
        <w:spacing w:before="100" w:beforeAutospacing="1" w:after="100" w:afterAutospacing="1" w:line="240" w:lineRule="auto"/>
        <w:ind w:left="360"/>
        <w:jc w:val="both"/>
      </w:pPr>
      <w:r>
        <w:lastRenderedPageBreak/>
        <w:t xml:space="preserve">Les négociations peuvent aboutir à la modification de l’offre recommandée, mais cette modification doit être réalisée et convenue d’une manière entièrement conforme aux principes des marchés publics, et dans le respect des droits et des obligations des deux parties.  </w:t>
      </w:r>
    </w:p>
    <w:p w14:paraId="21BC7EAB" w14:textId="77777777" w:rsidR="0053097E" w:rsidRPr="00D060F3" w:rsidRDefault="0053097E" w:rsidP="0024719C">
      <w:pPr>
        <w:spacing w:after="0" w:line="240" w:lineRule="auto"/>
        <w:jc w:val="both"/>
        <w:rPr>
          <w:rFonts w:cstheme="minorHAnsi"/>
        </w:rPr>
      </w:pPr>
      <w:r>
        <w:rPr>
          <w:b/>
        </w:rPr>
        <w:t>Obtenir l’approbation pour mener les négociations</w:t>
      </w:r>
    </w:p>
    <w:p w14:paraId="575433AC" w14:textId="77777777" w:rsidR="0053097E" w:rsidRPr="00331A52" w:rsidRDefault="0053097E" w:rsidP="0024719C">
      <w:pPr>
        <w:pStyle w:val="ListParagraph"/>
        <w:spacing w:after="0" w:line="240" w:lineRule="auto"/>
        <w:jc w:val="both"/>
        <w:rPr>
          <w:rFonts w:cstheme="minorHAnsi"/>
          <w:b/>
        </w:rPr>
      </w:pPr>
    </w:p>
    <w:p w14:paraId="5179CD01" w14:textId="01B1CB89" w:rsidR="00070D0A" w:rsidRPr="00073125" w:rsidRDefault="005E5111" w:rsidP="0040389A">
      <w:pPr>
        <w:pStyle w:val="ListParagraph"/>
        <w:numPr>
          <w:ilvl w:val="6"/>
          <w:numId w:val="1"/>
        </w:numPr>
        <w:spacing w:after="0" w:line="240" w:lineRule="auto"/>
        <w:ind w:left="360"/>
        <w:jc w:val="both"/>
        <w:rPr>
          <w:rFonts w:cstheme="minorHAnsi"/>
        </w:rPr>
      </w:pPr>
      <w:r>
        <w:t xml:space="preserve">Les négociations sur les actions d’approvisionnement en deçà du seuil du </w:t>
      </w:r>
      <w:r w:rsidR="004A7305">
        <w:t>CAP</w:t>
      </w:r>
      <w:r w:rsidR="00331A52">
        <w:t xml:space="preserve"> </w:t>
      </w:r>
      <w:r>
        <w:t>doivent être entamées après l’autorisation du Chef de l’Unité opérationnelle ou du membre du personnel délégué auprès de l’Autorité responsable de l’approvisionnement.</w:t>
      </w:r>
    </w:p>
    <w:p w14:paraId="558E83EA" w14:textId="77777777" w:rsidR="009F2D2B" w:rsidRPr="00331A52" w:rsidRDefault="009F2D2B" w:rsidP="0040389A">
      <w:pPr>
        <w:pStyle w:val="ListParagraph"/>
        <w:spacing w:after="0" w:line="240" w:lineRule="auto"/>
        <w:ind w:left="360"/>
        <w:jc w:val="both"/>
        <w:rPr>
          <w:rFonts w:cstheme="minorHAnsi"/>
        </w:rPr>
      </w:pPr>
    </w:p>
    <w:p w14:paraId="73982E02" w14:textId="511E2D22" w:rsidR="009F2D2B" w:rsidRDefault="00317F19" w:rsidP="0040389A">
      <w:pPr>
        <w:pStyle w:val="ListParagraph"/>
        <w:numPr>
          <w:ilvl w:val="6"/>
          <w:numId w:val="1"/>
        </w:numPr>
        <w:spacing w:after="0" w:line="240" w:lineRule="auto"/>
        <w:ind w:left="360"/>
        <w:jc w:val="both"/>
        <w:rPr>
          <w:rFonts w:cstheme="minorHAnsi"/>
        </w:rPr>
      </w:pPr>
      <w:r>
        <w:t xml:space="preserve">Les négociations sur les actions d’approvisionnement au-delà du seuil du </w:t>
      </w:r>
      <w:r w:rsidR="004A7305">
        <w:t>CAP</w:t>
      </w:r>
      <w:r>
        <w:t xml:space="preserve"> doivent être entamées après l’autorisation de l’Autorité responsable de l’approvisionnement (Chef de l’Unité opérationnelle ou du RCPO ou du CPO), sur la recommandation du Comité d’examen de l’approvisionnement (CAP, RACP ou ACP). </w:t>
      </w:r>
    </w:p>
    <w:p w14:paraId="57679733" w14:textId="77777777" w:rsidR="009F2D2B" w:rsidRPr="00331A52" w:rsidRDefault="009F2D2B" w:rsidP="0040389A">
      <w:pPr>
        <w:pStyle w:val="ListParagraph"/>
        <w:spacing w:after="0" w:line="240" w:lineRule="auto"/>
        <w:ind w:left="360"/>
        <w:jc w:val="both"/>
        <w:rPr>
          <w:rFonts w:cstheme="minorHAnsi"/>
        </w:rPr>
      </w:pPr>
    </w:p>
    <w:p w14:paraId="7FA94A26" w14:textId="22F2CC12" w:rsidR="0053097E" w:rsidRPr="00073125" w:rsidRDefault="007B4368" w:rsidP="0040389A">
      <w:pPr>
        <w:pStyle w:val="ListParagraph"/>
        <w:numPr>
          <w:ilvl w:val="6"/>
          <w:numId w:val="1"/>
        </w:numPr>
        <w:spacing w:after="0" w:line="240" w:lineRule="auto"/>
        <w:ind w:left="360"/>
        <w:jc w:val="both"/>
        <w:rPr>
          <w:rFonts w:cstheme="minorHAnsi"/>
        </w:rPr>
      </w:pPr>
      <w:r>
        <w:t xml:space="preserve">À l’issue de la négociation, l’Unité opérationnelle est tenue de soumettre le résultat final de la négociation au Comité d’examen de l’approvisionnement ou à l’Autorité responsable de l’approvisionnement si l’action d’approvisionnement tombe en dessous du seuil du taux plafond, avec les informations suivantes : </w:t>
      </w:r>
    </w:p>
    <w:p w14:paraId="74EE2174" w14:textId="77777777" w:rsidR="00861BCA" w:rsidRDefault="0053097E" w:rsidP="00861BCA">
      <w:pPr>
        <w:pStyle w:val="ListParagraph"/>
        <w:numPr>
          <w:ilvl w:val="0"/>
          <w:numId w:val="29"/>
        </w:numPr>
        <w:spacing w:after="0" w:line="240" w:lineRule="auto"/>
        <w:jc w:val="both"/>
        <w:rPr>
          <w:rFonts w:cstheme="minorHAnsi"/>
        </w:rPr>
      </w:pPr>
      <w:r>
        <w:t xml:space="preserve">Les points saillants du processus de négociation ; et </w:t>
      </w:r>
    </w:p>
    <w:p w14:paraId="13723AD1" w14:textId="1E5315FB" w:rsidR="00D600F4" w:rsidRPr="00861BCA" w:rsidRDefault="007F17BC" w:rsidP="00861BCA">
      <w:pPr>
        <w:pStyle w:val="ListParagraph"/>
        <w:numPr>
          <w:ilvl w:val="0"/>
          <w:numId w:val="29"/>
        </w:numPr>
        <w:spacing w:after="0" w:line="240" w:lineRule="auto"/>
        <w:jc w:val="both"/>
        <w:rPr>
          <w:rFonts w:cstheme="minorHAnsi"/>
        </w:rPr>
      </w:pPr>
      <w:r>
        <w:t>L</w:t>
      </w:r>
      <w:r w:rsidR="0053097E">
        <w:t>es points convenus par les deux parties sur chacun des sujets de négociation et dûment étayés par la documentation appropriée, y compris les procès-verbaux des réunions de négociation.</w:t>
      </w:r>
    </w:p>
    <w:p w14:paraId="108AEDD0" w14:textId="1C205E61" w:rsidR="0053097E" w:rsidRPr="001B30C8" w:rsidRDefault="0053097E" w:rsidP="0024719C">
      <w:pPr>
        <w:spacing w:after="0" w:line="240" w:lineRule="auto"/>
        <w:ind w:left="180"/>
        <w:jc w:val="both"/>
        <w:rPr>
          <w:rFonts w:cstheme="minorHAnsi"/>
        </w:rPr>
      </w:pPr>
    </w:p>
    <w:p w14:paraId="3CD1F916" w14:textId="491343BC" w:rsidR="0053097E" w:rsidRPr="00331A52" w:rsidRDefault="00331A52" w:rsidP="00331A52">
      <w:pPr>
        <w:spacing w:after="0" w:line="240" w:lineRule="auto"/>
        <w:jc w:val="both"/>
        <w:rPr>
          <w:rFonts w:cstheme="minorHAnsi"/>
        </w:rPr>
      </w:pPr>
      <w:r>
        <w:t xml:space="preserve">9.  </w:t>
      </w:r>
      <w:r w:rsidR="0053097E">
        <w:t>Un marché qui découle d’un processus de négociation peut être attribué après la recommandation finale du Comité d’examen de l’approvisionnement et l’approbation par l’autorité déléguée.</w:t>
      </w:r>
    </w:p>
    <w:p w14:paraId="006FCD72" w14:textId="365602BB" w:rsidR="00FB21C4" w:rsidRPr="001B30C8" w:rsidRDefault="00FB21C4" w:rsidP="0040389A">
      <w:pPr>
        <w:pStyle w:val="ListParagraph"/>
        <w:spacing w:after="0" w:line="240" w:lineRule="auto"/>
        <w:ind w:left="360"/>
        <w:jc w:val="both"/>
        <w:rPr>
          <w:rFonts w:cstheme="minorHAnsi"/>
        </w:rPr>
      </w:pPr>
    </w:p>
    <w:p w14:paraId="5E4DA77E" w14:textId="77777777" w:rsidR="0053097E" w:rsidRPr="001B30C8" w:rsidRDefault="0053097E" w:rsidP="0024719C">
      <w:pPr>
        <w:spacing w:after="0" w:line="240" w:lineRule="auto"/>
        <w:ind w:left="1080"/>
        <w:jc w:val="both"/>
        <w:rPr>
          <w:rFonts w:cstheme="minorHAnsi"/>
        </w:rPr>
      </w:pPr>
    </w:p>
    <w:p w14:paraId="641F7931" w14:textId="77777777" w:rsidR="00CC2358" w:rsidRPr="00CD1B53" w:rsidRDefault="00EB6965" w:rsidP="0024719C">
      <w:pPr>
        <w:jc w:val="both"/>
        <w:rPr>
          <w:rFonts w:cstheme="minorHAnsi"/>
          <w:b/>
        </w:rPr>
      </w:pPr>
      <w:r>
        <w:rPr>
          <w:b/>
        </w:rPr>
        <w:t>Raisons injustifiables d’entamer des négociations</w:t>
      </w:r>
    </w:p>
    <w:p w14:paraId="267946A3" w14:textId="35EFBEAA" w:rsidR="00035BB1" w:rsidRPr="00331A52" w:rsidRDefault="00331A52" w:rsidP="00331A52">
      <w:pPr>
        <w:spacing w:after="0" w:line="240" w:lineRule="auto"/>
        <w:jc w:val="both"/>
        <w:rPr>
          <w:rFonts w:cstheme="minorHAnsi"/>
        </w:rPr>
      </w:pPr>
      <w:r>
        <w:t xml:space="preserve">10.  </w:t>
      </w:r>
      <w:r w:rsidR="00FE0646">
        <w:t xml:space="preserve">Des négociations ne sont pas </w:t>
      </w:r>
      <w:r w:rsidR="00F97EED">
        <w:t xml:space="preserve">requises </w:t>
      </w:r>
      <w:r w:rsidR="00FE0646">
        <w:t>lorsque tous les aspects de l’offre recommandée répondent aux exigences du PNUD et que le prix final demeure dans les limites du budget de l’activité.</w:t>
      </w:r>
    </w:p>
    <w:p w14:paraId="15979C08" w14:textId="77777777" w:rsidR="00381CDC" w:rsidRPr="00D060F3" w:rsidRDefault="00CC2358" w:rsidP="0024719C">
      <w:pPr>
        <w:tabs>
          <w:tab w:val="left" w:pos="4600"/>
        </w:tabs>
        <w:spacing w:after="0" w:line="240" w:lineRule="auto"/>
        <w:ind w:left="1080"/>
        <w:jc w:val="both"/>
        <w:rPr>
          <w:rFonts w:cstheme="minorHAnsi"/>
        </w:rPr>
      </w:pPr>
      <w:r>
        <w:tab/>
      </w:r>
    </w:p>
    <w:p w14:paraId="744996F3" w14:textId="49725314" w:rsidR="007F31BC" w:rsidRPr="0024719C" w:rsidRDefault="00F129DB" w:rsidP="0024719C">
      <w:pPr>
        <w:spacing w:after="0" w:line="240" w:lineRule="auto"/>
        <w:jc w:val="both"/>
      </w:pPr>
      <w:r>
        <w:t>1</w:t>
      </w:r>
      <w:r w:rsidR="00331A52">
        <w:t>1</w:t>
      </w:r>
      <w:r>
        <w:t>. Les négociations ne doivent pas être menées pour les raisons suivantes :</w:t>
      </w:r>
    </w:p>
    <w:p w14:paraId="4630E362" w14:textId="45CCBEF2" w:rsidR="007F31BC" w:rsidRPr="00D060F3" w:rsidRDefault="007F31BC" w:rsidP="0024719C">
      <w:pPr>
        <w:pStyle w:val="ListParagraph"/>
        <w:numPr>
          <w:ilvl w:val="0"/>
          <w:numId w:val="20"/>
        </w:numPr>
        <w:spacing w:after="0" w:line="240" w:lineRule="auto"/>
        <w:jc w:val="both"/>
        <w:rPr>
          <w:rFonts w:cstheme="minorHAnsi"/>
        </w:rPr>
      </w:pPr>
      <w:r>
        <w:t xml:space="preserve">Créer une occasion pour les soumissionnaires de modifier leurs offres afin d’accorder une préférence indue à un soumissionnaire plutôt qu’à un autre ; ou </w:t>
      </w:r>
    </w:p>
    <w:p w14:paraId="5C901139" w14:textId="4C62872A" w:rsidR="007F31BC" w:rsidRPr="00D060F3" w:rsidRDefault="007F31BC" w:rsidP="0024719C">
      <w:pPr>
        <w:pStyle w:val="ListParagraph"/>
        <w:numPr>
          <w:ilvl w:val="0"/>
          <w:numId w:val="20"/>
        </w:numPr>
        <w:spacing w:after="0" w:line="240" w:lineRule="auto"/>
        <w:jc w:val="both"/>
        <w:rPr>
          <w:rFonts w:cstheme="minorHAnsi"/>
        </w:rPr>
      </w:pPr>
      <w:r>
        <w:t xml:space="preserve">Forcer les soumissionnaires à accepter des travaux supplémentaires ou à fournir des biens supplémentaires qui n’étaient pas inclus à l’origine dans l’annexe des exigences ou les termes de référence ; ou </w:t>
      </w:r>
    </w:p>
    <w:p w14:paraId="1CE1F47C" w14:textId="49FB5CB1" w:rsidR="00385E53" w:rsidRPr="00385E53" w:rsidRDefault="00A57666" w:rsidP="00385E53">
      <w:pPr>
        <w:pStyle w:val="ListParagraph"/>
        <w:numPr>
          <w:ilvl w:val="0"/>
          <w:numId w:val="20"/>
        </w:numPr>
        <w:spacing w:after="0" w:line="240" w:lineRule="auto"/>
        <w:jc w:val="both"/>
        <w:rPr>
          <w:rFonts w:cstheme="minorHAnsi"/>
        </w:rPr>
      </w:pPr>
      <w:r>
        <w:t>Forcer la conformité d’au moins une offre, lorsque toutes les offres reçues sont rejetées ou non conformes (c.-à-d. que toutes les offres ne répondent pas aux exigences techniques).</w:t>
      </w:r>
    </w:p>
    <w:p w14:paraId="7D88EAFC" w14:textId="77777777" w:rsidR="00D84E0B" w:rsidRPr="007F17BC" w:rsidRDefault="00D84E0B" w:rsidP="00E555E5">
      <w:pPr>
        <w:spacing w:after="0" w:line="240" w:lineRule="auto"/>
        <w:jc w:val="both"/>
        <w:rPr>
          <w:rFonts w:cstheme="minorHAnsi"/>
          <w:b/>
        </w:rPr>
      </w:pPr>
    </w:p>
    <w:p w14:paraId="4D6E949B" w14:textId="62889B14" w:rsidR="00381CDC" w:rsidRPr="00D060F3" w:rsidRDefault="00420B8D" w:rsidP="0024719C">
      <w:pPr>
        <w:spacing w:after="0" w:line="240" w:lineRule="auto"/>
        <w:jc w:val="both"/>
        <w:rPr>
          <w:rFonts w:cstheme="minorHAnsi"/>
        </w:rPr>
      </w:pPr>
      <w:r>
        <w:rPr>
          <w:b/>
        </w:rPr>
        <w:t>Types de négociations et stratégies</w:t>
      </w:r>
    </w:p>
    <w:p w14:paraId="2647E4AA" w14:textId="77777777" w:rsidR="00381CDC" w:rsidRPr="001B30C8" w:rsidRDefault="00381CDC" w:rsidP="0024719C">
      <w:pPr>
        <w:spacing w:after="0" w:line="240" w:lineRule="auto"/>
        <w:ind w:left="1800"/>
        <w:jc w:val="both"/>
        <w:rPr>
          <w:rFonts w:cstheme="minorHAnsi"/>
        </w:rPr>
      </w:pPr>
    </w:p>
    <w:p w14:paraId="2F1C05E1" w14:textId="21F878BA" w:rsidR="0000346D" w:rsidRPr="00331A52" w:rsidRDefault="00331A52" w:rsidP="00331A52">
      <w:pPr>
        <w:spacing w:after="0" w:line="240" w:lineRule="auto"/>
        <w:jc w:val="both"/>
        <w:rPr>
          <w:rFonts w:cstheme="minorHAnsi"/>
        </w:rPr>
      </w:pPr>
      <w:r>
        <w:t xml:space="preserve">12. </w:t>
      </w:r>
      <w:r w:rsidR="0000346D">
        <w:t>Selon les circonstances, les négociations peuvent être classées comme étant substantielles ou non substantielles, comme l’indique le tableau ci-dessous :</w:t>
      </w:r>
    </w:p>
    <w:p w14:paraId="611A6473" w14:textId="161BE4F3" w:rsidR="00976310" w:rsidRPr="00331A52" w:rsidRDefault="00976310" w:rsidP="0024719C">
      <w:pPr>
        <w:pStyle w:val="ListParagraph"/>
        <w:spacing w:after="0" w:line="240" w:lineRule="auto"/>
        <w:ind w:left="360"/>
        <w:jc w:val="both"/>
        <w:rPr>
          <w:rFonts w:cstheme="minorHAnsi"/>
        </w:rPr>
      </w:pPr>
    </w:p>
    <w:p w14:paraId="472B0CCD" w14:textId="77777777" w:rsidR="007F17BC" w:rsidRPr="00331A52" w:rsidRDefault="007F17BC" w:rsidP="0024719C">
      <w:pPr>
        <w:pStyle w:val="ListParagraph"/>
        <w:spacing w:after="0" w:line="240" w:lineRule="auto"/>
        <w:ind w:left="360"/>
        <w:jc w:val="both"/>
        <w:rPr>
          <w:rFonts w:cstheme="minorHAnsi"/>
        </w:rPr>
      </w:pPr>
    </w:p>
    <w:tbl>
      <w:tblPr>
        <w:tblStyle w:val="TableGrid"/>
        <w:tblW w:w="0" w:type="auto"/>
        <w:tblInd w:w="360" w:type="dxa"/>
        <w:tblLook w:val="04A0" w:firstRow="1" w:lastRow="0" w:firstColumn="1" w:lastColumn="0" w:noHBand="0" w:noVBand="1"/>
      </w:tblPr>
      <w:tblGrid>
        <w:gridCol w:w="1445"/>
        <w:gridCol w:w="2761"/>
        <w:gridCol w:w="4784"/>
      </w:tblGrid>
      <w:tr w:rsidR="0024719C" w14:paraId="26BD5DC1" w14:textId="77777777" w:rsidTr="00302A17">
        <w:tc>
          <w:tcPr>
            <w:tcW w:w="1345" w:type="dxa"/>
          </w:tcPr>
          <w:p w14:paraId="4C8C7634" w14:textId="77777777" w:rsidR="00976310" w:rsidRPr="00331A52" w:rsidRDefault="00976310" w:rsidP="0024719C">
            <w:pPr>
              <w:pStyle w:val="ListParagraph"/>
              <w:ind w:left="0"/>
              <w:jc w:val="both"/>
              <w:rPr>
                <w:rFonts w:cstheme="minorHAnsi"/>
              </w:rPr>
            </w:pPr>
          </w:p>
        </w:tc>
        <w:tc>
          <w:tcPr>
            <w:tcW w:w="2790" w:type="dxa"/>
          </w:tcPr>
          <w:p w14:paraId="439F8E58" w14:textId="77777777" w:rsidR="00976310" w:rsidRDefault="00976310" w:rsidP="0024719C">
            <w:pPr>
              <w:pStyle w:val="ListParagraph"/>
              <w:ind w:left="0"/>
              <w:jc w:val="both"/>
              <w:rPr>
                <w:rFonts w:cstheme="minorHAnsi"/>
              </w:rPr>
            </w:pPr>
            <w:r>
              <w:t>Description</w:t>
            </w:r>
          </w:p>
        </w:tc>
        <w:tc>
          <w:tcPr>
            <w:tcW w:w="4855" w:type="dxa"/>
          </w:tcPr>
          <w:p w14:paraId="5B249D8F" w14:textId="19F5B7E2" w:rsidR="00976310" w:rsidRDefault="00976310">
            <w:pPr>
              <w:pStyle w:val="ListParagraph"/>
              <w:ind w:left="0"/>
              <w:jc w:val="both"/>
              <w:rPr>
                <w:rFonts w:cstheme="minorHAnsi"/>
              </w:rPr>
            </w:pPr>
            <w:r>
              <w:t xml:space="preserve">Exigences </w:t>
            </w:r>
          </w:p>
        </w:tc>
      </w:tr>
      <w:tr w:rsidR="0024719C" w14:paraId="0495E25F" w14:textId="77777777" w:rsidTr="00302A17">
        <w:tc>
          <w:tcPr>
            <w:tcW w:w="1345" w:type="dxa"/>
          </w:tcPr>
          <w:p w14:paraId="764F0FB6" w14:textId="41E9FF81" w:rsidR="00F97EED" w:rsidRDefault="00976310" w:rsidP="0024719C">
            <w:pPr>
              <w:pStyle w:val="ListParagraph"/>
              <w:ind w:left="0"/>
              <w:jc w:val="both"/>
            </w:pPr>
            <w:r>
              <w:lastRenderedPageBreak/>
              <w:t xml:space="preserve">Négociations </w:t>
            </w:r>
          </w:p>
          <w:p w14:paraId="49C270AE" w14:textId="5469B4EF" w:rsidR="00976310" w:rsidRDefault="00F97EED" w:rsidP="0024719C">
            <w:pPr>
              <w:pStyle w:val="ListParagraph"/>
              <w:ind w:left="0"/>
              <w:jc w:val="both"/>
              <w:rPr>
                <w:rFonts w:cstheme="minorHAnsi"/>
              </w:rPr>
            </w:pPr>
            <w:r>
              <w:t>substantielles</w:t>
            </w:r>
          </w:p>
        </w:tc>
        <w:tc>
          <w:tcPr>
            <w:tcW w:w="2790" w:type="dxa"/>
          </w:tcPr>
          <w:p w14:paraId="4369AC8F" w14:textId="00D777F3" w:rsidR="00976310" w:rsidRPr="00026927" w:rsidRDefault="00976310" w:rsidP="00D45214">
            <w:pPr>
              <w:pStyle w:val="ListParagraph"/>
              <w:ind w:left="0"/>
              <w:jc w:val="both"/>
              <w:rPr>
                <w:rFonts w:cstheme="minorHAnsi"/>
              </w:rPr>
            </w:pPr>
            <w:r>
              <w:t>Ces négociations devraient être exceptionnelles et pleinement justifiables, car elles peuvent avoir une incidence significative sur la portée des exigences, des conditions et/ou du prix au-delà du droit du PNUD de faire varier la quantité jusqu’à 25 %. En principe, lorsque la portée est considérablement modifiée et que la valeur dépasse 25 %, un nouveau processus concurrentiel devrait être envisagé.</w:t>
            </w:r>
          </w:p>
        </w:tc>
        <w:tc>
          <w:tcPr>
            <w:tcW w:w="4855" w:type="dxa"/>
          </w:tcPr>
          <w:p w14:paraId="480DD2A0" w14:textId="48FBDE84" w:rsidR="00F743FE" w:rsidRDefault="00420B8D" w:rsidP="0024719C">
            <w:pPr>
              <w:pStyle w:val="ListParagraph"/>
              <w:ind w:left="0"/>
              <w:jc w:val="both"/>
            </w:pPr>
            <w:r>
              <w:t xml:space="preserve">1. </w:t>
            </w:r>
            <w:r w:rsidR="00F97EED">
              <w:t>La soumission du dossier d’achat</w:t>
            </w:r>
            <w:r>
              <w:t xml:space="preserve"> au Comité d’examen de l’approvisionnement ou à l’Autorité responsable de l’approvisionnement (si elle est inférieure au seuil du taux plafond) doit inclure la stratégie de négociation à l’aide du modèle joint à la présente politique. La stratégie doit prévoir ce qui suit :</w:t>
            </w:r>
          </w:p>
          <w:p w14:paraId="626A5CD1" w14:textId="77777777" w:rsidR="00F97EED" w:rsidRPr="00026927" w:rsidRDefault="00F97EED" w:rsidP="0024719C">
            <w:pPr>
              <w:pStyle w:val="ListParagraph"/>
              <w:ind w:left="0"/>
              <w:jc w:val="both"/>
              <w:rPr>
                <w:rFonts w:cstheme="minorHAnsi"/>
              </w:rPr>
            </w:pPr>
          </w:p>
          <w:p w14:paraId="5CC6F02C" w14:textId="352D3EFF" w:rsidR="00DC684F" w:rsidRPr="00026927" w:rsidRDefault="007F17BC" w:rsidP="00DC684F">
            <w:pPr>
              <w:pStyle w:val="ListParagraph"/>
              <w:numPr>
                <w:ilvl w:val="0"/>
                <w:numId w:val="35"/>
              </w:numPr>
              <w:jc w:val="both"/>
              <w:rPr>
                <w:rFonts w:cstheme="minorHAnsi"/>
              </w:rPr>
            </w:pPr>
            <w:r>
              <w:t>L</w:t>
            </w:r>
            <w:r w:rsidR="00F743FE">
              <w:t>a justification du lancement de la négociation, qui devrait faire référence à une situation qui n’était pas prévisible aux premières étapes du processus d’appel d’offres. La justification devrait également expliquer pourquoi un nouveau processus de mise en concurrence n’ajouterait pas de valeur ou n’aurait pas de sens dans la situation actuelle, et la façon dont la négociation prévue n’influerait pas sur le résultat du processus concurrentiel mené en ce qui concerne l’offre recommandée qui représente le meilleur rapport qualité-prix.</w:t>
            </w:r>
          </w:p>
          <w:p w14:paraId="625B4ED3" w14:textId="7C7D8E2A" w:rsidR="00F743FE" w:rsidRPr="00026927" w:rsidRDefault="007F17BC" w:rsidP="00133116">
            <w:pPr>
              <w:pStyle w:val="ListParagraph"/>
              <w:numPr>
                <w:ilvl w:val="0"/>
                <w:numId w:val="35"/>
              </w:numPr>
              <w:jc w:val="both"/>
              <w:rPr>
                <w:rFonts w:cstheme="minorHAnsi"/>
              </w:rPr>
            </w:pPr>
            <w:r>
              <w:t>L</w:t>
            </w:r>
            <w:r w:rsidR="00133116">
              <w:t xml:space="preserve">es objectifs de la négociation, </w:t>
            </w:r>
          </w:p>
          <w:p w14:paraId="63EBE6B1" w14:textId="3FB6E5FE" w:rsidR="00F743FE" w:rsidRPr="00026927" w:rsidRDefault="007F17BC" w:rsidP="00420B8D">
            <w:pPr>
              <w:pStyle w:val="ListParagraph"/>
              <w:numPr>
                <w:ilvl w:val="0"/>
                <w:numId w:val="35"/>
              </w:numPr>
              <w:jc w:val="both"/>
              <w:rPr>
                <w:rFonts w:cstheme="minorHAnsi"/>
              </w:rPr>
            </w:pPr>
            <w:r>
              <w:t>U</w:t>
            </w:r>
            <w:r w:rsidR="00F743FE">
              <w:t xml:space="preserve">ne liste exhaustive des sujets de négociation, </w:t>
            </w:r>
          </w:p>
          <w:p w14:paraId="6BFDFFAC" w14:textId="5D98ABF3" w:rsidR="00F743FE" w:rsidRPr="00026927" w:rsidRDefault="007F17BC" w:rsidP="00420B8D">
            <w:pPr>
              <w:pStyle w:val="ListParagraph"/>
              <w:numPr>
                <w:ilvl w:val="0"/>
                <w:numId w:val="35"/>
              </w:numPr>
              <w:jc w:val="both"/>
              <w:rPr>
                <w:rFonts w:cstheme="minorHAnsi"/>
              </w:rPr>
            </w:pPr>
            <w:r>
              <w:t>L</w:t>
            </w:r>
            <w:r w:rsidR="00F743FE">
              <w:t>es résultats attendus et les options de la négociation,</w:t>
            </w:r>
          </w:p>
          <w:p w14:paraId="0A464E7E" w14:textId="780CB483" w:rsidR="00F743FE" w:rsidRPr="00026927" w:rsidRDefault="007F17BC" w:rsidP="00420B8D">
            <w:pPr>
              <w:pStyle w:val="ListParagraph"/>
              <w:numPr>
                <w:ilvl w:val="0"/>
                <w:numId w:val="35"/>
              </w:numPr>
              <w:jc w:val="both"/>
              <w:rPr>
                <w:rFonts w:cstheme="minorHAnsi"/>
              </w:rPr>
            </w:pPr>
            <w:r>
              <w:t>L</w:t>
            </w:r>
            <w:r w:rsidR="00F743FE">
              <w:t>es participants à la négociation, en indiquant leurs rôles pendant la négociation.</w:t>
            </w:r>
          </w:p>
          <w:p w14:paraId="267C7C3B" w14:textId="77777777" w:rsidR="003A0A45" w:rsidRPr="001B30C8" w:rsidRDefault="003A0A45" w:rsidP="0024719C">
            <w:pPr>
              <w:pStyle w:val="ListParagraph"/>
              <w:ind w:left="360"/>
              <w:jc w:val="both"/>
              <w:rPr>
                <w:rFonts w:cstheme="minorHAnsi"/>
              </w:rPr>
            </w:pPr>
          </w:p>
          <w:p w14:paraId="4F9C51C0" w14:textId="019441F4" w:rsidR="007C30EC" w:rsidRPr="00026927" w:rsidRDefault="00DB7E23" w:rsidP="0024719C">
            <w:pPr>
              <w:pStyle w:val="ListParagraph"/>
              <w:ind w:left="0"/>
              <w:jc w:val="both"/>
              <w:rPr>
                <w:rFonts w:cstheme="minorHAnsi"/>
              </w:rPr>
            </w:pPr>
            <w:r>
              <w:t>2. Le Comité d’examen de l’approvisionnement ou l’Autorité responsable de l’approvisionnement, s’il est inférieur au seuil du taux plafond, après avoir autorisé le processus d’approvisionnement, approuvé le résultat de l’évaluation et étant satisfait de la stratégie de négociation, recommande une approbation</w:t>
            </w:r>
            <w:r w:rsidR="00F97EED">
              <w:t xml:space="preserve"> </w:t>
            </w:r>
            <w:r>
              <w:t>de principe de procéder à des négociations.</w:t>
            </w:r>
          </w:p>
          <w:p w14:paraId="3F1236C3" w14:textId="77777777" w:rsidR="003A0A45" w:rsidRPr="001B30C8" w:rsidRDefault="003A0A45" w:rsidP="0024719C">
            <w:pPr>
              <w:pStyle w:val="ListParagraph"/>
              <w:ind w:left="0"/>
              <w:jc w:val="both"/>
              <w:rPr>
                <w:rFonts w:cstheme="minorHAnsi"/>
              </w:rPr>
            </w:pPr>
          </w:p>
          <w:p w14:paraId="78DD350E" w14:textId="2FB2D282" w:rsidR="00DB7E23" w:rsidRPr="00026927" w:rsidRDefault="007C30EC" w:rsidP="001732FD">
            <w:pPr>
              <w:pStyle w:val="ListParagraph"/>
              <w:ind w:left="0"/>
              <w:jc w:val="both"/>
              <w:rPr>
                <w:rFonts w:cstheme="minorHAnsi"/>
              </w:rPr>
            </w:pPr>
            <w:r>
              <w:t xml:space="preserve">3. Une fois les négociations terminées, l’Unité opérationnelle doit soumettre le résultat final de la négociation au Comité d’examen de l’approvisionnement ou à l’Autorité responsable de l’approvisionnement pour approbation finale avant la délivrance du contrat conformément à la clause 7 ci-dessus.  </w:t>
            </w:r>
          </w:p>
          <w:p w14:paraId="5111DD2B" w14:textId="77777777" w:rsidR="002E1620" w:rsidRPr="001B30C8" w:rsidRDefault="002E1620" w:rsidP="001732FD">
            <w:pPr>
              <w:pStyle w:val="ListParagraph"/>
              <w:ind w:left="0"/>
              <w:jc w:val="both"/>
              <w:rPr>
                <w:rFonts w:cstheme="minorHAnsi"/>
              </w:rPr>
            </w:pPr>
          </w:p>
          <w:p w14:paraId="72C82DE7" w14:textId="71B99202" w:rsidR="00223A88" w:rsidRPr="00026927" w:rsidRDefault="00073125" w:rsidP="0040389A">
            <w:pPr>
              <w:rPr>
                <w:rFonts w:eastAsiaTheme="minorHAnsi" w:cstheme="minorHAnsi"/>
                <w:b/>
              </w:rPr>
            </w:pPr>
            <w:r>
              <w:rPr>
                <w:b/>
              </w:rPr>
              <w:t>REMARQUE :</w:t>
            </w:r>
            <w:r>
              <w:t xml:space="preserve"> L’examen du processus sur ACP en ligne (s’il y a lieu) avant et après la négociation se fera au moyen de la même présentation, c.-à-d. </w:t>
            </w:r>
            <w:r>
              <w:rPr>
                <w:b/>
              </w:rPr>
              <w:t xml:space="preserve">qu’il n’est pas nécessaire de soumettre une </w:t>
            </w:r>
            <w:r>
              <w:rPr>
                <w:b/>
              </w:rPr>
              <w:lastRenderedPageBreak/>
              <w:t>présentation distincte sur ACP en ligne pour le résultat de la négociation.</w:t>
            </w:r>
          </w:p>
        </w:tc>
      </w:tr>
      <w:tr w:rsidR="0024719C" w14:paraId="1F9A05E8" w14:textId="77777777" w:rsidTr="00302A17">
        <w:tc>
          <w:tcPr>
            <w:tcW w:w="1345" w:type="dxa"/>
          </w:tcPr>
          <w:p w14:paraId="051A0426" w14:textId="7A4286C9" w:rsidR="00976310" w:rsidRDefault="00F743FE" w:rsidP="0024719C">
            <w:pPr>
              <w:pStyle w:val="ListParagraph"/>
              <w:ind w:left="0"/>
              <w:jc w:val="both"/>
              <w:rPr>
                <w:rFonts w:cstheme="minorHAnsi"/>
              </w:rPr>
            </w:pPr>
            <w:r>
              <w:lastRenderedPageBreak/>
              <w:t>Négociations non</w:t>
            </w:r>
            <w:r w:rsidR="00F97EED">
              <w:t xml:space="preserve"> - substantielles</w:t>
            </w:r>
            <w:r>
              <w:t xml:space="preserve"> </w:t>
            </w:r>
          </w:p>
        </w:tc>
        <w:tc>
          <w:tcPr>
            <w:tcW w:w="2790" w:type="dxa"/>
          </w:tcPr>
          <w:p w14:paraId="521DCAAB" w14:textId="77777777" w:rsidR="00976310" w:rsidRDefault="00F743FE" w:rsidP="0024719C">
            <w:pPr>
              <w:pStyle w:val="ListParagraph"/>
              <w:ind w:left="0"/>
              <w:jc w:val="both"/>
              <w:rPr>
                <w:rFonts w:cstheme="minorHAnsi"/>
              </w:rPr>
            </w:pPr>
            <w:r>
              <w:t xml:space="preserve">Il s’agit de négociations qui n’ont pas d’incidence significative sur la portée des exigences et des conditions, qui entraînent une révision des prix et qui sont en droit de modifier la quantité de 25 %. </w:t>
            </w:r>
          </w:p>
        </w:tc>
        <w:tc>
          <w:tcPr>
            <w:tcW w:w="4855" w:type="dxa"/>
          </w:tcPr>
          <w:p w14:paraId="5BF4EA0C" w14:textId="6539D640" w:rsidR="00976310" w:rsidRDefault="00F743FE" w:rsidP="008C0E70">
            <w:pPr>
              <w:pStyle w:val="ListParagraph"/>
              <w:numPr>
                <w:ilvl w:val="3"/>
                <w:numId w:val="20"/>
              </w:numPr>
              <w:ind w:left="360"/>
              <w:jc w:val="both"/>
              <w:rPr>
                <w:rFonts w:cstheme="minorHAnsi"/>
              </w:rPr>
            </w:pPr>
            <w:r>
              <w:t xml:space="preserve">La stratégie de négociation n’est pas requise ; seuls les points à négocier doivent être identifiés dans le rapport d’évaluation et mis en évidence dans la présentation </w:t>
            </w:r>
            <w:r w:rsidR="00F97EED">
              <w:t xml:space="preserve">du dossier d’achat </w:t>
            </w:r>
            <w:r>
              <w:t xml:space="preserve">au Comité d’examen de l’approvisionnement ou à l’Autorité responsable de l’approvisionnement (si inférieur au seuil du taux plafond), avant les négociations. </w:t>
            </w:r>
          </w:p>
          <w:p w14:paraId="35B9A278" w14:textId="66EF3FEA" w:rsidR="000B3BF0" w:rsidRDefault="00DB7E23" w:rsidP="008C0E70">
            <w:pPr>
              <w:pStyle w:val="ListParagraph"/>
              <w:numPr>
                <w:ilvl w:val="3"/>
                <w:numId w:val="20"/>
              </w:numPr>
              <w:ind w:left="360"/>
              <w:jc w:val="both"/>
              <w:rPr>
                <w:rFonts w:cstheme="minorHAnsi"/>
              </w:rPr>
            </w:pPr>
            <w:r>
              <w:t>Le Comité d’examen de l’approvisionnement ou l’Autorité responsable de l’approvisionnement, après avoir autorisé le processus d’approvisionnement et approuvé le résultat de l’évaluation, recommandera l’approbation de l’attribution du marché après les négociations.</w:t>
            </w:r>
          </w:p>
          <w:p w14:paraId="2D9A9D87" w14:textId="0373F15E" w:rsidR="00D971E9" w:rsidRPr="000B3BF0" w:rsidRDefault="00D971E9" w:rsidP="008C0E70">
            <w:pPr>
              <w:pStyle w:val="ListParagraph"/>
              <w:numPr>
                <w:ilvl w:val="3"/>
                <w:numId w:val="20"/>
              </w:numPr>
              <w:ind w:left="360"/>
              <w:jc w:val="both"/>
              <w:rPr>
                <w:rFonts w:cstheme="minorHAnsi"/>
              </w:rPr>
            </w:pPr>
            <w:r>
              <w:t xml:space="preserve">Il n’est </w:t>
            </w:r>
            <w:r>
              <w:rPr>
                <w:b/>
              </w:rPr>
              <w:t>pas</w:t>
            </w:r>
            <w:r>
              <w:t xml:space="preserve"> nécessaire que le Comité d’examen de l’approvisionnement ou l’Autorité responsable de l’approvisionnement donne une autorisation supplémentaire.</w:t>
            </w:r>
          </w:p>
        </w:tc>
      </w:tr>
    </w:tbl>
    <w:p w14:paraId="72E16228" w14:textId="77777777" w:rsidR="00976310" w:rsidRPr="00331A52" w:rsidRDefault="00976310" w:rsidP="0024719C">
      <w:pPr>
        <w:pStyle w:val="ListParagraph"/>
        <w:spacing w:after="0" w:line="240" w:lineRule="auto"/>
        <w:ind w:left="360"/>
        <w:jc w:val="both"/>
        <w:rPr>
          <w:rFonts w:cstheme="minorHAnsi"/>
        </w:rPr>
      </w:pPr>
    </w:p>
    <w:p w14:paraId="756A2033" w14:textId="405FCD62" w:rsidR="002C419E" w:rsidRPr="00331A52" w:rsidRDefault="00331A52" w:rsidP="00331A52">
      <w:pPr>
        <w:spacing w:after="0" w:line="240" w:lineRule="auto"/>
        <w:jc w:val="both"/>
        <w:rPr>
          <w:rFonts w:cstheme="minorHAnsi"/>
        </w:rPr>
      </w:pPr>
      <w:r>
        <w:t xml:space="preserve">13. </w:t>
      </w:r>
      <w:r w:rsidR="00247750">
        <w:t>En observant les principes d’approvisionnement et en respectant les droits et obligations du PNUD et du soumissionnaire, voici quelques exemples de points pouvant faire l’objet de négociations avec le soumissionnaire recommandé, au besoin. L’Unité opérationnelle requérante doit déterminer si les points à négocier sont substantiels ou non substantiels en foncti</w:t>
      </w:r>
      <w:r w:rsidR="007F17BC">
        <w:t>on des critères de la clause 11</w:t>
      </w:r>
      <w:r w:rsidR="007F17BC">
        <w:br/>
      </w:r>
      <w:r w:rsidR="00247750">
        <w:t>ci-dessus :</w:t>
      </w:r>
    </w:p>
    <w:p w14:paraId="273517D5" w14:textId="77777777" w:rsidR="00E60B82" w:rsidRPr="007F17BC" w:rsidRDefault="00E60B82" w:rsidP="0024719C">
      <w:pPr>
        <w:spacing w:after="0" w:line="240" w:lineRule="auto"/>
        <w:ind w:left="720"/>
        <w:jc w:val="both"/>
        <w:rPr>
          <w:rFonts w:cstheme="minorHAnsi"/>
        </w:rPr>
      </w:pPr>
    </w:p>
    <w:tbl>
      <w:tblPr>
        <w:tblStyle w:val="TableGrid"/>
        <w:tblW w:w="9000" w:type="dxa"/>
        <w:tblInd w:w="355" w:type="dxa"/>
        <w:tblLook w:val="04A0" w:firstRow="1" w:lastRow="0" w:firstColumn="1" w:lastColumn="0" w:noHBand="0" w:noVBand="1"/>
      </w:tblPr>
      <w:tblGrid>
        <w:gridCol w:w="720"/>
        <w:gridCol w:w="8280"/>
      </w:tblGrid>
      <w:tr w:rsidR="006D67CB" w:rsidRPr="00D060F3" w14:paraId="42EA99E5" w14:textId="77777777" w:rsidTr="00302A17">
        <w:tc>
          <w:tcPr>
            <w:tcW w:w="9000" w:type="dxa"/>
            <w:gridSpan w:val="2"/>
          </w:tcPr>
          <w:p w14:paraId="3AE01DF9" w14:textId="77777777" w:rsidR="006D67CB" w:rsidRPr="00D060F3" w:rsidRDefault="000C74ED" w:rsidP="0024719C">
            <w:pPr>
              <w:ind w:left="720"/>
              <w:jc w:val="both"/>
              <w:rPr>
                <w:rFonts w:cstheme="minorHAnsi"/>
                <w:b/>
              </w:rPr>
            </w:pPr>
            <w:r>
              <w:rPr>
                <w:b/>
              </w:rPr>
              <w:t>Exemples de points à négocier</w:t>
            </w:r>
          </w:p>
        </w:tc>
      </w:tr>
      <w:tr w:rsidR="006D67CB" w:rsidRPr="00D060F3" w14:paraId="189711A8" w14:textId="77777777" w:rsidTr="00302A17">
        <w:tc>
          <w:tcPr>
            <w:tcW w:w="720" w:type="dxa"/>
          </w:tcPr>
          <w:p w14:paraId="3D1EC820" w14:textId="77777777" w:rsidR="006D67CB" w:rsidRPr="001B30C8" w:rsidRDefault="006D67CB" w:rsidP="0024719C">
            <w:pPr>
              <w:ind w:right="124"/>
              <w:jc w:val="both"/>
              <w:rPr>
                <w:rFonts w:ascii="Times New Roman" w:hAnsi="Times New Roman" w:cstheme="minorHAnsi"/>
                <w:sz w:val="24"/>
                <w:szCs w:val="24"/>
              </w:rPr>
            </w:pPr>
          </w:p>
          <w:p w14:paraId="60F0369C" w14:textId="77777777" w:rsidR="006D67CB" w:rsidRPr="00D060F3" w:rsidRDefault="0053097E" w:rsidP="0024719C">
            <w:pPr>
              <w:ind w:right="124"/>
              <w:jc w:val="both"/>
              <w:rPr>
                <w:rFonts w:asciiTheme="majorHAnsi" w:hAnsiTheme="majorHAnsi" w:cstheme="minorHAnsi"/>
                <w:i/>
                <w:iCs/>
              </w:rPr>
            </w:pPr>
            <w:r>
              <w:t>1</w:t>
            </w:r>
          </w:p>
        </w:tc>
        <w:tc>
          <w:tcPr>
            <w:tcW w:w="8280" w:type="dxa"/>
          </w:tcPr>
          <w:p w14:paraId="7A6BE758" w14:textId="76DD35D4" w:rsidR="006D67CB" w:rsidRPr="00CD1B53" w:rsidRDefault="006D67CB" w:rsidP="0024719C">
            <w:pPr>
              <w:jc w:val="both"/>
              <w:rPr>
                <w:rFonts w:asciiTheme="majorHAnsi" w:hAnsiTheme="majorHAnsi" w:cstheme="minorHAnsi"/>
                <w:i/>
                <w:iCs/>
              </w:rPr>
            </w:pPr>
            <w:r>
              <w:t xml:space="preserve">Ajustements des exigences (p. ex., Termes de référence, spécifications, etc.) afin de respecter le budget du contrat ou d’augmenter la quantité de certaines exigences pour tirer parti des </w:t>
            </w:r>
            <w:r w:rsidR="00F97EED">
              <w:t>économies d’échelles</w:t>
            </w:r>
            <w:r>
              <w:t xml:space="preserve"> </w:t>
            </w:r>
          </w:p>
        </w:tc>
      </w:tr>
      <w:tr w:rsidR="006D67CB" w:rsidRPr="00D060F3" w14:paraId="515B197F" w14:textId="77777777" w:rsidTr="00302A17">
        <w:tc>
          <w:tcPr>
            <w:tcW w:w="720" w:type="dxa"/>
          </w:tcPr>
          <w:p w14:paraId="768D2914" w14:textId="77777777" w:rsidR="006D67CB" w:rsidRPr="001B30C8" w:rsidRDefault="006D67CB" w:rsidP="0024719C">
            <w:pPr>
              <w:ind w:right="124"/>
              <w:jc w:val="both"/>
              <w:rPr>
                <w:rFonts w:ascii="Times New Roman" w:hAnsi="Times New Roman" w:cstheme="minorHAnsi"/>
                <w:sz w:val="24"/>
                <w:szCs w:val="24"/>
              </w:rPr>
            </w:pPr>
          </w:p>
          <w:p w14:paraId="206DD64F" w14:textId="77777777" w:rsidR="006D67CB" w:rsidRPr="00D060F3" w:rsidRDefault="0053097E" w:rsidP="0024719C">
            <w:pPr>
              <w:ind w:right="124"/>
              <w:jc w:val="both"/>
              <w:rPr>
                <w:rFonts w:asciiTheme="majorHAnsi" w:hAnsiTheme="majorHAnsi" w:cstheme="minorHAnsi"/>
                <w:i/>
                <w:iCs/>
              </w:rPr>
            </w:pPr>
            <w:r>
              <w:t>2</w:t>
            </w:r>
          </w:p>
        </w:tc>
        <w:tc>
          <w:tcPr>
            <w:tcW w:w="8280" w:type="dxa"/>
          </w:tcPr>
          <w:p w14:paraId="30C359DC" w14:textId="1F670B64" w:rsidR="006D67CB" w:rsidRPr="00D060F3" w:rsidRDefault="006D67CB" w:rsidP="0024719C">
            <w:pPr>
              <w:jc w:val="both"/>
              <w:rPr>
                <w:rFonts w:asciiTheme="majorHAnsi" w:hAnsiTheme="majorHAnsi" w:cstheme="minorHAnsi"/>
                <w:i/>
                <w:iCs/>
              </w:rPr>
            </w:pPr>
            <w:r>
              <w:t xml:space="preserve">Les modalités de paiement, qui peuvent comprendre l’attribution du pourcentage approprié de paiement par </w:t>
            </w:r>
            <w:r w:rsidR="002B5A72">
              <w:t>jalons</w:t>
            </w:r>
            <w:r>
              <w:t>, les paiements anticipés, les montants de rétention, l’exigence de garantie bancaire en échange des montants de paiement anticipé ou de rétention, délai de règlement des factures et fixation des conditions de décaissement des paiements ;</w:t>
            </w:r>
          </w:p>
        </w:tc>
      </w:tr>
      <w:tr w:rsidR="006D67CB" w:rsidRPr="00D060F3" w14:paraId="250280A9" w14:textId="77777777" w:rsidTr="00302A17">
        <w:tc>
          <w:tcPr>
            <w:tcW w:w="720" w:type="dxa"/>
          </w:tcPr>
          <w:p w14:paraId="2EEE0F67" w14:textId="77777777" w:rsidR="006D67CB" w:rsidRPr="007F17BC" w:rsidRDefault="006D67CB" w:rsidP="0024719C">
            <w:pPr>
              <w:ind w:right="124"/>
              <w:jc w:val="both"/>
              <w:rPr>
                <w:rFonts w:ascii="Times New Roman" w:hAnsi="Times New Roman" w:cstheme="minorHAnsi"/>
                <w:sz w:val="24"/>
                <w:szCs w:val="24"/>
              </w:rPr>
            </w:pPr>
          </w:p>
          <w:p w14:paraId="7DD1BC54" w14:textId="77777777" w:rsidR="006D67CB" w:rsidRPr="00D060F3" w:rsidRDefault="0053097E" w:rsidP="0024719C">
            <w:pPr>
              <w:ind w:right="124"/>
              <w:jc w:val="both"/>
              <w:rPr>
                <w:rFonts w:asciiTheme="majorHAnsi" w:hAnsiTheme="majorHAnsi" w:cstheme="minorHAnsi"/>
                <w:i/>
                <w:iCs/>
              </w:rPr>
            </w:pPr>
            <w:r>
              <w:t>3</w:t>
            </w:r>
          </w:p>
        </w:tc>
        <w:tc>
          <w:tcPr>
            <w:tcW w:w="8280" w:type="dxa"/>
          </w:tcPr>
          <w:p w14:paraId="7232E184" w14:textId="4F2CBB17" w:rsidR="006D67CB" w:rsidRPr="00D060F3" w:rsidRDefault="002B5A72" w:rsidP="0024719C">
            <w:pPr>
              <w:jc w:val="both"/>
              <w:rPr>
                <w:rFonts w:asciiTheme="majorHAnsi" w:hAnsiTheme="majorHAnsi" w:cstheme="minorHAnsi"/>
                <w:i/>
                <w:iCs/>
              </w:rPr>
            </w:pPr>
            <w:r>
              <w:t>A</w:t>
            </w:r>
            <w:r w:rsidR="006D67CB">
              <w:t>ffinement ou ajustement du plan de travail et du calendrier de mise en œuvre, visant à assurer l’achèvement des travaux en temps opportun, à mettre davantage l’accent sur les activités essentielles, à réaffecter les ressources disponibles et à éviter les dépassements de coûts qui peuvent découler de la prolongation des périodes de travail/la durée du contrat ;</w:t>
            </w:r>
          </w:p>
        </w:tc>
      </w:tr>
      <w:tr w:rsidR="006D67CB" w:rsidRPr="00D060F3" w14:paraId="4995B228" w14:textId="77777777" w:rsidTr="00302A17">
        <w:tc>
          <w:tcPr>
            <w:tcW w:w="720" w:type="dxa"/>
          </w:tcPr>
          <w:p w14:paraId="6C0EA909" w14:textId="77777777" w:rsidR="006D67CB" w:rsidRPr="007F17BC" w:rsidRDefault="006D67CB" w:rsidP="0024719C">
            <w:pPr>
              <w:ind w:right="124"/>
              <w:jc w:val="both"/>
              <w:rPr>
                <w:rFonts w:ascii="Times New Roman" w:hAnsi="Times New Roman" w:cstheme="minorHAnsi"/>
                <w:sz w:val="24"/>
                <w:szCs w:val="24"/>
              </w:rPr>
            </w:pPr>
          </w:p>
          <w:p w14:paraId="0977AFB7" w14:textId="77777777" w:rsidR="006D67CB" w:rsidRPr="00D060F3" w:rsidRDefault="0053097E" w:rsidP="0024719C">
            <w:pPr>
              <w:ind w:right="124"/>
              <w:jc w:val="both"/>
              <w:rPr>
                <w:rFonts w:asciiTheme="majorHAnsi" w:hAnsiTheme="majorHAnsi" w:cstheme="minorHAnsi"/>
                <w:i/>
                <w:iCs/>
              </w:rPr>
            </w:pPr>
            <w:r>
              <w:t>4</w:t>
            </w:r>
          </w:p>
        </w:tc>
        <w:tc>
          <w:tcPr>
            <w:tcW w:w="8280" w:type="dxa"/>
          </w:tcPr>
          <w:p w14:paraId="4F9CB341" w14:textId="77777777" w:rsidR="006D67CB" w:rsidRPr="00D060F3" w:rsidRDefault="006D67CB" w:rsidP="0024719C">
            <w:pPr>
              <w:jc w:val="both"/>
              <w:rPr>
                <w:rFonts w:asciiTheme="majorHAnsi" w:hAnsiTheme="majorHAnsi" w:cstheme="minorHAnsi"/>
                <w:i/>
                <w:iCs/>
              </w:rPr>
            </w:pPr>
            <w:r>
              <w:t xml:space="preserve">Organisation et dotation de l’équipe, visant à optimiser l’utilisation du personnel, la répartition des heures-personnes, l’attribution des tâches et le niveau d’effort requis pour diverses activités ; </w:t>
            </w:r>
          </w:p>
        </w:tc>
      </w:tr>
      <w:tr w:rsidR="006D67CB" w:rsidRPr="00D060F3" w14:paraId="1DF89973" w14:textId="77777777" w:rsidTr="00302A17">
        <w:tc>
          <w:tcPr>
            <w:tcW w:w="720" w:type="dxa"/>
          </w:tcPr>
          <w:p w14:paraId="0EE097CE" w14:textId="77777777" w:rsidR="006D67CB" w:rsidRPr="007F17BC" w:rsidRDefault="006D67CB" w:rsidP="0024719C">
            <w:pPr>
              <w:ind w:right="124"/>
              <w:jc w:val="both"/>
              <w:rPr>
                <w:rFonts w:ascii="Times New Roman" w:hAnsi="Times New Roman" w:cstheme="minorHAnsi"/>
                <w:sz w:val="24"/>
                <w:szCs w:val="24"/>
              </w:rPr>
            </w:pPr>
          </w:p>
          <w:p w14:paraId="592C6332" w14:textId="77777777" w:rsidR="006D67CB" w:rsidRPr="00D060F3" w:rsidRDefault="0053097E" w:rsidP="0024719C">
            <w:pPr>
              <w:ind w:right="124"/>
              <w:jc w:val="both"/>
              <w:rPr>
                <w:rFonts w:asciiTheme="majorHAnsi" w:hAnsiTheme="majorHAnsi" w:cstheme="minorHAnsi"/>
                <w:i/>
                <w:iCs/>
              </w:rPr>
            </w:pPr>
            <w:r>
              <w:t>5</w:t>
            </w:r>
          </w:p>
        </w:tc>
        <w:tc>
          <w:tcPr>
            <w:tcW w:w="8280" w:type="dxa"/>
          </w:tcPr>
          <w:p w14:paraId="16E65932" w14:textId="4C8DFE0E" w:rsidR="006D67CB" w:rsidRPr="00D060F3" w:rsidRDefault="006D67CB" w:rsidP="00F23933">
            <w:pPr>
              <w:jc w:val="both"/>
              <w:rPr>
                <w:rFonts w:asciiTheme="majorHAnsi" w:hAnsiTheme="majorHAnsi" w:cstheme="minorHAnsi"/>
                <w:i/>
                <w:iCs/>
              </w:rPr>
            </w:pPr>
            <w:r>
              <w:t xml:space="preserve">Le personnel de contrepartie, les installations ou tout autre soutien logistique à fournir ou à faciliter par le PNUD, lorsqu’il a un avantage comparatif ; </w:t>
            </w:r>
          </w:p>
        </w:tc>
      </w:tr>
      <w:tr w:rsidR="006D67CB" w:rsidRPr="00D060F3" w14:paraId="7A369FB2" w14:textId="77777777" w:rsidTr="00302A17">
        <w:tc>
          <w:tcPr>
            <w:tcW w:w="720" w:type="dxa"/>
          </w:tcPr>
          <w:p w14:paraId="652392CA" w14:textId="77777777" w:rsidR="006D67CB" w:rsidRPr="00D060F3" w:rsidRDefault="0053097E" w:rsidP="0024719C">
            <w:pPr>
              <w:ind w:right="124"/>
              <w:jc w:val="both"/>
              <w:rPr>
                <w:rFonts w:asciiTheme="majorHAnsi" w:hAnsiTheme="majorHAnsi" w:cstheme="minorHAnsi"/>
                <w:i/>
                <w:iCs/>
              </w:rPr>
            </w:pPr>
            <w:r>
              <w:t>6</w:t>
            </w:r>
          </w:p>
        </w:tc>
        <w:tc>
          <w:tcPr>
            <w:tcW w:w="8280" w:type="dxa"/>
          </w:tcPr>
          <w:p w14:paraId="20C32A33" w14:textId="3A01A82D" w:rsidR="006D67CB" w:rsidRPr="00D060F3" w:rsidRDefault="00F23933" w:rsidP="00F23933">
            <w:pPr>
              <w:jc w:val="both"/>
              <w:rPr>
                <w:rFonts w:asciiTheme="majorHAnsi" w:hAnsiTheme="majorHAnsi" w:cstheme="minorHAnsi"/>
                <w:i/>
                <w:iCs/>
              </w:rPr>
            </w:pPr>
            <w:r>
              <w:t xml:space="preserve">Portée des obligations ou de tout risque corporatif ; </w:t>
            </w:r>
            <w:r>
              <w:rPr>
                <w:color w:val="FF0000"/>
              </w:rPr>
              <w:t xml:space="preserve"> </w:t>
            </w:r>
          </w:p>
        </w:tc>
      </w:tr>
      <w:tr w:rsidR="006D67CB" w:rsidRPr="00D060F3" w14:paraId="0BCB3458" w14:textId="77777777" w:rsidTr="00302A17">
        <w:tc>
          <w:tcPr>
            <w:tcW w:w="720" w:type="dxa"/>
          </w:tcPr>
          <w:p w14:paraId="1C996035" w14:textId="77777777" w:rsidR="006D67CB" w:rsidRPr="00331A52" w:rsidRDefault="006D67CB" w:rsidP="0024719C">
            <w:pPr>
              <w:ind w:right="124"/>
              <w:jc w:val="both"/>
              <w:rPr>
                <w:rFonts w:ascii="Times New Roman" w:hAnsi="Times New Roman" w:cstheme="minorHAnsi"/>
                <w:sz w:val="24"/>
                <w:szCs w:val="24"/>
              </w:rPr>
            </w:pPr>
          </w:p>
          <w:p w14:paraId="430CA480" w14:textId="77777777" w:rsidR="006D67CB" w:rsidRPr="00D060F3" w:rsidRDefault="0053097E" w:rsidP="0024719C">
            <w:pPr>
              <w:ind w:right="124"/>
              <w:jc w:val="both"/>
              <w:rPr>
                <w:rFonts w:asciiTheme="majorHAnsi" w:hAnsiTheme="majorHAnsi" w:cstheme="minorHAnsi"/>
                <w:i/>
                <w:iCs/>
              </w:rPr>
            </w:pPr>
            <w:r>
              <w:t>7</w:t>
            </w:r>
          </w:p>
        </w:tc>
        <w:tc>
          <w:tcPr>
            <w:tcW w:w="8280" w:type="dxa"/>
          </w:tcPr>
          <w:p w14:paraId="570F94C5" w14:textId="77777777" w:rsidR="006D67CB" w:rsidRPr="00D060F3" w:rsidRDefault="006D67CB" w:rsidP="0024719C">
            <w:pPr>
              <w:jc w:val="both"/>
              <w:rPr>
                <w:rFonts w:asciiTheme="majorHAnsi" w:hAnsiTheme="majorHAnsi" w:cstheme="minorHAnsi"/>
                <w:i/>
                <w:iCs/>
              </w:rPr>
            </w:pPr>
            <w:r>
              <w:t>Conditions particulières du Contrat, mais seulement dans la mesure où elles ne seront pas en conflit avec les Conditions générales du Contrat ;</w:t>
            </w:r>
          </w:p>
        </w:tc>
      </w:tr>
      <w:tr w:rsidR="006D67CB" w:rsidRPr="00D060F3" w14:paraId="37692FFF" w14:textId="77777777" w:rsidTr="00302A17">
        <w:tc>
          <w:tcPr>
            <w:tcW w:w="720" w:type="dxa"/>
          </w:tcPr>
          <w:p w14:paraId="0DA3C13B" w14:textId="77777777" w:rsidR="006D67CB" w:rsidRPr="007F17BC" w:rsidRDefault="006D67CB" w:rsidP="0024719C">
            <w:pPr>
              <w:ind w:right="124"/>
              <w:jc w:val="both"/>
              <w:rPr>
                <w:rFonts w:ascii="Times New Roman" w:hAnsi="Times New Roman" w:cstheme="minorHAnsi"/>
                <w:sz w:val="24"/>
                <w:szCs w:val="24"/>
              </w:rPr>
            </w:pPr>
          </w:p>
          <w:p w14:paraId="5E389CD2" w14:textId="77777777" w:rsidR="006D67CB" w:rsidRPr="00D060F3" w:rsidRDefault="0053097E" w:rsidP="0024719C">
            <w:pPr>
              <w:ind w:right="124"/>
              <w:jc w:val="both"/>
              <w:rPr>
                <w:rFonts w:asciiTheme="majorHAnsi" w:hAnsiTheme="majorHAnsi" w:cstheme="minorHAnsi"/>
                <w:i/>
                <w:iCs/>
              </w:rPr>
            </w:pPr>
            <w:r>
              <w:t>8</w:t>
            </w:r>
          </w:p>
        </w:tc>
        <w:tc>
          <w:tcPr>
            <w:tcW w:w="8280" w:type="dxa"/>
          </w:tcPr>
          <w:p w14:paraId="3CE4FA75" w14:textId="0212514D" w:rsidR="006D67CB" w:rsidRPr="00D060F3" w:rsidRDefault="006D67CB" w:rsidP="0024719C">
            <w:pPr>
              <w:jc w:val="both"/>
              <w:rPr>
                <w:rFonts w:asciiTheme="majorHAnsi" w:hAnsiTheme="majorHAnsi" w:cstheme="minorHAnsi"/>
                <w:i/>
                <w:iCs/>
              </w:rPr>
            </w:pPr>
            <w:r>
              <w:t>La portée des garanties, et des autres services de soutien après-vente, ainsi que leur durée, des services de maintenance supplémentaires sans frais supplémentaires ;</w:t>
            </w:r>
          </w:p>
        </w:tc>
      </w:tr>
      <w:tr w:rsidR="006D67CB" w:rsidRPr="00D060F3" w14:paraId="27D6A724" w14:textId="77777777" w:rsidTr="00302A17">
        <w:tc>
          <w:tcPr>
            <w:tcW w:w="720" w:type="dxa"/>
          </w:tcPr>
          <w:p w14:paraId="4CC7A04F" w14:textId="77777777" w:rsidR="006D67CB" w:rsidRPr="00D060F3" w:rsidRDefault="0053097E" w:rsidP="0024719C">
            <w:pPr>
              <w:ind w:right="124"/>
              <w:jc w:val="both"/>
              <w:rPr>
                <w:rFonts w:asciiTheme="majorHAnsi" w:hAnsiTheme="majorHAnsi" w:cstheme="minorHAnsi"/>
                <w:i/>
                <w:iCs/>
              </w:rPr>
            </w:pPr>
            <w:r>
              <w:t>9</w:t>
            </w:r>
          </w:p>
        </w:tc>
        <w:tc>
          <w:tcPr>
            <w:tcW w:w="8280" w:type="dxa"/>
          </w:tcPr>
          <w:p w14:paraId="215DD590" w14:textId="13C5B8B0" w:rsidR="006D67CB" w:rsidRPr="00D060F3" w:rsidRDefault="006D67CB" w:rsidP="0024719C">
            <w:pPr>
              <w:jc w:val="both"/>
              <w:rPr>
                <w:rFonts w:asciiTheme="majorHAnsi" w:hAnsiTheme="majorHAnsi" w:cstheme="minorHAnsi"/>
                <w:i/>
                <w:iCs/>
              </w:rPr>
            </w:pPr>
            <w:r>
              <w:t xml:space="preserve">Indicateurs de </w:t>
            </w:r>
            <w:r w:rsidR="002B5A72">
              <w:t>performance</w:t>
            </w:r>
            <w:r>
              <w:t>/accords sur les niveaux de service/normes de qualité des services ;</w:t>
            </w:r>
          </w:p>
        </w:tc>
      </w:tr>
      <w:tr w:rsidR="006D67CB" w:rsidRPr="00D060F3" w14:paraId="60EDBF70" w14:textId="77777777" w:rsidTr="00302A17">
        <w:tc>
          <w:tcPr>
            <w:tcW w:w="720" w:type="dxa"/>
          </w:tcPr>
          <w:p w14:paraId="7EA51BE1" w14:textId="77777777" w:rsidR="006D67CB" w:rsidRPr="00D060F3" w:rsidRDefault="006D67CB" w:rsidP="0024719C">
            <w:pPr>
              <w:ind w:right="124"/>
              <w:jc w:val="both"/>
              <w:rPr>
                <w:rFonts w:asciiTheme="majorHAnsi" w:hAnsiTheme="majorHAnsi" w:cstheme="minorHAnsi"/>
                <w:i/>
                <w:iCs/>
              </w:rPr>
            </w:pPr>
            <w:r>
              <w:t>10</w:t>
            </w:r>
          </w:p>
        </w:tc>
        <w:tc>
          <w:tcPr>
            <w:tcW w:w="8280" w:type="dxa"/>
          </w:tcPr>
          <w:p w14:paraId="1F2B7329" w14:textId="6EF79B3C" w:rsidR="006D67CB" w:rsidRPr="00CD1B53" w:rsidRDefault="006D67CB" w:rsidP="00545888">
            <w:pPr>
              <w:jc w:val="both"/>
              <w:rPr>
                <w:rFonts w:asciiTheme="majorHAnsi" w:hAnsiTheme="majorHAnsi" w:cstheme="minorHAnsi"/>
                <w:i/>
                <w:iCs/>
              </w:rPr>
            </w:pPr>
            <w:r>
              <w:t>Fourniture des derniers modèles disponibles sur le marché, lorsque les marchandises achetées sont des produits technologiques dans un domaine où les percées, les améliorations et les changements de caractéristiques sont très fréquents, à l’exclusion des articles disponibles sur le marché.</w:t>
            </w:r>
          </w:p>
        </w:tc>
      </w:tr>
    </w:tbl>
    <w:p w14:paraId="1BD619D6" w14:textId="77777777" w:rsidR="00CC2358" w:rsidRPr="00D060F3" w:rsidRDefault="00AB3680" w:rsidP="0024719C">
      <w:pPr>
        <w:spacing w:after="0" w:line="240" w:lineRule="auto"/>
        <w:ind w:left="1980"/>
        <w:jc w:val="both"/>
        <w:rPr>
          <w:rFonts w:cstheme="minorHAnsi"/>
        </w:rPr>
      </w:pPr>
      <w:r>
        <w:t xml:space="preserve"> </w:t>
      </w:r>
    </w:p>
    <w:p w14:paraId="6862E80D" w14:textId="77777777" w:rsidR="00302A17" w:rsidRPr="007F17BC" w:rsidRDefault="00302A17" w:rsidP="0024719C">
      <w:pPr>
        <w:spacing w:after="0" w:line="240" w:lineRule="auto"/>
        <w:ind w:left="1980"/>
        <w:jc w:val="both"/>
        <w:rPr>
          <w:rFonts w:cstheme="minorHAnsi"/>
        </w:rPr>
      </w:pPr>
    </w:p>
    <w:p w14:paraId="702ECF27" w14:textId="77777777" w:rsidR="0040389A" w:rsidRPr="007F17BC" w:rsidRDefault="0040389A" w:rsidP="0024719C">
      <w:pPr>
        <w:spacing w:after="0" w:line="240" w:lineRule="auto"/>
        <w:jc w:val="both"/>
        <w:rPr>
          <w:b/>
        </w:rPr>
      </w:pPr>
    </w:p>
    <w:p w14:paraId="3236A73E" w14:textId="484A9479" w:rsidR="000D1AC8" w:rsidRDefault="00A63949" w:rsidP="0024719C">
      <w:pPr>
        <w:spacing w:after="0" w:line="240" w:lineRule="auto"/>
        <w:jc w:val="both"/>
        <w:rPr>
          <w:b/>
        </w:rPr>
      </w:pPr>
      <w:r>
        <w:rPr>
          <w:b/>
        </w:rPr>
        <w:t>Négociation exceptionnelle du prix et des conditions requises</w:t>
      </w:r>
    </w:p>
    <w:p w14:paraId="75BAB62F" w14:textId="77777777" w:rsidR="00316888" w:rsidRPr="00331A52" w:rsidRDefault="00316888" w:rsidP="0024719C">
      <w:pPr>
        <w:spacing w:after="0" w:line="240" w:lineRule="auto"/>
        <w:jc w:val="both"/>
      </w:pPr>
    </w:p>
    <w:p w14:paraId="16EC1FEA" w14:textId="234AF6E2" w:rsidR="00A76E6D" w:rsidRPr="00A76E6D" w:rsidRDefault="00331A52" w:rsidP="00331A52">
      <w:pPr>
        <w:tabs>
          <w:tab w:val="left" w:pos="5933"/>
        </w:tabs>
        <w:spacing w:after="0" w:line="240" w:lineRule="auto"/>
        <w:jc w:val="both"/>
        <w:rPr>
          <w:rFonts w:cstheme="minorHAnsi"/>
        </w:rPr>
      </w:pPr>
      <w:r w:rsidRPr="00331A52">
        <w:t>14.</w:t>
      </w:r>
      <w:r>
        <w:rPr>
          <w:b/>
        </w:rPr>
        <w:t xml:space="preserve"> </w:t>
      </w:r>
      <w:r w:rsidR="00C34C4D">
        <w:rPr>
          <w:b/>
        </w:rPr>
        <w:t>Le prix seul, dans des circonstances normales, ne devra pas être négocié</w:t>
      </w:r>
      <w:r w:rsidR="00C34C4D">
        <w:t>, surtout dans les cas de concurrence ouverte, qui est considérée comme l’essence de la démonstration du meilleur rapport qualité-prix. Toute exception peut être faite dans une situation où les prix proposés par le soumissionnaire recommandé sont jugés plus élevés que les prix courants, surtout dans une demande de proposition. Les taux de référence, les estimations internes ou les prix courants doivent être établis judicieusement et vérifiables pour qu’ils constituent une base valable de comparaison.</w:t>
      </w:r>
    </w:p>
    <w:p w14:paraId="7B910AC7" w14:textId="77777777" w:rsidR="00A76E6D" w:rsidRPr="007F17BC" w:rsidRDefault="00A76E6D" w:rsidP="0024719C">
      <w:pPr>
        <w:tabs>
          <w:tab w:val="left" w:pos="5933"/>
        </w:tabs>
        <w:spacing w:after="0" w:line="240" w:lineRule="auto"/>
        <w:ind w:left="360"/>
        <w:jc w:val="both"/>
        <w:rPr>
          <w:rFonts w:cstheme="minorHAnsi"/>
        </w:rPr>
      </w:pPr>
    </w:p>
    <w:p w14:paraId="06576C08" w14:textId="121B0BF2" w:rsidR="00E858DC" w:rsidRDefault="00331A52" w:rsidP="00331A52">
      <w:pPr>
        <w:spacing w:after="0" w:line="240" w:lineRule="auto"/>
        <w:jc w:val="both"/>
      </w:pPr>
      <w:r>
        <w:t xml:space="preserve">15. </w:t>
      </w:r>
      <w:r w:rsidR="0000032F">
        <w:t>Lorsque la négociation porte sur les composantes de prix de l’offre, les prix des biens et des services devraient toujours être comparés en utilisant la juste valeur marchande</w:t>
      </w:r>
      <w:r w:rsidR="00F23933">
        <w:rPr>
          <w:rStyle w:val="FootnoteReference"/>
          <w:lang w:val="en-US"/>
        </w:rPr>
        <w:footnoteReference w:id="2"/>
      </w:r>
      <w:r w:rsidR="0000032F">
        <w:t xml:space="preserve">, les attributions publiées des autorités nationales ou d’autres taux du PNUD (p. ex., DSA, taux </w:t>
      </w:r>
      <w:r w:rsidR="006C589A">
        <w:t>de références</w:t>
      </w:r>
      <w:r w:rsidR="0000032F">
        <w:t xml:space="preserve"> internationaux </w:t>
      </w:r>
      <w:proofErr w:type="spellStart"/>
      <w:r w:rsidR="0000032F">
        <w:t>de</w:t>
      </w:r>
      <w:r w:rsidR="006C589A">
        <w:t>s</w:t>
      </w:r>
      <w:r w:rsidR="0000032F">
        <w:t>’IC</w:t>
      </w:r>
      <w:proofErr w:type="spellEnd"/>
      <w:r w:rsidR="0000032F">
        <w:t xml:space="preserve">, taux </w:t>
      </w:r>
      <w:proofErr w:type="spellStart"/>
      <w:r w:rsidR="0000032F">
        <w:t>de</w:t>
      </w:r>
      <w:r w:rsidR="006C589A">
        <w:t>s</w:t>
      </w:r>
      <w:r w:rsidR="0000032F">
        <w:t>IC</w:t>
      </w:r>
      <w:proofErr w:type="spellEnd"/>
      <w:r w:rsidR="0000032F">
        <w:t xml:space="preserve"> établis localement, s’il y a lieu, enquêtes nationales sur les salaires, etc.) comme référence pour établir la compétitivité et le caractère raisonnable d’une offre financière.   Cela peut comprendre les listes de prix publiées et les prix établis du marché des produits de base.  Une simple comparaison du prix d’un soumissionnaire avec celui d’un autre soumissionnaire ne devrait pas servir de base pour entamer des négociations. </w:t>
      </w:r>
    </w:p>
    <w:p w14:paraId="62D82C92" w14:textId="77777777" w:rsidR="002B527B" w:rsidRPr="007F17BC" w:rsidRDefault="002B527B" w:rsidP="0024719C">
      <w:pPr>
        <w:spacing w:after="0" w:line="240" w:lineRule="auto"/>
        <w:ind w:left="360"/>
        <w:jc w:val="both"/>
      </w:pPr>
    </w:p>
    <w:p w14:paraId="1A32C9B0" w14:textId="432B535C" w:rsidR="0000032F" w:rsidRPr="00D060F3" w:rsidRDefault="00331A52" w:rsidP="00331A52">
      <w:pPr>
        <w:spacing w:after="0" w:line="240" w:lineRule="auto"/>
        <w:jc w:val="both"/>
      </w:pPr>
      <w:r>
        <w:t xml:space="preserve">16. </w:t>
      </w:r>
      <w:r w:rsidR="0000032F">
        <w:t>Si la négociation est nécessaire parce que les prix proposés par le soumissionnaire recommandé sont jugés plus élevés que les taux du marché, les Unités opérationnelles peuvent amorcer les négociations en demandant au soumissionnaire recommandé de fournir ce qui suit :</w:t>
      </w:r>
    </w:p>
    <w:p w14:paraId="297026F3" w14:textId="72C6DC04" w:rsidR="0000032F" w:rsidRPr="00D060F3" w:rsidRDefault="007F17BC" w:rsidP="0024719C">
      <w:pPr>
        <w:pStyle w:val="ListParagraph"/>
        <w:numPr>
          <w:ilvl w:val="2"/>
          <w:numId w:val="5"/>
        </w:numPr>
        <w:spacing w:after="0" w:line="240" w:lineRule="auto"/>
        <w:ind w:left="720"/>
        <w:jc w:val="both"/>
        <w:rPr>
          <w:rFonts w:cstheme="minorHAnsi"/>
        </w:rPr>
      </w:pPr>
      <w:r>
        <w:t>U</w:t>
      </w:r>
      <w:r w:rsidR="0000032F">
        <w:t xml:space="preserve">ne base financière ou administrative pour l’établissement des prix, qui peut comprendre une ventilation détaillée de tous les coûts ; </w:t>
      </w:r>
    </w:p>
    <w:p w14:paraId="4E931317" w14:textId="2606304E" w:rsidR="00174B55" w:rsidRPr="00D060F3" w:rsidRDefault="007F17BC" w:rsidP="0024719C">
      <w:pPr>
        <w:pStyle w:val="ListParagraph"/>
        <w:numPr>
          <w:ilvl w:val="2"/>
          <w:numId w:val="5"/>
        </w:numPr>
        <w:spacing w:after="0" w:line="240" w:lineRule="auto"/>
        <w:ind w:left="720"/>
        <w:jc w:val="both"/>
      </w:pPr>
      <w:r>
        <w:t>L</w:t>
      </w:r>
      <w:r w:rsidR="0000032F">
        <w:t xml:space="preserve">a preuve et/ou le fondement de l’imposition de taux ou de prix supérieurs aux prix courants, comme les prix contrôlés par le gouvernement, les taux de prix imposés par la loi ou d’autres références de prix raisonnablement établies.  </w:t>
      </w:r>
    </w:p>
    <w:p w14:paraId="7B5038E3" w14:textId="77777777" w:rsidR="00174B55" w:rsidRPr="001B30C8" w:rsidRDefault="00174B55" w:rsidP="0024719C">
      <w:pPr>
        <w:pStyle w:val="ListParagraph"/>
        <w:spacing w:after="0" w:line="240" w:lineRule="auto"/>
        <w:jc w:val="both"/>
      </w:pPr>
    </w:p>
    <w:p w14:paraId="4FA34D02" w14:textId="2CD1FC25" w:rsidR="00174B55" w:rsidRPr="00D060F3" w:rsidRDefault="00331A52" w:rsidP="00331A52">
      <w:pPr>
        <w:spacing w:after="0" w:line="240" w:lineRule="auto"/>
        <w:jc w:val="both"/>
      </w:pPr>
      <w:r>
        <w:lastRenderedPageBreak/>
        <w:t xml:space="preserve">17. </w:t>
      </w:r>
      <w:r w:rsidR="00174B55">
        <w:t xml:space="preserve">Dans le cas où les négociations entraîneraient une modification de l’offre de prix, même si le prix ne faisait pas partie des sujets des négociations, alors le prix total qui en résulterait (s’il s’agit d’une augmentation) sera assujetti aux </w:t>
      </w:r>
      <w:r w:rsidR="00174B55" w:rsidRPr="00331A52">
        <w:rPr>
          <w:u w:val="single"/>
        </w:rPr>
        <w:t>deux</w:t>
      </w:r>
      <w:r w:rsidR="00174B55">
        <w:t xml:space="preserve"> conditions suivantes avant l’approbation de la mesure d’approvisionnement :</w:t>
      </w:r>
    </w:p>
    <w:p w14:paraId="46CE18F9" w14:textId="32A6011B" w:rsidR="0000032F" w:rsidRPr="00D060F3" w:rsidRDefault="0000032F" w:rsidP="0024719C">
      <w:pPr>
        <w:pStyle w:val="ListParagraph"/>
        <w:numPr>
          <w:ilvl w:val="2"/>
          <w:numId w:val="6"/>
        </w:numPr>
        <w:spacing w:after="0" w:line="240" w:lineRule="auto"/>
        <w:ind w:left="720"/>
        <w:jc w:val="both"/>
        <w:rPr>
          <w:rFonts w:cstheme="minorHAnsi"/>
        </w:rPr>
      </w:pPr>
      <w:r>
        <w:t xml:space="preserve">L’offre recommandée demeure le moins-disant ou la note cumulative la plus élevée </w:t>
      </w:r>
      <w:r w:rsidR="006C589A">
        <w:t>en cas de Demandes de propositions ( RFP)</w:t>
      </w:r>
      <w:r>
        <w:t xml:space="preserve"> ; </w:t>
      </w:r>
      <w:r>
        <w:rPr>
          <w:u w:val="single"/>
        </w:rPr>
        <w:t>et</w:t>
      </w:r>
    </w:p>
    <w:p w14:paraId="6BA0DABA" w14:textId="77777777" w:rsidR="0000032F" w:rsidRDefault="0000032F" w:rsidP="0024719C">
      <w:pPr>
        <w:pStyle w:val="ListParagraph"/>
        <w:numPr>
          <w:ilvl w:val="2"/>
          <w:numId w:val="6"/>
        </w:numPr>
        <w:spacing w:after="0" w:line="240" w:lineRule="auto"/>
        <w:ind w:left="720"/>
        <w:jc w:val="both"/>
        <w:rPr>
          <w:rFonts w:cstheme="minorHAnsi"/>
        </w:rPr>
      </w:pPr>
      <w:r>
        <w:t xml:space="preserve">L’augmentation de prix qui en résulte peut encore être compensée par le budget alloué au contrat et n’aura pas d’incidence négative sur les affectations budgétaires pour d’autres activités du projet.  </w:t>
      </w:r>
    </w:p>
    <w:p w14:paraId="02707C92" w14:textId="77777777" w:rsidR="004361EA" w:rsidRPr="007F17BC" w:rsidRDefault="004361EA" w:rsidP="008520B2">
      <w:pPr>
        <w:spacing w:after="0" w:line="240" w:lineRule="auto"/>
        <w:ind w:left="720"/>
        <w:jc w:val="both"/>
        <w:rPr>
          <w:rFonts w:cstheme="minorHAnsi"/>
        </w:rPr>
      </w:pPr>
    </w:p>
    <w:p w14:paraId="5D87CEB8" w14:textId="11F3765D" w:rsidR="0069561B" w:rsidRPr="004361EA" w:rsidRDefault="008C0E70" w:rsidP="00522F6E">
      <w:pPr>
        <w:spacing w:after="0" w:line="240" w:lineRule="auto"/>
        <w:ind w:left="360"/>
        <w:jc w:val="both"/>
        <w:rPr>
          <w:rFonts w:cstheme="minorHAnsi"/>
        </w:rPr>
      </w:pPr>
      <w:r>
        <w:t>Si les deux conditions ci-dessus ne sont pas remplies, un nouveau processus d’approvisionnement devrait être mené sous réserve de l’application possible de la clause 27.</w:t>
      </w:r>
    </w:p>
    <w:p w14:paraId="14F3FC59" w14:textId="77777777" w:rsidR="0000032F" w:rsidRPr="007F17BC" w:rsidRDefault="0000032F" w:rsidP="0024719C">
      <w:pPr>
        <w:spacing w:after="0" w:line="240" w:lineRule="auto"/>
        <w:ind w:left="360"/>
        <w:jc w:val="both"/>
        <w:rPr>
          <w:rFonts w:cstheme="minorHAnsi"/>
        </w:rPr>
      </w:pPr>
    </w:p>
    <w:p w14:paraId="6F248FA9" w14:textId="25853982" w:rsidR="00AD1E03" w:rsidRPr="00042A90" w:rsidRDefault="00331A52" w:rsidP="00331A52">
      <w:pPr>
        <w:tabs>
          <w:tab w:val="left" w:pos="5933"/>
        </w:tabs>
        <w:spacing w:after="0" w:line="240" w:lineRule="auto"/>
        <w:jc w:val="both"/>
        <w:rPr>
          <w:rFonts w:cstheme="minorHAnsi"/>
        </w:rPr>
      </w:pPr>
      <w:r>
        <w:t xml:space="preserve">18. </w:t>
      </w:r>
      <w:r w:rsidR="0050656F">
        <w:t xml:space="preserve">Lorsque la méthode d’approvisionnement est la passation de marchés par entente directe, où le PNUD n’évalue qu’une seule offre, le prix peut et doit être négocié, le cas échéant.  Dans de tels cas et à titre exceptionnel, la négociation devrait être entreprise dans le cadre du processus d’approvisionnement afin d’établir l’optimisation des ressources avant la présentation </w:t>
      </w:r>
      <w:r w:rsidR="00555D42">
        <w:t>du dossier d’achat</w:t>
      </w:r>
      <w:r w:rsidR="0050656F">
        <w:t xml:space="preserve"> au Comité d’examen de l’approvisionnement ou à l’Autorité responsable de l’approvisionnement.   </w:t>
      </w:r>
    </w:p>
    <w:p w14:paraId="03807C6A" w14:textId="77777777" w:rsidR="0040389A" w:rsidRPr="007F17BC" w:rsidRDefault="0040389A" w:rsidP="0024719C">
      <w:pPr>
        <w:spacing w:after="0" w:line="240" w:lineRule="auto"/>
        <w:jc w:val="both"/>
        <w:rPr>
          <w:rFonts w:cstheme="minorHAnsi"/>
          <w:b/>
        </w:rPr>
      </w:pPr>
    </w:p>
    <w:p w14:paraId="1A0B145F" w14:textId="1A492797" w:rsidR="00A25211" w:rsidRPr="00D060F3" w:rsidRDefault="009D6DEC" w:rsidP="0024719C">
      <w:pPr>
        <w:spacing w:after="0" w:line="240" w:lineRule="auto"/>
        <w:jc w:val="both"/>
        <w:rPr>
          <w:rFonts w:cstheme="minorHAnsi"/>
          <w:b/>
        </w:rPr>
      </w:pPr>
      <w:r>
        <w:rPr>
          <w:b/>
        </w:rPr>
        <w:t>Mise en place de l’équipe de négociation</w:t>
      </w:r>
    </w:p>
    <w:p w14:paraId="36193004" w14:textId="77777777" w:rsidR="00E60B82" w:rsidRPr="001B30C8" w:rsidRDefault="00E60B82" w:rsidP="0024719C">
      <w:pPr>
        <w:spacing w:after="0" w:line="240" w:lineRule="auto"/>
        <w:jc w:val="both"/>
        <w:rPr>
          <w:rFonts w:cstheme="minorHAnsi"/>
        </w:rPr>
      </w:pPr>
    </w:p>
    <w:p w14:paraId="7F53E96F" w14:textId="02FBFBC2" w:rsidR="00453C7D" w:rsidRPr="00453C7D" w:rsidRDefault="00331A52" w:rsidP="00331A52">
      <w:pPr>
        <w:jc w:val="both"/>
      </w:pPr>
      <w:r>
        <w:t xml:space="preserve">19. </w:t>
      </w:r>
      <w:r w:rsidR="00174B55">
        <w:t>Le Directeur des opérations ou tout autre cadre supérieur nomme l’équipe de négociation composée d’au moins deux (2) membres du PNUD, en tenant compte de facteurs tels que la participation à l’évaluation des offres et les compétences nécessaires à la conduite des négociations.  Les négociations ne doivent être entreprises que par le personnel professionnel responsable de l’approvisionnement ayant de l’expérience dans le traitement des négociations avec les soumissionnaires et elles doivent être soutenues par des experts du programme en la matière.</w:t>
      </w:r>
    </w:p>
    <w:p w14:paraId="47105D08" w14:textId="4FB86409" w:rsidR="009D0519" w:rsidRPr="00331A52" w:rsidRDefault="00331A52" w:rsidP="00331A52">
      <w:pPr>
        <w:spacing w:before="100" w:beforeAutospacing="1" w:after="100" w:afterAutospacing="1" w:line="240" w:lineRule="auto"/>
        <w:rPr>
          <w:rFonts w:eastAsia="Calibri"/>
          <w:color w:val="000000"/>
        </w:rPr>
      </w:pPr>
      <w:r>
        <w:rPr>
          <w:color w:val="000000"/>
        </w:rPr>
        <w:t xml:space="preserve">20. </w:t>
      </w:r>
      <w:r w:rsidR="009D0519">
        <w:rPr>
          <w:color w:val="000000"/>
        </w:rPr>
        <w:t>Il est important de s’assurer qu’il n’y a pas de conflit d’intérêts. La déclaration d’impartialité est signée par tous les membres de l’équipe de négociation.</w:t>
      </w:r>
    </w:p>
    <w:p w14:paraId="72C6E0D1" w14:textId="77777777" w:rsidR="009701E8" w:rsidRDefault="009701E8" w:rsidP="00331A52">
      <w:pPr>
        <w:spacing w:before="100" w:beforeAutospacing="1" w:after="100" w:afterAutospacing="1" w:line="240" w:lineRule="auto"/>
        <w:ind w:left="360"/>
        <w:rPr>
          <w:rFonts w:eastAsia="Calibri"/>
          <w:color w:val="000000"/>
        </w:rPr>
      </w:pPr>
    </w:p>
    <w:p w14:paraId="1C034CCC" w14:textId="18464F37" w:rsidR="00FE13B9" w:rsidRPr="00331A52" w:rsidRDefault="00331A52" w:rsidP="00331A52">
      <w:pPr>
        <w:spacing w:after="0" w:line="240" w:lineRule="auto"/>
        <w:jc w:val="both"/>
        <w:rPr>
          <w:rFonts w:cstheme="minorHAnsi"/>
        </w:rPr>
      </w:pPr>
      <w:r>
        <w:t xml:space="preserve">21. </w:t>
      </w:r>
      <w:r w:rsidR="00273181">
        <w:t>L’équipe doit s’assurer de bien connaître les éléments suivants :</w:t>
      </w:r>
    </w:p>
    <w:p w14:paraId="45A5F4B1" w14:textId="13D1B410" w:rsidR="009443D5" w:rsidRPr="00D060F3" w:rsidRDefault="007F17BC" w:rsidP="0024719C">
      <w:pPr>
        <w:pStyle w:val="ListParagraph"/>
        <w:numPr>
          <w:ilvl w:val="0"/>
          <w:numId w:val="7"/>
        </w:numPr>
        <w:tabs>
          <w:tab w:val="left" w:pos="1170"/>
        </w:tabs>
        <w:spacing w:after="0" w:line="240" w:lineRule="auto"/>
        <w:ind w:left="720"/>
        <w:jc w:val="both"/>
        <w:rPr>
          <w:rFonts w:cstheme="minorHAnsi"/>
        </w:rPr>
      </w:pPr>
      <w:r>
        <w:t>L</w:t>
      </w:r>
      <w:r w:rsidR="009443D5">
        <w:t xml:space="preserve">e détail des exigences, </w:t>
      </w:r>
    </w:p>
    <w:p w14:paraId="0AA90831" w14:textId="568D2842" w:rsidR="009443D5" w:rsidRPr="00D060F3" w:rsidRDefault="007F17BC" w:rsidP="0024719C">
      <w:pPr>
        <w:pStyle w:val="ListParagraph"/>
        <w:numPr>
          <w:ilvl w:val="0"/>
          <w:numId w:val="7"/>
        </w:numPr>
        <w:tabs>
          <w:tab w:val="left" w:pos="1170"/>
        </w:tabs>
        <w:spacing w:after="0" w:line="240" w:lineRule="auto"/>
        <w:ind w:left="720"/>
        <w:jc w:val="both"/>
        <w:rPr>
          <w:rFonts w:cstheme="minorHAnsi"/>
        </w:rPr>
      </w:pPr>
      <w:r>
        <w:t>L</w:t>
      </w:r>
      <w:r w:rsidR="00E60B82">
        <w:t xml:space="preserve">e contenu complet de l’offre soumise par le soumissionnaire, </w:t>
      </w:r>
    </w:p>
    <w:p w14:paraId="11ABE3C5" w14:textId="3C5477F3" w:rsidR="009443D5" w:rsidRPr="00D060F3" w:rsidRDefault="007F17BC" w:rsidP="0024719C">
      <w:pPr>
        <w:pStyle w:val="ListParagraph"/>
        <w:numPr>
          <w:ilvl w:val="0"/>
          <w:numId w:val="7"/>
        </w:numPr>
        <w:tabs>
          <w:tab w:val="left" w:pos="1170"/>
        </w:tabs>
        <w:spacing w:after="0" w:line="240" w:lineRule="auto"/>
        <w:ind w:left="720"/>
        <w:jc w:val="both"/>
        <w:rPr>
          <w:rFonts w:cstheme="minorHAnsi"/>
        </w:rPr>
      </w:pPr>
      <w:r>
        <w:t>L</w:t>
      </w:r>
      <w:r w:rsidR="00E60B82">
        <w:t>es constatations et les recommandations de l’équipe d’évaluation, y compris le sujet de la négociation ; et</w:t>
      </w:r>
    </w:p>
    <w:p w14:paraId="0A4DB73D" w14:textId="3F114542" w:rsidR="00453C7D" w:rsidRPr="001002E6" w:rsidRDefault="007F17BC" w:rsidP="0024719C">
      <w:pPr>
        <w:pStyle w:val="ListParagraph"/>
        <w:numPr>
          <w:ilvl w:val="0"/>
          <w:numId w:val="7"/>
        </w:numPr>
        <w:tabs>
          <w:tab w:val="left" w:pos="1170"/>
        </w:tabs>
        <w:spacing w:after="0" w:line="240" w:lineRule="auto"/>
        <w:ind w:left="720"/>
        <w:jc w:val="both"/>
        <w:rPr>
          <w:rFonts w:cstheme="minorHAnsi"/>
        </w:rPr>
      </w:pPr>
      <w:r>
        <w:t>L</w:t>
      </w:r>
      <w:r w:rsidR="009443D5">
        <w:t>a stratégie de négociation approuvée par l’Autorité compétente responsable de l’approvisionnement sur la recommandation du Comité d’examen de l’approvisionnement, le cas échéant.</w:t>
      </w:r>
    </w:p>
    <w:p w14:paraId="627B5B40" w14:textId="77777777" w:rsidR="00E60B82" w:rsidRPr="001B30C8" w:rsidRDefault="00E60B82" w:rsidP="0024719C">
      <w:pPr>
        <w:spacing w:after="0" w:line="240" w:lineRule="auto"/>
        <w:ind w:left="1440"/>
        <w:jc w:val="both"/>
        <w:rPr>
          <w:rFonts w:cstheme="minorHAnsi"/>
        </w:rPr>
      </w:pPr>
    </w:p>
    <w:p w14:paraId="31689A04" w14:textId="14B01208" w:rsidR="00E60B82" w:rsidRDefault="008E48FD" w:rsidP="0024719C">
      <w:pPr>
        <w:spacing w:after="0" w:line="240" w:lineRule="auto"/>
        <w:ind w:left="1980" w:hanging="2070"/>
        <w:jc w:val="both"/>
        <w:rPr>
          <w:rFonts w:cstheme="minorHAnsi"/>
          <w:b/>
        </w:rPr>
      </w:pPr>
      <w:r>
        <w:rPr>
          <w:b/>
        </w:rPr>
        <w:t>Préparation pour la négociation</w:t>
      </w:r>
    </w:p>
    <w:p w14:paraId="51C903B8" w14:textId="77777777" w:rsidR="00BA66E9" w:rsidRPr="001B30C8" w:rsidDel="000856D2" w:rsidRDefault="00BA66E9" w:rsidP="0024719C">
      <w:pPr>
        <w:spacing w:after="0" w:line="240" w:lineRule="auto"/>
        <w:ind w:left="1980" w:hanging="2070"/>
        <w:jc w:val="both"/>
        <w:rPr>
          <w:rFonts w:cstheme="minorHAnsi"/>
          <w:b/>
        </w:rPr>
      </w:pPr>
    </w:p>
    <w:p w14:paraId="56C6381A" w14:textId="7A2621A5" w:rsidR="00D832A8" w:rsidRDefault="00331A52" w:rsidP="00331A52">
      <w:pPr>
        <w:spacing w:after="0" w:line="240" w:lineRule="auto"/>
        <w:jc w:val="both"/>
      </w:pPr>
      <w:r>
        <w:t xml:space="preserve">22. </w:t>
      </w:r>
      <w:r w:rsidR="003E2A7E">
        <w:t>L’équipe de négociation doit faire preuve de diligence raisonnable et se préparer adéquatement avant de mener les négociations.</w:t>
      </w:r>
    </w:p>
    <w:p w14:paraId="23E5A8AF" w14:textId="77777777" w:rsidR="00331A52" w:rsidRPr="00331A52" w:rsidDel="00A200CA" w:rsidRDefault="00331A52" w:rsidP="00331A52">
      <w:pPr>
        <w:spacing w:after="0" w:line="240" w:lineRule="auto"/>
        <w:jc w:val="both"/>
        <w:rPr>
          <w:rFonts w:cstheme="minorHAnsi"/>
        </w:rPr>
      </w:pPr>
    </w:p>
    <w:p w14:paraId="2DF13826" w14:textId="3A70A2DD" w:rsidR="000935EB" w:rsidRPr="001002E6" w:rsidRDefault="00331A52" w:rsidP="00331A52">
      <w:pPr>
        <w:spacing w:after="0" w:line="240" w:lineRule="auto"/>
        <w:jc w:val="both"/>
      </w:pPr>
      <w:r>
        <w:lastRenderedPageBreak/>
        <w:t xml:space="preserve">23. </w:t>
      </w:r>
      <w:r w:rsidR="000935EB">
        <w:t>Chaque négociation devrait avoir une liste claire et sans équivoque de sujets à négocier.  Avant d’entamer une négociation préalable, le soumissionnaire recommandé qui est appelé à négocier devrait être dûment avisé par écrit de ce qui suit :</w:t>
      </w:r>
    </w:p>
    <w:p w14:paraId="1A03DBEE" w14:textId="73F6A9A9" w:rsidR="000935EB" w:rsidRPr="00D060F3" w:rsidRDefault="00737F7A" w:rsidP="0024719C">
      <w:pPr>
        <w:pStyle w:val="ListParagraph"/>
        <w:numPr>
          <w:ilvl w:val="0"/>
          <w:numId w:val="9"/>
        </w:numPr>
        <w:jc w:val="both"/>
        <w:rPr>
          <w:rFonts w:cstheme="minorHAnsi"/>
        </w:rPr>
      </w:pPr>
      <w:r>
        <w:t>La date, l’heure et la liste réalistes et réalisables des sujets des négociations, en évitant les retards inutiles ;</w:t>
      </w:r>
    </w:p>
    <w:p w14:paraId="2118EFF0" w14:textId="58D7B766" w:rsidR="000935EB" w:rsidRPr="00D060F3" w:rsidRDefault="00737F7A" w:rsidP="0024719C">
      <w:pPr>
        <w:pStyle w:val="ListParagraph"/>
        <w:numPr>
          <w:ilvl w:val="0"/>
          <w:numId w:val="9"/>
        </w:numPr>
        <w:jc w:val="both"/>
        <w:rPr>
          <w:rFonts w:cstheme="minorHAnsi"/>
        </w:rPr>
      </w:pPr>
      <w:r>
        <w:t>L’objectif et la justification de la négociation ;</w:t>
      </w:r>
    </w:p>
    <w:p w14:paraId="54B97FAF" w14:textId="23A62644" w:rsidR="000935EB" w:rsidRDefault="00E60B82" w:rsidP="0024719C">
      <w:pPr>
        <w:pStyle w:val="ListParagraph"/>
        <w:numPr>
          <w:ilvl w:val="0"/>
          <w:numId w:val="9"/>
        </w:numPr>
        <w:jc w:val="both"/>
        <w:rPr>
          <w:rFonts w:cstheme="minorHAnsi"/>
        </w:rPr>
      </w:pPr>
      <w:r>
        <w:t>Un énoncé selon lequel le soumissionnaire recommandé couvrirait tous les coûts liés au personnel et à la logistique découlant de sa participation aux négociations, suivi d’une invitation pour le soumissionnaire de proposer d’autres options s’il ne veut pas assumer ces coûts (c.-à-d. téléconférence, ou nomination de leur représentant local autorisé pour assister aux négociations en leur nom, etc.) ;</w:t>
      </w:r>
    </w:p>
    <w:p w14:paraId="68CCDBC5" w14:textId="2D40B3A0" w:rsidR="00F50557" w:rsidRPr="00D060F3" w:rsidRDefault="00F50557" w:rsidP="0024719C">
      <w:pPr>
        <w:pStyle w:val="ListParagraph"/>
        <w:numPr>
          <w:ilvl w:val="0"/>
          <w:numId w:val="9"/>
        </w:numPr>
        <w:jc w:val="both"/>
        <w:rPr>
          <w:rFonts w:cstheme="minorHAnsi"/>
        </w:rPr>
      </w:pPr>
      <w:r>
        <w:rPr>
          <w:color w:val="000000"/>
        </w:rPr>
        <w:t>Une déclaration d’impartialité ou de conflit d’intérêts de la part du fournisseur ;</w:t>
      </w:r>
    </w:p>
    <w:p w14:paraId="6B6450EF" w14:textId="2FFD6B48" w:rsidR="00E60B82" w:rsidRPr="00D060F3" w:rsidRDefault="00E60B82" w:rsidP="0024719C">
      <w:pPr>
        <w:pStyle w:val="ListParagraph"/>
        <w:numPr>
          <w:ilvl w:val="0"/>
          <w:numId w:val="9"/>
        </w:numPr>
        <w:spacing w:after="0" w:line="240" w:lineRule="auto"/>
        <w:jc w:val="both"/>
        <w:rPr>
          <w:rFonts w:cstheme="minorHAnsi"/>
        </w:rPr>
      </w:pPr>
      <w:r>
        <w:t>Une demande au soumissionnaire de fournir les renseignements suivants :</w:t>
      </w:r>
    </w:p>
    <w:p w14:paraId="0281E467" w14:textId="77777777" w:rsidR="00E60B82" w:rsidRPr="00D060F3" w:rsidRDefault="00E60B82" w:rsidP="0024719C">
      <w:pPr>
        <w:pStyle w:val="ListParagraph"/>
        <w:numPr>
          <w:ilvl w:val="5"/>
          <w:numId w:val="8"/>
        </w:numPr>
        <w:spacing w:after="0" w:line="240" w:lineRule="auto"/>
        <w:ind w:left="1440" w:hanging="270"/>
        <w:jc w:val="both"/>
        <w:rPr>
          <w:rFonts w:cstheme="minorHAnsi"/>
        </w:rPr>
      </w:pPr>
      <w:r>
        <w:t>La confirmation de la participation à l’heure et au lieu précisés, ou tout autre moyen de participation proposé ; et</w:t>
      </w:r>
    </w:p>
    <w:p w14:paraId="4C23F565" w14:textId="17AC6459" w:rsidR="00E60B82" w:rsidRPr="00D060F3" w:rsidRDefault="00E60B82" w:rsidP="0024719C">
      <w:pPr>
        <w:pStyle w:val="ListParagraph"/>
        <w:numPr>
          <w:ilvl w:val="5"/>
          <w:numId w:val="8"/>
        </w:numPr>
        <w:spacing w:after="0" w:line="240" w:lineRule="auto"/>
        <w:ind w:left="1440" w:hanging="270"/>
        <w:jc w:val="both"/>
        <w:rPr>
          <w:rFonts w:cstheme="minorHAnsi"/>
        </w:rPr>
      </w:pPr>
      <w:r>
        <w:t xml:space="preserve">Le nombre de fonctionnaires participant aux négociations et leurs positions respectives au sein de l’organisation qu’ils représentent. </w:t>
      </w:r>
    </w:p>
    <w:p w14:paraId="1A8A0374" w14:textId="77777777" w:rsidR="00E60B82" w:rsidRPr="00331A52" w:rsidRDefault="00E60B82" w:rsidP="0024719C">
      <w:pPr>
        <w:spacing w:after="0" w:line="240" w:lineRule="auto"/>
        <w:ind w:left="360"/>
        <w:jc w:val="both"/>
        <w:rPr>
          <w:rFonts w:cstheme="minorHAnsi"/>
        </w:rPr>
      </w:pPr>
    </w:p>
    <w:p w14:paraId="3BB348DD" w14:textId="4408D486" w:rsidR="00D832A8" w:rsidRPr="00331A52" w:rsidRDefault="00331A52" w:rsidP="00331A52">
      <w:pPr>
        <w:spacing w:after="0" w:line="240" w:lineRule="auto"/>
        <w:jc w:val="both"/>
        <w:rPr>
          <w:rFonts w:cstheme="minorHAnsi"/>
        </w:rPr>
      </w:pPr>
      <w:r>
        <w:t xml:space="preserve">24. </w:t>
      </w:r>
      <w:r w:rsidR="00E60B82">
        <w:t>La notification des négociations peut se faire par n’importe quel moyen – courrier, fax ou email – à condition que l’Unité opérationnelle puisse avoir une preuve de cette transmission.</w:t>
      </w:r>
    </w:p>
    <w:p w14:paraId="67FF2A50" w14:textId="77777777" w:rsidR="00D832A8" w:rsidRPr="001002E6" w:rsidRDefault="00E60B82" w:rsidP="0024719C">
      <w:pPr>
        <w:pStyle w:val="ListParagraph"/>
        <w:spacing w:after="0" w:line="240" w:lineRule="auto"/>
        <w:ind w:left="360"/>
        <w:jc w:val="both"/>
        <w:rPr>
          <w:rFonts w:cstheme="minorHAnsi"/>
        </w:rPr>
      </w:pPr>
      <w:r>
        <w:t xml:space="preserve">   </w:t>
      </w:r>
    </w:p>
    <w:p w14:paraId="43072BB5" w14:textId="5F4327A0" w:rsidR="00E60B82" w:rsidRPr="00D832A8" w:rsidRDefault="00331A52" w:rsidP="00331A52">
      <w:pPr>
        <w:spacing w:after="0" w:line="240" w:lineRule="auto"/>
        <w:jc w:val="both"/>
      </w:pPr>
      <w:r>
        <w:t xml:space="preserve">25. </w:t>
      </w:r>
      <w:r w:rsidR="00E60B82">
        <w:t xml:space="preserve">Le nombre de personnes impliquées dans la négociation devrait être maintenu au minimum des deux côtés. Dans la mesure du possible, ils doivent être de même nombre et de même niveau d’autorité (p. ex., s’il y a un directeur de haut niveau représentant le soumissionnaire, un agent national ou un personnel professionnel de niveau comparable dans l’Unité opérationnelle doit également être présent).  </w:t>
      </w:r>
    </w:p>
    <w:p w14:paraId="0524A722" w14:textId="77777777" w:rsidR="00E60B82" w:rsidRPr="007F17BC" w:rsidRDefault="00E60B82" w:rsidP="0024719C">
      <w:pPr>
        <w:spacing w:after="0" w:line="240" w:lineRule="auto"/>
        <w:jc w:val="both"/>
        <w:rPr>
          <w:rFonts w:cstheme="minorHAnsi"/>
        </w:rPr>
      </w:pPr>
    </w:p>
    <w:p w14:paraId="097B8BDE" w14:textId="77777777" w:rsidR="008C0E70" w:rsidRPr="007F17BC" w:rsidRDefault="008C0E70" w:rsidP="0024719C">
      <w:pPr>
        <w:spacing w:after="0" w:line="240" w:lineRule="auto"/>
        <w:jc w:val="both"/>
        <w:rPr>
          <w:rFonts w:cstheme="minorHAnsi"/>
          <w:b/>
        </w:rPr>
      </w:pPr>
    </w:p>
    <w:p w14:paraId="6A2C77CD" w14:textId="2E690B46" w:rsidR="004E68F2" w:rsidRPr="0024719C" w:rsidRDefault="000D1AC8" w:rsidP="0024719C">
      <w:pPr>
        <w:spacing w:after="0" w:line="240" w:lineRule="auto"/>
        <w:jc w:val="both"/>
        <w:rPr>
          <w:rFonts w:cstheme="minorHAnsi"/>
          <w:b/>
        </w:rPr>
      </w:pPr>
      <w:r>
        <w:rPr>
          <w:b/>
        </w:rPr>
        <w:t>Résultats possibles des négociations</w:t>
      </w:r>
    </w:p>
    <w:p w14:paraId="46FCD302" w14:textId="77777777" w:rsidR="004E68F2" w:rsidRPr="001B30C8" w:rsidRDefault="004E68F2" w:rsidP="0024719C">
      <w:pPr>
        <w:pStyle w:val="ListParagraph"/>
        <w:spacing w:after="0" w:line="240" w:lineRule="auto"/>
        <w:ind w:left="1080"/>
        <w:jc w:val="both"/>
        <w:rPr>
          <w:rFonts w:cstheme="minorHAnsi"/>
          <w:b/>
          <w:i/>
        </w:rPr>
      </w:pPr>
    </w:p>
    <w:p w14:paraId="6C37BDE7" w14:textId="500134F0" w:rsidR="004E68F2" w:rsidRPr="00331A52" w:rsidRDefault="00331A52" w:rsidP="00331A52">
      <w:pPr>
        <w:spacing w:after="0" w:line="240" w:lineRule="auto"/>
        <w:jc w:val="both"/>
        <w:rPr>
          <w:rFonts w:cstheme="minorHAnsi"/>
        </w:rPr>
      </w:pPr>
      <w:r>
        <w:t xml:space="preserve">26. </w:t>
      </w:r>
      <w:r w:rsidR="004E68F2">
        <w:t>Les négociations peuvent nécessiter une série de réunions et de consultations internes au sein des deux organisations concernées, mais elles ne devraient pas entraîner de retards inutiles.   Un échéancier pour la négociation préalable devrait être convenu et maintenu pour obtenir des résultats efficaces.</w:t>
      </w:r>
    </w:p>
    <w:p w14:paraId="317D4061" w14:textId="77777777" w:rsidR="00D832A8" w:rsidRDefault="00D832A8" w:rsidP="0024719C">
      <w:pPr>
        <w:pStyle w:val="ListParagraph"/>
        <w:spacing w:after="0" w:line="240" w:lineRule="auto"/>
        <w:ind w:left="360"/>
        <w:jc w:val="both"/>
        <w:rPr>
          <w:rFonts w:cstheme="minorHAnsi"/>
        </w:rPr>
      </w:pPr>
      <w:r>
        <w:t xml:space="preserve"> </w:t>
      </w:r>
    </w:p>
    <w:p w14:paraId="2D1B8DA6" w14:textId="17F5F88D" w:rsidR="00D832A8" w:rsidRPr="00331A52" w:rsidRDefault="00331A52" w:rsidP="00331A52">
      <w:pPr>
        <w:spacing w:after="0" w:line="240" w:lineRule="auto"/>
        <w:jc w:val="both"/>
        <w:rPr>
          <w:rFonts w:cstheme="minorHAnsi"/>
        </w:rPr>
      </w:pPr>
      <w:r>
        <w:t xml:space="preserve">27. </w:t>
      </w:r>
      <w:r w:rsidR="004E68F2">
        <w:t xml:space="preserve">Si la validité de l’offre approche de l’expiration et qu’aucune entente n’a été conclue à la suite d’une négociation en cours, l’Unité opérationnelle peut demander au soumissionnaire ainsi qu’à tous les autres soumissionnaires recevables de prolonger la validité de leurs offres, dans un délai raisonnable lorsque l’Unité opérationnelle peut s’attendre à une conclusion des négociations, y compris </w:t>
      </w:r>
      <w:r w:rsidR="00084F64">
        <w:t xml:space="preserve">considérant </w:t>
      </w:r>
      <w:r w:rsidR="004E68F2">
        <w:t>une période d’</w:t>
      </w:r>
      <w:r w:rsidR="00084F64">
        <w:t>imprévu</w:t>
      </w:r>
    </w:p>
    <w:p w14:paraId="1515ECED" w14:textId="77777777" w:rsidR="00D832A8" w:rsidRPr="001002E6" w:rsidRDefault="004E68F2" w:rsidP="0024719C">
      <w:pPr>
        <w:pStyle w:val="ListParagraph"/>
        <w:spacing w:after="0" w:line="240" w:lineRule="auto"/>
        <w:ind w:left="360"/>
        <w:jc w:val="both"/>
        <w:rPr>
          <w:rFonts w:cstheme="minorHAnsi"/>
        </w:rPr>
      </w:pPr>
      <w:r>
        <w:t xml:space="preserve">   </w:t>
      </w:r>
    </w:p>
    <w:p w14:paraId="052F0EDA" w14:textId="16A23B71" w:rsidR="004E68F2" w:rsidRPr="00D832A8" w:rsidRDefault="00331A52" w:rsidP="00331A52">
      <w:pPr>
        <w:spacing w:after="0" w:line="240" w:lineRule="auto"/>
        <w:jc w:val="both"/>
      </w:pPr>
      <w:r>
        <w:t xml:space="preserve">28. </w:t>
      </w:r>
      <w:r w:rsidR="004E68F2">
        <w:t xml:space="preserve">Dans le cas où les sujets faisant l’objet de négociations ne seraient pas résolus après une tentative mutuelle raisonnable de coopération, les négociations peuvent être annulées avec un rapport au Comité d’examen de l’approvisionnement ou à l’Autorité responsable de l’approvisionnement sur l’échec des négociations et demander, au besoin, l’approbation de négocier avec le soumissionnaire suivant. L’Unité opérationnelle doit informer le soumissionnaire de cette décision par écrit, après une recommandation du Comité d’examen de l’approvisionnement ou de l’Autorité responsable de l’approvisionnement.  Par </w:t>
      </w:r>
      <w:r w:rsidR="004E68F2">
        <w:lastRenderedPageBreak/>
        <w:t xml:space="preserve">la suite, l’Unité opérationnelle peut entamer des négociations avec le soumissionnaire de deuxième rang, le cas échéant, ou déclarer un échec du processus de sélection.  </w:t>
      </w:r>
    </w:p>
    <w:p w14:paraId="795970FF" w14:textId="77777777" w:rsidR="004E68F2" w:rsidRPr="007F17BC" w:rsidRDefault="004E68F2" w:rsidP="0024719C">
      <w:pPr>
        <w:spacing w:after="0" w:line="240" w:lineRule="auto"/>
        <w:ind w:left="720"/>
        <w:jc w:val="both"/>
        <w:rPr>
          <w:rFonts w:cstheme="minorHAnsi"/>
        </w:rPr>
      </w:pPr>
    </w:p>
    <w:p w14:paraId="7750E27D" w14:textId="77777777" w:rsidR="00066FF1" w:rsidRPr="007F17BC" w:rsidRDefault="00066FF1" w:rsidP="0024719C">
      <w:pPr>
        <w:spacing w:after="0" w:line="240" w:lineRule="auto"/>
        <w:jc w:val="both"/>
        <w:rPr>
          <w:rFonts w:cstheme="minorHAnsi"/>
        </w:rPr>
      </w:pPr>
    </w:p>
    <w:p w14:paraId="4AF1F6F0" w14:textId="77777777" w:rsidR="0000032F" w:rsidRPr="00D060F3" w:rsidRDefault="00791A87" w:rsidP="0024719C">
      <w:pPr>
        <w:spacing w:after="0" w:line="240" w:lineRule="auto"/>
        <w:jc w:val="both"/>
        <w:rPr>
          <w:rFonts w:cstheme="minorHAnsi"/>
          <w:b/>
        </w:rPr>
      </w:pPr>
      <w:r>
        <w:rPr>
          <w:b/>
        </w:rPr>
        <w:t>Documentation du processus de négociation</w:t>
      </w:r>
    </w:p>
    <w:p w14:paraId="3F9B24D6" w14:textId="77777777" w:rsidR="0000032F" w:rsidRPr="001B30C8" w:rsidRDefault="0000032F" w:rsidP="0024719C">
      <w:pPr>
        <w:spacing w:after="0" w:line="240" w:lineRule="auto"/>
        <w:jc w:val="both"/>
        <w:rPr>
          <w:rFonts w:cstheme="minorHAnsi"/>
          <w:b/>
        </w:rPr>
      </w:pPr>
    </w:p>
    <w:p w14:paraId="3DE102CE" w14:textId="11F44915" w:rsidR="0000032F" w:rsidRPr="00331A52" w:rsidRDefault="00331A52" w:rsidP="00331A52">
      <w:pPr>
        <w:spacing w:after="0" w:line="240" w:lineRule="auto"/>
        <w:jc w:val="both"/>
        <w:rPr>
          <w:rFonts w:cstheme="minorHAnsi"/>
        </w:rPr>
      </w:pPr>
      <w:r>
        <w:t xml:space="preserve">29. </w:t>
      </w:r>
      <w:r w:rsidR="001E6A7D">
        <w:t>Afin de maintenir la transparence et de respecter les principes d’une concurrence équitable, toutes les négociations devraient être entièrement documentées. Au minimum, les informations suivantes doivent être prises en compte dans la documentation d’un processus de négociation et doivent être conservées dans les dossiers de l’Unité opérationnelle :</w:t>
      </w:r>
    </w:p>
    <w:p w14:paraId="7C35633D" w14:textId="5CEC92BD" w:rsidR="0000032F" w:rsidRPr="00D060F3" w:rsidRDefault="0000032F" w:rsidP="0024719C">
      <w:pPr>
        <w:pStyle w:val="ListParagraph"/>
        <w:numPr>
          <w:ilvl w:val="0"/>
          <w:numId w:val="10"/>
        </w:numPr>
        <w:spacing w:after="0" w:line="240" w:lineRule="auto"/>
        <w:jc w:val="both"/>
        <w:rPr>
          <w:rFonts w:cstheme="minorHAnsi"/>
        </w:rPr>
      </w:pPr>
      <w:r>
        <w:t>Une justification pour mener la négociation, y compris les objectifs ou la stratégie de négociation approuvés par l’Autorité responsable de l’approvisionnement, si la négociation est de nature substantielle ;</w:t>
      </w:r>
    </w:p>
    <w:p w14:paraId="04DF1A3C" w14:textId="77777777" w:rsidR="0000032F" w:rsidRPr="00D060F3" w:rsidRDefault="00447CA1" w:rsidP="0024719C">
      <w:pPr>
        <w:pStyle w:val="ListParagraph"/>
        <w:numPr>
          <w:ilvl w:val="0"/>
          <w:numId w:val="10"/>
        </w:numPr>
        <w:spacing w:after="0" w:line="240" w:lineRule="auto"/>
        <w:jc w:val="both"/>
        <w:rPr>
          <w:rFonts w:cstheme="minorHAnsi"/>
        </w:rPr>
      </w:pPr>
      <w:r>
        <w:t>Les recommandations et l’approbation du Comité d’examen de l’approvisionnement pour mener les négociations, au besoin, selon la valeur du contrat ;</w:t>
      </w:r>
    </w:p>
    <w:p w14:paraId="7DFE1735" w14:textId="77777777" w:rsidR="0000032F" w:rsidRPr="00D060F3" w:rsidRDefault="0000032F" w:rsidP="0024719C">
      <w:pPr>
        <w:pStyle w:val="ListParagraph"/>
        <w:numPr>
          <w:ilvl w:val="0"/>
          <w:numId w:val="10"/>
        </w:numPr>
        <w:spacing w:after="0" w:line="240" w:lineRule="auto"/>
        <w:jc w:val="both"/>
        <w:rPr>
          <w:rFonts w:cstheme="minorHAnsi"/>
        </w:rPr>
      </w:pPr>
      <w:r>
        <w:t xml:space="preserve">Les procès-verbaux des négociations, en indiquant la date, l’heure et les participants des deux parties ; </w:t>
      </w:r>
    </w:p>
    <w:p w14:paraId="17CD3AED" w14:textId="77777777" w:rsidR="0000032F" w:rsidRPr="00D060F3" w:rsidRDefault="0000032F" w:rsidP="0024719C">
      <w:pPr>
        <w:pStyle w:val="ListParagraph"/>
        <w:numPr>
          <w:ilvl w:val="0"/>
          <w:numId w:val="10"/>
        </w:numPr>
        <w:spacing w:after="0" w:line="240" w:lineRule="auto"/>
        <w:jc w:val="both"/>
        <w:rPr>
          <w:rFonts w:cstheme="minorHAnsi"/>
        </w:rPr>
      </w:pPr>
      <w:r>
        <w:t xml:space="preserve">Les échanges écrits entre les parties qui négocient et les autres communications écrites qui font partie de la négociation ; </w:t>
      </w:r>
    </w:p>
    <w:p w14:paraId="375A5484" w14:textId="0EE23DFF" w:rsidR="0000032F" w:rsidRPr="00D060F3" w:rsidRDefault="0000032F" w:rsidP="0024719C">
      <w:pPr>
        <w:pStyle w:val="ListParagraph"/>
        <w:numPr>
          <w:ilvl w:val="0"/>
          <w:numId w:val="10"/>
        </w:numPr>
        <w:spacing w:after="0" w:line="240" w:lineRule="auto"/>
        <w:jc w:val="both"/>
        <w:rPr>
          <w:rFonts w:cstheme="minorHAnsi"/>
        </w:rPr>
      </w:pPr>
      <w:r>
        <w:t xml:space="preserve">L’accord définitif entre les parties ; </w:t>
      </w:r>
    </w:p>
    <w:p w14:paraId="1F690B32" w14:textId="4498357A" w:rsidR="0000032F" w:rsidRPr="00D060F3" w:rsidRDefault="0000032F" w:rsidP="0024719C">
      <w:pPr>
        <w:pStyle w:val="ListParagraph"/>
        <w:numPr>
          <w:ilvl w:val="0"/>
          <w:numId w:val="10"/>
        </w:numPr>
        <w:spacing w:after="0" w:line="240" w:lineRule="auto"/>
        <w:jc w:val="both"/>
        <w:rPr>
          <w:rFonts w:cstheme="minorHAnsi"/>
        </w:rPr>
      </w:pPr>
      <w:r>
        <w:t>La recommandation du Comité d’examen de l’approvisionnement ou de l’Autorité responsable de l’approvisionnement pour le résultat de la négociation, au besoin, selon la valeur du contrat ; et</w:t>
      </w:r>
    </w:p>
    <w:p w14:paraId="2F9BD8BE" w14:textId="77777777" w:rsidR="0027512C" w:rsidRPr="001B30C8" w:rsidRDefault="0027512C" w:rsidP="007B46A7">
      <w:pPr>
        <w:pStyle w:val="ListParagraph"/>
        <w:spacing w:after="0" w:line="240" w:lineRule="auto"/>
        <w:ind w:left="360"/>
        <w:jc w:val="both"/>
        <w:rPr>
          <w:rFonts w:cstheme="minorHAnsi"/>
        </w:rPr>
      </w:pPr>
    </w:p>
    <w:p w14:paraId="1BDF3C55" w14:textId="3D7BA248" w:rsidR="0000032F" w:rsidRPr="00331A52" w:rsidRDefault="00331A52" w:rsidP="00331A52">
      <w:pPr>
        <w:spacing w:after="0" w:line="240" w:lineRule="auto"/>
        <w:jc w:val="both"/>
        <w:rPr>
          <w:rFonts w:cstheme="minorHAnsi"/>
        </w:rPr>
      </w:pPr>
      <w:r>
        <w:t xml:space="preserve">30. </w:t>
      </w:r>
      <w:r w:rsidR="0000032F">
        <w:t>Tous les procès-verbaux des négociations, lettres échangées et accords définitifs font partie intégrante du contrat qui sera signé par les parties et y sont annexés.</w:t>
      </w:r>
    </w:p>
    <w:p w14:paraId="5E1A4113" w14:textId="77777777" w:rsidR="000F1244" w:rsidRPr="001B30C8" w:rsidRDefault="000F1244" w:rsidP="0024719C">
      <w:pPr>
        <w:spacing w:after="0" w:line="240" w:lineRule="auto"/>
        <w:ind w:left="720"/>
        <w:jc w:val="both"/>
        <w:rPr>
          <w:rFonts w:cstheme="minorHAnsi"/>
        </w:rPr>
      </w:pPr>
    </w:p>
    <w:p w14:paraId="303F5896" w14:textId="0F0E8D67" w:rsidR="00FE0646" w:rsidRPr="00331A52" w:rsidRDefault="00331A52" w:rsidP="00331A52">
      <w:pPr>
        <w:spacing w:after="0" w:line="240" w:lineRule="auto"/>
        <w:jc w:val="both"/>
        <w:rPr>
          <w:rFonts w:cstheme="minorHAnsi"/>
        </w:rPr>
      </w:pPr>
      <w:r>
        <w:t xml:space="preserve">31. </w:t>
      </w:r>
      <w:r w:rsidR="00FE0646">
        <w:t>Toute clarification ou tout soutien requis relativement à l’application de la présente politique doit être présenté à l’Unité des services d’approvisionnement (PSU). L’Unité des services d’approvisionnement fournira de la formation pratique et du soutien aux Unités opérationnelles sur la conduite des négociations préalables.</w:t>
      </w:r>
    </w:p>
    <w:p w14:paraId="02047915" w14:textId="1367E293" w:rsidR="00970EFC" w:rsidRDefault="00495988" w:rsidP="00495988">
      <w:pPr>
        <w:rPr>
          <w:b/>
        </w:rPr>
      </w:pPr>
      <w:r>
        <w:rPr>
          <w:b/>
        </w:rPr>
        <w:t xml:space="preserve"> </w:t>
      </w:r>
    </w:p>
    <w:p w14:paraId="269CA7C6" w14:textId="77777777" w:rsidR="00331A52" w:rsidRPr="009C2FAD" w:rsidRDefault="00331A52" w:rsidP="00331A52">
      <w:pPr>
        <w:pStyle w:val="NormalWeb"/>
        <w:jc w:val="center"/>
        <w:rPr>
          <w:rFonts w:asciiTheme="minorHAnsi" w:hAnsiTheme="minorHAnsi"/>
          <w:color w:val="000000"/>
          <w:sz w:val="22"/>
          <w:szCs w:val="22"/>
          <w:lang w:val="en-US"/>
        </w:rPr>
      </w:pPr>
      <w:r w:rsidRPr="001B30C8">
        <w:rPr>
          <w:rFonts w:asciiTheme="minorHAnsi" w:hAnsiTheme="minorHAnsi"/>
          <w:color w:val="000000"/>
          <w:sz w:val="22"/>
          <w:szCs w:val="22"/>
          <w:lang w:val="en-GB"/>
        </w:rPr>
        <w:t>Disclaimer: This document was translated from English into French. In the event of any discrepancy between this translation and the original English document, the original English document shall prevail.</w:t>
      </w:r>
    </w:p>
    <w:p w14:paraId="62DD2E5F" w14:textId="77777777" w:rsidR="00331A52" w:rsidRPr="009C2FAD" w:rsidRDefault="00331A52" w:rsidP="00331A52">
      <w:pPr>
        <w:pStyle w:val="NormalWeb"/>
        <w:jc w:val="center"/>
        <w:rPr>
          <w:rFonts w:asciiTheme="minorHAnsi" w:hAnsiTheme="minorHAnsi"/>
          <w:color w:val="000000"/>
          <w:sz w:val="22"/>
          <w:szCs w:val="22"/>
        </w:rPr>
      </w:pPr>
      <w:r w:rsidRPr="009C2FAD">
        <w:rPr>
          <w:rFonts w:asciiTheme="minorHAnsi" w:hAnsiTheme="minorHAnsi"/>
          <w:color w:val="000000"/>
          <w:sz w:val="22"/>
          <w:szCs w:val="22"/>
        </w:rPr>
        <w:t>Avertissement: Ce document a été traduit de l'anglais vers le français. En cas de divergence entre cette traduction et le document anglais original, le document anglais original prévaudra.</w:t>
      </w:r>
    </w:p>
    <w:p w14:paraId="3C535932" w14:textId="77777777" w:rsidR="00331A52" w:rsidRDefault="00331A52" w:rsidP="00495988">
      <w:pPr>
        <w:rPr>
          <w:rFonts w:cs="Arial"/>
          <w:b/>
        </w:rPr>
      </w:pPr>
    </w:p>
    <w:p w14:paraId="00A5D9F3" w14:textId="77777777" w:rsidR="00970EFC" w:rsidRDefault="00970EFC" w:rsidP="00D060F3">
      <w:pPr>
        <w:pStyle w:val="ListParagraph"/>
        <w:spacing w:after="0" w:line="240" w:lineRule="auto"/>
        <w:ind w:left="1440"/>
        <w:jc w:val="both"/>
        <w:rPr>
          <w:rFonts w:cs="Arial"/>
          <w:b/>
        </w:rPr>
      </w:pPr>
    </w:p>
    <w:sectPr w:rsidR="00970EFC" w:rsidSect="00BA20D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CE5D6" w14:textId="77777777" w:rsidR="00191592" w:rsidRDefault="00191592" w:rsidP="00966606">
      <w:pPr>
        <w:spacing w:after="0" w:line="240" w:lineRule="auto"/>
      </w:pPr>
      <w:r>
        <w:separator/>
      </w:r>
    </w:p>
  </w:endnote>
  <w:endnote w:type="continuationSeparator" w:id="0">
    <w:p w14:paraId="33C25F4F" w14:textId="77777777" w:rsidR="00191592" w:rsidRDefault="00191592" w:rsidP="0096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DFAE" w14:textId="77777777" w:rsidR="001B30C8" w:rsidRDefault="001B3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794729"/>
      <w:docPartObj>
        <w:docPartGallery w:val="Page Numbers (Bottom of Page)"/>
        <w:docPartUnique/>
      </w:docPartObj>
    </w:sdtPr>
    <w:sdtContent>
      <w:sdt>
        <w:sdtPr>
          <w:id w:val="-1705238520"/>
          <w:docPartObj>
            <w:docPartGallery w:val="Page Numbers (Top of Page)"/>
            <w:docPartUnique/>
          </w:docPartObj>
        </w:sdtPr>
        <w:sdtContent>
          <w:p w14:paraId="344A84C2" w14:textId="7D19C1FA" w:rsidR="004A7283" w:rsidRPr="004A7283" w:rsidRDefault="004A7283">
            <w:pPr>
              <w:pStyle w:val="Footer"/>
            </w:pPr>
            <w:r>
              <w:t xml:space="preserve">Page </w:t>
            </w:r>
            <w:r w:rsidRPr="004A7283">
              <w:rPr>
                <w:b/>
                <w:bCs/>
              </w:rPr>
              <w:fldChar w:fldCharType="begin"/>
            </w:r>
            <w:r w:rsidRPr="004A7283">
              <w:rPr>
                <w:b/>
                <w:bCs/>
              </w:rPr>
              <w:instrText xml:space="preserve"> PAGE </w:instrText>
            </w:r>
            <w:r w:rsidRPr="004A7283">
              <w:rPr>
                <w:b/>
                <w:bCs/>
              </w:rPr>
              <w:fldChar w:fldCharType="separate"/>
            </w:r>
            <w:r w:rsidR="00D561DD">
              <w:rPr>
                <w:b/>
                <w:bCs/>
                <w:noProof/>
              </w:rPr>
              <w:t>1</w:t>
            </w:r>
            <w:r w:rsidRPr="004A7283">
              <w:rPr>
                <w:b/>
                <w:bCs/>
              </w:rPr>
              <w:fldChar w:fldCharType="end"/>
            </w:r>
            <w:r>
              <w:t xml:space="preserve"> sur </w:t>
            </w:r>
            <w:r w:rsidRPr="004A7283">
              <w:rPr>
                <w:b/>
                <w:bCs/>
              </w:rPr>
              <w:fldChar w:fldCharType="begin"/>
            </w:r>
            <w:r w:rsidRPr="004A7283">
              <w:rPr>
                <w:b/>
                <w:bCs/>
              </w:rPr>
              <w:instrText xml:space="preserve"> NUMPAGES  </w:instrText>
            </w:r>
            <w:r w:rsidRPr="004A7283">
              <w:rPr>
                <w:b/>
                <w:bCs/>
              </w:rPr>
              <w:fldChar w:fldCharType="separate"/>
            </w:r>
            <w:r w:rsidR="00D561DD">
              <w:rPr>
                <w:b/>
                <w:bCs/>
                <w:noProof/>
              </w:rPr>
              <w:t>8</w:t>
            </w:r>
            <w:r w:rsidRPr="004A7283">
              <w:rPr>
                <w:b/>
                <w:bCs/>
              </w:rPr>
              <w:fldChar w:fldCharType="end"/>
            </w:r>
            <w:r>
              <w:tab/>
              <w:t>Date d’entrée en vigueur :</w:t>
            </w:r>
            <w:r w:rsidR="00E138FA" w:rsidRPr="00E138FA">
              <w:t xml:space="preserve"> </w:t>
            </w:r>
            <w:r w:rsidR="00E138FA" w:rsidRPr="00E138FA">
              <w:t>12/07/2016</w:t>
            </w:r>
            <w:r>
              <w:tab/>
              <w:t xml:space="preserve">Numéro de version : </w:t>
            </w:r>
            <w:sdt>
              <w:sdtPr>
                <w:rPr>
                  <w:bCs/>
                </w:rPr>
                <w:alias w:val="POPPRefItemVersion"/>
                <w:tag w:val="UNDP_POPP_REFITEM_VERSION"/>
                <w:id w:val="-11175727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925B872-431B-4F65-9C12-408F71BECD75}"/>
                <w:text/>
              </w:sdtPr>
              <w:sdtContent>
                <w:r w:rsidR="00E138FA">
                  <w:rPr>
                    <w:bCs/>
                  </w:rPr>
                  <w:t>6</w:t>
                </w:r>
              </w:sdtContent>
            </w:sdt>
          </w:p>
        </w:sdtContent>
      </w:sdt>
    </w:sdtContent>
  </w:sdt>
  <w:p w14:paraId="03630654" w14:textId="7B20CC4C" w:rsidR="0069561B" w:rsidRDefault="0069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EB69" w14:textId="77777777" w:rsidR="001B30C8" w:rsidRDefault="001B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620B6" w14:textId="77777777" w:rsidR="00191592" w:rsidRDefault="00191592" w:rsidP="00966606">
      <w:pPr>
        <w:spacing w:after="0" w:line="240" w:lineRule="auto"/>
      </w:pPr>
      <w:r>
        <w:separator/>
      </w:r>
    </w:p>
  </w:footnote>
  <w:footnote w:type="continuationSeparator" w:id="0">
    <w:p w14:paraId="4E237FE8" w14:textId="77777777" w:rsidR="00191592" w:rsidRDefault="00191592" w:rsidP="00966606">
      <w:pPr>
        <w:spacing w:after="0" w:line="240" w:lineRule="auto"/>
      </w:pPr>
      <w:r>
        <w:continuationSeparator/>
      </w:r>
    </w:p>
  </w:footnote>
  <w:footnote w:id="1">
    <w:p w14:paraId="4FD699B4" w14:textId="71850F81" w:rsidR="00FA438A" w:rsidRPr="008520B2" w:rsidRDefault="00FA438A">
      <w:pPr>
        <w:pStyle w:val="FootnoteText"/>
      </w:pPr>
      <w:r>
        <w:rPr>
          <w:rStyle w:val="FootnoteReference"/>
        </w:rPr>
        <w:footnoteRef/>
      </w:r>
      <w:r>
        <w:t xml:space="preserve"> Le soumissionnaire recommandé peut seulement demander des négociations sur certains aspects du contrat au moment de l’attribution du contrat, tandis que la présente politique porte sur les négociations préalables. Les Unités opérationnelles veillent à ce que ces négociations soient dans l’intérêt du PNUD et pour le succès du contrat.</w:t>
      </w:r>
    </w:p>
  </w:footnote>
  <w:footnote w:id="2">
    <w:p w14:paraId="641C279E" w14:textId="2CF88FF7" w:rsidR="00F23933" w:rsidRPr="00F23933" w:rsidRDefault="00F23933">
      <w:pPr>
        <w:pStyle w:val="FootnoteText"/>
      </w:pPr>
      <w:r>
        <w:rPr>
          <w:rStyle w:val="FootnoteReference"/>
        </w:rPr>
        <w:footnoteRef/>
      </w:r>
      <w:r>
        <w:t xml:space="preserve"> </w:t>
      </w:r>
      <w:r>
        <w:rPr>
          <w:i/>
        </w:rPr>
        <w:t xml:space="preserve">La juste valeur marchande est le prix auquel un bien ou un service peut être vendu sur le libre </w:t>
      </w:r>
      <w:r>
        <w:rPr>
          <w:rStyle w:val="Strong"/>
          <w:i/>
        </w:rPr>
        <w:t>marché</w:t>
      </w:r>
      <w:r>
        <w:rPr>
          <w:i/>
        </w:rPr>
        <w:t>, entre un acheteur et un vendeur informés et non assujettis.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1A82" w14:textId="77777777" w:rsidR="001B30C8" w:rsidRDefault="001B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76B5" w14:textId="2F4AF551" w:rsidR="004A7283" w:rsidRDefault="001B30C8" w:rsidP="004A7283">
    <w:pPr>
      <w:pStyle w:val="Header"/>
      <w:jc w:val="right"/>
    </w:pPr>
    <w:r>
      <w:rPr>
        <w:noProof/>
      </w:rPr>
      <w:drawing>
        <wp:inline distT="0" distB="0" distL="0" distR="0" wp14:anchorId="69B1F618" wp14:editId="6B3AF678">
          <wp:extent cx="294640" cy="593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90F6" w14:textId="77777777" w:rsidR="001B30C8" w:rsidRDefault="001B3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525"/>
    <w:multiLevelType w:val="hybridMultilevel"/>
    <w:tmpl w:val="2AF2D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603AD"/>
    <w:multiLevelType w:val="hybridMultilevel"/>
    <w:tmpl w:val="5CBE6AC4"/>
    <w:lvl w:ilvl="0" w:tplc="04090017">
      <w:start w:val="1"/>
      <w:numFmt w:val="lowerLetter"/>
      <w:lvlText w:val="%1)"/>
      <w:lvlJc w:val="left"/>
      <w:pPr>
        <w:ind w:left="720" w:hanging="360"/>
      </w:pPr>
      <w:rPr>
        <w:rFonts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 w15:restartNumberingAfterBreak="0">
    <w:nsid w:val="0C6C2C9D"/>
    <w:multiLevelType w:val="hybridMultilevel"/>
    <w:tmpl w:val="9A4852C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D63B62"/>
    <w:multiLevelType w:val="hybridMultilevel"/>
    <w:tmpl w:val="9D9CE8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528A"/>
    <w:multiLevelType w:val="hybridMultilevel"/>
    <w:tmpl w:val="FF7CF5EE"/>
    <w:lvl w:ilvl="0" w:tplc="04090005">
      <w:start w:val="1"/>
      <w:numFmt w:val="bullet"/>
      <w:lvlText w:val=""/>
      <w:lvlJc w:val="left"/>
      <w:pPr>
        <w:ind w:left="360" w:hanging="360"/>
      </w:pPr>
      <w:rPr>
        <w:rFonts w:ascii="Wingdings" w:hAnsi="Wingdings" w:hint="default"/>
      </w:rPr>
    </w:lvl>
    <w:lvl w:ilvl="1" w:tplc="5A46C374">
      <w:numFmt w:val="bullet"/>
      <w:lvlText w:val="·"/>
      <w:lvlJc w:val="left"/>
      <w:pPr>
        <w:ind w:left="1080" w:hanging="360"/>
      </w:pPr>
      <w:rPr>
        <w:rFonts w:ascii="Calibri" w:eastAsia="Calibri" w:hAnsi="Calibri"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5CD7F0B"/>
    <w:multiLevelType w:val="hybridMultilevel"/>
    <w:tmpl w:val="44C49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5AB"/>
    <w:multiLevelType w:val="hybridMultilevel"/>
    <w:tmpl w:val="7F6A9B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29638C"/>
    <w:multiLevelType w:val="hybridMultilevel"/>
    <w:tmpl w:val="4C48F662"/>
    <w:lvl w:ilvl="0" w:tplc="E7625A80">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6A07C4"/>
    <w:multiLevelType w:val="hybridMultilevel"/>
    <w:tmpl w:val="2DC8D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E41FD"/>
    <w:multiLevelType w:val="hybridMultilevel"/>
    <w:tmpl w:val="5D2E34DE"/>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07BF5"/>
    <w:multiLevelType w:val="hybridMultilevel"/>
    <w:tmpl w:val="6FBE5D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1A67A6"/>
    <w:multiLevelType w:val="hybridMultilevel"/>
    <w:tmpl w:val="79705AAA"/>
    <w:lvl w:ilvl="0" w:tplc="C924230E">
      <w:start w:val="6"/>
      <w:numFmt w:val="decimal"/>
      <w:lvlText w:val="%1."/>
      <w:lvlJc w:val="left"/>
      <w:pPr>
        <w:ind w:left="720" w:hanging="360"/>
      </w:pPr>
      <w:rPr>
        <w:rFonts w:cstheme="minorBidi"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2" w15:restartNumberingAfterBreak="0">
    <w:nsid w:val="2C143307"/>
    <w:multiLevelType w:val="hybridMultilevel"/>
    <w:tmpl w:val="ED1E224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EDD11C6"/>
    <w:multiLevelType w:val="hybridMultilevel"/>
    <w:tmpl w:val="F4866524"/>
    <w:lvl w:ilvl="0" w:tplc="B100E886">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524DBA"/>
    <w:multiLevelType w:val="hybridMultilevel"/>
    <w:tmpl w:val="73E0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03E96"/>
    <w:multiLevelType w:val="hybridMultilevel"/>
    <w:tmpl w:val="8F3C88DE"/>
    <w:lvl w:ilvl="0" w:tplc="04090017">
      <w:start w:val="1"/>
      <w:numFmt w:val="lowerLetter"/>
      <w:lvlText w:val="%1)"/>
      <w:lvlJc w:val="left"/>
      <w:pPr>
        <w:ind w:left="720" w:hanging="360"/>
      </w:pPr>
      <w:rPr>
        <w:rFonts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40E54A76"/>
    <w:multiLevelType w:val="hybridMultilevel"/>
    <w:tmpl w:val="9EC2E5A0"/>
    <w:lvl w:ilvl="0" w:tplc="04090017">
      <w:start w:val="1"/>
      <w:numFmt w:val="lowerLetter"/>
      <w:lvlText w:val="%1)"/>
      <w:lvlJc w:val="left"/>
      <w:pPr>
        <w:ind w:left="720" w:hanging="360"/>
      </w:pPr>
      <w:rPr>
        <w:rFonts w:hint="default"/>
      </w:rPr>
    </w:lvl>
    <w:lvl w:ilvl="1" w:tplc="0C0A0017">
      <w:start w:val="1"/>
      <w:numFmt w:val="lowerLetter"/>
      <w:lvlText w:val="%2)"/>
      <w:lvlJc w:val="left"/>
      <w:pPr>
        <w:ind w:left="1080" w:hanging="360"/>
      </w:pPr>
    </w:lvl>
    <w:lvl w:ilvl="2" w:tplc="0C0A0017">
      <w:start w:val="1"/>
      <w:numFmt w:val="lowerLetter"/>
      <w:lvlText w:val="%3)"/>
      <w:lvlJc w:val="left"/>
      <w:pPr>
        <w:ind w:left="1980" w:hanging="36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18C64CA"/>
    <w:multiLevelType w:val="multilevel"/>
    <w:tmpl w:val="F3B05258"/>
    <w:lvl w:ilvl="0">
      <w:start w:val="1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D80866"/>
    <w:multiLevelType w:val="hybridMultilevel"/>
    <w:tmpl w:val="DC949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C0F99"/>
    <w:multiLevelType w:val="hybridMultilevel"/>
    <w:tmpl w:val="2D6CE5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451859"/>
    <w:multiLevelType w:val="hybridMultilevel"/>
    <w:tmpl w:val="2B98F0AE"/>
    <w:lvl w:ilvl="0" w:tplc="CACA496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C94F36"/>
    <w:multiLevelType w:val="hybridMultilevel"/>
    <w:tmpl w:val="DE5A9BC0"/>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1B0871"/>
    <w:multiLevelType w:val="hybridMultilevel"/>
    <w:tmpl w:val="F71A4674"/>
    <w:lvl w:ilvl="0" w:tplc="C924230E">
      <w:start w:val="6"/>
      <w:numFmt w:val="decimal"/>
      <w:lvlText w:val="%1."/>
      <w:lvlJc w:val="left"/>
      <w:pPr>
        <w:ind w:left="720" w:hanging="360"/>
      </w:pPr>
      <w:rPr>
        <w:rFonts w:cstheme="minorBidi" w:hint="default"/>
      </w:rPr>
    </w:lvl>
    <w:lvl w:ilvl="1" w:tplc="0409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47B7692C"/>
    <w:multiLevelType w:val="hybridMultilevel"/>
    <w:tmpl w:val="F4723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22B16"/>
    <w:multiLevelType w:val="hybridMultilevel"/>
    <w:tmpl w:val="61B26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D7DBE"/>
    <w:multiLevelType w:val="hybridMultilevel"/>
    <w:tmpl w:val="18840862"/>
    <w:lvl w:ilvl="0" w:tplc="7AFC8C9E">
      <w:start w:val="1"/>
      <w:numFmt w:val="lowerLetter"/>
      <w:lvlText w:val="%1)"/>
      <w:lvlJc w:val="left"/>
      <w:pPr>
        <w:ind w:left="450" w:hanging="9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02EB2"/>
    <w:multiLevelType w:val="hybridMultilevel"/>
    <w:tmpl w:val="268E6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10B19"/>
    <w:multiLevelType w:val="hybridMultilevel"/>
    <w:tmpl w:val="8B76AE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15605"/>
    <w:multiLevelType w:val="hybridMultilevel"/>
    <w:tmpl w:val="9322E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F82BC0"/>
    <w:multiLevelType w:val="hybridMultilevel"/>
    <w:tmpl w:val="1D06DB50"/>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E770B8"/>
    <w:multiLevelType w:val="hybridMultilevel"/>
    <w:tmpl w:val="08D2B594"/>
    <w:lvl w:ilvl="0" w:tplc="C924230E">
      <w:start w:val="7"/>
      <w:numFmt w:val="decimal"/>
      <w:lvlText w:val="%1."/>
      <w:lvlJc w:val="left"/>
      <w:pPr>
        <w:ind w:left="720" w:hanging="360"/>
      </w:pPr>
      <w:rPr>
        <w:rFonts w:cstheme="minorBidi" w:hint="default"/>
      </w:rPr>
    </w:lvl>
    <w:lvl w:ilvl="1" w:tplc="0C0A0017">
      <w:start w:val="1"/>
      <w:numFmt w:val="lowerLetter"/>
      <w:lvlText w:val="%2)"/>
      <w:lvlJc w:val="left"/>
      <w:pPr>
        <w:ind w:left="1080" w:hanging="360"/>
      </w:pPr>
    </w:lvl>
    <w:lvl w:ilvl="2" w:tplc="0C0A0017">
      <w:start w:val="1"/>
      <w:numFmt w:val="lowerLetter"/>
      <w:lvlText w:val="%3)"/>
      <w:lvlJc w:val="left"/>
      <w:pPr>
        <w:ind w:left="1980" w:hanging="36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6104430"/>
    <w:multiLevelType w:val="hybridMultilevel"/>
    <w:tmpl w:val="43462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935DC6"/>
    <w:multiLevelType w:val="hybridMultilevel"/>
    <w:tmpl w:val="832232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ED4B49"/>
    <w:multiLevelType w:val="multilevel"/>
    <w:tmpl w:val="FD0EC286"/>
    <w:lvl w:ilvl="0">
      <w:start w:val="2"/>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2273B1"/>
    <w:multiLevelType w:val="hybridMultilevel"/>
    <w:tmpl w:val="394A5000"/>
    <w:lvl w:ilvl="0" w:tplc="3412FE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814D1E"/>
    <w:multiLevelType w:val="hybridMultilevel"/>
    <w:tmpl w:val="1806FE5E"/>
    <w:lvl w:ilvl="0" w:tplc="42984E6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3039FE"/>
    <w:multiLevelType w:val="hybridMultilevel"/>
    <w:tmpl w:val="E6DE5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F2EE9"/>
    <w:multiLevelType w:val="hybridMultilevel"/>
    <w:tmpl w:val="A69E9764"/>
    <w:lvl w:ilvl="0" w:tplc="C924230E">
      <w:start w:val="7"/>
      <w:numFmt w:val="decimal"/>
      <w:lvlText w:val="%1."/>
      <w:lvlJc w:val="left"/>
      <w:pPr>
        <w:ind w:left="1080" w:hanging="360"/>
      </w:pPr>
      <w:rPr>
        <w:rFonts w:cstheme="minorBidi" w:hint="default"/>
      </w:rPr>
    </w:lvl>
    <w:lvl w:ilvl="1" w:tplc="0C0A0017">
      <w:start w:val="1"/>
      <w:numFmt w:val="lowerLetter"/>
      <w:lvlText w:val="%2)"/>
      <w:lvlJc w:val="left"/>
      <w:pPr>
        <w:ind w:left="1440" w:hanging="360"/>
      </w:pPr>
    </w:lvl>
    <w:lvl w:ilvl="2" w:tplc="0C0A0017">
      <w:start w:val="1"/>
      <w:numFmt w:val="lowerLetter"/>
      <w:lvlText w:val="%3)"/>
      <w:lvlJc w:val="left"/>
      <w:pPr>
        <w:ind w:left="108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9C6AA8"/>
    <w:multiLevelType w:val="hybridMultilevel"/>
    <w:tmpl w:val="F7FC02B4"/>
    <w:lvl w:ilvl="0" w:tplc="FE5EF2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F61E8"/>
    <w:multiLevelType w:val="hybridMultilevel"/>
    <w:tmpl w:val="BCBC10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556FD"/>
    <w:multiLevelType w:val="hybridMultilevel"/>
    <w:tmpl w:val="394A5000"/>
    <w:lvl w:ilvl="0" w:tplc="3412FE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AF0CAC"/>
    <w:multiLevelType w:val="hybridMultilevel"/>
    <w:tmpl w:val="FE021F62"/>
    <w:lvl w:ilvl="0" w:tplc="809C6C3E">
      <w:start w:val="10"/>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3684C"/>
    <w:multiLevelType w:val="multilevel"/>
    <w:tmpl w:val="311EC700"/>
    <w:lvl w:ilvl="0">
      <w:start w:val="2"/>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FA5ACA"/>
    <w:multiLevelType w:val="multilevel"/>
    <w:tmpl w:val="9DB6D73E"/>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lang w:val="en-PH"/>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B24052"/>
    <w:multiLevelType w:val="hybridMultilevel"/>
    <w:tmpl w:val="BB205D70"/>
    <w:lvl w:ilvl="0" w:tplc="C924230E">
      <w:start w:val="7"/>
      <w:numFmt w:val="decimal"/>
      <w:lvlText w:val="%1."/>
      <w:lvlJc w:val="left"/>
      <w:pPr>
        <w:ind w:left="1080" w:hanging="360"/>
      </w:pPr>
      <w:rPr>
        <w:rFonts w:cstheme="minorBidi" w:hint="default"/>
      </w:rPr>
    </w:lvl>
    <w:lvl w:ilvl="1" w:tplc="0C0A0017">
      <w:start w:val="1"/>
      <w:numFmt w:val="lowerLetter"/>
      <w:lvlText w:val="%2)"/>
      <w:lvlJc w:val="left"/>
      <w:pPr>
        <w:ind w:left="1440" w:hanging="360"/>
      </w:pPr>
    </w:lvl>
    <w:lvl w:ilvl="2" w:tplc="0C0A0017">
      <w:start w:val="1"/>
      <w:numFmt w:val="lowerLetter"/>
      <w:lvlText w:val="%3)"/>
      <w:lvlJc w:val="left"/>
      <w:pPr>
        <w:ind w:left="108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88512765">
    <w:abstractNumId w:val="43"/>
  </w:num>
  <w:num w:numId="2" w16cid:durableId="282808532">
    <w:abstractNumId w:val="7"/>
  </w:num>
  <w:num w:numId="3" w16cid:durableId="1879393789">
    <w:abstractNumId w:val="21"/>
  </w:num>
  <w:num w:numId="4" w16cid:durableId="232080875">
    <w:abstractNumId w:val="30"/>
  </w:num>
  <w:num w:numId="5" w16cid:durableId="613682405">
    <w:abstractNumId w:val="44"/>
  </w:num>
  <w:num w:numId="6" w16cid:durableId="1828860800">
    <w:abstractNumId w:val="37"/>
  </w:num>
  <w:num w:numId="7" w16cid:durableId="208997049">
    <w:abstractNumId w:val="12"/>
  </w:num>
  <w:num w:numId="8" w16cid:durableId="1825581731">
    <w:abstractNumId w:val="31"/>
  </w:num>
  <w:num w:numId="9" w16cid:durableId="677931266">
    <w:abstractNumId w:val="2"/>
  </w:num>
  <w:num w:numId="10" w16cid:durableId="1926768457">
    <w:abstractNumId w:val="10"/>
  </w:num>
  <w:num w:numId="11" w16cid:durableId="759986729">
    <w:abstractNumId w:val="3"/>
  </w:num>
  <w:num w:numId="12" w16cid:durableId="1905679346">
    <w:abstractNumId w:val="18"/>
  </w:num>
  <w:num w:numId="13" w16cid:durableId="1425999682">
    <w:abstractNumId w:val="39"/>
  </w:num>
  <w:num w:numId="14" w16cid:durableId="1435401884">
    <w:abstractNumId w:val="23"/>
  </w:num>
  <w:num w:numId="15" w16cid:durableId="1480532177">
    <w:abstractNumId w:val="29"/>
  </w:num>
  <w:num w:numId="16" w16cid:durableId="1147239710">
    <w:abstractNumId w:val="9"/>
  </w:num>
  <w:num w:numId="17" w16cid:durableId="1853716343">
    <w:abstractNumId w:val="11"/>
  </w:num>
  <w:num w:numId="18" w16cid:durableId="1523858098">
    <w:abstractNumId w:val="8"/>
  </w:num>
  <w:num w:numId="19" w16cid:durableId="1518041185">
    <w:abstractNumId w:val="25"/>
  </w:num>
  <w:num w:numId="20" w16cid:durableId="1322536876">
    <w:abstractNumId w:val="16"/>
  </w:num>
  <w:num w:numId="21" w16cid:durableId="542987082">
    <w:abstractNumId w:val="41"/>
  </w:num>
  <w:num w:numId="22" w16cid:durableId="1299990727">
    <w:abstractNumId w:val="42"/>
  </w:num>
  <w:num w:numId="23" w16cid:durableId="1583375735">
    <w:abstractNumId w:val="15"/>
  </w:num>
  <w:num w:numId="24" w16cid:durableId="328556117">
    <w:abstractNumId w:val="33"/>
  </w:num>
  <w:num w:numId="25" w16cid:durableId="589118484">
    <w:abstractNumId w:val="26"/>
  </w:num>
  <w:num w:numId="26" w16cid:durableId="565914979">
    <w:abstractNumId w:val="24"/>
  </w:num>
  <w:num w:numId="27" w16cid:durableId="1082794019">
    <w:abstractNumId w:val="20"/>
  </w:num>
  <w:num w:numId="28" w16cid:durableId="330571823">
    <w:abstractNumId w:val="27"/>
  </w:num>
  <w:num w:numId="29" w16cid:durableId="1905330026">
    <w:abstractNumId w:val="1"/>
  </w:num>
  <w:num w:numId="30" w16cid:durableId="1596086819">
    <w:abstractNumId w:val="13"/>
  </w:num>
  <w:num w:numId="31" w16cid:durableId="1538393997">
    <w:abstractNumId w:val="34"/>
  </w:num>
  <w:num w:numId="32" w16cid:durableId="1475757242">
    <w:abstractNumId w:val="35"/>
  </w:num>
  <w:num w:numId="33" w16cid:durableId="1838766287">
    <w:abstractNumId w:val="36"/>
  </w:num>
  <w:num w:numId="34" w16cid:durableId="590898497">
    <w:abstractNumId w:val="19"/>
  </w:num>
  <w:num w:numId="35" w16cid:durableId="490996267">
    <w:abstractNumId w:val="6"/>
  </w:num>
  <w:num w:numId="36" w16cid:durableId="193154770">
    <w:abstractNumId w:val="22"/>
  </w:num>
  <w:num w:numId="37" w16cid:durableId="2019188117">
    <w:abstractNumId w:val="32"/>
  </w:num>
  <w:num w:numId="38" w16cid:durableId="1894391215">
    <w:abstractNumId w:val="5"/>
  </w:num>
  <w:num w:numId="39" w16cid:durableId="1348562755">
    <w:abstractNumId w:val="28"/>
  </w:num>
  <w:num w:numId="40" w16cid:durableId="232669294">
    <w:abstractNumId w:val="4"/>
  </w:num>
  <w:num w:numId="41" w16cid:durableId="2012639631">
    <w:abstractNumId w:val="17"/>
  </w:num>
  <w:num w:numId="42" w16cid:durableId="988244123">
    <w:abstractNumId w:val="38"/>
  </w:num>
  <w:num w:numId="43" w16cid:durableId="143667849">
    <w:abstractNumId w:val="0"/>
  </w:num>
  <w:num w:numId="44" w16cid:durableId="1175412266">
    <w:abstractNumId w:val="14"/>
  </w:num>
  <w:num w:numId="45" w16cid:durableId="30258419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06"/>
    <w:rsid w:val="00000092"/>
    <w:rsid w:val="00000229"/>
    <w:rsid w:val="0000032F"/>
    <w:rsid w:val="00001CEA"/>
    <w:rsid w:val="0000228B"/>
    <w:rsid w:val="000026DF"/>
    <w:rsid w:val="0000322E"/>
    <w:rsid w:val="0000346D"/>
    <w:rsid w:val="00004924"/>
    <w:rsid w:val="00012801"/>
    <w:rsid w:val="000141D0"/>
    <w:rsid w:val="000145D0"/>
    <w:rsid w:val="00020C9D"/>
    <w:rsid w:val="0002584B"/>
    <w:rsid w:val="00026927"/>
    <w:rsid w:val="000300D0"/>
    <w:rsid w:val="000306CE"/>
    <w:rsid w:val="00030EF6"/>
    <w:rsid w:val="0003244B"/>
    <w:rsid w:val="00033F89"/>
    <w:rsid w:val="00035BB1"/>
    <w:rsid w:val="00040345"/>
    <w:rsid w:val="000415B5"/>
    <w:rsid w:val="00041FEE"/>
    <w:rsid w:val="00042A90"/>
    <w:rsid w:val="000434B7"/>
    <w:rsid w:val="000447A1"/>
    <w:rsid w:val="00047692"/>
    <w:rsid w:val="000538E0"/>
    <w:rsid w:val="000558DE"/>
    <w:rsid w:val="000579B7"/>
    <w:rsid w:val="00057FC4"/>
    <w:rsid w:val="00062279"/>
    <w:rsid w:val="000628D3"/>
    <w:rsid w:val="00063364"/>
    <w:rsid w:val="00063BA6"/>
    <w:rsid w:val="000654EA"/>
    <w:rsid w:val="00065CFC"/>
    <w:rsid w:val="00065E37"/>
    <w:rsid w:val="00066FF1"/>
    <w:rsid w:val="00070D0A"/>
    <w:rsid w:val="00072B0B"/>
    <w:rsid w:val="00073125"/>
    <w:rsid w:val="0007358D"/>
    <w:rsid w:val="0007407B"/>
    <w:rsid w:val="000765C2"/>
    <w:rsid w:val="0007788D"/>
    <w:rsid w:val="0008038A"/>
    <w:rsid w:val="00080554"/>
    <w:rsid w:val="00081C54"/>
    <w:rsid w:val="000820A0"/>
    <w:rsid w:val="00084B65"/>
    <w:rsid w:val="00084F64"/>
    <w:rsid w:val="00085205"/>
    <w:rsid w:val="000856D2"/>
    <w:rsid w:val="00085841"/>
    <w:rsid w:val="0008791C"/>
    <w:rsid w:val="000916B2"/>
    <w:rsid w:val="000935EB"/>
    <w:rsid w:val="00094911"/>
    <w:rsid w:val="00096135"/>
    <w:rsid w:val="000A04F1"/>
    <w:rsid w:val="000A09B1"/>
    <w:rsid w:val="000A0A44"/>
    <w:rsid w:val="000A239B"/>
    <w:rsid w:val="000B043B"/>
    <w:rsid w:val="000B2069"/>
    <w:rsid w:val="000B23FF"/>
    <w:rsid w:val="000B25E0"/>
    <w:rsid w:val="000B2C3C"/>
    <w:rsid w:val="000B3755"/>
    <w:rsid w:val="000B3BF0"/>
    <w:rsid w:val="000B4179"/>
    <w:rsid w:val="000B5FE7"/>
    <w:rsid w:val="000B643A"/>
    <w:rsid w:val="000C040A"/>
    <w:rsid w:val="000C06A4"/>
    <w:rsid w:val="000C183F"/>
    <w:rsid w:val="000C2DD1"/>
    <w:rsid w:val="000C74ED"/>
    <w:rsid w:val="000D1104"/>
    <w:rsid w:val="000D1271"/>
    <w:rsid w:val="000D1AC8"/>
    <w:rsid w:val="000D3AF5"/>
    <w:rsid w:val="000D3CE1"/>
    <w:rsid w:val="000D4248"/>
    <w:rsid w:val="000D53D6"/>
    <w:rsid w:val="000E0121"/>
    <w:rsid w:val="000E055C"/>
    <w:rsid w:val="000E1C56"/>
    <w:rsid w:val="000E3290"/>
    <w:rsid w:val="000E35B5"/>
    <w:rsid w:val="000E4D76"/>
    <w:rsid w:val="000F09D4"/>
    <w:rsid w:val="000F1244"/>
    <w:rsid w:val="000F23BD"/>
    <w:rsid w:val="000F3E1C"/>
    <w:rsid w:val="000F4CA1"/>
    <w:rsid w:val="000F66F7"/>
    <w:rsid w:val="001002E6"/>
    <w:rsid w:val="00102110"/>
    <w:rsid w:val="00102CEC"/>
    <w:rsid w:val="00106CAC"/>
    <w:rsid w:val="0010778D"/>
    <w:rsid w:val="00111175"/>
    <w:rsid w:val="0011216F"/>
    <w:rsid w:val="00112DC9"/>
    <w:rsid w:val="00112F37"/>
    <w:rsid w:val="00114125"/>
    <w:rsid w:val="00114D27"/>
    <w:rsid w:val="00114E3D"/>
    <w:rsid w:val="0011597B"/>
    <w:rsid w:val="00115996"/>
    <w:rsid w:val="00117979"/>
    <w:rsid w:val="0012028F"/>
    <w:rsid w:val="00121442"/>
    <w:rsid w:val="00125916"/>
    <w:rsid w:val="00127B7A"/>
    <w:rsid w:val="00130A4C"/>
    <w:rsid w:val="00133116"/>
    <w:rsid w:val="001338F8"/>
    <w:rsid w:val="001369F0"/>
    <w:rsid w:val="00137197"/>
    <w:rsid w:val="00141005"/>
    <w:rsid w:val="00142272"/>
    <w:rsid w:val="00143075"/>
    <w:rsid w:val="0014309B"/>
    <w:rsid w:val="00145DA6"/>
    <w:rsid w:val="00150D23"/>
    <w:rsid w:val="00154FD5"/>
    <w:rsid w:val="00155E05"/>
    <w:rsid w:val="00161201"/>
    <w:rsid w:val="001647AF"/>
    <w:rsid w:val="00165F27"/>
    <w:rsid w:val="00167696"/>
    <w:rsid w:val="00171F91"/>
    <w:rsid w:val="001732FD"/>
    <w:rsid w:val="00173322"/>
    <w:rsid w:val="001742F8"/>
    <w:rsid w:val="00174B55"/>
    <w:rsid w:val="0017526E"/>
    <w:rsid w:val="00181A42"/>
    <w:rsid w:val="001866CC"/>
    <w:rsid w:val="00186AEC"/>
    <w:rsid w:val="00191592"/>
    <w:rsid w:val="00192D4F"/>
    <w:rsid w:val="00193039"/>
    <w:rsid w:val="0019317C"/>
    <w:rsid w:val="001932F3"/>
    <w:rsid w:val="001965C0"/>
    <w:rsid w:val="001A186B"/>
    <w:rsid w:val="001A1976"/>
    <w:rsid w:val="001A1E9A"/>
    <w:rsid w:val="001A4F08"/>
    <w:rsid w:val="001A565B"/>
    <w:rsid w:val="001A60F0"/>
    <w:rsid w:val="001A615C"/>
    <w:rsid w:val="001A624E"/>
    <w:rsid w:val="001A6CAE"/>
    <w:rsid w:val="001A73EB"/>
    <w:rsid w:val="001B30C8"/>
    <w:rsid w:val="001B3E2B"/>
    <w:rsid w:val="001B4184"/>
    <w:rsid w:val="001B41FA"/>
    <w:rsid w:val="001B4BA6"/>
    <w:rsid w:val="001B5DA9"/>
    <w:rsid w:val="001B636E"/>
    <w:rsid w:val="001B63E0"/>
    <w:rsid w:val="001C0A44"/>
    <w:rsid w:val="001C499D"/>
    <w:rsid w:val="001C4E25"/>
    <w:rsid w:val="001D02E1"/>
    <w:rsid w:val="001D1293"/>
    <w:rsid w:val="001D7D1A"/>
    <w:rsid w:val="001E0405"/>
    <w:rsid w:val="001E31DF"/>
    <w:rsid w:val="001E3248"/>
    <w:rsid w:val="001E5360"/>
    <w:rsid w:val="001E5898"/>
    <w:rsid w:val="001E6A7D"/>
    <w:rsid w:val="001E6C8C"/>
    <w:rsid w:val="001F1B69"/>
    <w:rsid w:val="001F3E84"/>
    <w:rsid w:val="001F590B"/>
    <w:rsid w:val="0020118F"/>
    <w:rsid w:val="00202A26"/>
    <w:rsid w:val="002047BD"/>
    <w:rsid w:val="00206005"/>
    <w:rsid w:val="0020764D"/>
    <w:rsid w:val="00210360"/>
    <w:rsid w:val="0021347D"/>
    <w:rsid w:val="00213DAA"/>
    <w:rsid w:val="002146BC"/>
    <w:rsid w:val="00214FB9"/>
    <w:rsid w:val="00215018"/>
    <w:rsid w:val="00221337"/>
    <w:rsid w:val="00223A88"/>
    <w:rsid w:val="00226E61"/>
    <w:rsid w:val="00230252"/>
    <w:rsid w:val="002314CA"/>
    <w:rsid w:val="00232DB9"/>
    <w:rsid w:val="00235B6F"/>
    <w:rsid w:val="002409F9"/>
    <w:rsid w:val="00241E43"/>
    <w:rsid w:val="0024209C"/>
    <w:rsid w:val="0024470D"/>
    <w:rsid w:val="0024675C"/>
    <w:rsid w:val="0024719C"/>
    <w:rsid w:val="00247750"/>
    <w:rsid w:val="00247FD6"/>
    <w:rsid w:val="00250425"/>
    <w:rsid w:val="00251D86"/>
    <w:rsid w:val="00252AF2"/>
    <w:rsid w:val="00254E87"/>
    <w:rsid w:val="002558AA"/>
    <w:rsid w:val="002560B3"/>
    <w:rsid w:val="00256299"/>
    <w:rsid w:val="0025716E"/>
    <w:rsid w:val="00257596"/>
    <w:rsid w:val="002600D4"/>
    <w:rsid w:val="00260F74"/>
    <w:rsid w:val="0026123D"/>
    <w:rsid w:val="00261EEB"/>
    <w:rsid w:val="002635C6"/>
    <w:rsid w:val="00263C55"/>
    <w:rsid w:val="002650DF"/>
    <w:rsid w:val="0026788E"/>
    <w:rsid w:val="002705B5"/>
    <w:rsid w:val="00272299"/>
    <w:rsid w:val="002725E8"/>
    <w:rsid w:val="002729D8"/>
    <w:rsid w:val="00273181"/>
    <w:rsid w:val="00273329"/>
    <w:rsid w:val="0027512C"/>
    <w:rsid w:val="00285D03"/>
    <w:rsid w:val="002860C5"/>
    <w:rsid w:val="00286FEE"/>
    <w:rsid w:val="00287BFE"/>
    <w:rsid w:val="00290D70"/>
    <w:rsid w:val="00292D18"/>
    <w:rsid w:val="002932DA"/>
    <w:rsid w:val="002940C5"/>
    <w:rsid w:val="0029576E"/>
    <w:rsid w:val="00296C64"/>
    <w:rsid w:val="00297734"/>
    <w:rsid w:val="002A271B"/>
    <w:rsid w:val="002A6470"/>
    <w:rsid w:val="002A6CAE"/>
    <w:rsid w:val="002B0400"/>
    <w:rsid w:val="002B2C2B"/>
    <w:rsid w:val="002B3719"/>
    <w:rsid w:val="002B4930"/>
    <w:rsid w:val="002B51A6"/>
    <w:rsid w:val="002B527B"/>
    <w:rsid w:val="002B5A72"/>
    <w:rsid w:val="002B74ED"/>
    <w:rsid w:val="002C0607"/>
    <w:rsid w:val="002C2B93"/>
    <w:rsid w:val="002C419E"/>
    <w:rsid w:val="002C62CA"/>
    <w:rsid w:val="002C655F"/>
    <w:rsid w:val="002D5687"/>
    <w:rsid w:val="002D769D"/>
    <w:rsid w:val="002E017F"/>
    <w:rsid w:val="002E1620"/>
    <w:rsid w:val="002E1E21"/>
    <w:rsid w:val="002E30F7"/>
    <w:rsid w:val="002E3B80"/>
    <w:rsid w:val="002E477A"/>
    <w:rsid w:val="002E48DE"/>
    <w:rsid w:val="002E4D6F"/>
    <w:rsid w:val="002E64B5"/>
    <w:rsid w:val="002E6648"/>
    <w:rsid w:val="002E672C"/>
    <w:rsid w:val="002E7FA2"/>
    <w:rsid w:val="002F0B71"/>
    <w:rsid w:val="002F331F"/>
    <w:rsid w:val="002F34E3"/>
    <w:rsid w:val="002F6D3D"/>
    <w:rsid w:val="00302A17"/>
    <w:rsid w:val="00303CD1"/>
    <w:rsid w:val="00311838"/>
    <w:rsid w:val="00312C26"/>
    <w:rsid w:val="003134C4"/>
    <w:rsid w:val="0031464A"/>
    <w:rsid w:val="003148D6"/>
    <w:rsid w:val="0031513F"/>
    <w:rsid w:val="003156F1"/>
    <w:rsid w:val="00315A6B"/>
    <w:rsid w:val="00316888"/>
    <w:rsid w:val="003171FB"/>
    <w:rsid w:val="00317F19"/>
    <w:rsid w:val="00321A8F"/>
    <w:rsid w:val="0032348A"/>
    <w:rsid w:val="0032568F"/>
    <w:rsid w:val="00326F22"/>
    <w:rsid w:val="00331A52"/>
    <w:rsid w:val="00333487"/>
    <w:rsid w:val="00333D88"/>
    <w:rsid w:val="00334871"/>
    <w:rsid w:val="00334F6F"/>
    <w:rsid w:val="00340737"/>
    <w:rsid w:val="00344A55"/>
    <w:rsid w:val="00345446"/>
    <w:rsid w:val="0034669B"/>
    <w:rsid w:val="003502F4"/>
    <w:rsid w:val="00350941"/>
    <w:rsid w:val="00353B95"/>
    <w:rsid w:val="003550C9"/>
    <w:rsid w:val="00356286"/>
    <w:rsid w:val="003612E7"/>
    <w:rsid w:val="00362B8E"/>
    <w:rsid w:val="00364CCC"/>
    <w:rsid w:val="003666A2"/>
    <w:rsid w:val="003667F9"/>
    <w:rsid w:val="00367FA0"/>
    <w:rsid w:val="0037105A"/>
    <w:rsid w:val="00371305"/>
    <w:rsid w:val="00371D04"/>
    <w:rsid w:val="00374A80"/>
    <w:rsid w:val="00376774"/>
    <w:rsid w:val="00380215"/>
    <w:rsid w:val="00381CDC"/>
    <w:rsid w:val="003839C6"/>
    <w:rsid w:val="0038502A"/>
    <w:rsid w:val="00385659"/>
    <w:rsid w:val="0038588B"/>
    <w:rsid w:val="00385968"/>
    <w:rsid w:val="00385A16"/>
    <w:rsid w:val="00385E53"/>
    <w:rsid w:val="00387581"/>
    <w:rsid w:val="00390BA7"/>
    <w:rsid w:val="00390F6A"/>
    <w:rsid w:val="003916E8"/>
    <w:rsid w:val="00391B47"/>
    <w:rsid w:val="00393EE0"/>
    <w:rsid w:val="00394B0B"/>
    <w:rsid w:val="00395DAB"/>
    <w:rsid w:val="003960EC"/>
    <w:rsid w:val="0039667E"/>
    <w:rsid w:val="003970D8"/>
    <w:rsid w:val="0039768A"/>
    <w:rsid w:val="00397729"/>
    <w:rsid w:val="003A0A45"/>
    <w:rsid w:val="003A0CF8"/>
    <w:rsid w:val="003A128B"/>
    <w:rsid w:val="003A2241"/>
    <w:rsid w:val="003A374F"/>
    <w:rsid w:val="003A58E7"/>
    <w:rsid w:val="003A661C"/>
    <w:rsid w:val="003A7088"/>
    <w:rsid w:val="003B017D"/>
    <w:rsid w:val="003B02C1"/>
    <w:rsid w:val="003B2AA7"/>
    <w:rsid w:val="003B4383"/>
    <w:rsid w:val="003B50BC"/>
    <w:rsid w:val="003B6E00"/>
    <w:rsid w:val="003C2B97"/>
    <w:rsid w:val="003C4296"/>
    <w:rsid w:val="003C4419"/>
    <w:rsid w:val="003C44F4"/>
    <w:rsid w:val="003C5037"/>
    <w:rsid w:val="003D0A3C"/>
    <w:rsid w:val="003D0CD5"/>
    <w:rsid w:val="003D1390"/>
    <w:rsid w:val="003D1F2E"/>
    <w:rsid w:val="003D20BA"/>
    <w:rsid w:val="003D2C29"/>
    <w:rsid w:val="003D3877"/>
    <w:rsid w:val="003D58AA"/>
    <w:rsid w:val="003D7015"/>
    <w:rsid w:val="003E2A7E"/>
    <w:rsid w:val="003E30BD"/>
    <w:rsid w:val="003E3648"/>
    <w:rsid w:val="003E5263"/>
    <w:rsid w:val="003E535A"/>
    <w:rsid w:val="003E5800"/>
    <w:rsid w:val="003E6417"/>
    <w:rsid w:val="003F4AB6"/>
    <w:rsid w:val="003F543C"/>
    <w:rsid w:val="003F5452"/>
    <w:rsid w:val="003F6AB0"/>
    <w:rsid w:val="003F6CC9"/>
    <w:rsid w:val="003F7E4D"/>
    <w:rsid w:val="004024A9"/>
    <w:rsid w:val="0040389A"/>
    <w:rsid w:val="00403D41"/>
    <w:rsid w:val="00410A6A"/>
    <w:rsid w:val="0041700C"/>
    <w:rsid w:val="00420B8D"/>
    <w:rsid w:val="0042433D"/>
    <w:rsid w:val="00425322"/>
    <w:rsid w:val="004264D9"/>
    <w:rsid w:val="004275D3"/>
    <w:rsid w:val="00433048"/>
    <w:rsid w:val="004348FC"/>
    <w:rsid w:val="00435497"/>
    <w:rsid w:val="004354DE"/>
    <w:rsid w:val="004361EA"/>
    <w:rsid w:val="004444BC"/>
    <w:rsid w:val="004455C0"/>
    <w:rsid w:val="00447139"/>
    <w:rsid w:val="00447CA1"/>
    <w:rsid w:val="00447EAF"/>
    <w:rsid w:val="00453908"/>
    <w:rsid w:val="00453C7D"/>
    <w:rsid w:val="00454E6C"/>
    <w:rsid w:val="00456393"/>
    <w:rsid w:val="004569A6"/>
    <w:rsid w:val="00456EA0"/>
    <w:rsid w:val="00471507"/>
    <w:rsid w:val="00472B6E"/>
    <w:rsid w:val="00473498"/>
    <w:rsid w:val="00473D86"/>
    <w:rsid w:val="0047565F"/>
    <w:rsid w:val="00475EFA"/>
    <w:rsid w:val="0047704C"/>
    <w:rsid w:val="00477596"/>
    <w:rsid w:val="00477AD1"/>
    <w:rsid w:val="0048329E"/>
    <w:rsid w:val="0048461C"/>
    <w:rsid w:val="00492911"/>
    <w:rsid w:val="00495208"/>
    <w:rsid w:val="00495211"/>
    <w:rsid w:val="004956BF"/>
    <w:rsid w:val="00495988"/>
    <w:rsid w:val="004A249F"/>
    <w:rsid w:val="004A3093"/>
    <w:rsid w:val="004A4E4C"/>
    <w:rsid w:val="004A67C0"/>
    <w:rsid w:val="004A6A44"/>
    <w:rsid w:val="004A7283"/>
    <w:rsid w:val="004A7305"/>
    <w:rsid w:val="004A732A"/>
    <w:rsid w:val="004A7455"/>
    <w:rsid w:val="004A77A0"/>
    <w:rsid w:val="004B0191"/>
    <w:rsid w:val="004B2181"/>
    <w:rsid w:val="004B23BF"/>
    <w:rsid w:val="004B4D74"/>
    <w:rsid w:val="004B63C2"/>
    <w:rsid w:val="004C0FEA"/>
    <w:rsid w:val="004C5468"/>
    <w:rsid w:val="004C6185"/>
    <w:rsid w:val="004D04DB"/>
    <w:rsid w:val="004D3A45"/>
    <w:rsid w:val="004D6220"/>
    <w:rsid w:val="004D7683"/>
    <w:rsid w:val="004E0368"/>
    <w:rsid w:val="004E0395"/>
    <w:rsid w:val="004E0EFB"/>
    <w:rsid w:val="004E2CD3"/>
    <w:rsid w:val="004E3E15"/>
    <w:rsid w:val="004E4E2B"/>
    <w:rsid w:val="004E68F2"/>
    <w:rsid w:val="004F3FD0"/>
    <w:rsid w:val="004F452A"/>
    <w:rsid w:val="004F4618"/>
    <w:rsid w:val="004F4D8E"/>
    <w:rsid w:val="004F6574"/>
    <w:rsid w:val="005017B3"/>
    <w:rsid w:val="00501C3A"/>
    <w:rsid w:val="00503D9A"/>
    <w:rsid w:val="0050656F"/>
    <w:rsid w:val="005110D1"/>
    <w:rsid w:val="0051144C"/>
    <w:rsid w:val="005119F7"/>
    <w:rsid w:val="005135C7"/>
    <w:rsid w:val="0051388A"/>
    <w:rsid w:val="00515080"/>
    <w:rsid w:val="00515127"/>
    <w:rsid w:val="005178AB"/>
    <w:rsid w:val="00517AD2"/>
    <w:rsid w:val="005213BE"/>
    <w:rsid w:val="005214C8"/>
    <w:rsid w:val="00521712"/>
    <w:rsid w:val="0052249A"/>
    <w:rsid w:val="005228B7"/>
    <w:rsid w:val="00522F6E"/>
    <w:rsid w:val="005238CB"/>
    <w:rsid w:val="00524084"/>
    <w:rsid w:val="0052488F"/>
    <w:rsid w:val="005259F5"/>
    <w:rsid w:val="00525CAC"/>
    <w:rsid w:val="00525FAC"/>
    <w:rsid w:val="005263F5"/>
    <w:rsid w:val="00526767"/>
    <w:rsid w:val="0053097E"/>
    <w:rsid w:val="00532766"/>
    <w:rsid w:val="00532B6B"/>
    <w:rsid w:val="00535544"/>
    <w:rsid w:val="005374B7"/>
    <w:rsid w:val="0053772C"/>
    <w:rsid w:val="00537A4E"/>
    <w:rsid w:val="005440B1"/>
    <w:rsid w:val="0054446C"/>
    <w:rsid w:val="00545888"/>
    <w:rsid w:val="00545FA5"/>
    <w:rsid w:val="00546520"/>
    <w:rsid w:val="0054654B"/>
    <w:rsid w:val="005515CB"/>
    <w:rsid w:val="0055190B"/>
    <w:rsid w:val="00552086"/>
    <w:rsid w:val="00552D2F"/>
    <w:rsid w:val="00555D42"/>
    <w:rsid w:val="00555ECD"/>
    <w:rsid w:val="0055682B"/>
    <w:rsid w:val="00560A40"/>
    <w:rsid w:val="00560F4C"/>
    <w:rsid w:val="00562684"/>
    <w:rsid w:val="00562830"/>
    <w:rsid w:val="0056426C"/>
    <w:rsid w:val="00566BF8"/>
    <w:rsid w:val="00567316"/>
    <w:rsid w:val="00567F04"/>
    <w:rsid w:val="00571C37"/>
    <w:rsid w:val="00572B1A"/>
    <w:rsid w:val="00573421"/>
    <w:rsid w:val="00575455"/>
    <w:rsid w:val="00580FC2"/>
    <w:rsid w:val="00581430"/>
    <w:rsid w:val="0058177D"/>
    <w:rsid w:val="00581F32"/>
    <w:rsid w:val="005866A3"/>
    <w:rsid w:val="00587E0A"/>
    <w:rsid w:val="00591781"/>
    <w:rsid w:val="005923F4"/>
    <w:rsid w:val="00592BC1"/>
    <w:rsid w:val="00593DCF"/>
    <w:rsid w:val="00594CA8"/>
    <w:rsid w:val="00596425"/>
    <w:rsid w:val="00597CE9"/>
    <w:rsid w:val="00597FBD"/>
    <w:rsid w:val="005A263C"/>
    <w:rsid w:val="005A3A57"/>
    <w:rsid w:val="005A3A59"/>
    <w:rsid w:val="005A3DA0"/>
    <w:rsid w:val="005A6B95"/>
    <w:rsid w:val="005A7ACA"/>
    <w:rsid w:val="005A7F98"/>
    <w:rsid w:val="005B0C42"/>
    <w:rsid w:val="005B19FA"/>
    <w:rsid w:val="005B2277"/>
    <w:rsid w:val="005B24B8"/>
    <w:rsid w:val="005B4235"/>
    <w:rsid w:val="005B51D9"/>
    <w:rsid w:val="005B63FF"/>
    <w:rsid w:val="005C071A"/>
    <w:rsid w:val="005C468C"/>
    <w:rsid w:val="005C531E"/>
    <w:rsid w:val="005C7035"/>
    <w:rsid w:val="005C789E"/>
    <w:rsid w:val="005D0B59"/>
    <w:rsid w:val="005D3F1D"/>
    <w:rsid w:val="005D4B64"/>
    <w:rsid w:val="005D68C5"/>
    <w:rsid w:val="005E4991"/>
    <w:rsid w:val="005E5111"/>
    <w:rsid w:val="005E7EC4"/>
    <w:rsid w:val="005F2360"/>
    <w:rsid w:val="005F35CF"/>
    <w:rsid w:val="005F4F3B"/>
    <w:rsid w:val="005F6FD4"/>
    <w:rsid w:val="0060277B"/>
    <w:rsid w:val="0060280F"/>
    <w:rsid w:val="00604813"/>
    <w:rsid w:val="00610723"/>
    <w:rsid w:val="00610C37"/>
    <w:rsid w:val="00610C83"/>
    <w:rsid w:val="00610CEF"/>
    <w:rsid w:val="00612AD3"/>
    <w:rsid w:val="006134F2"/>
    <w:rsid w:val="0061359E"/>
    <w:rsid w:val="006138DF"/>
    <w:rsid w:val="00617EF2"/>
    <w:rsid w:val="00620A89"/>
    <w:rsid w:val="00620E74"/>
    <w:rsid w:val="00621D72"/>
    <w:rsid w:val="006224EE"/>
    <w:rsid w:val="006239DB"/>
    <w:rsid w:val="00625C0E"/>
    <w:rsid w:val="00627E06"/>
    <w:rsid w:val="0063021D"/>
    <w:rsid w:val="00631701"/>
    <w:rsid w:val="0063379A"/>
    <w:rsid w:val="00634118"/>
    <w:rsid w:val="006344C8"/>
    <w:rsid w:val="006374BC"/>
    <w:rsid w:val="00643447"/>
    <w:rsid w:val="0064747A"/>
    <w:rsid w:val="006478D2"/>
    <w:rsid w:val="00647D26"/>
    <w:rsid w:val="006519C3"/>
    <w:rsid w:val="00654AC8"/>
    <w:rsid w:val="00657E68"/>
    <w:rsid w:val="00661B3B"/>
    <w:rsid w:val="00662758"/>
    <w:rsid w:val="006655D5"/>
    <w:rsid w:val="0066560E"/>
    <w:rsid w:val="006766A1"/>
    <w:rsid w:val="00676FAD"/>
    <w:rsid w:val="00680D7D"/>
    <w:rsid w:val="006810F8"/>
    <w:rsid w:val="0068325A"/>
    <w:rsid w:val="00683D62"/>
    <w:rsid w:val="00684F6A"/>
    <w:rsid w:val="0068522E"/>
    <w:rsid w:val="00685987"/>
    <w:rsid w:val="00685F1A"/>
    <w:rsid w:val="00687E86"/>
    <w:rsid w:val="006905E3"/>
    <w:rsid w:val="0069185C"/>
    <w:rsid w:val="00693DE3"/>
    <w:rsid w:val="0069403C"/>
    <w:rsid w:val="0069561B"/>
    <w:rsid w:val="00695FEB"/>
    <w:rsid w:val="00695FF9"/>
    <w:rsid w:val="00696908"/>
    <w:rsid w:val="006A5A5C"/>
    <w:rsid w:val="006A77ED"/>
    <w:rsid w:val="006A7A88"/>
    <w:rsid w:val="006A7D0C"/>
    <w:rsid w:val="006B005B"/>
    <w:rsid w:val="006B2CF1"/>
    <w:rsid w:val="006B3455"/>
    <w:rsid w:val="006B3913"/>
    <w:rsid w:val="006B624F"/>
    <w:rsid w:val="006C08D1"/>
    <w:rsid w:val="006C589A"/>
    <w:rsid w:val="006C61B9"/>
    <w:rsid w:val="006C662A"/>
    <w:rsid w:val="006C7A3F"/>
    <w:rsid w:val="006D0951"/>
    <w:rsid w:val="006D345B"/>
    <w:rsid w:val="006D46C1"/>
    <w:rsid w:val="006D6548"/>
    <w:rsid w:val="006D673D"/>
    <w:rsid w:val="006D67CB"/>
    <w:rsid w:val="006D6870"/>
    <w:rsid w:val="006E184B"/>
    <w:rsid w:val="006E3A79"/>
    <w:rsid w:val="006E6B8B"/>
    <w:rsid w:val="006F003C"/>
    <w:rsid w:val="006F27A6"/>
    <w:rsid w:val="006F28EE"/>
    <w:rsid w:val="006F31AD"/>
    <w:rsid w:val="007020D0"/>
    <w:rsid w:val="007029F4"/>
    <w:rsid w:val="007047A3"/>
    <w:rsid w:val="00706DEE"/>
    <w:rsid w:val="00711BD1"/>
    <w:rsid w:val="00712EBC"/>
    <w:rsid w:val="00713321"/>
    <w:rsid w:val="007137B8"/>
    <w:rsid w:val="007148C6"/>
    <w:rsid w:val="00723E71"/>
    <w:rsid w:val="007248B3"/>
    <w:rsid w:val="00725502"/>
    <w:rsid w:val="0073048F"/>
    <w:rsid w:val="007362C0"/>
    <w:rsid w:val="00737F7A"/>
    <w:rsid w:val="00745F48"/>
    <w:rsid w:val="007465B4"/>
    <w:rsid w:val="007465F5"/>
    <w:rsid w:val="00750860"/>
    <w:rsid w:val="00751330"/>
    <w:rsid w:val="00751383"/>
    <w:rsid w:val="007516DE"/>
    <w:rsid w:val="00752B8E"/>
    <w:rsid w:val="00752FD3"/>
    <w:rsid w:val="00753482"/>
    <w:rsid w:val="0075369D"/>
    <w:rsid w:val="00757519"/>
    <w:rsid w:val="0075758A"/>
    <w:rsid w:val="00760614"/>
    <w:rsid w:val="007607B8"/>
    <w:rsid w:val="00760EF5"/>
    <w:rsid w:val="00762257"/>
    <w:rsid w:val="00762506"/>
    <w:rsid w:val="00765550"/>
    <w:rsid w:val="00765A83"/>
    <w:rsid w:val="00765C75"/>
    <w:rsid w:val="0077291D"/>
    <w:rsid w:val="00774C38"/>
    <w:rsid w:val="00774E21"/>
    <w:rsid w:val="00775106"/>
    <w:rsid w:val="00776878"/>
    <w:rsid w:val="00780400"/>
    <w:rsid w:val="00780572"/>
    <w:rsid w:val="0078078B"/>
    <w:rsid w:val="00780EC8"/>
    <w:rsid w:val="007811BF"/>
    <w:rsid w:val="00783E63"/>
    <w:rsid w:val="0078500F"/>
    <w:rsid w:val="007852B9"/>
    <w:rsid w:val="007873EF"/>
    <w:rsid w:val="00791065"/>
    <w:rsid w:val="007918CC"/>
    <w:rsid w:val="00791A87"/>
    <w:rsid w:val="00791C7C"/>
    <w:rsid w:val="0079303D"/>
    <w:rsid w:val="0079447B"/>
    <w:rsid w:val="007946A4"/>
    <w:rsid w:val="00796950"/>
    <w:rsid w:val="00797F15"/>
    <w:rsid w:val="007A1AAA"/>
    <w:rsid w:val="007A2454"/>
    <w:rsid w:val="007A7968"/>
    <w:rsid w:val="007B291C"/>
    <w:rsid w:val="007B405D"/>
    <w:rsid w:val="007B4368"/>
    <w:rsid w:val="007B46A7"/>
    <w:rsid w:val="007B46B7"/>
    <w:rsid w:val="007B54D2"/>
    <w:rsid w:val="007B5C2D"/>
    <w:rsid w:val="007B7153"/>
    <w:rsid w:val="007C0DA7"/>
    <w:rsid w:val="007C13C4"/>
    <w:rsid w:val="007C30EC"/>
    <w:rsid w:val="007C357E"/>
    <w:rsid w:val="007C7C0F"/>
    <w:rsid w:val="007D1137"/>
    <w:rsid w:val="007D33AF"/>
    <w:rsid w:val="007D5DA7"/>
    <w:rsid w:val="007D6A35"/>
    <w:rsid w:val="007D6DE7"/>
    <w:rsid w:val="007D786F"/>
    <w:rsid w:val="007E0CC5"/>
    <w:rsid w:val="007E0EC7"/>
    <w:rsid w:val="007E2749"/>
    <w:rsid w:val="007E4CB6"/>
    <w:rsid w:val="007E6D60"/>
    <w:rsid w:val="007F0C41"/>
    <w:rsid w:val="007F17BC"/>
    <w:rsid w:val="007F293D"/>
    <w:rsid w:val="007F31BC"/>
    <w:rsid w:val="007F59A2"/>
    <w:rsid w:val="007F5CAA"/>
    <w:rsid w:val="007F6490"/>
    <w:rsid w:val="007F65BF"/>
    <w:rsid w:val="00800E49"/>
    <w:rsid w:val="008032AF"/>
    <w:rsid w:val="008065F4"/>
    <w:rsid w:val="00810362"/>
    <w:rsid w:val="00810732"/>
    <w:rsid w:val="00810D35"/>
    <w:rsid w:val="00812ED5"/>
    <w:rsid w:val="0081613D"/>
    <w:rsid w:val="0082114C"/>
    <w:rsid w:val="0082147A"/>
    <w:rsid w:val="008214F9"/>
    <w:rsid w:val="008215E7"/>
    <w:rsid w:val="00822E34"/>
    <w:rsid w:val="008239CF"/>
    <w:rsid w:val="00824E3E"/>
    <w:rsid w:val="00825F67"/>
    <w:rsid w:val="00830345"/>
    <w:rsid w:val="008322E5"/>
    <w:rsid w:val="00833D2D"/>
    <w:rsid w:val="00834E6B"/>
    <w:rsid w:val="0083787A"/>
    <w:rsid w:val="0084091B"/>
    <w:rsid w:val="008409F5"/>
    <w:rsid w:val="00843BF5"/>
    <w:rsid w:val="00844D73"/>
    <w:rsid w:val="00846332"/>
    <w:rsid w:val="00846E56"/>
    <w:rsid w:val="0084773E"/>
    <w:rsid w:val="008500A1"/>
    <w:rsid w:val="008507B5"/>
    <w:rsid w:val="008520B2"/>
    <w:rsid w:val="00852198"/>
    <w:rsid w:val="00853424"/>
    <w:rsid w:val="00853E26"/>
    <w:rsid w:val="0085404A"/>
    <w:rsid w:val="008556D9"/>
    <w:rsid w:val="00856D12"/>
    <w:rsid w:val="00857FAA"/>
    <w:rsid w:val="00861BCA"/>
    <w:rsid w:val="008634AD"/>
    <w:rsid w:val="008645E8"/>
    <w:rsid w:val="0086594E"/>
    <w:rsid w:val="00865AFB"/>
    <w:rsid w:val="008661F9"/>
    <w:rsid w:val="00866425"/>
    <w:rsid w:val="0087367B"/>
    <w:rsid w:val="008740D6"/>
    <w:rsid w:val="008801FD"/>
    <w:rsid w:val="00881F6A"/>
    <w:rsid w:val="00883CFC"/>
    <w:rsid w:val="008841F2"/>
    <w:rsid w:val="008846F5"/>
    <w:rsid w:val="00884A9E"/>
    <w:rsid w:val="00885732"/>
    <w:rsid w:val="00886117"/>
    <w:rsid w:val="00886701"/>
    <w:rsid w:val="008878D5"/>
    <w:rsid w:val="00887BB5"/>
    <w:rsid w:val="00890801"/>
    <w:rsid w:val="00891967"/>
    <w:rsid w:val="00892A4F"/>
    <w:rsid w:val="00892CE7"/>
    <w:rsid w:val="00892E19"/>
    <w:rsid w:val="008933D4"/>
    <w:rsid w:val="00894F22"/>
    <w:rsid w:val="008952BB"/>
    <w:rsid w:val="00895AFA"/>
    <w:rsid w:val="008A248A"/>
    <w:rsid w:val="008A2AD6"/>
    <w:rsid w:val="008A30A0"/>
    <w:rsid w:val="008A4AC6"/>
    <w:rsid w:val="008A5891"/>
    <w:rsid w:val="008A64F0"/>
    <w:rsid w:val="008B0BA1"/>
    <w:rsid w:val="008B1B0F"/>
    <w:rsid w:val="008B521C"/>
    <w:rsid w:val="008B7D0D"/>
    <w:rsid w:val="008C0E70"/>
    <w:rsid w:val="008C1487"/>
    <w:rsid w:val="008C1FD4"/>
    <w:rsid w:val="008C385A"/>
    <w:rsid w:val="008C3B39"/>
    <w:rsid w:val="008C69BD"/>
    <w:rsid w:val="008C6B22"/>
    <w:rsid w:val="008C7766"/>
    <w:rsid w:val="008D0EFE"/>
    <w:rsid w:val="008D3679"/>
    <w:rsid w:val="008D472C"/>
    <w:rsid w:val="008D4B28"/>
    <w:rsid w:val="008D4E4A"/>
    <w:rsid w:val="008D4F8A"/>
    <w:rsid w:val="008D5B57"/>
    <w:rsid w:val="008D5DEA"/>
    <w:rsid w:val="008D62E5"/>
    <w:rsid w:val="008E199E"/>
    <w:rsid w:val="008E341D"/>
    <w:rsid w:val="008E4337"/>
    <w:rsid w:val="008E48FD"/>
    <w:rsid w:val="008E7CC7"/>
    <w:rsid w:val="008F26D8"/>
    <w:rsid w:val="008F3E0D"/>
    <w:rsid w:val="008F4A14"/>
    <w:rsid w:val="008F56B4"/>
    <w:rsid w:val="008F60D0"/>
    <w:rsid w:val="0090044E"/>
    <w:rsid w:val="00903437"/>
    <w:rsid w:val="009053A4"/>
    <w:rsid w:val="00905875"/>
    <w:rsid w:val="00910756"/>
    <w:rsid w:val="00911F40"/>
    <w:rsid w:val="009120CE"/>
    <w:rsid w:val="009131D1"/>
    <w:rsid w:val="00913686"/>
    <w:rsid w:val="009208E7"/>
    <w:rsid w:val="00920BE0"/>
    <w:rsid w:val="00920F29"/>
    <w:rsid w:val="00922087"/>
    <w:rsid w:val="009224B1"/>
    <w:rsid w:val="00923D5E"/>
    <w:rsid w:val="009268D3"/>
    <w:rsid w:val="00926D45"/>
    <w:rsid w:val="009323BE"/>
    <w:rsid w:val="0093280C"/>
    <w:rsid w:val="00933BFF"/>
    <w:rsid w:val="00934225"/>
    <w:rsid w:val="00936390"/>
    <w:rsid w:val="00941EBF"/>
    <w:rsid w:val="009443D5"/>
    <w:rsid w:val="0094470E"/>
    <w:rsid w:val="00944E64"/>
    <w:rsid w:val="00946320"/>
    <w:rsid w:val="00953758"/>
    <w:rsid w:val="009565D0"/>
    <w:rsid w:val="0095689D"/>
    <w:rsid w:val="009571A7"/>
    <w:rsid w:val="00957D8B"/>
    <w:rsid w:val="009635D2"/>
    <w:rsid w:val="0096383C"/>
    <w:rsid w:val="009657BB"/>
    <w:rsid w:val="00966606"/>
    <w:rsid w:val="00966C35"/>
    <w:rsid w:val="009674A4"/>
    <w:rsid w:val="00967684"/>
    <w:rsid w:val="009701E8"/>
    <w:rsid w:val="00970EFC"/>
    <w:rsid w:val="009716D4"/>
    <w:rsid w:val="00972B27"/>
    <w:rsid w:val="009736BA"/>
    <w:rsid w:val="00973724"/>
    <w:rsid w:val="00974244"/>
    <w:rsid w:val="00976310"/>
    <w:rsid w:val="00977BBB"/>
    <w:rsid w:val="009801C0"/>
    <w:rsid w:val="00980BF8"/>
    <w:rsid w:val="00981E29"/>
    <w:rsid w:val="0098336D"/>
    <w:rsid w:val="009836C1"/>
    <w:rsid w:val="00984E23"/>
    <w:rsid w:val="00984F34"/>
    <w:rsid w:val="009864ED"/>
    <w:rsid w:val="00987C93"/>
    <w:rsid w:val="00991CD3"/>
    <w:rsid w:val="00995311"/>
    <w:rsid w:val="00996813"/>
    <w:rsid w:val="00996DF2"/>
    <w:rsid w:val="009A07F3"/>
    <w:rsid w:val="009A1A74"/>
    <w:rsid w:val="009A1E51"/>
    <w:rsid w:val="009A286B"/>
    <w:rsid w:val="009A3737"/>
    <w:rsid w:val="009B0E2A"/>
    <w:rsid w:val="009B2ECB"/>
    <w:rsid w:val="009B3071"/>
    <w:rsid w:val="009B3906"/>
    <w:rsid w:val="009B4141"/>
    <w:rsid w:val="009C1944"/>
    <w:rsid w:val="009C352F"/>
    <w:rsid w:val="009C6677"/>
    <w:rsid w:val="009D02DE"/>
    <w:rsid w:val="009D0519"/>
    <w:rsid w:val="009D0A4C"/>
    <w:rsid w:val="009D2174"/>
    <w:rsid w:val="009D2471"/>
    <w:rsid w:val="009D2E26"/>
    <w:rsid w:val="009D316F"/>
    <w:rsid w:val="009D4F68"/>
    <w:rsid w:val="009D6DEC"/>
    <w:rsid w:val="009E0319"/>
    <w:rsid w:val="009E090D"/>
    <w:rsid w:val="009E153F"/>
    <w:rsid w:val="009E1862"/>
    <w:rsid w:val="009E2124"/>
    <w:rsid w:val="009E2A59"/>
    <w:rsid w:val="009E30F0"/>
    <w:rsid w:val="009E36E9"/>
    <w:rsid w:val="009E3CDC"/>
    <w:rsid w:val="009E6A38"/>
    <w:rsid w:val="009E6C57"/>
    <w:rsid w:val="009E7071"/>
    <w:rsid w:val="009E7E2B"/>
    <w:rsid w:val="009F1A1C"/>
    <w:rsid w:val="009F1DF9"/>
    <w:rsid w:val="009F2D2B"/>
    <w:rsid w:val="009F46E6"/>
    <w:rsid w:val="009F4DBA"/>
    <w:rsid w:val="009F5881"/>
    <w:rsid w:val="009F595F"/>
    <w:rsid w:val="009F5E07"/>
    <w:rsid w:val="009F6F9C"/>
    <w:rsid w:val="009F7EB0"/>
    <w:rsid w:val="00A01B17"/>
    <w:rsid w:val="00A04953"/>
    <w:rsid w:val="00A04C7C"/>
    <w:rsid w:val="00A066DF"/>
    <w:rsid w:val="00A072D7"/>
    <w:rsid w:val="00A07A4A"/>
    <w:rsid w:val="00A10420"/>
    <w:rsid w:val="00A14EFD"/>
    <w:rsid w:val="00A1573E"/>
    <w:rsid w:val="00A16284"/>
    <w:rsid w:val="00A16991"/>
    <w:rsid w:val="00A17193"/>
    <w:rsid w:val="00A1741A"/>
    <w:rsid w:val="00A200CA"/>
    <w:rsid w:val="00A25211"/>
    <w:rsid w:val="00A254D9"/>
    <w:rsid w:val="00A25A02"/>
    <w:rsid w:val="00A27399"/>
    <w:rsid w:val="00A3099D"/>
    <w:rsid w:val="00A313B0"/>
    <w:rsid w:val="00A343E6"/>
    <w:rsid w:val="00A34C1D"/>
    <w:rsid w:val="00A373B9"/>
    <w:rsid w:val="00A41482"/>
    <w:rsid w:val="00A44D0B"/>
    <w:rsid w:val="00A454FD"/>
    <w:rsid w:val="00A456A8"/>
    <w:rsid w:val="00A45CB9"/>
    <w:rsid w:val="00A503A0"/>
    <w:rsid w:val="00A50ADC"/>
    <w:rsid w:val="00A5114D"/>
    <w:rsid w:val="00A52055"/>
    <w:rsid w:val="00A52751"/>
    <w:rsid w:val="00A536AD"/>
    <w:rsid w:val="00A54EE6"/>
    <w:rsid w:val="00A54FDE"/>
    <w:rsid w:val="00A556A7"/>
    <w:rsid w:val="00A566D2"/>
    <w:rsid w:val="00A56FF6"/>
    <w:rsid w:val="00A5707F"/>
    <w:rsid w:val="00A57666"/>
    <w:rsid w:val="00A5771A"/>
    <w:rsid w:val="00A579FC"/>
    <w:rsid w:val="00A57D1B"/>
    <w:rsid w:val="00A61B64"/>
    <w:rsid w:val="00A6244C"/>
    <w:rsid w:val="00A62B98"/>
    <w:rsid w:val="00A6393C"/>
    <w:rsid w:val="00A63949"/>
    <w:rsid w:val="00A646C0"/>
    <w:rsid w:val="00A65FA3"/>
    <w:rsid w:val="00A70AA0"/>
    <w:rsid w:val="00A70B65"/>
    <w:rsid w:val="00A70C6C"/>
    <w:rsid w:val="00A71B3A"/>
    <w:rsid w:val="00A7539B"/>
    <w:rsid w:val="00A758BA"/>
    <w:rsid w:val="00A75FC8"/>
    <w:rsid w:val="00A76A05"/>
    <w:rsid w:val="00A76E6D"/>
    <w:rsid w:val="00A7792B"/>
    <w:rsid w:val="00A807C2"/>
    <w:rsid w:val="00A80A66"/>
    <w:rsid w:val="00A82361"/>
    <w:rsid w:val="00A83478"/>
    <w:rsid w:val="00A84471"/>
    <w:rsid w:val="00A84723"/>
    <w:rsid w:val="00A851D7"/>
    <w:rsid w:val="00A85772"/>
    <w:rsid w:val="00A87E37"/>
    <w:rsid w:val="00A97F57"/>
    <w:rsid w:val="00AA20B2"/>
    <w:rsid w:val="00AA6458"/>
    <w:rsid w:val="00AA665A"/>
    <w:rsid w:val="00AA6884"/>
    <w:rsid w:val="00AB02C6"/>
    <w:rsid w:val="00AB07B1"/>
    <w:rsid w:val="00AB1075"/>
    <w:rsid w:val="00AB1517"/>
    <w:rsid w:val="00AB3680"/>
    <w:rsid w:val="00AB3962"/>
    <w:rsid w:val="00AC2826"/>
    <w:rsid w:val="00AC2B1F"/>
    <w:rsid w:val="00AC5CBC"/>
    <w:rsid w:val="00AC6726"/>
    <w:rsid w:val="00AC7ADA"/>
    <w:rsid w:val="00AD0B73"/>
    <w:rsid w:val="00AD13CA"/>
    <w:rsid w:val="00AD16AF"/>
    <w:rsid w:val="00AD16CA"/>
    <w:rsid w:val="00AD1E03"/>
    <w:rsid w:val="00AD2009"/>
    <w:rsid w:val="00AD55A6"/>
    <w:rsid w:val="00AD68DF"/>
    <w:rsid w:val="00AE0FF0"/>
    <w:rsid w:val="00AE1F60"/>
    <w:rsid w:val="00AE26C4"/>
    <w:rsid w:val="00AE3DDC"/>
    <w:rsid w:val="00AE4576"/>
    <w:rsid w:val="00AE7ECC"/>
    <w:rsid w:val="00AF1136"/>
    <w:rsid w:val="00AF1E88"/>
    <w:rsid w:val="00AF2302"/>
    <w:rsid w:val="00AF2E29"/>
    <w:rsid w:val="00AF4155"/>
    <w:rsid w:val="00AF596E"/>
    <w:rsid w:val="00AF5F69"/>
    <w:rsid w:val="00AF744D"/>
    <w:rsid w:val="00B00197"/>
    <w:rsid w:val="00B00C55"/>
    <w:rsid w:val="00B04456"/>
    <w:rsid w:val="00B04FA0"/>
    <w:rsid w:val="00B0529F"/>
    <w:rsid w:val="00B055D6"/>
    <w:rsid w:val="00B1310C"/>
    <w:rsid w:val="00B16A4B"/>
    <w:rsid w:val="00B225D4"/>
    <w:rsid w:val="00B264FE"/>
    <w:rsid w:val="00B2736A"/>
    <w:rsid w:val="00B273AF"/>
    <w:rsid w:val="00B32BC3"/>
    <w:rsid w:val="00B341D0"/>
    <w:rsid w:val="00B34997"/>
    <w:rsid w:val="00B36DC7"/>
    <w:rsid w:val="00B37CFF"/>
    <w:rsid w:val="00B4196E"/>
    <w:rsid w:val="00B41C51"/>
    <w:rsid w:val="00B44D03"/>
    <w:rsid w:val="00B452D3"/>
    <w:rsid w:val="00B455D2"/>
    <w:rsid w:val="00B45DBC"/>
    <w:rsid w:val="00B50239"/>
    <w:rsid w:val="00B507BA"/>
    <w:rsid w:val="00B51B17"/>
    <w:rsid w:val="00B5460E"/>
    <w:rsid w:val="00B54686"/>
    <w:rsid w:val="00B54978"/>
    <w:rsid w:val="00B56197"/>
    <w:rsid w:val="00B574D3"/>
    <w:rsid w:val="00B63521"/>
    <w:rsid w:val="00B6728E"/>
    <w:rsid w:val="00B712B1"/>
    <w:rsid w:val="00B734CF"/>
    <w:rsid w:val="00B74FB6"/>
    <w:rsid w:val="00B754AB"/>
    <w:rsid w:val="00B77AF1"/>
    <w:rsid w:val="00B8057A"/>
    <w:rsid w:val="00B83B02"/>
    <w:rsid w:val="00B90918"/>
    <w:rsid w:val="00B9104C"/>
    <w:rsid w:val="00B91512"/>
    <w:rsid w:val="00B9251D"/>
    <w:rsid w:val="00B92CF6"/>
    <w:rsid w:val="00B92F33"/>
    <w:rsid w:val="00B93BEB"/>
    <w:rsid w:val="00B952DD"/>
    <w:rsid w:val="00B9680F"/>
    <w:rsid w:val="00B976B4"/>
    <w:rsid w:val="00BA20DD"/>
    <w:rsid w:val="00BA3C59"/>
    <w:rsid w:val="00BA4810"/>
    <w:rsid w:val="00BA5570"/>
    <w:rsid w:val="00BA5FD5"/>
    <w:rsid w:val="00BA6519"/>
    <w:rsid w:val="00BA66E9"/>
    <w:rsid w:val="00BA71CB"/>
    <w:rsid w:val="00BB0CCF"/>
    <w:rsid w:val="00BB3136"/>
    <w:rsid w:val="00BB4CE0"/>
    <w:rsid w:val="00BB683D"/>
    <w:rsid w:val="00BC097C"/>
    <w:rsid w:val="00BC0C1A"/>
    <w:rsid w:val="00BC286F"/>
    <w:rsid w:val="00BC2EC4"/>
    <w:rsid w:val="00BC500A"/>
    <w:rsid w:val="00BD0533"/>
    <w:rsid w:val="00BD1B08"/>
    <w:rsid w:val="00BD2F4E"/>
    <w:rsid w:val="00BD4DDA"/>
    <w:rsid w:val="00BD7CA8"/>
    <w:rsid w:val="00BE017E"/>
    <w:rsid w:val="00BE0C7F"/>
    <w:rsid w:val="00BE31CE"/>
    <w:rsid w:val="00BE5263"/>
    <w:rsid w:val="00BE6D80"/>
    <w:rsid w:val="00BE7E6D"/>
    <w:rsid w:val="00BF381A"/>
    <w:rsid w:val="00BF456B"/>
    <w:rsid w:val="00BF4DB0"/>
    <w:rsid w:val="00BF57FB"/>
    <w:rsid w:val="00BF6AB6"/>
    <w:rsid w:val="00BF7FC5"/>
    <w:rsid w:val="00C001D3"/>
    <w:rsid w:val="00C0206C"/>
    <w:rsid w:val="00C03B44"/>
    <w:rsid w:val="00C05F55"/>
    <w:rsid w:val="00C06F33"/>
    <w:rsid w:val="00C07068"/>
    <w:rsid w:val="00C076E4"/>
    <w:rsid w:val="00C07B96"/>
    <w:rsid w:val="00C100E6"/>
    <w:rsid w:val="00C12579"/>
    <w:rsid w:val="00C12BAB"/>
    <w:rsid w:val="00C12DB2"/>
    <w:rsid w:val="00C1394C"/>
    <w:rsid w:val="00C13B21"/>
    <w:rsid w:val="00C16D50"/>
    <w:rsid w:val="00C203BF"/>
    <w:rsid w:val="00C208B4"/>
    <w:rsid w:val="00C243BA"/>
    <w:rsid w:val="00C24DF8"/>
    <w:rsid w:val="00C24FC6"/>
    <w:rsid w:val="00C27669"/>
    <w:rsid w:val="00C27B72"/>
    <w:rsid w:val="00C3292C"/>
    <w:rsid w:val="00C34C4D"/>
    <w:rsid w:val="00C34E48"/>
    <w:rsid w:val="00C34FCC"/>
    <w:rsid w:val="00C34FD7"/>
    <w:rsid w:val="00C37575"/>
    <w:rsid w:val="00C376B2"/>
    <w:rsid w:val="00C40A22"/>
    <w:rsid w:val="00C40FBC"/>
    <w:rsid w:val="00C4146F"/>
    <w:rsid w:val="00C43823"/>
    <w:rsid w:val="00C45385"/>
    <w:rsid w:val="00C47998"/>
    <w:rsid w:val="00C47AF6"/>
    <w:rsid w:val="00C47C62"/>
    <w:rsid w:val="00C50DBC"/>
    <w:rsid w:val="00C51D1D"/>
    <w:rsid w:val="00C52517"/>
    <w:rsid w:val="00C53824"/>
    <w:rsid w:val="00C5453F"/>
    <w:rsid w:val="00C553FA"/>
    <w:rsid w:val="00C556B7"/>
    <w:rsid w:val="00C55985"/>
    <w:rsid w:val="00C56A69"/>
    <w:rsid w:val="00C616CA"/>
    <w:rsid w:val="00C623F9"/>
    <w:rsid w:val="00C62E17"/>
    <w:rsid w:val="00C7186F"/>
    <w:rsid w:val="00C72C33"/>
    <w:rsid w:val="00C749CC"/>
    <w:rsid w:val="00C76D86"/>
    <w:rsid w:val="00C7732D"/>
    <w:rsid w:val="00C802D5"/>
    <w:rsid w:val="00C84BB1"/>
    <w:rsid w:val="00C861E3"/>
    <w:rsid w:val="00C93D10"/>
    <w:rsid w:val="00C976D8"/>
    <w:rsid w:val="00C97D54"/>
    <w:rsid w:val="00CA1A19"/>
    <w:rsid w:val="00CA5E62"/>
    <w:rsid w:val="00CA65A8"/>
    <w:rsid w:val="00CA699B"/>
    <w:rsid w:val="00CA7638"/>
    <w:rsid w:val="00CB06F3"/>
    <w:rsid w:val="00CB31DA"/>
    <w:rsid w:val="00CB39DD"/>
    <w:rsid w:val="00CB7FFE"/>
    <w:rsid w:val="00CC16B4"/>
    <w:rsid w:val="00CC18C0"/>
    <w:rsid w:val="00CC2358"/>
    <w:rsid w:val="00CC6C90"/>
    <w:rsid w:val="00CC7264"/>
    <w:rsid w:val="00CC7292"/>
    <w:rsid w:val="00CC73E9"/>
    <w:rsid w:val="00CC770D"/>
    <w:rsid w:val="00CC7E46"/>
    <w:rsid w:val="00CD0906"/>
    <w:rsid w:val="00CD12E4"/>
    <w:rsid w:val="00CD1B53"/>
    <w:rsid w:val="00CD204E"/>
    <w:rsid w:val="00CD27FB"/>
    <w:rsid w:val="00CD38D6"/>
    <w:rsid w:val="00CD75C6"/>
    <w:rsid w:val="00CE025E"/>
    <w:rsid w:val="00CE11F8"/>
    <w:rsid w:val="00CE1BE1"/>
    <w:rsid w:val="00CE2896"/>
    <w:rsid w:val="00CE3F78"/>
    <w:rsid w:val="00CE4F68"/>
    <w:rsid w:val="00CE7978"/>
    <w:rsid w:val="00CF21FA"/>
    <w:rsid w:val="00CF2A9C"/>
    <w:rsid w:val="00CF311A"/>
    <w:rsid w:val="00CF4103"/>
    <w:rsid w:val="00D03E1A"/>
    <w:rsid w:val="00D05D1C"/>
    <w:rsid w:val="00D060F3"/>
    <w:rsid w:val="00D06B63"/>
    <w:rsid w:val="00D06C43"/>
    <w:rsid w:val="00D10CEF"/>
    <w:rsid w:val="00D14918"/>
    <w:rsid w:val="00D14FE2"/>
    <w:rsid w:val="00D16B02"/>
    <w:rsid w:val="00D17392"/>
    <w:rsid w:val="00D238DA"/>
    <w:rsid w:val="00D26EE0"/>
    <w:rsid w:val="00D27AA0"/>
    <w:rsid w:val="00D30346"/>
    <w:rsid w:val="00D31D4A"/>
    <w:rsid w:val="00D324F5"/>
    <w:rsid w:val="00D345BA"/>
    <w:rsid w:val="00D3666B"/>
    <w:rsid w:val="00D36727"/>
    <w:rsid w:val="00D40BBC"/>
    <w:rsid w:val="00D447DF"/>
    <w:rsid w:val="00D45214"/>
    <w:rsid w:val="00D5299C"/>
    <w:rsid w:val="00D53831"/>
    <w:rsid w:val="00D53D65"/>
    <w:rsid w:val="00D5435C"/>
    <w:rsid w:val="00D55EAB"/>
    <w:rsid w:val="00D561DD"/>
    <w:rsid w:val="00D57EDC"/>
    <w:rsid w:val="00D600F4"/>
    <w:rsid w:val="00D60CAD"/>
    <w:rsid w:val="00D611AC"/>
    <w:rsid w:val="00D6268D"/>
    <w:rsid w:val="00D63534"/>
    <w:rsid w:val="00D649FF"/>
    <w:rsid w:val="00D64D7A"/>
    <w:rsid w:val="00D66FEF"/>
    <w:rsid w:val="00D6703E"/>
    <w:rsid w:val="00D675BA"/>
    <w:rsid w:val="00D67FD0"/>
    <w:rsid w:val="00D70125"/>
    <w:rsid w:val="00D712B6"/>
    <w:rsid w:val="00D722E5"/>
    <w:rsid w:val="00D72F36"/>
    <w:rsid w:val="00D733FC"/>
    <w:rsid w:val="00D74A93"/>
    <w:rsid w:val="00D74D62"/>
    <w:rsid w:val="00D75C18"/>
    <w:rsid w:val="00D777F5"/>
    <w:rsid w:val="00D80C7A"/>
    <w:rsid w:val="00D8273A"/>
    <w:rsid w:val="00D832A8"/>
    <w:rsid w:val="00D836E1"/>
    <w:rsid w:val="00D83B69"/>
    <w:rsid w:val="00D845E4"/>
    <w:rsid w:val="00D84E0B"/>
    <w:rsid w:val="00D8685A"/>
    <w:rsid w:val="00D913F3"/>
    <w:rsid w:val="00D93C32"/>
    <w:rsid w:val="00D96529"/>
    <w:rsid w:val="00D971E9"/>
    <w:rsid w:val="00DA1F0F"/>
    <w:rsid w:val="00DA3BEC"/>
    <w:rsid w:val="00DA3D05"/>
    <w:rsid w:val="00DA47B5"/>
    <w:rsid w:val="00DA5FB4"/>
    <w:rsid w:val="00DB1D47"/>
    <w:rsid w:val="00DB2672"/>
    <w:rsid w:val="00DB2F09"/>
    <w:rsid w:val="00DB3B00"/>
    <w:rsid w:val="00DB3CCE"/>
    <w:rsid w:val="00DB6E67"/>
    <w:rsid w:val="00DB7566"/>
    <w:rsid w:val="00DB7E23"/>
    <w:rsid w:val="00DC22B9"/>
    <w:rsid w:val="00DC5457"/>
    <w:rsid w:val="00DC684F"/>
    <w:rsid w:val="00DD1895"/>
    <w:rsid w:val="00DD2A08"/>
    <w:rsid w:val="00DD5B93"/>
    <w:rsid w:val="00DE1298"/>
    <w:rsid w:val="00DE1841"/>
    <w:rsid w:val="00DE2BBC"/>
    <w:rsid w:val="00DE3258"/>
    <w:rsid w:val="00DE5117"/>
    <w:rsid w:val="00DE5C16"/>
    <w:rsid w:val="00DE5EDC"/>
    <w:rsid w:val="00DE655A"/>
    <w:rsid w:val="00DE7EF3"/>
    <w:rsid w:val="00DF01F6"/>
    <w:rsid w:val="00DF0F21"/>
    <w:rsid w:val="00DF2843"/>
    <w:rsid w:val="00DF2B14"/>
    <w:rsid w:val="00DF3A7F"/>
    <w:rsid w:val="00DF3B0D"/>
    <w:rsid w:val="00DF3B35"/>
    <w:rsid w:val="00DF51D9"/>
    <w:rsid w:val="00DF7AD1"/>
    <w:rsid w:val="00E00B82"/>
    <w:rsid w:val="00E01A3F"/>
    <w:rsid w:val="00E02B0C"/>
    <w:rsid w:val="00E03F10"/>
    <w:rsid w:val="00E059E5"/>
    <w:rsid w:val="00E05CEC"/>
    <w:rsid w:val="00E06B1B"/>
    <w:rsid w:val="00E07442"/>
    <w:rsid w:val="00E10E96"/>
    <w:rsid w:val="00E138FA"/>
    <w:rsid w:val="00E1465A"/>
    <w:rsid w:val="00E14ACF"/>
    <w:rsid w:val="00E168DA"/>
    <w:rsid w:val="00E16B0D"/>
    <w:rsid w:val="00E1710A"/>
    <w:rsid w:val="00E17627"/>
    <w:rsid w:val="00E17BD5"/>
    <w:rsid w:val="00E20106"/>
    <w:rsid w:val="00E20AE0"/>
    <w:rsid w:val="00E21138"/>
    <w:rsid w:val="00E23248"/>
    <w:rsid w:val="00E26FA3"/>
    <w:rsid w:val="00E272CF"/>
    <w:rsid w:val="00E313F8"/>
    <w:rsid w:val="00E31834"/>
    <w:rsid w:val="00E3297B"/>
    <w:rsid w:val="00E3325B"/>
    <w:rsid w:val="00E36B4D"/>
    <w:rsid w:val="00E41C59"/>
    <w:rsid w:val="00E422F0"/>
    <w:rsid w:val="00E42AEF"/>
    <w:rsid w:val="00E431E8"/>
    <w:rsid w:val="00E44577"/>
    <w:rsid w:val="00E447C2"/>
    <w:rsid w:val="00E45357"/>
    <w:rsid w:val="00E5085E"/>
    <w:rsid w:val="00E51130"/>
    <w:rsid w:val="00E51B69"/>
    <w:rsid w:val="00E55030"/>
    <w:rsid w:val="00E555E5"/>
    <w:rsid w:val="00E57E53"/>
    <w:rsid w:val="00E605B4"/>
    <w:rsid w:val="00E60B82"/>
    <w:rsid w:val="00E632D7"/>
    <w:rsid w:val="00E639D9"/>
    <w:rsid w:val="00E64219"/>
    <w:rsid w:val="00E66BE2"/>
    <w:rsid w:val="00E67641"/>
    <w:rsid w:val="00E6764C"/>
    <w:rsid w:val="00E70203"/>
    <w:rsid w:val="00E73A48"/>
    <w:rsid w:val="00E770F9"/>
    <w:rsid w:val="00E773FC"/>
    <w:rsid w:val="00E80B8A"/>
    <w:rsid w:val="00E819DF"/>
    <w:rsid w:val="00E8331C"/>
    <w:rsid w:val="00E8339E"/>
    <w:rsid w:val="00E83B4E"/>
    <w:rsid w:val="00E858DC"/>
    <w:rsid w:val="00E929DE"/>
    <w:rsid w:val="00E92B50"/>
    <w:rsid w:val="00E93736"/>
    <w:rsid w:val="00E93C0C"/>
    <w:rsid w:val="00E9415B"/>
    <w:rsid w:val="00E941D4"/>
    <w:rsid w:val="00E953FC"/>
    <w:rsid w:val="00E969F8"/>
    <w:rsid w:val="00EA0C8F"/>
    <w:rsid w:val="00EA3275"/>
    <w:rsid w:val="00EA5778"/>
    <w:rsid w:val="00EB39C2"/>
    <w:rsid w:val="00EB4070"/>
    <w:rsid w:val="00EB4C61"/>
    <w:rsid w:val="00EB5A9A"/>
    <w:rsid w:val="00EB5FDE"/>
    <w:rsid w:val="00EB6965"/>
    <w:rsid w:val="00EB7872"/>
    <w:rsid w:val="00EC049A"/>
    <w:rsid w:val="00EC0D87"/>
    <w:rsid w:val="00EC11CE"/>
    <w:rsid w:val="00EC4AD2"/>
    <w:rsid w:val="00EC5374"/>
    <w:rsid w:val="00EC55DB"/>
    <w:rsid w:val="00ED02FD"/>
    <w:rsid w:val="00ED24AE"/>
    <w:rsid w:val="00ED2677"/>
    <w:rsid w:val="00ED34FD"/>
    <w:rsid w:val="00ED46DD"/>
    <w:rsid w:val="00ED4AAA"/>
    <w:rsid w:val="00ED6010"/>
    <w:rsid w:val="00ED6BD0"/>
    <w:rsid w:val="00EE0A65"/>
    <w:rsid w:val="00EE2DD0"/>
    <w:rsid w:val="00EE45FA"/>
    <w:rsid w:val="00EE5C5B"/>
    <w:rsid w:val="00EE68F6"/>
    <w:rsid w:val="00EE7D3D"/>
    <w:rsid w:val="00EF0152"/>
    <w:rsid w:val="00EF1C0B"/>
    <w:rsid w:val="00EF362F"/>
    <w:rsid w:val="00EF3E27"/>
    <w:rsid w:val="00EF5948"/>
    <w:rsid w:val="00EF6C92"/>
    <w:rsid w:val="00F0054F"/>
    <w:rsid w:val="00F0199C"/>
    <w:rsid w:val="00F051A3"/>
    <w:rsid w:val="00F0599D"/>
    <w:rsid w:val="00F068B0"/>
    <w:rsid w:val="00F109F8"/>
    <w:rsid w:val="00F12982"/>
    <w:rsid w:val="00F129DB"/>
    <w:rsid w:val="00F12AD0"/>
    <w:rsid w:val="00F12E50"/>
    <w:rsid w:val="00F131B6"/>
    <w:rsid w:val="00F137E7"/>
    <w:rsid w:val="00F13C2F"/>
    <w:rsid w:val="00F146F1"/>
    <w:rsid w:val="00F20786"/>
    <w:rsid w:val="00F20C37"/>
    <w:rsid w:val="00F20E5C"/>
    <w:rsid w:val="00F214E3"/>
    <w:rsid w:val="00F21E25"/>
    <w:rsid w:val="00F22C22"/>
    <w:rsid w:val="00F23933"/>
    <w:rsid w:val="00F240DA"/>
    <w:rsid w:val="00F304EE"/>
    <w:rsid w:val="00F30AD5"/>
    <w:rsid w:val="00F3264E"/>
    <w:rsid w:val="00F32D6B"/>
    <w:rsid w:val="00F3336C"/>
    <w:rsid w:val="00F3484C"/>
    <w:rsid w:val="00F350A7"/>
    <w:rsid w:val="00F361CD"/>
    <w:rsid w:val="00F36D5A"/>
    <w:rsid w:val="00F40930"/>
    <w:rsid w:val="00F40947"/>
    <w:rsid w:val="00F41215"/>
    <w:rsid w:val="00F412A9"/>
    <w:rsid w:val="00F44E5F"/>
    <w:rsid w:val="00F50380"/>
    <w:rsid w:val="00F50557"/>
    <w:rsid w:val="00F5092F"/>
    <w:rsid w:val="00F512F8"/>
    <w:rsid w:val="00F523AC"/>
    <w:rsid w:val="00F53EC6"/>
    <w:rsid w:val="00F60FD8"/>
    <w:rsid w:val="00F6131F"/>
    <w:rsid w:val="00F61C30"/>
    <w:rsid w:val="00F61F3D"/>
    <w:rsid w:val="00F73171"/>
    <w:rsid w:val="00F73BC9"/>
    <w:rsid w:val="00F743FE"/>
    <w:rsid w:val="00F75D9D"/>
    <w:rsid w:val="00F77384"/>
    <w:rsid w:val="00F800CD"/>
    <w:rsid w:val="00F80E24"/>
    <w:rsid w:val="00F828AD"/>
    <w:rsid w:val="00F836CE"/>
    <w:rsid w:val="00F85DD5"/>
    <w:rsid w:val="00F87E86"/>
    <w:rsid w:val="00F9016B"/>
    <w:rsid w:val="00F9158A"/>
    <w:rsid w:val="00F93A5F"/>
    <w:rsid w:val="00F93F64"/>
    <w:rsid w:val="00F942BA"/>
    <w:rsid w:val="00F95BE0"/>
    <w:rsid w:val="00F96172"/>
    <w:rsid w:val="00F97EED"/>
    <w:rsid w:val="00FA119D"/>
    <w:rsid w:val="00FA2EB8"/>
    <w:rsid w:val="00FA3444"/>
    <w:rsid w:val="00FA438A"/>
    <w:rsid w:val="00FB117A"/>
    <w:rsid w:val="00FB1982"/>
    <w:rsid w:val="00FB21C4"/>
    <w:rsid w:val="00FB2C30"/>
    <w:rsid w:val="00FB2E1C"/>
    <w:rsid w:val="00FB65CC"/>
    <w:rsid w:val="00FB6E4B"/>
    <w:rsid w:val="00FB6E4E"/>
    <w:rsid w:val="00FB72F7"/>
    <w:rsid w:val="00FC1A15"/>
    <w:rsid w:val="00FC280D"/>
    <w:rsid w:val="00FC3ACD"/>
    <w:rsid w:val="00FC4C7B"/>
    <w:rsid w:val="00FC5C3A"/>
    <w:rsid w:val="00FC6106"/>
    <w:rsid w:val="00FC7462"/>
    <w:rsid w:val="00FC7F02"/>
    <w:rsid w:val="00FD0B0C"/>
    <w:rsid w:val="00FD244A"/>
    <w:rsid w:val="00FD278A"/>
    <w:rsid w:val="00FD3A9C"/>
    <w:rsid w:val="00FD4C24"/>
    <w:rsid w:val="00FD4CA6"/>
    <w:rsid w:val="00FD50E3"/>
    <w:rsid w:val="00FD59D5"/>
    <w:rsid w:val="00FD64D7"/>
    <w:rsid w:val="00FD7BF0"/>
    <w:rsid w:val="00FE0646"/>
    <w:rsid w:val="00FE11EE"/>
    <w:rsid w:val="00FE13B9"/>
    <w:rsid w:val="00FE2369"/>
    <w:rsid w:val="00FE32C0"/>
    <w:rsid w:val="00FE5095"/>
    <w:rsid w:val="00FE5EC8"/>
    <w:rsid w:val="00FE7487"/>
    <w:rsid w:val="00FF1878"/>
    <w:rsid w:val="00FF30E4"/>
    <w:rsid w:val="00FF368B"/>
    <w:rsid w:val="00FF486D"/>
    <w:rsid w:val="00FF52A8"/>
    <w:rsid w:val="00FF6F96"/>
    <w:rsid w:val="00FF74F4"/>
    <w:rsid w:val="00FF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E24DB"/>
  <w15:docId w15:val="{0C6250C5-51E2-4473-8389-676C2262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606"/>
    <w:rPr>
      <w:rFonts w:eastAsiaTheme="minorEastAsia"/>
      <w:lang w:eastAsia="en-PH"/>
    </w:rPr>
  </w:style>
  <w:style w:type="paragraph" w:styleId="Heading1">
    <w:name w:val="heading 1"/>
    <w:basedOn w:val="Normal"/>
    <w:next w:val="Normal"/>
    <w:link w:val="Heading1Char"/>
    <w:qFormat/>
    <w:rsid w:val="00FF368B"/>
    <w:pPr>
      <w:keepNext/>
      <w:spacing w:after="0" w:line="240" w:lineRule="auto"/>
      <w:ind w:left="-720"/>
      <w:jc w:val="center"/>
      <w:outlineLvl w:val="0"/>
    </w:pPr>
    <w:rPr>
      <w:rFonts w:ascii="Times New Roman" w:eastAsia="Times New Roman" w:hAnsi="Times New Roman" w:cs="Times New Roman"/>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606"/>
    <w:rPr>
      <w:strike w:val="0"/>
      <w:dstrike w:val="0"/>
      <w:color w:val="336699"/>
      <w:u w:val="none"/>
      <w:effect w:val="none"/>
    </w:rPr>
  </w:style>
  <w:style w:type="paragraph" w:styleId="FootnoteText">
    <w:name w:val="footnote text"/>
    <w:basedOn w:val="Normal"/>
    <w:link w:val="FootnoteTextChar"/>
    <w:uiPriority w:val="99"/>
    <w:semiHidden/>
    <w:unhideWhenUsed/>
    <w:rsid w:val="00966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606"/>
    <w:rPr>
      <w:rFonts w:eastAsiaTheme="minorEastAsia"/>
      <w:sz w:val="20"/>
      <w:szCs w:val="20"/>
      <w:lang w:val="fr-FR" w:eastAsia="en-PH"/>
    </w:rPr>
  </w:style>
  <w:style w:type="character" w:styleId="FootnoteReference">
    <w:name w:val="footnote reference"/>
    <w:basedOn w:val="DefaultParagraphFont"/>
    <w:uiPriority w:val="99"/>
    <w:semiHidden/>
    <w:unhideWhenUsed/>
    <w:rsid w:val="00966606"/>
    <w:rPr>
      <w:vertAlign w:val="superscript"/>
    </w:rPr>
  </w:style>
  <w:style w:type="paragraph" w:styleId="ListParagraph">
    <w:name w:val="List Paragraph"/>
    <w:basedOn w:val="Normal"/>
    <w:uiPriority w:val="34"/>
    <w:qFormat/>
    <w:rsid w:val="00966606"/>
    <w:pPr>
      <w:ind w:left="720"/>
      <w:contextualSpacing/>
    </w:pPr>
  </w:style>
  <w:style w:type="paragraph" w:styleId="NormalWeb">
    <w:name w:val="Normal (Web)"/>
    <w:basedOn w:val="Normal"/>
    <w:uiPriority w:val="99"/>
    <w:unhideWhenUsed/>
    <w:rsid w:val="00E819DF"/>
    <w:pPr>
      <w:spacing w:before="100" w:beforeAutospacing="1" w:after="100" w:afterAutospacing="1" w:line="312"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E819DF"/>
    <w:rPr>
      <w:b/>
      <w:bCs/>
    </w:rPr>
  </w:style>
  <w:style w:type="paragraph" w:styleId="BalloonText">
    <w:name w:val="Balloon Text"/>
    <w:basedOn w:val="Normal"/>
    <w:link w:val="BalloonTextChar"/>
    <w:uiPriority w:val="99"/>
    <w:semiHidden/>
    <w:unhideWhenUsed/>
    <w:rsid w:val="00FB6E4B"/>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B6E4B"/>
    <w:rPr>
      <w:rFonts w:ascii="Tahoma" w:hAnsi="Tahoma" w:cs="Tahoma"/>
      <w:sz w:val="16"/>
      <w:szCs w:val="16"/>
    </w:rPr>
  </w:style>
  <w:style w:type="character" w:styleId="CommentReference">
    <w:name w:val="annotation reference"/>
    <w:basedOn w:val="DefaultParagraphFont"/>
    <w:uiPriority w:val="99"/>
    <w:semiHidden/>
    <w:unhideWhenUsed/>
    <w:rsid w:val="00FE2369"/>
    <w:rPr>
      <w:sz w:val="16"/>
      <w:szCs w:val="16"/>
    </w:rPr>
  </w:style>
  <w:style w:type="paragraph" w:styleId="CommentText">
    <w:name w:val="annotation text"/>
    <w:basedOn w:val="Normal"/>
    <w:link w:val="CommentTextChar"/>
    <w:uiPriority w:val="99"/>
    <w:semiHidden/>
    <w:unhideWhenUsed/>
    <w:rsid w:val="00FE2369"/>
    <w:pPr>
      <w:spacing w:line="240" w:lineRule="auto"/>
    </w:pPr>
    <w:rPr>
      <w:sz w:val="20"/>
      <w:szCs w:val="20"/>
    </w:rPr>
  </w:style>
  <w:style w:type="character" w:customStyle="1" w:styleId="CommentTextChar">
    <w:name w:val="Comment Text Char"/>
    <w:basedOn w:val="DefaultParagraphFont"/>
    <w:link w:val="CommentText"/>
    <w:uiPriority w:val="99"/>
    <w:semiHidden/>
    <w:rsid w:val="00FE2369"/>
    <w:rPr>
      <w:rFonts w:eastAsiaTheme="minorEastAsia"/>
      <w:sz w:val="20"/>
      <w:szCs w:val="20"/>
      <w:lang w:val="fr-FR" w:eastAsia="en-PH"/>
    </w:rPr>
  </w:style>
  <w:style w:type="paragraph" w:styleId="CommentSubject">
    <w:name w:val="annotation subject"/>
    <w:basedOn w:val="CommentText"/>
    <w:next w:val="CommentText"/>
    <w:link w:val="CommentSubjectChar"/>
    <w:uiPriority w:val="99"/>
    <w:semiHidden/>
    <w:unhideWhenUsed/>
    <w:rsid w:val="00FE2369"/>
    <w:rPr>
      <w:b/>
      <w:bCs/>
    </w:rPr>
  </w:style>
  <w:style w:type="character" w:customStyle="1" w:styleId="CommentSubjectChar">
    <w:name w:val="Comment Subject Char"/>
    <w:basedOn w:val="CommentTextChar"/>
    <w:link w:val="CommentSubject"/>
    <w:uiPriority w:val="99"/>
    <w:semiHidden/>
    <w:rsid w:val="00FE2369"/>
    <w:rPr>
      <w:rFonts w:eastAsiaTheme="minorEastAsia"/>
      <w:b/>
      <w:bCs/>
      <w:sz w:val="20"/>
      <w:szCs w:val="20"/>
      <w:lang w:val="fr-FR" w:eastAsia="en-PH"/>
    </w:rPr>
  </w:style>
  <w:style w:type="paragraph" w:styleId="Revision">
    <w:name w:val="Revision"/>
    <w:hidden/>
    <w:uiPriority w:val="99"/>
    <w:semiHidden/>
    <w:rsid w:val="00FE2369"/>
    <w:pPr>
      <w:spacing w:after="0" w:line="240" w:lineRule="auto"/>
    </w:pPr>
    <w:rPr>
      <w:rFonts w:eastAsiaTheme="minorEastAsia"/>
      <w:lang w:eastAsia="en-PH"/>
    </w:rPr>
  </w:style>
  <w:style w:type="table" w:styleId="TableGrid">
    <w:name w:val="Table Grid"/>
    <w:basedOn w:val="TableNormal"/>
    <w:uiPriority w:val="59"/>
    <w:rsid w:val="0085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CF"/>
    <w:rPr>
      <w:rFonts w:eastAsiaTheme="minorEastAsia"/>
      <w:lang w:val="fr-FR" w:eastAsia="en-PH"/>
    </w:rPr>
  </w:style>
  <w:style w:type="paragraph" w:styleId="Footer">
    <w:name w:val="footer"/>
    <w:basedOn w:val="Normal"/>
    <w:link w:val="FooterChar"/>
    <w:uiPriority w:val="99"/>
    <w:unhideWhenUsed/>
    <w:rsid w:val="00E27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CF"/>
    <w:rPr>
      <w:rFonts w:eastAsiaTheme="minorEastAsia"/>
      <w:lang w:val="fr-FR" w:eastAsia="en-PH"/>
    </w:rPr>
  </w:style>
  <w:style w:type="character" w:customStyle="1" w:styleId="Heading1Char">
    <w:name w:val="Heading 1 Char"/>
    <w:basedOn w:val="DefaultParagraphFont"/>
    <w:link w:val="Heading1"/>
    <w:rsid w:val="00FF368B"/>
    <w:rPr>
      <w:rFonts w:ascii="Times New Roman" w:eastAsia="Times New Roman" w:hAnsi="Times New Roman" w:cs="Times New Roman"/>
      <w:sz w:val="40"/>
      <w:szCs w:val="24"/>
    </w:rPr>
  </w:style>
  <w:style w:type="paragraph" w:customStyle="1" w:styleId="Default">
    <w:name w:val="Default"/>
    <w:rsid w:val="008952BB"/>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A72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1547">
      <w:bodyDiv w:val="1"/>
      <w:marLeft w:val="0"/>
      <w:marRight w:val="0"/>
      <w:marTop w:val="0"/>
      <w:marBottom w:val="0"/>
      <w:divBdr>
        <w:top w:val="none" w:sz="0" w:space="0" w:color="auto"/>
        <w:left w:val="none" w:sz="0" w:space="0" w:color="auto"/>
        <w:bottom w:val="none" w:sz="0" w:space="0" w:color="auto"/>
        <w:right w:val="none" w:sz="0" w:space="0" w:color="auto"/>
      </w:divBdr>
    </w:div>
    <w:div w:id="444467397">
      <w:bodyDiv w:val="1"/>
      <w:marLeft w:val="0"/>
      <w:marRight w:val="0"/>
      <w:marTop w:val="0"/>
      <w:marBottom w:val="0"/>
      <w:divBdr>
        <w:top w:val="none" w:sz="0" w:space="0" w:color="auto"/>
        <w:left w:val="none" w:sz="0" w:space="0" w:color="auto"/>
        <w:bottom w:val="none" w:sz="0" w:space="0" w:color="auto"/>
        <w:right w:val="none" w:sz="0" w:space="0" w:color="auto"/>
      </w:divBdr>
    </w:div>
    <w:div w:id="2051371964">
      <w:bodyDiv w:val="1"/>
      <w:marLeft w:val="0"/>
      <w:marRight w:val="0"/>
      <w:marTop w:val="0"/>
      <w:marBottom w:val="0"/>
      <w:divBdr>
        <w:top w:val="none" w:sz="0" w:space="0" w:color="auto"/>
        <w:left w:val="none" w:sz="0" w:space="0" w:color="auto"/>
        <w:bottom w:val="none" w:sz="0" w:space="0" w:color="auto"/>
        <w:right w:val="none" w:sz="0" w:space="0" w:color="auto"/>
      </w:divBdr>
      <w:divsChild>
        <w:div w:id="729890710">
          <w:marLeft w:val="0"/>
          <w:marRight w:val="0"/>
          <w:marTop w:val="0"/>
          <w:marBottom w:val="360"/>
          <w:divBdr>
            <w:top w:val="none" w:sz="0" w:space="0" w:color="auto"/>
            <w:left w:val="none" w:sz="0" w:space="0" w:color="auto"/>
            <w:bottom w:val="none" w:sz="0" w:space="0" w:color="auto"/>
            <w:right w:val="none" w:sz="0" w:space="0" w:color="auto"/>
          </w:divBdr>
        </w:div>
      </w:divsChild>
    </w:div>
    <w:div w:id="2057775822">
      <w:bodyDiv w:val="1"/>
      <w:marLeft w:val="0"/>
      <w:marRight w:val="0"/>
      <w:marTop w:val="0"/>
      <w:marBottom w:val="0"/>
      <w:divBdr>
        <w:top w:val="none" w:sz="0" w:space="0" w:color="auto"/>
        <w:left w:val="none" w:sz="0" w:space="0" w:color="auto"/>
        <w:bottom w:val="none" w:sz="0" w:space="0" w:color="auto"/>
        <w:right w:val="none" w:sz="0" w:space="0" w:color="auto"/>
      </w:divBdr>
      <w:divsChild>
        <w:div w:id="910458091">
          <w:marLeft w:val="0"/>
          <w:marRight w:val="0"/>
          <w:marTop w:val="0"/>
          <w:marBottom w:val="360"/>
          <w:divBdr>
            <w:top w:val="none" w:sz="0" w:space="0" w:color="auto"/>
            <w:left w:val="none" w:sz="0" w:space="0" w:color="auto"/>
            <w:bottom w:val="none" w:sz="0" w:space="0" w:color="auto"/>
            <w:right w:val="none" w:sz="0" w:space="0" w:color="auto"/>
          </w:divBdr>
        </w:div>
      </w:divsChild>
    </w:div>
    <w:div w:id="2140955465">
      <w:bodyDiv w:val="1"/>
      <w:marLeft w:val="0"/>
      <w:marRight w:val="0"/>
      <w:marTop w:val="0"/>
      <w:marBottom w:val="0"/>
      <w:divBdr>
        <w:top w:val="none" w:sz="0" w:space="0" w:color="auto"/>
        <w:left w:val="none" w:sz="0" w:space="0" w:color="auto"/>
        <w:bottom w:val="none" w:sz="0" w:space="0" w:color="auto"/>
        <w:right w:val="none" w:sz="0" w:space="0" w:color="auto"/>
      </w:divBdr>
      <w:divsChild>
        <w:div w:id="1136021780">
          <w:marLeft w:val="0"/>
          <w:marRight w:val="0"/>
          <w:marTop w:val="0"/>
          <w:marBottom w:val="0"/>
          <w:divBdr>
            <w:top w:val="none" w:sz="0" w:space="0" w:color="auto"/>
            <w:left w:val="none" w:sz="0" w:space="0" w:color="auto"/>
            <w:bottom w:val="none" w:sz="0" w:space="0" w:color="auto"/>
            <w:right w:val="none" w:sz="0" w:space="0" w:color="auto"/>
          </w:divBdr>
          <w:divsChild>
            <w:div w:id="216018418">
              <w:marLeft w:val="0"/>
              <w:marRight w:val="0"/>
              <w:marTop w:val="0"/>
              <w:marBottom w:val="0"/>
              <w:divBdr>
                <w:top w:val="none" w:sz="0" w:space="0" w:color="auto"/>
                <w:left w:val="none" w:sz="0" w:space="0" w:color="auto"/>
                <w:bottom w:val="none" w:sz="0" w:space="0" w:color="auto"/>
                <w:right w:val="none" w:sz="0" w:space="0" w:color="auto"/>
              </w:divBdr>
              <w:divsChild>
                <w:div w:id="1470320032">
                  <w:marLeft w:val="0"/>
                  <w:marRight w:val="0"/>
                  <w:marTop w:val="0"/>
                  <w:marBottom w:val="0"/>
                  <w:divBdr>
                    <w:top w:val="none" w:sz="0" w:space="0" w:color="auto"/>
                    <w:left w:val="none" w:sz="0" w:space="0" w:color="auto"/>
                    <w:bottom w:val="none" w:sz="0" w:space="0" w:color="auto"/>
                    <w:right w:val="none" w:sz="0" w:space="0" w:color="auto"/>
                  </w:divBdr>
                  <w:divsChild>
                    <w:div w:id="208567460">
                      <w:marLeft w:val="2325"/>
                      <w:marRight w:val="0"/>
                      <w:marTop w:val="0"/>
                      <w:marBottom w:val="0"/>
                      <w:divBdr>
                        <w:top w:val="none" w:sz="0" w:space="0" w:color="auto"/>
                        <w:left w:val="none" w:sz="0" w:space="0" w:color="auto"/>
                        <w:bottom w:val="none" w:sz="0" w:space="0" w:color="auto"/>
                        <w:right w:val="none" w:sz="0" w:space="0" w:color="auto"/>
                      </w:divBdr>
                      <w:divsChild>
                        <w:div w:id="2000040096">
                          <w:marLeft w:val="0"/>
                          <w:marRight w:val="0"/>
                          <w:marTop w:val="0"/>
                          <w:marBottom w:val="0"/>
                          <w:divBdr>
                            <w:top w:val="none" w:sz="0" w:space="0" w:color="auto"/>
                            <w:left w:val="none" w:sz="0" w:space="0" w:color="auto"/>
                            <w:bottom w:val="none" w:sz="0" w:space="0" w:color="auto"/>
                            <w:right w:val="none" w:sz="0" w:space="0" w:color="auto"/>
                          </w:divBdr>
                          <w:divsChild>
                            <w:div w:id="816646748">
                              <w:marLeft w:val="0"/>
                              <w:marRight w:val="0"/>
                              <w:marTop w:val="0"/>
                              <w:marBottom w:val="0"/>
                              <w:divBdr>
                                <w:top w:val="none" w:sz="0" w:space="0" w:color="auto"/>
                                <w:left w:val="none" w:sz="0" w:space="0" w:color="auto"/>
                                <w:bottom w:val="none" w:sz="0" w:space="0" w:color="auto"/>
                                <w:right w:val="none" w:sz="0" w:space="0" w:color="auto"/>
                              </w:divBdr>
                              <w:divsChild>
                                <w:div w:id="1311717114">
                                  <w:marLeft w:val="0"/>
                                  <w:marRight w:val="0"/>
                                  <w:marTop w:val="0"/>
                                  <w:marBottom w:val="0"/>
                                  <w:divBdr>
                                    <w:top w:val="none" w:sz="0" w:space="0" w:color="auto"/>
                                    <w:left w:val="none" w:sz="0" w:space="0" w:color="auto"/>
                                    <w:bottom w:val="none" w:sz="0" w:space="0" w:color="auto"/>
                                    <w:right w:val="none" w:sz="0" w:space="0" w:color="auto"/>
                                  </w:divBdr>
                                  <w:divsChild>
                                    <w:div w:id="1553999673">
                                      <w:marLeft w:val="0"/>
                                      <w:marRight w:val="0"/>
                                      <w:marTop w:val="0"/>
                                      <w:marBottom w:val="0"/>
                                      <w:divBdr>
                                        <w:top w:val="none" w:sz="0" w:space="0" w:color="auto"/>
                                        <w:left w:val="none" w:sz="0" w:space="0" w:color="auto"/>
                                        <w:bottom w:val="none" w:sz="0" w:space="0" w:color="auto"/>
                                        <w:right w:val="none" w:sz="0" w:space="0" w:color="auto"/>
                                      </w:divBdr>
                                      <w:divsChild>
                                        <w:div w:id="1592815993">
                                          <w:marLeft w:val="0"/>
                                          <w:marRight w:val="-3525"/>
                                          <w:marTop w:val="0"/>
                                          <w:marBottom w:val="0"/>
                                          <w:divBdr>
                                            <w:top w:val="none" w:sz="0" w:space="0" w:color="auto"/>
                                            <w:left w:val="none" w:sz="0" w:space="0" w:color="auto"/>
                                            <w:bottom w:val="none" w:sz="0" w:space="0" w:color="auto"/>
                                            <w:right w:val="none" w:sz="0" w:space="0" w:color="auto"/>
                                          </w:divBdr>
                                          <w:divsChild>
                                            <w:div w:id="1687361060">
                                              <w:marLeft w:val="0"/>
                                              <w:marRight w:val="3225"/>
                                              <w:marTop w:val="0"/>
                                              <w:marBottom w:val="0"/>
                                              <w:divBdr>
                                                <w:top w:val="none" w:sz="0" w:space="0" w:color="auto"/>
                                                <w:left w:val="none" w:sz="0" w:space="0" w:color="auto"/>
                                                <w:bottom w:val="none" w:sz="0" w:space="0" w:color="auto"/>
                                                <w:right w:val="none" w:sz="0" w:space="0" w:color="auto"/>
                                              </w:divBdr>
                                              <w:divsChild>
                                                <w:div w:id="391929074">
                                                  <w:marLeft w:val="15"/>
                                                  <w:marRight w:val="15"/>
                                                  <w:marTop w:val="15"/>
                                                  <w:marBottom w:val="15"/>
                                                  <w:divBdr>
                                                    <w:top w:val="none" w:sz="0" w:space="0" w:color="auto"/>
                                                    <w:left w:val="none" w:sz="0" w:space="0" w:color="auto"/>
                                                    <w:bottom w:val="none" w:sz="0" w:space="0" w:color="auto"/>
                                                    <w:right w:val="none" w:sz="0" w:space="0" w:color="auto"/>
                                                  </w:divBdr>
                                                  <w:divsChild>
                                                    <w:div w:id="1770932350">
                                                      <w:marLeft w:val="0"/>
                                                      <w:marRight w:val="0"/>
                                                      <w:marTop w:val="0"/>
                                                      <w:marBottom w:val="0"/>
                                                      <w:divBdr>
                                                        <w:top w:val="none" w:sz="0" w:space="0" w:color="auto"/>
                                                        <w:left w:val="none" w:sz="0" w:space="0" w:color="auto"/>
                                                        <w:bottom w:val="none" w:sz="0" w:space="0" w:color="auto"/>
                                                        <w:right w:val="none" w:sz="0" w:space="0" w:color="auto"/>
                                                      </w:divBdr>
                                                      <w:divsChild>
                                                        <w:div w:id="392507525">
                                                          <w:marLeft w:val="0"/>
                                                          <w:marRight w:val="0"/>
                                                          <w:marTop w:val="0"/>
                                                          <w:marBottom w:val="0"/>
                                                          <w:divBdr>
                                                            <w:top w:val="none" w:sz="0" w:space="0" w:color="auto"/>
                                                            <w:left w:val="none" w:sz="0" w:space="0" w:color="auto"/>
                                                            <w:bottom w:val="none" w:sz="0" w:space="0" w:color="auto"/>
                                                            <w:right w:val="none" w:sz="0" w:space="0" w:color="auto"/>
                                                          </w:divBdr>
                                                        </w:div>
                                                        <w:div w:id="1019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12/07/2016                                                Version #: 7.0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2016-07-11T22:00:00+00:00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Négociations préalables à l’attribution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POPP-11-3421</_dlc_DocId>
    <_dlc_DocIdUrl xmlns="8264c5cc-ec60-4b56-8111-ce635d3d139a">
      <Url>https://popp.undp.org/_layouts/15/DocIdRedir.aspx?ID=POPP-11-3421</Url>
      <Description>POPP-11-3421</Description>
    </_dlc_DocIdUrl>
    <DLCPolicyLabelValue xmlns="e560140e-7b2f-4392-90df-e7567e3021a3">Effective Date: 12/07/2016                                                Version #: 7</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D92A7C3-4D3B-4B6E-88DD-4EAED7EFBA6D}">
  <ds:schemaRefs>
    <ds:schemaRef ds:uri="http://schemas.microsoft.com/sharepoint/v3/contenttype/forms"/>
  </ds:schemaRefs>
</ds:datastoreItem>
</file>

<file path=customXml/itemProps2.xml><?xml version="1.0" encoding="utf-8"?>
<ds:datastoreItem xmlns:ds="http://schemas.openxmlformats.org/officeDocument/2006/customXml" ds:itemID="{509F2565-1108-493C-973F-848F841D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ADEF2-9F3D-F24E-867B-707D33F36504}">
  <ds:schemaRefs>
    <ds:schemaRef ds:uri="http://schemas.openxmlformats.org/officeDocument/2006/bibliography"/>
  </ds:schemaRefs>
</ds:datastoreItem>
</file>

<file path=customXml/itemProps4.xml><?xml version="1.0" encoding="utf-8"?>
<ds:datastoreItem xmlns:ds="http://schemas.openxmlformats.org/officeDocument/2006/customXml" ds:itemID="{8675DDA8-BCC2-4697-A9CF-CA8ED6EA3631}">
  <ds:schemaRefs>
    <ds:schemaRef ds:uri="http://schemas.microsoft.com/sharepoint/events"/>
  </ds:schemaRefs>
</ds:datastoreItem>
</file>

<file path=customXml/itemProps5.xml><?xml version="1.0" encoding="utf-8"?>
<ds:datastoreItem xmlns:ds="http://schemas.openxmlformats.org/officeDocument/2006/customXml" ds:itemID="{B13C1D66-4D34-465A-8F16-2059F6EF8BEC}">
  <ds:schemaRefs>
    <ds:schemaRef ds:uri="office.server.policy"/>
  </ds:schemaRefs>
</ds:datastoreItem>
</file>

<file path=customXml/itemProps6.xml><?xml version="1.0" encoding="utf-8"?>
<ds:datastoreItem xmlns:ds="http://schemas.openxmlformats.org/officeDocument/2006/customXml" ds:itemID="{E925B872-431B-4F65-9C12-408F71BECD7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3231</Words>
  <Characters>18423</Characters>
  <Application>Microsoft Office Word</Application>
  <DocSecurity>0</DocSecurity>
  <Lines>153</Lines>
  <Paragraphs>43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Adenike.Akoh</dc:creator>
  <cp:keywords/>
  <dc:description/>
  <cp:lastModifiedBy>Pablo Morete</cp:lastModifiedBy>
  <cp:revision>4</cp:revision>
  <cp:lastPrinted>2016-12-06T15:34:00Z</cp:lastPrinted>
  <dcterms:created xsi:type="dcterms:W3CDTF">2021-01-08T22:10:00Z</dcterms:created>
  <dcterms:modified xsi:type="dcterms:W3CDTF">2024-08-29T11:06:00Z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4e6bd6cd-819c-4f9e-afb8-7d583576ff0f</vt:lpwstr>
  </property>
  <property fmtid="{D5CDD505-2E9C-101B-9397-08002B2CF9AE}" pid="4" name="POPPBusinessProcess">
    <vt:lpwstr/>
  </property>
  <property fmtid="{D5CDD505-2E9C-101B-9397-08002B2CF9AE}" pid="5" name="UNDP_POPP_BUSINESSUNIT">
    <vt:lpwstr>355;#Procurement|254a9f96-b883-476a-8ef8-e81f93a2b38d</vt:lpwstr>
  </property>
</Properties>
</file>