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9D78" w14:textId="41AA7594" w:rsidR="005A331B" w:rsidRPr="00A02E05" w:rsidRDefault="00E83F8E">
      <w:pPr>
        <w:spacing w:after="68" w:line="259" w:lineRule="auto"/>
        <w:ind w:left="26" w:right="0" w:firstLine="0"/>
        <w:jc w:val="left"/>
      </w:pPr>
      <w:r>
        <w:rPr>
          <w:b/>
          <w:sz w:val="28"/>
        </w:rPr>
        <w:t xml:space="preserve">Instrucciones de cierre financiero en </w:t>
      </w:r>
      <w:r w:rsidR="00957BD1">
        <w:rPr>
          <w:b/>
          <w:sz w:val="28"/>
        </w:rPr>
        <w:t>Quantum</w:t>
      </w:r>
      <w:r>
        <w:rPr>
          <w:b/>
          <w:sz w:val="28"/>
        </w:rPr>
        <w:t xml:space="preserve">  </w:t>
      </w:r>
      <w:r>
        <w:t xml:space="preserve">  </w:t>
      </w:r>
    </w:p>
    <w:p w14:paraId="27914870" w14:textId="0CD8027A" w:rsidR="005A331B" w:rsidRPr="00A02E05" w:rsidRDefault="00E83F8E">
      <w:pPr>
        <w:numPr>
          <w:ilvl w:val="0"/>
          <w:numId w:val="1"/>
        </w:numPr>
        <w:ind w:right="0" w:hanging="360"/>
      </w:pPr>
      <w:r>
        <w:t xml:space="preserve">Las instrucciones de cierre financiero en </w:t>
      </w:r>
      <w:r w:rsidR="00957BD1">
        <w:t>Quantum</w:t>
      </w:r>
      <w:r>
        <w:t xml:space="preserve"> se refieren al proceso de ingresar todos los asientos contables en el libro mayor del PNUD. Esto incluye el registro de todas las transacciones comerciales del período, así como las correcciones y los ajustes relacionados con los períodos anteriores. Dado que el libro mayor sienta la base de los estados financieros y de muchos otros informes, es esencial que todas las entradas sean completas y precisas.   </w:t>
      </w:r>
    </w:p>
    <w:p w14:paraId="44799D81" w14:textId="77777777" w:rsidR="005A331B" w:rsidRPr="00A02E05" w:rsidRDefault="00E83F8E">
      <w:pPr>
        <w:spacing w:after="86" w:line="259" w:lineRule="auto"/>
        <w:ind w:left="746" w:right="0" w:firstLine="0"/>
        <w:jc w:val="left"/>
      </w:pPr>
      <w:r>
        <w:t xml:space="preserve">   </w:t>
      </w:r>
    </w:p>
    <w:p w14:paraId="1969CA1A" w14:textId="77777777" w:rsidR="005A331B" w:rsidRPr="00A02E05" w:rsidRDefault="00E83F8E">
      <w:pPr>
        <w:numPr>
          <w:ilvl w:val="0"/>
          <w:numId w:val="1"/>
        </w:numPr>
        <w:ind w:right="0" w:hanging="360"/>
      </w:pPr>
      <w:r>
        <w:t xml:space="preserve">Este documento describe diversos procesos necesarios para garantizar que el ingreso de datos en el libro mayor sea completo y preciso. Para ello, se destaca la importancia de la «limpieza» de datos que deben implementar los individuos y las oficinas.    </w:t>
      </w:r>
    </w:p>
    <w:p w14:paraId="5AC39052" w14:textId="77777777" w:rsidR="005A331B" w:rsidRPr="00A02E05" w:rsidRDefault="00E83F8E">
      <w:pPr>
        <w:spacing w:after="91" w:line="259" w:lineRule="auto"/>
        <w:ind w:left="26" w:right="0" w:firstLine="0"/>
        <w:jc w:val="left"/>
      </w:pPr>
      <w:r>
        <w:t xml:space="preserve">   </w:t>
      </w:r>
    </w:p>
    <w:p w14:paraId="2170D9FE" w14:textId="77777777" w:rsidR="005A331B" w:rsidRPr="00A02E05" w:rsidRDefault="00E83F8E">
      <w:pPr>
        <w:numPr>
          <w:ilvl w:val="0"/>
          <w:numId w:val="1"/>
        </w:numPr>
        <w:ind w:right="0" w:hanging="360"/>
      </w:pPr>
      <w:r>
        <w:t xml:space="preserve">En el PNUD, hay tres tipos de cierres de cuentas: mensual, trimestral y de fin de ejercicio:   </w:t>
      </w:r>
    </w:p>
    <w:p w14:paraId="39079DE3" w14:textId="77777777" w:rsidR="005A331B" w:rsidRPr="00A02E05" w:rsidRDefault="00E83F8E">
      <w:pPr>
        <w:spacing w:after="0" w:line="259" w:lineRule="auto"/>
        <w:ind w:left="26" w:right="0" w:firstLine="0"/>
        <w:jc w:val="left"/>
      </w:pPr>
      <w:r>
        <w:t xml:space="preserve">    </w:t>
      </w:r>
    </w:p>
    <w:p w14:paraId="1453D04C" w14:textId="77777777" w:rsidR="005A331B" w:rsidRPr="00A02E05" w:rsidRDefault="00E83F8E">
      <w:pPr>
        <w:spacing w:after="367" w:line="259" w:lineRule="auto"/>
        <w:ind w:left="-5" w:right="0" w:hanging="10"/>
        <w:jc w:val="left"/>
      </w:pPr>
      <w:r>
        <w:rPr>
          <w:b/>
        </w:rPr>
        <w:t>Cierre mensual:</w:t>
      </w:r>
      <w:r>
        <w:t xml:space="preserve">   </w:t>
      </w:r>
    </w:p>
    <w:p w14:paraId="4EC67E54" w14:textId="0D9682F5" w:rsidR="005A331B" w:rsidRPr="00A02E05" w:rsidRDefault="00E83F8E">
      <w:pPr>
        <w:numPr>
          <w:ilvl w:val="0"/>
          <w:numId w:val="1"/>
        </w:numPr>
        <w:ind w:right="0" w:hanging="360"/>
      </w:pPr>
      <w:r>
        <w:t xml:space="preserve">Aplicable a los cierres del 31 de enero, 28 de febrero, 30 de abril, 31 de mayo, 31 de julio, 31 de agosto, 31 de octubre y 30 de noviembre. </w:t>
      </w:r>
    </w:p>
    <w:p w14:paraId="18976474" w14:textId="77777777" w:rsidR="005A331B" w:rsidRPr="00A02E05" w:rsidRDefault="00E83F8E">
      <w:pPr>
        <w:spacing w:after="86" w:line="259" w:lineRule="auto"/>
        <w:ind w:left="746" w:right="0" w:firstLine="0"/>
        <w:jc w:val="left"/>
      </w:pPr>
      <w:r>
        <w:t xml:space="preserve">   </w:t>
      </w:r>
    </w:p>
    <w:p w14:paraId="406EB732" w14:textId="77777777" w:rsidR="005A331B" w:rsidRPr="00A02E05" w:rsidRDefault="00E83F8E">
      <w:pPr>
        <w:numPr>
          <w:ilvl w:val="0"/>
          <w:numId w:val="1"/>
        </w:numPr>
        <w:ind w:right="0" w:hanging="360"/>
      </w:pPr>
      <w:r>
        <w:t xml:space="preserve">El objetivo es garantizar que las oficinas estén al día en la limpieza de datos (cuentas por pagar, orden de compra, cuentas por cobrar, etc.) y en las conciliaciones bancarias.   </w:t>
      </w:r>
    </w:p>
    <w:p w14:paraId="4AC9035A" w14:textId="77777777" w:rsidR="005A331B" w:rsidRPr="00A02E05" w:rsidRDefault="00E83F8E">
      <w:pPr>
        <w:spacing w:after="84" w:line="259" w:lineRule="auto"/>
        <w:ind w:left="746" w:right="0" w:firstLine="0"/>
        <w:jc w:val="left"/>
      </w:pPr>
      <w:r>
        <w:t xml:space="preserve">   </w:t>
      </w:r>
    </w:p>
    <w:p w14:paraId="21965827" w14:textId="563D7AA5" w:rsidR="005A331B" w:rsidRPr="00A02E05" w:rsidRDefault="00957BD1">
      <w:pPr>
        <w:numPr>
          <w:ilvl w:val="0"/>
          <w:numId w:val="1"/>
        </w:numPr>
        <w:ind w:right="0" w:hanging="360"/>
      </w:pPr>
      <w:r w:rsidRPr="00957BD1">
        <w:t xml:space="preserve">La fecha límite para la </w:t>
      </w:r>
      <w:r>
        <w:t>limpieza</w:t>
      </w:r>
      <w:r w:rsidRPr="00957BD1">
        <w:t xml:space="preserve"> de datos suele ser dos semanas después de la fecha de cierre del mes, antes de que se cierren los módulos y el libro mayor respectivos, y la fecha límite para completar la conciliación bancaria es el décimo día del mes siguiente. El calendario de cierre está disponible como Anexo A en la instrucción de cierre financiero de fin de año y también en el </w:t>
      </w:r>
      <w:hyperlink r:id="rId12" w:history="1">
        <w:r w:rsidRPr="00957BD1">
          <w:rPr>
            <w:rStyle w:val="Hyperlink"/>
          </w:rPr>
          <w:t>sitio de cierre financiero de la CFRA</w:t>
        </w:r>
      </w:hyperlink>
      <w:r w:rsidRPr="00957BD1">
        <w:t>. Cualquier cambio posterior del calendario se comunicará a través de Yammer.</w:t>
      </w:r>
      <w:r w:rsidR="00E83F8E">
        <w:t xml:space="preserve">.   </w:t>
      </w:r>
    </w:p>
    <w:p w14:paraId="3992419A" w14:textId="77777777" w:rsidR="005A331B" w:rsidRPr="00A02E05" w:rsidRDefault="00E83F8E">
      <w:pPr>
        <w:spacing w:after="91" w:line="259" w:lineRule="auto"/>
        <w:ind w:left="746" w:right="0" w:firstLine="0"/>
        <w:jc w:val="left"/>
      </w:pPr>
      <w:r>
        <w:t xml:space="preserve">   </w:t>
      </w:r>
    </w:p>
    <w:p w14:paraId="4E436D2B" w14:textId="5825E1F6" w:rsidR="005A331B" w:rsidRDefault="00957BD1">
      <w:pPr>
        <w:numPr>
          <w:ilvl w:val="0"/>
          <w:numId w:val="1"/>
        </w:numPr>
        <w:spacing w:after="262"/>
        <w:ind w:right="0" w:hanging="360"/>
      </w:pPr>
      <w:r>
        <w:t>L</w:t>
      </w:r>
      <w:r w:rsidRPr="00957BD1">
        <w:t xml:space="preserve">a ejecución del devengo de recibos para las </w:t>
      </w:r>
      <w:r>
        <w:t>órdenes de compra</w:t>
      </w:r>
      <w:r w:rsidRPr="00957BD1">
        <w:t xml:space="preserve"> se programará mensualmente en Quantum, es decir, el devengo de enero se contabilizará el 1 de febrero en el periodo contable de enero y se anulará el 1 de febrero en el periodo contable de febrero</w:t>
      </w:r>
      <w:r w:rsidR="00E83F8E">
        <w:t xml:space="preserve">.   </w:t>
      </w:r>
    </w:p>
    <w:p w14:paraId="405A8777" w14:textId="692C20AE" w:rsidR="002A0B2C" w:rsidRPr="00A02E05" w:rsidRDefault="002A0B2C">
      <w:pPr>
        <w:numPr>
          <w:ilvl w:val="0"/>
          <w:numId w:val="1"/>
        </w:numPr>
        <w:spacing w:after="262"/>
        <w:ind w:right="0" w:hanging="360"/>
      </w:pPr>
      <w:r w:rsidRPr="002A0B2C">
        <w:t>La reevaluación mensual de las cuentas de caja para gastos menores se programará para que se ejecute mensualmente tras el cierre de las cuentas de mayor.</w:t>
      </w:r>
    </w:p>
    <w:p w14:paraId="1DF5B65A" w14:textId="77777777" w:rsidR="005A331B" w:rsidRPr="00A02E05" w:rsidRDefault="00E83F8E">
      <w:pPr>
        <w:spacing w:after="367" w:line="259" w:lineRule="auto"/>
        <w:ind w:left="-5" w:right="0" w:hanging="10"/>
        <w:jc w:val="left"/>
      </w:pPr>
      <w:r>
        <w:rPr>
          <w:b/>
        </w:rPr>
        <w:t>Cierre trimestral:</w:t>
      </w:r>
      <w:r>
        <w:t xml:space="preserve">   </w:t>
      </w:r>
    </w:p>
    <w:p w14:paraId="3D6D2F35" w14:textId="0A39BE60" w:rsidR="005A331B" w:rsidRPr="00A02E05" w:rsidRDefault="00E83F8E">
      <w:pPr>
        <w:numPr>
          <w:ilvl w:val="0"/>
          <w:numId w:val="1"/>
        </w:numPr>
        <w:ind w:right="0" w:hanging="360"/>
      </w:pPr>
      <w:r>
        <w:t xml:space="preserve">Aplicable a los cierres del 31 de marzo, 30 de junio y 30 de septiembre.   </w:t>
      </w:r>
    </w:p>
    <w:p w14:paraId="14D533AE" w14:textId="77777777" w:rsidR="005A331B" w:rsidRPr="00A02E05" w:rsidRDefault="00E83F8E">
      <w:pPr>
        <w:spacing w:after="84" w:line="259" w:lineRule="auto"/>
        <w:ind w:left="746" w:right="0" w:firstLine="0"/>
        <w:jc w:val="left"/>
      </w:pPr>
      <w:r>
        <w:t xml:space="preserve">   </w:t>
      </w:r>
    </w:p>
    <w:p w14:paraId="6B6AAD3E" w14:textId="77777777" w:rsidR="002A0B2C" w:rsidRDefault="002A0B2C" w:rsidP="002A0B2C">
      <w:pPr>
        <w:pStyle w:val="ListParagraph"/>
      </w:pPr>
    </w:p>
    <w:p w14:paraId="4C8A2999" w14:textId="39E79656" w:rsidR="002A0B2C" w:rsidRPr="00752714" w:rsidRDefault="002A0B2C" w:rsidP="00752714">
      <w:pPr>
        <w:numPr>
          <w:ilvl w:val="0"/>
          <w:numId w:val="1"/>
        </w:numPr>
        <w:spacing w:after="262"/>
        <w:ind w:right="0" w:hanging="360"/>
      </w:pPr>
      <w:r>
        <w:t xml:space="preserve">Desde la perspectiva de una oficina de país, los procedimientos de cierre mensual y trimestral son muy similares. </w:t>
      </w:r>
      <w:r w:rsidRPr="002A0B2C">
        <w:t>La principal diferencia es que la sede procesará la revalorización de las cuentas de inversión y las cuentas por cobrar no facturadas después del cierre del libro mayor y contabilizará asientos contables adicionales (como los gastos de los informes de ejecución de proyectos (PDR</w:t>
      </w:r>
      <w:r>
        <w:t xml:space="preserve">, </w:t>
      </w:r>
      <w:r w:rsidRPr="002A0B2C">
        <w:rPr>
          <w:i/>
          <w:iCs/>
        </w:rPr>
        <w:t xml:space="preserve">Project </w:t>
      </w:r>
      <w:proofErr w:type="spellStart"/>
      <w:r w:rsidRPr="002A0B2C">
        <w:rPr>
          <w:i/>
          <w:iCs/>
        </w:rPr>
        <w:t>Delivery</w:t>
      </w:r>
      <w:proofErr w:type="spellEnd"/>
      <w:r w:rsidRPr="002A0B2C">
        <w:rPr>
          <w:i/>
          <w:iCs/>
        </w:rPr>
        <w:t xml:space="preserve"> </w:t>
      </w:r>
      <w:proofErr w:type="spellStart"/>
      <w:r w:rsidRPr="002A0B2C">
        <w:rPr>
          <w:i/>
          <w:iCs/>
        </w:rPr>
        <w:t>Reports</w:t>
      </w:r>
      <w:proofErr w:type="spellEnd"/>
      <w:r>
        <w:t xml:space="preserve"> por sus siglas en inglés</w:t>
      </w:r>
      <w:r w:rsidRPr="002A0B2C">
        <w:t xml:space="preserve">) de las agencias), lo que facilitará la preparación </w:t>
      </w:r>
      <w:r w:rsidRPr="002A0B2C">
        <w:lastRenderedPageBreak/>
        <w:t>de los CDR</w:t>
      </w:r>
      <w:r>
        <w:t xml:space="preserve"> (CDR, </w:t>
      </w:r>
      <w:proofErr w:type="spellStart"/>
      <w:r>
        <w:rPr>
          <w:i/>
        </w:rPr>
        <w:t>Combined</w:t>
      </w:r>
      <w:proofErr w:type="spellEnd"/>
      <w:r>
        <w:rPr>
          <w:i/>
        </w:rPr>
        <w:t xml:space="preserve"> </w:t>
      </w:r>
      <w:proofErr w:type="spellStart"/>
      <w:r>
        <w:rPr>
          <w:i/>
        </w:rPr>
        <w:t>Delivery</w:t>
      </w:r>
      <w:proofErr w:type="spellEnd"/>
      <w:r>
        <w:rPr>
          <w:i/>
        </w:rPr>
        <w:t xml:space="preserve"> </w:t>
      </w:r>
      <w:proofErr w:type="spellStart"/>
      <w:r>
        <w:rPr>
          <w:i/>
        </w:rPr>
        <w:t>Report</w:t>
      </w:r>
      <w:proofErr w:type="spellEnd"/>
      <w:r>
        <w:t xml:space="preserve">, por sus siglas en inglés) </w:t>
      </w:r>
      <w:r w:rsidRPr="002A0B2C">
        <w:t xml:space="preserve"> completos a 31 de marzo, 30 de junio y 30 de septiembre.</w:t>
      </w:r>
    </w:p>
    <w:p w14:paraId="3122C03A" w14:textId="77777777" w:rsidR="005A331B" w:rsidRPr="00A02E05" w:rsidRDefault="00E83F8E">
      <w:pPr>
        <w:spacing w:after="362" w:line="259" w:lineRule="auto"/>
        <w:ind w:left="-5" w:right="0" w:hanging="10"/>
        <w:jc w:val="left"/>
      </w:pPr>
      <w:r>
        <w:rPr>
          <w:b/>
        </w:rPr>
        <w:t>Cierre de fin de ejercicio:</w:t>
      </w:r>
      <w:r>
        <w:t xml:space="preserve">   </w:t>
      </w:r>
    </w:p>
    <w:p w14:paraId="65B32CC0" w14:textId="77777777" w:rsidR="005A331B" w:rsidRPr="00A02E05" w:rsidRDefault="00E83F8E">
      <w:pPr>
        <w:numPr>
          <w:ilvl w:val="0"/>
          <w:numId w:val="1"/>
        </w:numPr>
        <w:ind w:right="0" w:hanging="360"/>
      </w:pPr>
      <w:r>
        <w:t xml:space="preserve">Aplicable al cierre del 31 de diciembre.   </w:t>
      </w:r>
    </w:p>
    <w:p w14:paraId="0A88F160" w14:textId="77777777" w:rsidR="005A331B" w:rsidRPr="00A02E05" w:rsidRDefault="00E83F8E">
      <w:pPr>
        <w:spacing w:after="0" w:line="259" w:lineRule="auto"/>
        <w:ind w:left="746" w:right="0" w:firstLine="0"/>
        <w:jc w:val="left"/>
      </w:pPr>
      <w:r>
        <w:t xml:space="preserve">   </w:t>
      </w:r>
    </w:p>
    <w:p w14:paraId="111B80D3" w14:textId="55F7E412" w:rsidR="005A331B" w:rsidRPr="00A02E05" w:rsidRDefault="00E83F8E">
      <w:pPr>
        <w:numPr>
          <w:ilvl w:val="0"/>
          <w:numId w:val="1"/>
        </w:numPr>
        <w:ind w:right="0" w:hanging="360"/>
      </w:pPr>
      <w:r>
        <w:t>Similar al cierre trimestral, excepto que se requerirá que las oficinas completen el ingreso de l</w:t>
      </w:r>
      <w:r w:rsidR="002A0B2C">
        <w:t>as facturas</w:t>
      </w:r>
      <w:r>
        <w:t xml:space="preserve"> y las órdenes de compra una o dos semanas antes de fines de diciembre, a fin de contar con el tiempo suficiente para revisar y corregir las transa</w:t>
      </w:r>
      <w:r w:rsidR="00944DB2">
        <w:t>cciones antes de que se cierren</w:t>
      </w:r>
      <w:r w:rsidR="00944DB2">
        <w:br/>
      </w:r>
      <w:r>
        <w:t xml:space="preserve">los módulos.   </w:t>
      </w:r>
    </w:p>
    <w:p w14:paraId="366672CB" w14:textId="77777777" w:rsidR="005A331B" w:rsidRPr="00A02E05" w:rsidRDefault="00E83F8E">
      <w:pPr>
        <w:spacing w:after="33" w:line="259" w:lineRule="auto"/>
        <w:ind w:left="746" w:right="0" w:firstLine="0"/>
        <w:jc w:val="left"/>
      </w:pPr>
      <w:r>
        <w:t xml:space="preserve">   </w:t>
      </w:r>
    </w:p>
    <w:p w14:paraId="10D534E6" w14:textId="7BD50202" w:rsidR="000308FA" w:rsidRDefault="002A0B2C" w:rsidP="000308FA">
      <w:pPr>
        <w:numPr>
          <w:ilvl w:val="0"/>
          <w:numId w:val="1"/>
        </w:numPr>
        <w:spacing w:after="65"/>
        <w:ind w:right="0" w:hanging="360"/>
      </w:pPr>
      <w:r>
        <w:t>Las</w:t>
      </w:r>
      <w:r w:rsidR="00E83F8E">
        <w:t xml:space="preserve"> oficinas </w:t>
      </w:r>
      <w:r>
        <w:t xml:space="preserve">del PNUD deben </w:t>
      </w:r>
      <w:r w:rsidR="00E83F8E">
        <w:t xml:space="preserve">revisar los CDR y los informes de </w:t>
      </w:r>
      <w:r w:rsidR="651FD079">
        <w:t xml:space="preserve"> costos compartidos</w:t>
      </w:r>
      <w:r w:rsidR="00DE0B8C">
        <w:t xml:space="preserve"> de manera oportuna</w:t>
      </w:r>
      <w:r w:rsidR="00E83F8E">
        <w:t xml:space="preserve">, y para corregir cualquier error con la fecha contable del año anterior utilizando asientos en el libro mayor (GLJE, </w:t>
      </w:r>
      <w:r w:rsidR="00E83F8E" w:rsidRPr="1568F0CA">
        <w:rPr>
          <w:i/>
          <w:iCs/>
        </w:rPr>
        <w:t xml:space="preserve">General </w:t>
      </w:r>
      <w:proofErr w:type="spellStart"/>
      <w:r w:rsidR="00E83F8E" w:rsidRPr="1568F0CA">
        <w:rPr>
          <w:i/>
          <w:iCs/>
        </w:rPr>
        <w:t>Ledger</w:t>
      </w:r>
      <w:proofErr w:type="spellEnd"/>
      <w:r w:rsidR="00E83F8E" w:rsidRPr="1568F0CA">
        <w:rPr>
          <w:i/>
          <w:iCs/>
        </w:rPr>
        <w:t xml:space="preserve"> </w:t>
      </w:r>
      <w:proofErr w:type="spellStart"/>
      <w:r w:rsidR="00E83F8E" w:rsidRPr="1568F0CA">
        <w:rPr>
          <w:i/>
          <w:iCs/>
        </w:rPr>
        <w:t>Journal</w:t>
      </w:r>
      <w:proofErr w:type="spellEnd"/>
      <w:r w:rsidR="00E83F8E" w:rsidRPr="1568F0CA">
        <w:rPr>
          <w:i/>
          <w:iCs/>
        </w:rPr>
        <w:t xml:space="preserve"> </w:t>
      </w:r>
      <w:proofErr w:type="spellStart"/>
      <w:r w:rsidR="00E83F8E" w:rsidRPr="1568F0CA">
        <w:rPr>
          <w:i/>
          <w:iCs/>
        </w:rPr>
        <w:t>Entry</w:t>
      </w:r>
      <w:proofErr w:type="spellEnd"/>
      <w:r w:rsidR="00E83F8E">
        <w:t xml:space="preserve">, por sus siglas en inglés).   </w:t>
      </w:r>
    </w:p>
    <w:p w14:paraId="661A5A8D" w14:textId="77777777" w:rsidR="000308FA" w:rsidRDefault="000308FA" w:rsidP="000308FA">
      <w:pPr>
        <w:spacing w:after="65"/>
        <w:ind w:left="703" w:right="0" w:firstLine="0"/>
      </w:pPr>
    </w:p>
    <w:p w14:paraId="389E827E" w14:textId="77777777" w:rsidR="00DE0B8C" w:rsidRDefault="00E83F8E" w:rsidP="000308FA">
      <w:pPr>
        <w:numPr>
          <w:ilvl w:val="0"/>
          <w:numId w:val="1"/>
        </w:numPr>
        <w:spacing w:after="65"/>
        <w:ind w:right="0" w:hanging="360"/>
      </w:pPr>
      <w:r>
        <w:t xml:space="preserve">Se requerirá que las oficinas </w:t>
      </w:r>
      <w:r w:rsidR="00DE0B8C">
        <w:t xml:space="preserve">del PNUD </w:t>
      </w:r>
      <w:r>
        <w:t xml:space="preserve">realicen un recuento físico de los activos para su conciliación con los informes de gestión de activos de </w:t>
      </w:r>
      <w:r w:rsidR="00DE0B8C">
        <w:t>Quantum</w:t>
      </w:r>
      <w:r>
        <w:t>.</w:t>
      </w:r>
    </w:p>
    <w:p w14:paraId="3400FCE2" w14:textId="77777777" w:rsidR="00DE0B8C" w:rsidRDefault="00DE0B8C" w:rsidP="00DE0B8C">
      <w:pPr>
        <w:pStyle w:val="ListParagraph"/>
      </w:pPr>
    </w:p>
    <w:p w14:paraId="2D36557C" w14:textId="0339D930" w:rsidR="00E83F8E" w:rsidRPr="000308FA" w:rsidRDefault="00E83F8E" w:rsidP="000308FA">
      <w:pPr>
        <w:numPr>
          <w:ilvl w:val="0"/>
          <w:numId w:val="1"/>
        </w:numPr>
        <w:spacing w:after="65"/>
        <w:ind w:right="0" w:hanging="360"/>
      </w:pPr>
      <w:r>
        <w:t xml:space="preserve"> </w:t>
      </w:r>
      <w:r w:rsidR="00DE0B8C" w:rsidRPr="00DE0B8C">
        <w:t>La reevaluación de final de año incluirá el efectivo, las contribuciones por cobrar, otros activos, otros pasivos y las cuentas del IVA, además de la caja chica mensual y las inversiones trimestrales y las cuentas por cobrar no facturadas.</w:t>
      </w:r>
    </w:p>
    <w:p w14:paraId="1D5B154D" w14:textId="7C32C569" w:rsidR="005A331B" w:rsidRPr="00A02E05" w:rsidRDefault="000308FA">
      <w:pPr>
        <w:spacing w:after="2" w:line="259" w:lineRule="auto"/>
        <w:ind w:left="26" w:right="0" w:firstLine="0"/>
        <w:jc w:val="left"/>
      </w:pPr>
      <w:r>
        <w:t xml:space="preserve"> </w:t>
      </w:r>
    </w:p>
    <w:p w14:paraId="5AFFB763" w14:textId="77777777" w:rsidR="005A331B" w:rsidRPr="00A02E05" w:rsidRDefault="00E83F8E">
      <w:pPr>
        <w:pStyle w:val="Heading1"/>
        <w:ind w:left="-5"/>
      </w:pPr>
      <w:r>
        <w:t>Órdenes de compra pendientes</w:t>
      </w:r>
      <w:r>
        <w:rPr>
          <w:b w:val="0"/>
        </w:rPr>
        <w:t xml:space="preserve"> </w:t>
      </w:r>
      <w:r>
        <w:t xml:space="preserve">  </w:t>
      </w:r>
    </w:p>
    <w:p w14:paraId="6E86AC42" w14:textId="77777777" w:rsidR="005A331B" w:rsidRPr="00A02E05" w:rsidRDefault="00E83F8E">
      <w:pPr>
        <w:spacing w:after="84" w:line="259" w:lineRule="auto"/>
        <w:ind w:left="26" w:right="0" w:firstLine="0"/>
        <w:jc w:val="left"/>
      </w:pPr>
      <w:r>
        <w:t xml:space="preserve">    </w:t>
      </w:r>
    </w:p>
    <w:p w14:paraId="50D1BAA3" w14:textId="4348DD9B" w:rsidR="005A331B" w:rsidRPr="00A02E05" w:rsidRDefault="00E83F8E">
      <w:pPr>
        <w:spacing w:after="89"/>
        <w:ind w:left="713" w:right="0"/>
      </w:pPr>
      <w:r>
        <w:t>1</w:t>
      </w:r>
      <w:r w:rsidR="00DE0B8C">
        <w:t>6</w:t>
      </w:r>
      <w:r>
        <w:t>.</w:t>
      </w:r>
      <w:r>
        <w:rPr>
          <w:rFonts w:ascii="Arial" w:hAnsi="Arial"/>
        </w:rPr>
        <w:t xml:space="preserve"> </w:t>
      </w:r>
      <w:r>
        <w:t xml:space="preserve">Una orden de compra pendiente es aquella que no se ha enviado o cancelado. Hay cinco categorías de órdenes de compra pendientes.   </w:t>
      </w:r>
    </w:p>
    <w:p w14:paraId="01E2850D" w14:textId="77777777" w:rsidR="005A331B" w:rsidRPr="00A02E05" w:rsidRDefault="00E83F8E" w:rsidP="00E83F8E">
      <w:pPr>
        <w:numPr>
          <w:ilvl w:val="0"/>
          <w:numId w:val="13"/>
        </w:numPr>
        <w:spacing w:after="93"/>
        <w:ind w:right="0" w:hanging="360"/>
      </w:pPr>
      <w:r>
        <w:t xml:space="preserve">Órdenes de compra que no son aprobadas y ni enviadas.   </w:t>
      </w:r>
    </w:p>
    <w:p w14:paraId="22367C02" w14:textId="77777777" w:rsidR="005A331B" w:rsidRPr="00A02E05" w:rsidRDefault="00E83F8E" w:rsidP="00E83F8E">
      <w:pPr>
        <w:numPr>
          <w:ilvl w:val="0"/>
          <w:numId w:val="13"/>
        </w:numPr>
        <w:spacing w:after="86"/>
        <w:ind w:right="0" w:hanging="360"/>
      </w:pPr>
      <w:r>
        <w:t xml:space="preserve">Órdenes de compra que son aprobadas y que no son enviadas.   </w:t>
      </w:r>
    </w:p>
    <w:p w14:paraId="0D768A91" w14:textId="37AB7768" w:rsidR="005A331B" w:rsidRPr="00A02E05" w:rsidRDefault="00E83F8E" w:rsidP="00E83F8E">
      <w:pPr>
        <w:numPr>
          <w:ilvl w:val="0"/>
          <w:numId w:val="13"/>
        </w:numPr>
        <w:spacing w:after="95"/>
        <w:ind w:right="0" w:hanging="360"/>
      </w:pPr>
      <w:r>
        <w:t xml:space="preserve">Órdenes de compra que se envían, pero que no tienen un estado </w:t>
      </w:r>
      <w:r w:rsidR="00DE0B8C">
        <w:t>de validación</w:t>
      </w:r>
      <w:r>
        <w:t xml:space="preserve">.   </w:t>
      </w:r>
    </w:p>
    <w:p w14:paraId="04FAEEC2" w14:textId="77777777" w:rsidR="005A331B" w:rsidRPr="00A02E05" w:rsidRDefault="00E83F8E" w:rsidP="00E83F8E">
      <w:pPr>
        <w:numPr>
          <w:ilvl w:val="0"/>
          <w:numId w:val="13"/>
        </w:numPr>
        <w:spacing w:after="93"/>
        <w:ind w:right="0" w:hanging="360"/>
      </w:pPr>
      <w:r>
        <w:t xml:space="preserve">Órdenes de compra con una orden de cambio que no están completamente procesadas.   </w:t>
      </w:r>
    </w:p>
    <w:p w14:paraId="518074FA" w14:textId="3C768AD7" w:rsidR="005A331B" w:rsidRPr="00A02E05" w:rsidRDefault="00E83F8E" w:rsidP="00E83F8E">
      <w:pPr>
        <w:numPr>
          <w:ilvl w:val="0"/>
          <w:numId w:val="13"/>
        </w:numPr>
        <w:spacing w:after="258"/>
        <w:ind w:right="0" w:hanging="360"/>
      </w:pPr>
      <w:r>
        <w:t xml:space="preserve">Órdenes de compra provenientes de contratos con comprobantes de PO recurrentes que no tienen un </w:t>
      </w:r>
      <w:r w:rsidR="00DE0B8C">
        <w:t>estado de validación</w:t>
      </w:r>
      <w:r>
        <w:t xml:space="preserve">.   </w:t>
      </w:r>
    </w:p>
    <w:p w14:paraId="1999F823" w14:textId="77777777" w:rsidR="005A331B" w:rsidRPr="00A02E05" w:rsidRDefault="00E83F8E">
      <w:pPr>
        <w:pStyle w:val="Heading1"/>
        <w:ind w:left="-5"/>
      </w:pPr>
      <w:r>
        <w:t>Limpieza de órdenes de compra (PO) pendientes</w:t>
      </w:r>
      <w:r>
        <w:rPr>
          <w:b w:val="0"/>
        </w:rPr>
        <w:t xml:space="preserve"> </w:t>
      </w:r>
      <w:r>
        <w:t xml:space="preserve">  </w:t>
      </w:r>
    </w:p>
    <w:p w14:paraId="49328A9C" w14:textId="77777777" w:rsidR="005A331B" w:rsidRPr="00A02E05" w:rsidRDefault="00E83F8E">
      <w:pPr>
        <w:spacing w:after="91" w:line="259" w:lineRule="auto"/>
        <w:ind w:left="26" w:right="0" w:firstLine="0"/>
        <w:jc w:val="left"/>
      </w:pPr>
      <w:r>
        <w:t xml:space="preserve">    </w:t>
      </w:r>
    </w:p>
    <w:p w14:paraId="7B253DCC" w14:textId="3BFF463B" w:rsidR="005A331B" w:rsidRPr="00A02E05" w:rsidRDefault="00E83F8E" w:rsidP="00DE0B8C">
      <w:pPr>
        <w:pStyle w:val="ListParagraph"/>
        <w:numPr>
          <w:ilvl w:val="1"/>
          <w:numId w:val="25"/>
        </w:numPr>
        <w:ind w:left="709" w:right="0"/>
      </w:pPr>
      <w:r>
        <w:t xml:space="preserve">La limpieza de las PO requiere que todas las órdenes de compra pendientes con una fecha </w:t>
      </w:r>
      <w:r w:rsidR="00100C0D">
        <w:tab/>
      </w:r>
      <w:r w:rsidR="00DE0B8C">
        <w:t xml:space="preserve">de presupuesto </w:t>
      </w:r>
      <w:r>
        <w:t xml:space="preserve"> en o antes de la fecha de finalización del mes </w:t>
      </w:r>
      <w:r w:rsidR="00DE0B8C">
        <w:t>al que deben ser</w:t>
      </w:r>
      <w:r>
        <w:t xml:space="preserve"> revisadas. El objetivo es garantizar </w:t>
      </w:r>
      <w:r w:rsidR="00100C0D">
        <w:tab/>
      </w:r>
      <w:r>
        <w:t xml:space="preserve">que no haya órdenes de compra pendientes viejas. Si las hay, crearán inconsistencias entre los </w:t>
      </w:r>
      <w:r w:rsidR="00100C0D">
        <w:tab/>
      </w:r>
      <w:r>
        <w:t xml:space="preserve">informes de control de los compromisos (KK), los proyectos y el GL.   </w:t>
      </w:r>
    </w:p>
    <w:p w14:paraId="4504033D" w14:textId="5ACB514C" w:rsidR="00944DB2" w:rsidRDefault="00E83F8E">
      <w:pPr>
        <w:spacing w:after="86" w:line="259" w:lineRule="auto"/>
        <w:ind w:left="26" w:right="0" w:firstLine="0"/>
        <w:jc w:val="left"/>
      </w:pPr>
      <w:r>
        <w:t xml:space="preserve">    </w:t>
      </w:r>
      <w:r w:rsidR="00944DB2">
        <w:br w:type="page"/>
      </w:r>
    </w:p>
    <w:p w14:paraId="6D8855B9" w14:textId="77777777" w:rsidR="005A331B" w:rsidRPr="00A02E05" w:rsidRDefault="00E83F8E" w:rsidP="005F29C4">
      <w:pPr>
        <w:numPr>
          <w:ilvl w:val="1"/>
          <w:numId w:val="25"/>
        </w:numPr>
        <w:spacing w:after="88"/>
        <w:ind w:left="709" w:right="0"/>
      </w:pPr>
      <w:r>
        <w:lastRenderedPageBreak/>
        <w:t xml:space="preserve">El objetivo del ejercicio de limpieza de PO es garantizar lo siguiente:   </w:t>
      </w:r>
    </w:p>
    <w:p w14:paraId="715F21A9" w14:textId="6C35A788" w:rsidR="005A331B" w:rsidRPr="00A02E05" w:rsidRDefault="00E83F8E" w:rsidP="00E83F8E">
      <w:pPr>
        <w:numPr>
          <w:ilvl w:val="0"/>
          <w:numId w:val="14"/>
        </w:numPr>
        <w:spacing w:after="93"/>
        <w:ind w:right="0" w:hanging="360"/>
      </w:pPr>
      <w:r>
        <w:t xml:space="preserve">Que no haya PO pendientes con una fecha </w:t>
      </w:r>
      <w:r w:rsidR="005F29C4">
        <w:t>de presupuesto igual o anterior al úl</w:t>
      </w:r>
      <w:r>
        <w:t xml:space="preserve">timo día del mes que se cierra   </w:t>
      </w:r>
    </w:p>
    <w:p w14:paraId="459B3C00" w14:textId="7698C558" w:rsidR="005A331B" w:rsidRPr="00A02E05" w:rsidRDefault="00E83F8E" w:rsidP="00E83F8E">
      <w:pPr>
        <w:numPr>
          <w:ilvl w:val="0"/>
          <w:numId w:val="14"/>
        </w:numPr>
        <w:spacing w:after="93"/>
        <w:ind w:right="0" w:hanging="360"/>
      </w:pPr>
      <w:r>
        <w:t xml:space="preserve">Que todas las órdenes de compra enviadas a los proveedores en o antes del último día del mes que se cierra estén registradas en </w:t>
      </w:r>
      <w:r w:rsidR="005F29C4">
        <w:t>Quantum</w:t>
      </w:r>
      <w:r>
        <w:t xml:space="preserve">   </w:t>
      </w:r>
    </w:p>
    <w:p w14:paraId="09E326CB" w14:textId="77777777" w:rsidR="005A331B" w:rsidRPr="00A02E05" w:rsidRDefault="00E83F8E" w:rsidP="00E83F8E">
      <w:pPr>
        <w:numPr>
          <w:ilvl w:val="0"/>
          <w:numId w:val="14"/>
        </w:numPr>
        <w:spacing w:after="93"/>
        <w:ind w:right="0" w:hanging="360"/>
      </w:pPr>
      <w:r>
        <w:t xml:space="preserve">Que todos los gastos en el GL, los KK y los proyectos son precisos, completos y han sido registrados en el período correcto   </w:t>
      </w:r>
    </w:p>
    <w:p w14:paraId="5A9E01AE" w14:textId="11067DF0" w:rsidR="005A331B" w:rsidRPr="00A02E05" w:rsidRDefault="00E83F8E" w:rsidP="00E83F8E">
      <w:pPr>
        <w:numPr>
          <w:ilvl w:val="0"/>
          <w:numId w:val="14"/>
        </w:numPr>
        <w:spacing w:after="93"/>
        <w:ind w:right="0" w:hanging="360"/>
      </w:pPr>
      <w:r>
        <w:t xml:space="preserve">Que todas las transacciones abiertas con PO cumplen con la política del PNUD </w:t>
      </w:r>
    </w:p>
    <w:p w14:paraId="77631F2A" w14:textId="77777777" w:rsidR="005A331B" w:rsidRPr="00A02E05" w:rsidRDefault="00E83F8E">
      <w:pPr>
        <w:spacing w:after="84" w:line="259" w:lineRule="auto"/>
        <w:ind w:left="746" w:right="0" w:firstLine="0"/>
        <w:jc w:val="left"/>
      </w:pPr>
      <w:r>
        <w:t xml:space="preserve">   </w:t>
      </w:r>
    </w:p>
    <w:p w14:paraId="73A1E735" w14:textId="45F3C0A9" w:rsidR="005A331B" w:rsidRDefault="00E83F8E" w:rsidP="005F29C4">
      <w:pPr>
        <w:numPr>
          <w:ilvl w:val="1"/>
          <w:numId w:val="25"/>
        </w:numPr>
        <w:ind w:left="851" w:right="0" w:hanging="425"/>
      </w:pPr>
      <w:r>
        <w:t xml:space="preserve">Si la orden de compra está pendiente a partir del último día del mes que se está cerrando, aún es </w:t>
      </w:r>
      <w:r w:rsidR="00100C0D">
        <w:tab/>
      </w:r>
      <w:r>
        <w:t xml:space="preserve">necesaria, pero no se puede resolver a tiempo para los plazos establecidos (es decir, está en </w:t>
      </w:r>
      <w:r w:rsidR="00100C0D">
        <w:tab/>
      </w:r>
      <w:r>
        <w:t xml:space="preserve">espera de aprobación), se debe adelantar la fecha </w:t>
      </w:r>
      <w:r w:rsidR="005F29C4">
        <w:t>de presupuesto</w:t>
      </w:r>
      <w:r>
        <w:t xml:space="preserve">, </w:t>
      </w:r>
      <w:r w:rsidR="005F29C4">
        <w:t>por ejemplo</w:t>
      </w:r>
      <w:r>
        <w:t xml:space="preserve">, modificar la fecha </w:t>
      </w:r>
      <w:r w:rsidR="005F29C4">
        <w:t xml:space="preserve">de presupuesto </w:t>
      </w:r>
      <w:r>
        <w:t>a una fecha posterior a la fecha de finalización del mes. Si la orde</w:t>
      </w:r>
      <w:r w:rsidR="00944DB2">
        <w:t>n de compra no es necesaria, se</w:t>
      </w:r>
      <w:r w:rsidR="005F29C4">
        <w:t xml:space="preserve"> </w:t>
      </w:r>
      <w:r>
        <w:t xml:space="preserve">debe cancelar.   </w:t>
      </w:r>
    </w:p>
    <w:p w14:paraId="3332EFEF" w14:textId="7C5688BA" w:rsidR="002D000E" w:rsidRPr="00A02E05" w:rsidRDefault="002D000E" w:rsidP="005F29C4">
      <w:pPr>
        <w:numPr>
          <w:ilvl w:val="1"/>
          <w:numId w:val="25"/>
        </w:numPr>
        <w:ind w:left="851" w:right="0" w:hanging="425"/>
      </w:pPr>
      <w:r w:rsidRPr="002D000E">
        <w:t>Compensar todas las facturas que requieran atención según el estado del tablero de cuentas por pagar de Quantum, es decir, pendientes de aprobación, rechazadas, facturas en espera y plazos en espera. Las oficinas del PNUD deben revisar periódicamente el panel de cuentas a pagar y realizar un mantenimiento y seguimiento regulares para garantizar que todas las facturas se contabilizan.</w:t>
      </w:r>
    </w:p>
    <w:p w14:paraId="312514BA" w14:textId="77777777" w:rsidR="005A331B" w:rsidRPr="00A02E05" w:rsidRDefault="00E83F8E">
      <w:pPr>
        <w:spacing w:after="2" w:line="259" w:lineRule="auto"/>
        <w:ind w:left="26" w:right="0" w:firstLine="0"/>
        <w:jc w:val="left"/>
      </w:pPr>
      <w:r>
        <w:t xml:space="preserve">    </w:t>
      </w:r>
    </w:p>
    <w:p w14:paraId="39C8915A" w14:textId="77777777" w:rsidR="005A331B" w:rsidRPr="00A02E05" w:rsidRDefault="00E83F8E">
      <w:pPr>
        <w:pStyle w:val="Heading1"/>
        <w:ind w:left="-5"/>
      </w:pPr>
      <w:r>
        <w:t xml:space="preserve">Limpieza de comprobantes de cuentas por pagar (AP)   </w:t>
      </w:r>
    </w:p>
    <w:p w14:paraId="3719951D" w14:textId="77777777" w:rsidR="005A331B" w:rsidRPr="00A02E05" w:rsidRDefault="00E83F8E">
      <w:pPr>
        <w:spacing w:after="0" w:line="259" w:lineRule="auto"/>
        <w:ind w:left="26" w:right="0" w:firstLine="0"/>
        <w:jc w:val="left"/>
      </w:pPr>
      <w:r>
        <w:rPr>
          <w:b/>
        </w:rPr>
        <w:t xml:space="preserve"> </w:t>
      </w:r>
      <w:r>
        <w:t xml:space="preserve">  </w:t>
      </w:r>
    </w:p>
    <w:p w14:paraId="0FC1886F" w14:textId="13BB66F6" w:rsidR="005A331B" w:rsidRPr="00A02E05" w:rsidRDefault="00E83F8E" w:rsidP="005F29C4">
      <w:pPr>
        <w:numPr>
          <w:ilvl w:val="1"/>
          <w:numId w:val="25"/>
        </w:numPr>
        <w:ind w:left="851" w:right="0"/>
      </w:pPr>
      <w:r>
        <w:t xml:space="preserve">La limpieza de las cuentas por pagar (AP, </w:t>
      </w:r>
      <w:proofErr w:type="spellStart"/>
      <w:r>
        <w:rPr>
          <w:i/>
        </w:rPr>
        <w:t>Accounts</w:t>
      </w:r>
      <w:proofErr w:type="spellEnd"/>
      <w:r>
        <w:rPr>
          <w:i/>
        </w:rPr>
        <w:t xml:space="preserve"> </w:t>
      </w:r>
      <w:proofErr w:type="spellStart"/>
      <w:r>
        <w:rPr>
          <w:i/>
        </w:rPr>
        <w:t>Payable</w:t>
      </w:r>
      <w:proofErr w:type="spellEnd"/>
      <w:r>
        <w:t xml:space="preserve">, por sus siglas en inglés) se refiere a un </w:t>
      </w:r>
      <w:r w:rsidR="00100C0D">
        <w:tab/>
      </w:r>
      <w:r>
        <w:t xml:space="preserve">ejercicio que garantiza que no haya </w:t>
      </w:r>
      <w:r w:rsidR="005F29C4">
        <w:t xml:space="preserve">facturas </w:t>
      </w:r>
      <w:r>
        <w:t xml:space="preserve">pendientes con una fecha contable en o antes de la fecha de finalización del mes. </w:t>
      </w:r>
      <w:r w:rsidR="002D000E">
        <w:t>Las facturas</w:t>
      </w:r>
      <w:r>
        <w:t xml:space="preserve"> deben procesarse en su totalidad para que se registren correctamente en los proyectos y </w:t>
      </w:r>
      <w:r w:rsidR="002D000E">
        <w:t xml:space="preserve">en </w:t>
      </w:r>
      <w:r>
        <w:t xml:space="preserve">el </w:t>
      </w:r>
      <w:r w:rsidR="002D000E">
        <w:t>libro mayor</w:t>
      </w:r>
      <w:r>
        <w:t xml:space="preserve">.   </w:t>
      </w:r>
    </w:p>
    <w:p w14:paraId="749AB8E2" w14:textId="77777777" w:rsidR="005A331B" w:rsidRPr="00A02E05" w:rsidRDefault="00E83F8E">
      <w:pPr>
        <w:spacing w:after="2" w:line="259" w:lineRule="auto"/>
        <w:ind w:left="26" w:right="0" w:firstLine="0"/>
        <w:jc w:val="left"/>
      </w:pPr>
      <w:r>
        <w:rPr>
          <w:b/>
          <w:color w:val="333333"/>
        </w:rPr>
        <w:t xml:space="preserve"> </w:t>
      </w:r>
      <w:r>
        <w:t xml:space="preserve">  </w:t>
      </w:r>
    </w:p>
    <w:p w14:paraId="6542DA9D" w14:textId="77777777" w:rsidR="005A331B" w:rsidRPr="00A02E05" w:rsidRDefault="00E83F8E">
      <w:pPr>
        <w:pStyle w:val="Heading1"/>
        <w:ind w:left="-5"/>
      </w:pPr>
      <w:r>
        <w:t xml:space="preserve">Otros comprobantes   </w:t>
      </w:r>
    </w:p>
    <w:p w14:paraId="76F8BAFE" w14:textId="77777777" w:rsidR="005A331B" w:rsidRPr="00A02E05" w:rsidRDefault="00E83F8E">
      <w:pPr>
        <w:spacing w:after="88" w:line="259" w:lineRule="auto"/>
        <w:ind w:left="26" w:right="0" w:firstLine="0"/>
        <w:jc w:val="left"/>
      </w:pPr>
      <w:r>
        <w:t xml:space="preserve">   </w:t>
      </w:r>
    </w:p>
    <w:p w14:paraId="73C6C6F0" w14:textId="15433B97" w:rsidR="005A331B" w:rsidRPr="00A02E05" w:rsidRDefault="002D000E" w:rsidP="005F29C4">
      <w:pPr>
        <w:numPr>
          <w:ilvl w:val="1"/>
          <w:numId w:val="25"/>
        </w:numPr>
        <w:ind w:right="0"/>
      </w:pPr>
      <w:r>
        <w:rPr>
          <w:b/>
        </w:rPr>
        <w:t>Factura</w:t>
      </w:r>
      <w:r w:rsidR="00E83F8E">
        <w:rPr>
          <w:b/>
        </w:rPr>
        <w:t xml:space="preserve"> sin PO plenamente procesado:</w:t>
      </w:r>
      <w:r w:rsidR="00E83F8E">
        <w:t xml:space="preserve"> Est</w:t>
      </w:r>
      <w:r>
        <w:t>a factura</w:t>
      </w:r>
      <w:r w:rsidR="00E83F8E">
        <w:t xml:space="preserve"> ha sido aprobad</w:t>
      </w:r>
      <w:r>
        <w:t>a</w:t>
      </w:r>
      <w:r w:rsidR="00E83F8E">
        <w:t xml:space="preserve">, tiene un </w:t>
      </w:r>
      <w:r w:rsidR="00100C0D">
        <w:tab/>
      </w:r>
      <w:r w:rsidR="00E83F8E">
        <w:t>estado de presupuesto v</w:t>
      </w:r>
      <w:r>
        <w:t xml:space="preserve">alidado </w:t>
      </w:r>
      <w:r w:rsidR="00E83F8E">
        <w:t xml:space="preserve">y se contabiliza.   </w:t>
      </w:r>
    </w:p>
    <w:p w14:paraId="2A10B831" w14:textId="77777777" w:rsidR="005A331B" w:rsidRPr="00A02E05" w:rsidRDefault="00E83F8E">
      <w:pPr>
        <w:spacing w:after="88" w:line="259" w:lineRule="auto"/>
        <w:ind w:left="746" w:right="0" w:firstLine="0"/>
        <w:jc w:val="left"/>
      </w:pPr>
      <w:r>
        <w:t xml:space="preserve">   </w:t>
      </w:r>
    </w:p>
    <w:p w14:paraId="6F9CFC8E" w14:textId="60FFE394" w:rsidR="005A331B" w:rsidRPr="00A02E05" w:rsidRDefault="002D000E" w:rsidP="005F29C4">
      <w:pPr>
        <w:numPr>
          <w:ilvl w:val="1"/>
          <w:numId w:val="25"/>
        </w:numPr>
        <w:ind w:right="0"/>
      </w:pPr>
      <w:r>
        <w:rPr>
          <w:b/>
        </w:rPr>
        <w:t>Factura</w:t>
      </w:r>
      <w:r w:rsidR="00E83F8E">
        <w:rPr>
          <w:b/>
        </w:rPr>
        <w:t xml:space="preserve"> de PO plenamente procesado:</w:t>
      </w:r>
      <w:r w:rsidR="00E83F8E">
        <w:t xml:space="preserve"> </w:t>
      </w:r>
      <w:r w:rsidRPr="002D000E">
        <w:t>Factura de pedido totalmente procesada: Esta factura es la que se ha cotejado, tiene un estado validado y se ha contabilizado. Una factura sólo necesita un estado validado para ser registrada en el control presupuestario</w:t>
      </w:r>
      <w:r w:rsidR="00E83F8E">
        <w:t xml:space="preserve">.   </w:t>
      </w:r>
    </w:p>
    <w:p w14:paraId="48E67E4D" w14:textId="77777777" w:rsidR="005A331B" w:rsidRPr="00A02E05" w:rsidRDefault="00E83F8E">
      <w:pPr>
        <w:spacing w:after="93" w:line="259" w:lineRule="auto"/>
        <w:ind w:left="746" w:right="0" w:firstLine="0"/>
        <w:jc w:val="left"/>
      </w:pPr>
      <w:r>
        <w:t xml:space="preserve">   </w:t>
      </w:r>
    </w:p>
    <w:p w14:paraId="7F5FDC24" w14:textId="12FCAB00" w:rsidR="005A331B" w:rsidRPr="00A02E05" w:rsidRDefault="002D000E" w:rsidP="005F29C4">
      <w:pPr>
        <w:numPr>
          <w:ilvl w:val="1"/>
          <w:numId w:val="25"/>
        </w:numPr>
        <w:ind w:right="0"/>
      </w:pPr>
      <w:r>
        <w:rPr>
          <w:b/>
        </w:rPr>
        <w:t>Factura</w:t>
      </w:r>
      <w:r w:rsidR="00E83F8E">
        <w:rPr>
          <w:b/>
        </w:rPr>
        <w:t xml:space="preserve"> pagad</w:t>
      </w:r>
      <w:r>
        <w:rPr>
          <w:b/>
        </w:rPr>
        <w:t>a</w:t>
      </w:r>
      <w:r w:rsidR="00E83F8E">
        <w:rPr>
          <w:b/>
        </w:rPr>
        <w:t>:</w:t>
      </w:r>
      <w:r w:rsidR="00E83F8E">
        <w:t xml:space="preserve"> Este comprobante es aquel para el cual se registra un pago, ya sea de </w:t>
      </w:r>
      <w:r w:rsidR="00100C0D">
        <w:tab/>
      </w:r>
      <w:r w:rsidR="00E83F8E">
        <w:t xml:space="preserve">forma manual o en el sistema, en </w:t>
      </w:r>
      <w:r>
        <w:t>Quantum</w:t>
      </w:r>
      <w:r w:rsidR="00944DB2">
        <w:t xml:space="preserve">. </w:t>
      </w:r>
    </w:p>
    <w:p w14:paraId="49487E69" w14:textId="77777777" w:rsidR="005A331B" w:rsidRPr="00A02E05" w:rsidRDefault="00E83F8E">
      <w:pPr>
        <w:spacing w:after="86" w:line="259" w:lineRule="auto"/>
        <w:ind w:left="746" w:right="0" w:firstLine="0"/>
        <w:jc w:val="left"/>
      </w:pPr>
      <w:r>
        <w:t xml:space="preserve">   </w:t>
      </w:r>
    </w:p>
    <w:p w14:paraId="136ACB2B" w14:textId="77777777" w:rsidR="002D000E" w:rsidRDefault="002D000E">
      <w:pPr>
        <w:spacing w:after="0" w:line="259" w:lineRule="auto"/>
        <w:ind w:left="26" w:right="0" w:firstLine="0"/>
        <w:jc w:val="left"/>
      </w:pPr>
    </w:p>
    <w:p w14:paraId="57717FC4" w14:textId="77777777" w:rsidR="002D000E" w:rsidRDefault="002D000E">
      <w:pPr>
        <w:spacing w:after="0" w:line="259" w:lineRule="auto"/>
        <w:ind w:left="26" w:right="0" w:firstLine="0"/>
        <w:jc w:val="left"/>
      </w:pPr>
    </w:p>
    <w:p w14:paraId="7341E914" w14:textId="77777777" w:rsidR="002D000E" w:rsidRDefault="002D000E">
      <w:pPr>
        <w:spacing w:after="0" w:line="259" w:lineRule="auto"/>
        <w:ind w:left="26" w:right="0" w:firstLine="0"/>
        <w:jc w:val="left"/>
      </w:pPr>
    </w:p>
    <w:p w14:paraId="23D33712" w14:textId="383F663C" w:rsidR="005A331B" w:rsidRPr="00A02E05" w:rsidRDefault="00E83F8E">
      <w:pPr>
        <w:spacing w:after="0" w:line="259" w:lineRule="auto"/>
        <w:ind w:left="26" w:right="0" w:firstLine="0"/>
        <w:jc w:val="left"/>
      </w:pPr>
      <w:r>
        <w:t xml:space="preserve">    </w:t>
      </w:r>
    </w:p>
    <w:p w14:paraId="4BA2A911" w14:textId="77777777" w:rsidR="005A331B" w:rsidRPr="00A02E05" w:rsidRDefault="00E83F8E">
      <w:pPr>
        <w:pStyle w:val="Heading1"/>
        <w:ind w:left="-5"/>
      </w:pPr>
      <w:r>
        <w:lastRenderedPageBreak/>
        <w:t>Códigos contables inválidos en órdenes de compra (PO)</w:t>
      </w:r>
      <w:r>
        <w:rPr>
          <w:b w:val="0"/>
        </w:rPr>
        <w:t xml:space="preserve">  </w:t>
      </w:r>
      <w:r>
        <w:t xml:space="preserve">  </w:t>
      </w:r>
    </w:p>
    <w:p w14:paraId="61C21490" w14:textId="77777777" w:rsidR="005A331B" w:rsidRPr="00A02E05" w:rsidRDefault="00E83F8E">
      <w:pPr>
        <w:spacing w:after="86" w:line="259" w:lineRule="auto"/>
        <w:ind w:left="26" w:right="0" w:firstLine="0"/>
        <w:jc w:val="left"/>
      </w:pPr>
      <w:r>
        <w:t xml:space="preserve">    </w:t>
      </w:r>
    </w:p>
    <w:p w14:paraId="6C1EBCFC" w14:textId="4A8458CF" w:rsidR="005A331B" w:rsidRPr="00A02E05" w:rsidRDefault="00100C0D">
      <w:pPr>
        <w:ind w:left="713" w:right="0"/>
      </w:pPr>
      <w:r>
        <w:t>25</w:t>
      </w:r>
      <w:r w:rsidR="00E83F8E">
        <w:t>.</w:t>
      </w:r>
      <w:r w:rsidR="00E83F8E" w:rsidRPr="1568F0CA">
        <w:rPr>
          <w:rFonts w:ascii="Arial" w:hAnsi="Arial"/>
        </w:rPr>
        <w:t xml:space="preserve"> </w:t>
      </w:r>
      <w:r w:rsidR="00E83F8E">
        <w:t>Se refiere a las PO a las cuales les faltan uno o más valores requeridos de códigos contables (por ejemplo, departamento, fondo, organismo de ejecución</w:t>
      </w:r>
      <w:r w:rsidR="1A5C35F8">
        <w:t>/agente implementador</w:t>
      </w:r>
      <w:r w:rsidR="00E83F8E">
        <w:t xml:space="preserve">, proyecto y donante) o tienen una cuenta sin gastos imputables especificada en la línea de distribución.    </w:t>
      </w:r>
    </w:p>
    <w:p w14:paraId="782AD706" w14:textId="77777777" w:rsidR="005A331B" w:rsidRPr="00A02E05" w:rsidRDefault="00E83F8E">
      <w:pPr>
        <w:spacing w:after="2" w:line="259" w:lineRule="auto"/>
        <w:ind w:left="26" w:right="0" w:firstLine="0"/>
        <w:jc w:val="left"/>
      </w:pPr>
      <w:r>
        <w:t xml:space="preserve">    </w:t>
      </w:r>
    </w:p>
    <w:p w14:paraId="1929CFB6" w14:textId="77777777" w:rsidR="005A331B" w:rsidRPr="00A02E05" w:rsidRDefault="00E83F8E">
      <w:pPr>
        <w:pStyle w:val="Heading1"/>
        <w:ind w:left="-5"/>
      </w:pPr>
      <w:r>
        <w:t>Códigos contables inválidos en comprobantes de cuentas por pagar (AP)</w:t>
      </w:r>
      <w:r>
        <w:rPr>
          <w:b w:val="0"/>
        </w:rPr>
        <w:t xml:space="preserve"> </w:t>
      </w:r>
      <w:r>
        <w:t xml:space="preserve">  </w:t>
      </w:r>
    </w:p>
    <w:p w14:paraId="4B8044D2" w14:textId="77777777" w:rsidR="005A331B" w:rsidRPr="00A02E05" w:rsidRDefault="00E83F8E">
      <w:pPr>
        <w:spacing w:after="86" w:line="259" w:lineRule="auto"/>
        <w:ind w:left="26" w:right="0" w:firstLine="0"/>
        <w:jc w:val="left"/>
      </w:pPr>
      <w:r>
        <w:t xml:space="preserve">    </w:t>
      </w:r>
    </w:p>
    <w:p w14:paraId="2C834C00" w14:textId="4B6C7640" w:rsidR="005A331B" w:rsidRPr="00A02E05" w:rsidRDefault="00100C0D">
      <w:pPr>
        <w:ind w:left="343" w:right="0" w:firstLine="0"/>
      </w:pPr>
      <w:r>
        <w:t>26</w:t>
      </w:r>
      <w:r w:rsidR="00E83F8E">
        <w:t>.</w:t>
      </w:r>
      <w:r w:rsidR="00E83F8E" w:rsidRPr="1568F0CA">
        <w:rPr>
          <w:rFonts w:ascii="Arial" w:hAnsi="Arial"/>
        </w:rPr>
        <w:t xml:space="preserve"> </w:t>
      </w:r>
      <w:r w:rsidR="00E83F8E">
        <w:t>Se refiere a l</w:t>
      </w:r>
      <w:r w:rsidR="004F4E83">
        <w:t>as facturas</w:t>
      </w:r>
      <w:r w:rsidR="00E83F8E">
        <w:t xml:space="preserve"> de AP a l</w:t>
      </w:r>
      <w:r w:rsidR="004F4E83">
        <w:t>a</w:t>
      </w:r>
      <w:r w:rsidR="00E83F8E">
        <w:t xml:space="preserve">s cuales les falta uno o más valores requeridos de códigos </w:t>
      </w:r>
      <w:r>
        <w:tab/>
      </w:r>
      <w:r w:rsidR="00E83F8E">
        <w:t xml:space="preserve">contables (por ejemplo, </w:t>
      </w:r>
      <w:r w:rsidR="00944DB2">
        <w:t xml:space="preserve">departamento, fondo, organismo de ejecución, </w:t>
      </w:r>
      <w:r>
        <w:tab/>
      </w:r>
      <w:r w:rsidR="00944DB2">
        <w:t xml:space="preserve">proyecto y donante) o tienen una cuenta sin gastos imputables especificada en la línea de </w:t>
      </w:r>
      <w:r>
        <w:tab/>
      </w:r>
      <w:r w:rsidR="00944DB2">
        <w:t>distribución.</w:t>
      </w:r>
    </w:p>
    <w:p w14:paraId="01757100" w14:textId="77777777" w:rsidR="005A331B" w:rsidRPr="00A02E05" w:rsidRDefault="00E83F8E">
      <w:pPr>
        <w:spacing w:after="0" w:line="259" w:lineRule="auto"/>
        <w:ind w:left="26" w:right="0" w:firstLine="0"/>
        <w:jc w:val="left"/>
      </w:pPr>
      <w:r>
        <w:t xml:space="preserve">    </w:t>
      </w:r>
    </w:p>
    <w:p w14:paraId="393439E5" w14:textId="77777777" w:rsidR="005A331B" w:rsidRPr="00A02E05" w:rsidRDefault="00E83F8E">
      <w:pPr>
        <w:pStyle w:val="Heading1"/>
        <w:ind w:left="-5"/>
      </w:pPr>
      <w:r>
        <w:t>PO abiertas, completas y plenamente conciliadas</w:t>
      </w:r>
      <w:r>
        <w:rPr>
          <w:b w:val="0"/>
        </w:rPr>
        <w:t xml:space="preserve">  </w:t>
      </w:r>
      <w:r>
        <w:t xml:space="preserve">  </w:t>
      </w:r>
    </w:p>
    <w:p w14:paraId="229FAE8B" w14:textId="6CA7805F" w:rsidR="005A331B" w:rsidRPr="00944DB2" w:rsidRDefault="005A331B">
      <w:pPr>
        <w:spacing w:after="88" w:line="259" w:lineRule="auto"/>
        <w:ind w:left="26" w:right="0" w:firstLine="0"/>
        <w:jc w:val="left"/>
        <w:rPr>
          <w:lang w:val="es-AR"/>
        </w:rPr>
      </w:pPr>
    </w:p>
    <w:p w14:paraId="639283F2" w14:textId="45C842E5" w:rsidR="005A331B" w:rsidRPr="00A02E05" w:rsidRDefault="00E83F8E" w:rsidP="00100C0D">
      <w:pPr>
        <w:numPr>
          <w:ilvl w:val="0"/>
          <w:numId w:val="23"/>
        </w:numPr>
        <w:ind w:right="0"/>
      </w:pPr>
      <w:r>
        <w:t xml:space="preserve">Una </w:t>
      </w:r>
      <w:r>
        <w:rPr>
          <w:b/>
        </w:rPr>
        <w:t>PO abierta</w:t>
      </w:r>
      <w:r>
        <w:t xml:space="preserve"> es aquella que no se ha liquidado completamente en un</w:t>
      </w:r>
      <w:r w:rsidR="004F4E83">
        <w:t xml:space="preserve">a factura </w:t>
      </w:r>
      <w:r>
        <w:t xml:space="preserve">de pago y </w:t>
      </w:r>
      <w:r w:rsidR="00100C0D">
        <w:tab/>
      </w:r>
      <w:r>
        <w:t xml:space="preserve">se considera una PO abierta.    </w:t>
      </w:r>
    </w:p>
    <w:p w14:paraId="23E62246" w14:textId="77777777" w:rsidR="005A331B" w:rsidRPr="00A02E05" w:rsidRDefault="00E83F8E">
      <w:pPr>
        <w:spacing w:after="93" w:line="259" w:lineRule="auto"/>
        <w:ind w:left="746" w:right="0" w:firstLine="0"/>
        <w:jc w:val="left"/>
      </w:pPr>
      <w:r>
        <w:t xml:space="preserve">   </w:t>
      </w:r>
    </w:p>
    <w:p w14:paraId="5EC523D3" w14:textId="70514AC0" w:rsidR="005A331B" w:rsidRPr="00A02E05" w:rsidRDefault="00E83F8E" w:rsidP="00100C0D">
      <w:pPr>
        <w:numPr>
          <w:ilvl w:val="0"/>
          <w:numId w:val="23"/>
        </w:numPr>
        <w:ind w:right="0"/>
      </w:pPr>
      <w:r>
        <w:t xml:space="preserve">Una </w:t>
      </w:r>
      <w:r>
        <w:rPr>
          <w:b/>
        </w:rPr>
        <w:t>PO completa</w:t>
      </w:r>
      <w:r>
        <w:t xml:space="preserve"> significa que no se registrarán recibos o </w:t>
      </w:r>
      <w:r w:rsidR="004F4E83">
        <w:t>facturas</w:t>
      </w:r>
      <w:r>
        <w:t xml:space="preserve"> adicionales.    </w:t>
      </w:r>
    </w:p>
    <w:p w14:paraId="1D7B65B3" w14:textId="77777777" w:rsidR="005A331B" w:rsidRPr="00A02E05" w:rsidRDefault="00E83F8E">
      <w:pPr>
        <w:spacing w:after="0" w:line="259" w:lineRule="auto"/>
        <w:ind w:left="746" w:right="0" w:firstLine="0"/>
        <w:jc w:val="left"/>
      </w:pPr>
      <w:r>
        <w:t xml:space="preserve">   </w:t>
      </w:r>
    </w:p>
    <w:p w14:paraId="2AF55B4D" w14:textId="77777777" w:rsidR="005A331B" w:rsidRPr="00A02E05" w:rsidRDefault="00E83F8E" w:rsidP="00100C0D">
      <w:pPr>
        <w:numPr>
          <w:ilvl w:val="0"/>
          <w:numId w:val="23"/>
        </w:numPr>
        <w:ind w:right="0"/>
      </w:pPr>
      <w:r>
        <w:t xml:space="preserve">Una </w:t>
      </w:r>
      <w:r>
        <w:rPr>
          <w:b/>
        </w:rPr>
        <w:t>PO plenamente conciliada</w:t>
      </w:r>
      <w:r>
        <w:t xml:space="preserve"> significa que no se prevé ninguna actividad adicional.   </w:t>
      </w:r>
    </w:p>
    <w:p w14:paraId="63C1B0DA" w14:textId="77777777" w:rsidR="005A331B" w:rsidRPr="00A02E05" w:rsidRDefault="00E83F8E">
      <w:pPr>
        <w:spacing w:after="86" w:line="259" w:lineRule="auto"/>
        <w:ind w:left="26" w:right="0" w:firstLine="0"/>
        <w:jc w:val="left"/>
      </w:pPr>
      <w:r>
        <w:t xml:space="preserve">    </w:t>
      </w:r>
    </w:p>
    <w:p w14:paraId="5CDCDE78" w14:textId="32F4B1AC" w:rsidR="005A331B" w:rsidRPr="00A02E05" w:rsidRDefault="00E83F8E" w:rsidP="00100C0D">
      <w:pPr>
        <w:numPr>
          <w:ilvl w:val="0"/>
          <w:numId w:val="23"/>
        </w:numPr>
        <w:ind w:right="0"/>
      </w:pPr>
      <w:r>
        <w:t xml:space="preserve">Todas las oficinas deben revisar sus PO abiertas y cerrar aquellas que estén completas. Nota: El </w:t>
      </w:r>
      <w:r w:rsidR="00AA150B">
        <w:tab/>
      </w:r>
      <w:r>
        <w:t xml:space="preserve">momento óptimo para llevar a cabo esta revisión es después </w:t>
      </w:r>
      <w:r w:rsidR="00944DB2">
        <w:t>de completar la revisión de las</w:t>
      </w:r>
      <w:r>
        <w:br/>
      </w:r>
      <w:r w:rsidR="00AA150B">
        <w:tab/>
      </w:r>
      <w:proofErr w:type="spellStart"/>
      <w:r w:rsidR="0190CAE4">
        <w:t>POs</w:t>
      </w:r>
      <w:proofErr w:type="spellEnd"/>
      <w:r w:rsidR="0190CAE4">
        <w:t xml:space="preserve"> </w:t>
      </w:r>
      <w:r>
        <w:t xml:space="preserve">pendientes.    </w:t>
      </w:r>
    </w:p>
    <w:p w14:paraId="6E852724" w14:textId="77777777" w:rsidR="005A331B" w:rsidRPr="00A02E05" w:rsidRDefault="00E83F8E">
      <w:pPr>
        <w:spacing w:after="0" w:line="259" w:lineRule="auto"/>
        <w:ind w:left="26" w:right="0" w:firstLine="0"/>
        <w:jc w:val="left"/>
      </w:pPr>
      <w:r>
        <w:t xml:space="preserve">    </w:t>
      </w:r>
    </w:p>
    <w:p w14:paraId="436D4A44" w14:textId="0E37394E" w:rsidR="005A331B" w:rsidRPr="00A02E05" w:rsidRDefault="004F4E83">
      <w:pPr>
        <w:pStyle w:val="Heading1"/>
        <w:ind w:left="-5"/>
      </w:pPr>
      <w:r>
        <w:t>Facturas</w:t>
      </w:r>
      <w:r w:rsidR="00E83F8E">
        <w:t xml:space="preserve"> de AP no pagad</w:t>
      </w:r>
      <w:r>
        <w:t>a</w:t>
      </w:r>
      <w:r w:rsidR="00E83F8E">
        <w:t>s</w:t>
      </w:r>
      <w:r w:rsidR="00E83F8E">
        <w:rPr>
          <w:b w:val="0"/>
        </w:rPr>
        <w:t xml:space="preserve">  </w:t>
      </w:r>
      <w:r w:rsidR="00E83F8E">
        <w:t xml:space="preserve">  </w:t>
      </w:r>
    </w:p>
    <w:p w14:paraId="3D58176F" w14:textId="77777777" w:rsidR="005A331B" w:rsidRPr="00A02E05" w:rsidRDefault="00E83F8E">
      <w:pPr>
        <w:spacing w:after="0" w:line="259" w:lineRule="auto"/>
        <w:ind w:left="26" w:right="0" w:firstLine="0"/>
        <w:jc w:val="left"/>
      </w:pPr>
      <w:r>
        <w:t xml:space="preserve">    </w:t>
      </w:r>
    </w:p>
    <w:p w14:paraId="67478A74" w14:textId="7F11A637" w:rsidR="005A331B" w:rsidRPr="00A02E05" w:rsidRDefault="00100C0D">
      <w:pPr>
        <w:ind w:left="713" w:right="0"/>
      </w:pPr>
      <w:r>
        <w:t>31</w:t>
      </w:r>
      <w:r w:rsidR="00E83F8E">
        <w:t>. L</w:t>
      </w:r>
      <w:r w:rsidR="004F4E83">
        <w:t>as facturas</w:t>
      </w:r>
      <w:r w:rsidR="00E83F8E">
        <w:t xml:space="preserve"> no pagados son aquellos que se aprueban, vinculan y verifican con éxito en el presupuesto, pero que aún no se han pagado. </w:t>
      </w:r>
      <w:r w:rsidR="004F4E83">
        <w:t>Estas facturas</w:t>
      </w:r>
      <w:r w:rsidR="00E83F8E">
        <w:t xml:space="preserve"> deben revisarse para determinar si hay comprobantes duplicados o antiguos que deben cerrarse/eliminarse o si hay comprobantes que fueron pagados manualmente, pero cuyo pago manual nunca se registró.    </w:t>
      </w:r>
    </w:p>
    <w:p w14:paraId="068A84EA" w14:textId="77777777" w:rsidR="005A331B" w:rsidRPr="00A02E05" w:rsidRDefault="00E83F8E">
      <w:pPr>
        <w:spacing w:after="2" w:line="259" w:lineRule="auto"/>
        <w:ind w:left="26" w:right="0" w:firstLine="0"/>
        <w:jc w:val="left"/>
      </w:pPr>
      <w:r>
        <w:t xml:space="preserve">    </w:t>
      </w:r>
    </w:p>
    <w:p w14:paraId="5FC1289F" w14:textId="77777777" w:rsidR="005A331B" w:rsidRPr="00A02E05" w:rsidRDefault="00E83F8E">
      <w:pPr>
        <w:pStyle w:val="Heading1"/>
        <w:ind w:left="-5"/>
      </w:pPr>
      <w:r>
        <w:t>Filas de cargos</w:t>
      </w:r>
      <w:r>
        <w:rPr>
          <w:b w:val="0"/>
        </w:rPr>
        <w:t xml:space="preserve"> </w:t>
      </w:r>
      <w:r>
        <w:t xml:space="preserve">  </w:t>
      </w:r>
    </w:p>
    <w:p w14:paraId="768F9ABA" w14:textId="77777777" w:rsidR="005A331B" w:rsidRPr="00A02E05" w:rsidRDefault="00E83F8E">
      <w:pPr>
        <w:spacing w:after="89" w:line="259" w:lineRule="auto"/>
        <w:ind w:left="26" w:right="0" w:firstLine="0"/>
        <w:jc w:val="left"/>
      </w:pPr>
      <w:r>
        <w:t xml:space="preserve">    </w:t>
      </w:r>
    </w:p>
    <w:p w14:paraId="7D985AB8" w14:textId="77FFD201" w:rsidR="005A331B" w:rsidRPr="00A02E05" w:rsidRDefault="00100C0D">
      <w:pPr>
        <w:ind w:left="713" w:right="0"/>
      </w:pPr>
      <w:r>
        <w:t>32</w:t>
      </w:r>
      <w:r w:rsidR="00E83F8E">
        <w:t>.</w:t>
      </w:r>
      <w:r w:rsidR="00E83F8E">
        <w:rPr>
          <w:rFonts w:ascii="Arial" w:hAnsi="Arial"/>
        </w:rPr>
        <w:t xml:space="preserve"> </w:t>
      </w:r>
      <w:r w:rsidR="004F4E83" w:rsidRPr="004F4E83">
        <w:t xml:space="preserve">Las filas de </w:t>
      </w:r>
      <w:r w:rsidR="00810F77">
        <w:t>cargos</w:t>
      </w:r>
      <w:r w:rsidR="004F4E83" w:rsidRPr="004F4E83">
        <w:t xml:space="preserve"> se refieren a la recuperación de costes por los servicios que el PNUD ha prestado a agencias que no utiliza Quantum. Cada vez que preste un servicio estándar a una agencia que no utilice Quantum, se generará la fila de </w:t>
      </w:r>
      <w:r w:rsidR="002B235A">
        <w:t xml:space="preserve">cargo </w:t>
      </w:r>
      <w:r w:rsidR="004F4E83" w:rsidRPr="004F4E83">
        <w:t xml:space="preserve">en el Portal de Agencias. Quantum crea automáticamente </w:t>
      </w:r>
      <w:r w:rsidR="002B235A">
        <w:t xml:space="preserve">un cargo por le </w:t>
      </w:r>
      <w:r w:rsidR="004F4E83" w:rsidRPr="004F4E83">
        <w:t xml:space="preserve">servicio que corresponde a la tarifa de la Lista de Precios Universal. Todas las </w:t>
      </w:r>
      <w:r w:rsidR="002B235A">
        <w:t>filas de cargos</w:t>
      </w:r>
      <w:r w:rsidR="004F4E83" w:rsidRPr="004F4E83">
        <w:t xml:space="preserve"> deben cargarse a la cuenta de compensación de servicios de la agencia no Quantum (fondo 12000).</w:t>
      </w:r>
      <w:r w:rsidR="00E83F8E">
        <w:t xml:space="preserve">.    </w:t>
      </w:r>
    </w:p>
    <w:p w14:paraId="1B8A83CF" w14:textId="77777777" w:rsidR="005A331B" w:rsidRPr="00A02E05" w:rsidRDefault="00E83F8E">
      <w:pPr>
        <w:spacing w:after="2" w:line="259" w:lineRule="auto"/>
        <w:ind w:left="26" w:right="0" w:firstLine="0"/>
        <w:jc w:val="left"/>
      </w:pPr>
      <w:r>
        <w:t xml:space="preserve">    </w:t>
      </w:r>
    </w:p>
    <w:p w14:paraId="1A462A3C" w14:textId="37C43D56" w:rsidR="005A331B" w:rsidRPr="00A02E05" w:rsidRDefault="00E83F8E">
      <w:pPr>
        <w:pStyle w:val="Heading1"/>
        <w:ind w:left="-5"/>
      </w:pPr>
      <w:r>
        <w:t xml:space="preserve">Cuentas por cobrar: </w:t>
      </w:r>
      <w:r w:rsidR="004F4E83">
        <w:t>recib</w:t>
      </w:r>
      <w:r>
        <w:t>os no afectados</w:t>
      </w:r>
      <w:r>
        <w:rPr>
          <w:b w:val="0"/>
        </w:rPr>
        <w:t xml:space="preserve">  </w:t>
      </w:r>
      <w:r>
        <w:t xml:space="preserve">  </w:t>
      </w:r>
    </w:p>
    <w:p w14:paraId="11B78361" w14:textId="77777777" w:rsidR="005A331B" w:rsidRPr="00A02E05" w:rsidRDefault="00E83F8E">
      <w:pPr>
        <w:spacing w:after="86" w:line="259" w:lineRule="auto"/>
        <w:ind w:left="26" w:right="0" w:firstLine="0"/>
        <w:jc w:val="left"/>
      </w:pPr>
      <w:r>
        <w:t xml:space="preserve">    </w:t>
      </w:r>
    </w:p>
    <w:p w14:paraId="78034305" w14:textId="5ECA059E" w:rsidR="005A331B" w:rsidRDefault="00E83F8E">
      <w:pPr>
        <w:ind w:left="713" w:right="0"/>
      </w:pPr>
      <w:r>
        <w:t>3</w:t>
      </w:r>
      <w:r w:rsidR="00100C0D">
        <w:t>3</w:t>
      </w:r>
      <w:r>
        <w:t>.</w:t>
      </w:r>
      <w:r>
        <w:rPr>
          <w:rFonts w:ascii="Arial" w:hAnsi="Arial"/>
        </w:rPr>
        <w:t xml:space="preserve"> </w:t>
      </w:r>
      <w:r w:rsidR="004F4E83" w:rsidRPr="004F4E83">
        <w:t xml:space="preserve">Los recibos </w:t>
      </w:r>
      <w:r w:rsidR="004F4E83">
        <w:t>de</w:t>
      </w:r>
      <w:r w:rsidR="004F4E83" w:rsidRPr="004F4E83">
        <w:t xml:space="preserve"> depósitos no aplicados son las contribuciones que se han recibido de los donantes pero que no se han aplicado al donante, fondo o proyecto correspondiente.</w:t>
      </w:r>
      <w:r>
        <w:t xml:space="preserve">.    </w:t>
      </w:r>
    </w:p>
    <w:p w14:paraId="296A7BBA" w14:textId="77777777" w:rsidR="0086148E" w:rsidRPr="00944DB2" w:rsidRDefault="0086148E">
      <w:pPr>
        <w:ind w:left="713" w:right="0"/>
        <w:rPr>
          <w:lang w:val="es-AR"/>
        </w:rPr>
      </w:pPr>
    </w:p>
    <w:p w14:paraId="227B8573" w14:textId="0BF231DD" w:rsidR="00FB24E4" w:rsidRDefault="00FB24E4" w:rsidP="00FB24E4">
      <w:pPr>
        <w:ind w:left="0" w:right="0" w:firstLine="0"/>
        <w:rPr>
          <w:b/>
        </w:rPr>
      </w:pPr>
      <w:r>
        <w:rPr>
          <w:b/>
        </w:rPr>
        <w:t>Cuentas por cobrar: contribuciones por cobrar pendientes</w:t>
      </w:r>
    </w:p>
    <w:p w14:paraId="3D64994E" w14:textId="77777777" w:rsidR="0086148E" w:rsidRPr="00944DB2" w:rsidRDefault="0086148E" w:rsidP="00FB24E4">
      <w:pPr>
        <w:ind w:left="0" w:right="0" w:firstLine="0"/>
        <w:rPr>
          <w:b/>
          <w:lang w:val="es-AR"/>
        </w:rPr>
      </w:pPr>
    </w:p>
    <w:p w14:paraId="43A8EFEF" w14:textId="00A3F33B" w:rsidR="0086148E" w:rsidRDefault="00100C0D" w:rsidP="002D4678">
      <w:pPr>
        <w:ind w:left="713" w:right="0"/>
      </w:pPr>
      <w:r>
        <w:t xml:space="preserve"> 34</w:t>
      </w:r>
      <w:r w:rsidR="00E83F8E">
        <w:t>.</w:t>
      </w:r>
      <w:r w:rsidR="00E83F8E">
        <w:rPr>
          <w:rFonts w:ascii="Arial" w:hAnsi="Arial"/>
        </w:rPr>
        <w:t xml:space="preserve"> </w:t>
      </w:r>
      <w:r w:rsidR="00E83F8E">
        <w:t xml:space="preserve"> Las contribuciones por cobrar representan montos, comprometidos por los donantes en los acuerdos según el calendario de pagos, pero que aún no se han recibido.   </w:t>
      </w:r>
    </w:p>
    <w:p w14:paraId="4786302C" w14:textId="430973B3" w:rsidR="005A331B" w:rsidRPr="00A02E05" w:rsidRDefault="0086148E" w:rsidP="002D4678">
      <w:pPr>
        <w:ind w:left="713" w:right="0"/>
      </w:pPr>
      <w:r>
        <w:t xml:space="preserve">  </w:t>
      </w:r>
    </w:p>
    <w:p w14:paraId="5194405F" w14:textId="77777777" w:rsidR="005A331B" w:rsidRPr="00A02E05" w:rsidRDefault="00E83F8E">
      <w:pPr>
        <w:pStyle w:val="Heading1"/>
        <w:ind w:left="-5"/>
      </w:pPr>
      <w:r>
        <w:t>GLJE pendientes</w:t>
      </w:r>
      <w:r>
        <w:rPr>
          <w:b w:val="0"/>
        </w:rPr>
        <w:t xml:space="preserve">  </w:t>
      </w:r>
      <w:r>
        <w:t xml:space="preserve">  </w:t>
      </w:r>
    </w:p>
    <w:p w14:paraId="6ACE6CC2" w14:textId="77777777" w:rsidR="005A331B" w:rsidRPr="00A02E05" w:rsidRDefault="00E83F8E">
      <w:pPr>
        <w:spacing w:after="84" w:line="259" w:lineRule="auto"/>
        <w:ind w:left="26" w:right="0" w:firstLine="0"/>
        <w:jc w:val="left"/>
      </w:pPr>
      <w:r>
        <w:t xml:space="preserve">    </w:t>
      </w:r>
    </w:p>
    <w:p w14:paraId="4649F420" w14:textId="1BE4FE82" w:rsidR="005A331B" w:rsidRPr="00A02E05" w:rsidRDefault="00100C0D">
      <w:pPr>
        <w:ind w:left="713" w:right="0"/>
      </w:pPr>
      <w:r>
        <w:t>3</w:t>
      </w:r>
      <w:r w:rsidR="00745C4C">
        <w:t>5</w:t>
      </w:r>
      <w:r w:rsidR="00E83F8E">
        <w:t>.</w:t>
      </w:r>
      <w:r w:rsidR="00E83F8E">
        <w:rPr>
          <w:rFonts w:ascii="Arial" w:hAnsi="Arial"/>
        </w:rPr>
        <w:t xml:space="preserve"> </w:t>
      </w:r>
      <w:r w:rsidR="002B235A" w:rsidRPr="002B235A">
        <w:t xml:space="preserve">Los asientos en el libro mayor (GLJE, </w:t>
      </w:r>
      <w:r w:rsidR="002B235A" w:rsidRPr="002B235A">
        <w:rPr>
          <w:i/>
          <w:iCs/>
        </w:rPr>
        <w:t xml:space="preserve">General </w:t>
      </w:r>
      <w:proofErr w:type="spellStart"/>
      <w:r w:rsidR="002B235A" w:rsidRPr="002B235A">
        <w:rPr>
          <w:i/>
          <w:iCs/>
        </w:rPr>
        <w:t>Ledger</w:t>
      </w:r>
      <w:proofErr w:type="spellEnd"/>
      <w:r w:rsidR="002B235A" w:rsidRPr="002B235A">
        <w:rPr>
          <w:i/>
          <w:iCs/>
        </w:rPr>
        <w:t xml:space="preserve"> </w:t>
      </w:r>
      <w:proofErr w:type="spellStart"/>
      <w:r w:rsidR="002B235A" w:rsidRPr="002B235A">
        <w:rPr>
          <w:i/>
          <w:iCs/>
        </w:rPr>
        <w:t>Journal</w:t>
      </w:r>
      <w:proofErr w:type="spellEnd"/>
      <w:r w:rsidR="002B235A" w:rsidRPr="002B235A">
        <w:rPr>
          <w:i/>
          <w:iCs/>
        </w:rPr>
        <w:t xml:space="preserve"> </w:t>
      </w:r>
      <w:proofErr w:type="spellStart"/>
      <w:r w:rsidR="002B235A" w:rsidRPr="002B235A">
        <w:rPr>
          <w:i/>
          <w:iCs/>
        </w:rPr>
        <w:t>Entry</w:t>
      </w:r>
      <w:proofErr w:type="spellEnd"/>
      <w:r w:rsidR="002B235A" w:rsidRPr="002B235A">
        <w:t>, por sus siglas en inglés)</w:t>
      </w:r>
      <w:r w:rsidR="002B235A">
        <w:t xml:space="preserve"> </w:t>
      </w:r>
      <w:r w:rsidR="00E83F8E">
        <w:t xml:space="preserve">pendientes </w:t>
      </w:r>
      <w:r w:rsidR="002B235A">
        <w:t>aquellos asientos</w:t>
      </w:r>
      <w:r w:rsidR="00E83F8E">
        <w:t xml:space="preserve"> que han sido creados pero que aún no se han registrado en el </w:t>
      </w:r>
      <w:r w:rsidR="002B235A">
        <w:t>libro mayor (</w:t>
      </w:r>
      <w:r w:rsidR="00E83F8E">
        <w:t>GL</w:t>
      </w:r>
      <w:r w:rsidR="002B235A">
        <w:t xml:space="preserve"> por sus siglas en inglés)</w:t>
      </w:r>
      <w:r w:rsidR="00E83F8E">
        <w:t xml:space="preserve">. Los </w:t>
      </w:r>
      <w:r w:rsidR="002B235A">
        <w:t>asientos</w:t>
      </w:r>
      <w:r w:rsidR="00E83F8E">
        <w:t xml:space="preserve"> pendientes contribuyen a las inconsistencias entre los informes de </w:t>
      </w:r>
      <w:r w:rsidR="00231ECE">
        <w:t>control presupuestario</w:t>
      </w:r>
      <w:r w:rsidR="00E83F8E">
        <w:t xml:space="preserve"> y el </w:t>
      </w:r>
      <w:r w:rsidR="002B235A">
        <w:t>libro mayor</w:t>
      </w:r>
      <w:r w:rsidR="00E83F8E">
        <w:t xml:space="preserve">. Los </w:t>
      </w:r>
      <w:r w:rsidR="002B235A">
        <w:t>asientos</w:t>
      </w:r>
      <w:r w:rsidR="00E83F8E">
        <w:t xml:space="preserve"> pendientes que han pasado la v</w:t>
      </w:r>
      <w:r w:rsidR="00231ECE">
        <w:t>alidación de fondos</w:t>
      </w:r>
      <w:r w:rsidR="00E83F8E">
        <w:t xml:space="preserve"> se incluyen en el </w:t>
      </w:r>
      <w:r w:rsidR="00231ECE">
        <w:t>control presupuestario</w:t>
      </w:r>
      <w:r w:rsidR="00E83F8E">
        <w:t xml:space="preserve">, pero no en el </w:t>
      </w:r>
      <w:r w:rsidR="002B235A">
        <w:t>libro mayor</w:t>
      </w:r>
      <w:r w:rsidR="00E83F8E">
        <w:t xml:space="preserve">. </w:t>
      </w:r>
    </w:p>
    <w:p w14:paraId="522196DB" w14:textId="77777777" w:rsidR="005A331B" w:rsidRPr="00A02E05" w:rsidRDefault="00E83F8E" w:rsidP="00E83F8E">
      <w:pPr>
        <w:spacing w:after="86" w:line="259" w:lineRule="auto"/>
        <w:ind w:right="0"/>
        <w:jc w:val="left"/>
      </w:pPr>
      <w:r>
        <w:t xml:space="preserve">   </w:t>
      </w:r>
    </w:p>
    <w:p w14:paraId="1DF12300" w14:textId="507F994C" w:rsidR="005A331B" w:rsidRPr="00A02E05" w:rsidRDefault="00231ECE" w:rsidP="00745C4C">
      <w:pPr>
        <w:numPr>
          <w:ilvl w:val="0"/>
          <w:numId w:val="26"/>
        </w:numPr>
        <w:spacing w:after="33"/>
        <w:ind w:right="0"/>
      </w:pPr>
      <w:r>
        <w:t xml:space="preserve">Los asientos en el libro mayor (GLJE, </w:t>
      </w:r>
      <w:r w:rsidRPr="1568F0CA">
        <w:rPr>
          <w:i/>
          <w:iCs/>
        </w:rPr>
        <w:t xml:space="preserve">General </w:t>
      </w:r>
      <w:proofErr w:type="spellStart"/>
      <w:r w:rsidRPr="1568F0CA">
        <w:rPr>
          <w:i/>
          <w:iCs/>
        </w:rPr>
        <w:t>Ledger</w:t>
      </w:r>
      <w:proofErr w:type="spellEnd"/>
      <w:r w:rsidRPr="1568F0CA">
        <w:rPr>
          <w:i/>
          <w:iCs/>
        </w:rPr>
        <w:t xml:space="preserve"> </w:t>
      </w:r>
      <w:proofErr w:type="spellStart"/>
      <w:r w:rsidRPr="1568F0CA">
        <w:rPr>
          <w:i/>
          <w:iCs/>
        </w:rPr>
        <w:t>Journal</w:t>
      </w:r>
      <w:proofErr w:type="spellEnd"/>
      <w:r w:rsidRPr="1568F0CA">
        <w:rPr>
          <w:i/>
          <w:iCs/>
        </w:rPr>
        <w:t xml:space="preserve"> </w:t>
      </w:r>
      <w:proofErr w:type="spellStart"/>
      <w:r w:rsidRPr="1568F0CA">
        <w:rPr>
          <w:i/>
          <w:iCs/>
        </w:rPr>
        <w:t>Entry</w:t>
      </w:r>
      <w:proofErr w:type="spellEnd"/>
      <w:r>
        <w:t xml:space="preserve">, por sus siglas en inglés).   </w:t>
      </w:r>
      <w:r w:rsidR="00E83F8E">
        <w:t xml:space="preserve"> se </w:t>
      </w:r>
      <w:r>
        <w:t>contabilizan</w:t>
      </w:r>
      <w:r w:rsidR="00E83F8E">
        <w:t xml:space="preserve"> a cabo de acuerdo con:   </w:t>
      </w:r>
    </w:p>
    <w:p w14:paraId="1B9E2B4A" w14:textId="4E37A1B7" w:rsidR="005A331B" w:rsidRPr="00A02E05" w:rsidRDefault="00000000" w:rsidP="00E83F8E">
      <w:pPr>
        <w:numPr>
          <w:ilvl w:val="1"/>
          <w:numId w:val="18"/>
        </w:numPr>
        <w:spacing w:after="102"/>
        <w:ind w:right="0" w:hanging="360"/>
      </w:pPr>
      <w:hyperlink r:id="rId13" w:history="1">
        <w:r w:rsidR="0058175F" w:rsidRPr="002B235A">
          <w:rPr>
            <w:rStyle w:val="Hyperlink"/>
            <w:b/>
            <w:bCs/>
          </w:rPr>
          <w:t>Normas y Reglamentos Financieros</w:t>
        </w:r>
      </w:hyperlink>
      <w:hyperlink r:id="rId14">
        <w:r w:rsidR="001E0405" w:rsidRPr="00100C0D">
          <w:rPr>
            <w:color w:val="auto"/>
          </w:rPr>
          <w:t>.</w:t>
        </w:r>
      </w:hyperlink>
      <w:hyperlink r:id="rId15">
        <w:r w:rsidR="001E0405">
          <w:t xml:space="preserve"> </w:t>
        </w:r>
      </w:hyperlink>
      <w:hyperlink r:id="rId16">
        <w:r w:rsidR="001E0405">
          <w:t>E</w:t>
        </w:r>
      </w:hyperlink>
      <w:r w:rsidR="001E0405">
        <w:t xml:space="preserve">l Reglamento Financiero es formulado por la Junta Ejecutiva, y las normas son establecidas por el Administrador para dar efecto al reglamento.   </w:t>
      </w:r>
    </w:p>
    <w:p w14:paraId="4F3ED890" w14:textId="77777777" w:rsidR="005A331B" w:rsidRPr="00A02E05" w:rsidRDefault="00E83F8E" w:rsidP="00E83F8E">
      <w:pPr>
        <w:numPr>
          <w:ilvl w:val="1"/>
          <w:numId w:val="18"/>
        </w:numPr>
        <w:spacing w:after="79"/>
        <w:ind w:right="0" w:hanging="360"/>
      </w:pPr>
      <w:r>
        <w:t xml:space="preserve">Las </w:t>
      </w:r>
      <w:r>
        <w:rPr>
          <w:b/>
        </w:rPr>
        <w:t xml:space="preserve">Normas Internacionales de Contabilidad del Sector Público (IPSAS, </w:t>
      </w:r>
      <w:r>
        <w:rPr>
          <w:b/>
          <w:i/>
        </w:rPr>
        <w:t xml:space="preserve">International </w:t>
      </w:r>
      <w:proofErr w:type="spellStart"/>
      <w:r>
        <w:rPr>
          <w:b/>
          <w:i/>
        </w:rPr>
        <w:t>Public</w:t>
      </w:r>
      <w:proofErr w:type="spellEnd"/>
      <w:r>
        <w:rPr>
          <w:b/>
          <w:i/>
        </w:rPr>
        <w:t xml:space="preserve"> Sector </w:t>
      </w:r>
      <w:proofErr w:type="spellStart"/>
      <w:r>
        <w:rPr>
          <w:b/>
          <w:i/>
        </w:rPr>
        <w:t>Accounting</w:t>
      </w:r>
      <w:proofErr w:type="spellEnd"/>
      <w:r>
        <w:rPr>
          <w:b/>
          <w:i/>
        </w:rPr>
        <w:t xml:space="preserve"> </w:t>
      </w:r>
      <w:proofErr w:type="spellStart"/>
      <w:r>
        <w:rPr>
          <w:b/>
          <w:i/>
        </w:rPr>
        <w:t>Standards</w:t>
      </w:r>
      <w:proofErr w:type="spellEnd"/>
      <w:r>
        <w:rPr>
          <w:b/>
        </w:rPr>
        <w:t>, por sus siglas en inglés)</w:t>
      </w:r>
      <w:r>
        <w:t xml:space="preserve"> son un conjunto de normas contables emitidas por la Junta de IPSAS para su uso por parte de entidades del sector público en todo el mundo en la preparación de estados financieros. Estas normas se basan en las Normas Internacionales de Información Financiera (NIIF) publicadas por la Junta de Normas Internacionales de Contabilidad (IASB, </w:t>
      </w:r>
      <w:r>
        <w:rPr>
          <w:i/>
        </w:rPr>
        <w:t xml:space="preserve">International </w:t>
      </w:r>
      <w:proofErr w:type="spellStart"/>
      <w:r>
        <w:rPr>
          <w:i/>
        </w:rPr>
        <w:t>Accounting</w:t>
      </w:r>
      <w:proofErr w:type="spellEnd"/>
      <w:r>
        <w:rPr>
          <w:i/>
        </w:rPr>
        <w:t xml:space="preserve"> </w:t>
      </w:r>
      <w:proofErr w:type="spellStart"/>
      <w:r>
        <w:rPr>
          <w:i/>
        </w:rPr>
        <w:t>Standards</w:t>
      </w:r>
      <w:proofErr w:type="spellEnd"/>
      <w:r>
        <w:rPr>
          <w:i/>
        </w:rPr>
        <w:t xml:space="preserve"> </w:t>
      </w:r>
      <w:proofErr w:type="spellStart"/>
      <w:r>
        <w:rPr>
          <w:i/>
        </w:rPr>
        <w:t>Board</w:t>
      </w:r>
      <w:proofErr w:type="spellEnd"/>
      <w:r>
        <w:t xml:space="preserve">, por sus siglas en inglés).   </w:t>
      </w:r>
    </w:p>
    <w:p w14:paraId="72E8FC99" w14:textId="4743CDBC" w:rsidR="00944DB2" w:rsidRDefault="00944DB2" w:rsidP="00E83F8E">
      <w:pPr>
        <w:spacing w:after="79"/>
        <w:ind w:left="1020" w:right="0" w:firstLine="0"/>
        <w:rPr>
          <w:lang w:val="es-AR"/>
        </w:rPr>
      </w:pPr>
    </w:p>
    <w:p w14:paraId="5AC35744" w14:textId="1956E671" w:rsidR="005A331B" w:rsidRPr="00A02E05" w:rsidRDefault="00E83F8E">
      <w:pPr>
        <w:pStyle w:val="Heading1"/>
        <w:ind w:left="-5"/>
      </w:pPr>
      <w:r>
        <w:t xml:space="preserve">Egresos en </w:t>
      </w:r>
      <w:r w:rsidR="00231ECE">
        <w:t xml:space="preserve"> control presupuestario</w:t>
      </w:r>
      <w:r>
        <w:t xml:space="preserve">, </w:t>
      </w:r>
      <w:r w:rsidR="002B235A">
        <w:t>libro mayor</w:t>
      </w:r>
      <w:r>
        <w:t>, y proyectos</w:t>
      </w:r>
      <w:r>
        <w:rPr>
          <w:b w:val="0"/>
        </w:rPr>
        <w:t xml:space="preserve"> </w:t>
      </w:r>
      <w:r>
        <w:t xml:space="preserve">  </w:t>
      </w:r>
    </w:p>
    <w:p w14:paraId="0907F71B" w14:textId="77777777" w:rsidR="005A331B" w:rsidRPr="00A02E05" w:rsidRDefault="00E83F8E">
      <w:pPr>
        <w:spacing w:after="91" w:line="259" w:lineRule="auto"/>
        <w:ind w:left="26" w:right="0" w:firstLine="0"/>
        <w:jc w:val="left"/>
      </w:pPr>
      <w:r>
        <w:t xml:space="preserve">    </w:t>
      </w:r>
    </w:p>
    <w:p w14:paraId="667B1FA2" w14:textId="6C45DCA1" w:rsidR="005A331B" w:rsidRPr="00A02E05" w:rsidRDefault="00E83F8E" w:rsidP="00745C4C">
      <w:pPr>
        <w:numPr>
          <w:ilvl w:val="0"/>
          <w:numId w:val="26"/>
        </w:numPr>
        <w:spacing w:after="88"/>
        <w:ind w:right="0"/>
      </w:pPr>
      <w:r>
        <w:t xml:space="preserve">El </w:t>
      </w:r>
      <w:r w:rsidR="00231ECE">
        <w:rPr>
          <w:b/>
          <w:bCs/>
        </w:rPr>
        <w:t>control presupuestario</w:t>
      </w:r>
      <w:r>
        <w:t xml:space="preserve"> utiliza los términos «</w:t>
      </w:r>
      <w:r w:rsidR="00231ECE" w:rsidRPr="1568F0CA">
        <w:rPr>
          <w:b/>
          <w:bCs/>
        </w:rPr>
        <w:t xml:space="preserve"> </w:t>
      </w:r>
      <w:r w:rsidR="01EE7D2E" w:rsidRPr="1568F0CA">
        <w:rPr>
          <w:b/>
          <w:bCs/>
        </w:rPr>
        <w:t>compromiso</w:t>
      </w:r>
      <w:r>
        <w:t>» y «</w:t>
      </w:r>
      <w:r w:rsidRPr="1568F0CA">
        <w:rPr>
          <w:b/>
          <w:bCs/>
        </w:rPr>
        <w:t>gastos</w:t>
      </w:r>
      <w:r>
        <w:t xml:space="preserve">».    </w:t>
      </w:r>
    </w:p>
    <w:p w14:paraId="645B1E9C" w14:textId="49734ECA" w:rsidR="005A331B" w:rsidRPr="00A02E05" w:rsidRDefault="00E83F8E" w:rsidP="00E83F8E">
      <w:pPr>
        <w:numPr>
          <w:ilvl w:val="1"/>
          <w:numId w:val="19"/>
        </w:numPr>
        <w:spacing w:after="94"/>
        <w:ind w:right="0" w:hanging="360"/>
      </w:pPr>
      <w:r>
        <w:t xml:space="preserve">Los </w:t>
      </w:r>
      <w:r w:rsidR="1F6A2108">
        <w:t>compromisos</w:t>
      </w:r>
      <w:r>
        <w:t xml:space="preserve"> del cierre de ejercicio incluyen el saldo por liquidar de todas las órdenes de compra con una fecha de presupuesto de cierre de ejercicio que han sido aprobadas y v</w:t>
      </w:r>
      <w:r w:rsidR="00231ECE">
        <w:t>alidadas</w:t>
      </w:r>
      <w:r>
        <w:t xml:space="preserve">.   </w:t>
      </w:r>
    </w:p>
    <w:p w14:paraId="5B378FA6" w14:textId="6AB669AA" w:rsidR="005A331B" w:rsidRPr="00A02E05" w:rsidRDefault="00E83F8E" w:rsidP="00E83F8E">
      <w:pPr>
        <w:numPr>
          <w:ilvl w:val="1"/>
          <w:numId w:val="19"/>
        </w:numPr>
        <w:ind w:right="0" w:hanging="360"/>
      </w:pPr>
      <w:r>
        <w:t>Los gastos del cierre de ejercicio incluyen tod</w:t>
      </w:r>
      <w:r w:rsidR="00745C4C">
        <w:t>as las facturas</w:t>
      </w:r>
      <w:r>
        <w:t xml:space="preserve"> (con </w:t>
      </w:r>
      <w:r w:rsidR="002B235A">
        <w:t>orden de compra (</w:t>
      </w:r>
      <w:r>
        <w:t>PO</w:t>
      </w:r>
      <w:r w:rsidR="002B235A">
        <w:t>)</w:t>
      </w:r>
      <w:r>
        <w:t xml:space="preserve"> y sin</w:t>
      </w:r>
      <w:r w:rsidR="002B235A">
        <w:t xml:space="preserve"> orden de compra</w:t>
      </w:r>
      <w:r>
        <w:t xml:space="preserve"> </w:t>
      </w:r>
      <w:r w:rsidR="002B235A">
        <w:t>(</w:t>
      </w:r>
      <w:r>
        <w:t xml:space="preserve">PO) con una fecha de presupuesto de cierre de ejercicio que han sido aprobados y </w:t>
      </w:r>
      <w:r w:rsidR="00745C4C">
        <w:t>validad</w:t>
      </w:r>
      <w:r w:rsidR="00593C95">
        <w:t>o</w:t>
      </w:r>
      <w:r w:rsidR="00745C4C">
        <w:t>s</w:t>
      </w:r>
      <w:r>
        <w:t xml:space="preserve">.    </w:t>
      </w:r>
    </w:p>
    <w:p w14:paraId="0C5D945D" w14:textId="77777777" w:rsidR="005A331B" w:rsidRPr="00A02E05" w:rsidRDefault="00E83F8E">
      <w:pPr>
        <w:spacing w:after="67" w:line="259" w:lineRule="auto"/>
        <w:ind w:left="746" w:right="0" w:firstLine="0"/>
        <w:jc w:val="left"/>
      </w:pPr>
      <w:r>
        <w:rPr>
          <w:color w:val="333333"/>
        </w:rPr>
        <w:t xml:space="preserve"> </w:t>
      </w:r>
      <w:r>
        <w:t xml:space="preserve">  </w:t>
      </w:r>
    </w:p>
    <w:p w14:paraId="019B3C4C" w14:textId="62886C09" w:rsidR="005A331B" w:rsidRPr="00A02E05" w:rsidRDefault="00E83F8E" w:rsidP="00745C4C">
      <w:pPr>
        <w:numPr>
          <w:ilvl w:val="0"/>
          <w:numId w:val="26"/>
        </w:numPr>
        <w:spacing w:after="94"/>
        <w:ind w:right="0"/>
      </w:pPr>
      <w:r>
        <w:t xml:space="preserve">El </w:t>
      </w:r>
      <w:r>
        <w:rPr>
          <w:b/>
        </w:rPr>
        <w:t>L</w:t>
      </w:r>
      <w:r w:rsidR="00593C95">
        <w:rPr>
          <w:b/>
        </w:rPr>
        <w:t>ibro Mayor</w:t>
      </w:r>
      <w:r>
        <w:t xml:space="preserve"> utiliza únicamente el término «</w:t>
      </w:r>
      <w:r>
        <w:rPr>
          <w:b/>
        </w:rPr>
        <w:t>egreso</w:t>
      </w:r>
      <w:r>
        <w:t xml:space="preserve">». Los egresos en el </w:t>
      </w:r>
      <w:r w:rsidR="00593C95">
        <w:t>libro mayor</w:t>
      </w:r>
      <w:r>
        <w:t xml:space="preserve">, para el período del 1 de enero </w:t>
      </w:r>
      <w:r w:rsidR="00F30931">
        <w:tab/>
      </w:r>
      <w:r>
        <w:t xml:space="preserve">al 31 de diciembre, generalmente incluyen lo siguiente:   </w:t>
      </w:r>
    </w:p>
    <w:p w14:paraId="39499559" w14:textId="7B7A74F4" w:rsidR="00745C4C" w:rsidRDefault="00745C4C" w:rsidP="00745C4C">
      <w:pPr>
        <w:numPr>
          <w:ilvl w:val="1"/>
          <w:numId w:val="20"/>
        </w:numPr>
        <w:spacing w:after="89"/>
        <w:ind w:right="0"/>
      </w:pPr>
      <w:r>
        <w:t>a.</w:t>
      </w:r>
      <w:r>
        <w:tab/>
        <w:t xml:space="preserve">Todas las facturas </w:t>
      </w:r>
      <w:r w:rsidR="00593C95">
        <w:t>sin orden de compra (</w:t>
      </w:r>
      <w:r>
        <w:t xml:space="preserve"> </w:t>
      </w:r>
      <w:r w:rsidR="00593C95">
        <w:t xml:space="preserve">non- </w:t>
      </w:r>
      <w:r>
        <w:t>PO</w:t>
      </w:r>
      <w:r w:rsidR="00593C95">
        <w:t xml:space="preserve"> </w:t>
      </w:r>
      <w:proofErr w:type="spellStart"/>
      <w:r w:rsidR="00593C95">
        <w:t>infoices</w:t>
      </w:r>
      <w:proofErr w:type="spellEnd"/>
      <w:r w:rsidR="00593C95">
        <w:t xml:space="preserve"> )</w:t>
      </w:r>
      <w:r>
        <w:t xml:space="preserve"> con fecha contable comprendida entre el 1 de enero y el 31 de diciembre que hayan sido aprobadas y validadas, contabilizadas (mediante contabilización de facturas) y generadas en el libro mayor.</w:t>
      </w:r>
    </w:p>
    <w:p w14:paraId="2FF5C103" w14:textId="7E5F054F" w:rsidR="005A331B" w:rsidRPr="00A02E05" w:rsidRDefault="00745C4C" w:rsidP="00745C4C">
      <w:pPr>
        <w:numPr>
          <w:ilvl w:val="1"/>
          <w:numId w:val="20"/>
        </w:numPr>
        <w:spacing w:after="89"/>
        <w:ind w:right="0" w:hanging="360"/>
      </w:pPr>
      <w:r>
        <w:t xml:space="preserve">Todas las facturas de </w:t>
      </w:r>
      <w:r w:rsidR="00593C95">
        <w:t>órdenes de compra</w:t>
      </w:r>
      <w:r>
        <w:t xml:space="preserve"> con una fecha de contabilización comprendida entre el 1 de enero y el 31 de diciembre que hayan sido validadas, contabilizadas (mediante contabilización de facturas) y registradas en el libro mayo</w:t>
      </w:r>
      <w:r w:rsidR="00593C95">
        <w:t>r.</w:t>
      </w:r>
    </w:p>
    <w:p w14:paraId="123D21C4" w14:textId="6B8F3CE9" w:rsidR="005A331B" w:rsidRDefault="0086148E" w:rsidP="00944DB2">
      <w:pPr>
        <w:numPr>
          <w:ilvl w:val="1"/>
          <w:numId w:val="20"/>
        </w:numPr>
        <w:spacing w:after="89" w:line="254" w:lineRule="auto"/>
        <w:ind w:left="1088" w:right="0" w:hanging="357"/>
      </w:pPr>
      <w:r>
        <w:lastRenderedPageBreak/>
        <w:t xml:space="preserve">Devengo de bienes y servicios recibidos (devengos de recibos) </w:t>
      </w:r>
      <w:r w:rsidR="58FA094E">
        <w:t>- (</w:t>
      </w:r>
      <w:proofErr w:type="spellStart"/>
      <w:r w:rsidR="58FA094E">
        <w:t>receipt</w:t>
      </w:r>
      <w:proofErr w:type="spellEnd"/>
      <w:r w:rsidR="58FA094E">
        <w:t xml:space="preserve"> </w:t>
      </w:r>
      <w:proofErr w:type="spellStart"/>
      <w:r w:rsidR="58FA094E">
        <w:t>accrual</w:t>
      </w:r>
      <w:proofErr w:type="spellEnd"/>
      <w:r w:rsidR="58FA094E">
        <w:t xml:space="preserve">, por sus siglas en inglés) </w:t>
      </w:r>
      <w:r>
        <w:t>con una fecha contable entre el 1 de enero y el 31 de diciembre</w:t>
      </w:r>
      <w:r w:rsidRPr="1568F0CA">
        <w:rPr>
          <w:u w:val="single"/>
        </w:rPr>
        <w:t>.</w:t>
      </w:r>
      <w:r>
        <w:t xml:space="preserve">   </w:t>
      </w:r>
    </w:p>
    <w:p w14:paraId="064E4BD3" w14:textId="19809B08" w:rsidR="000738F1" w:rsidRPr="00A02E05" w:rsidRDefault="000738F1" w:rsidP="00E83F8E">
      <w:pPr>
        <w:numPr>
          <w:ilvl w:val="1"/>
          <w:numId w:val="20"/>
        </w:numPr>
        <w:ind w:right="0" w:hanging="360"/>
      </w:pPr>
      <w:r>
        <w:t xml:space="preserve">Depreciación y egresos de amortización de activos tangibles e intangibles capitalizados. </w:t>
      </w:r>
    </w:p>
    <w:p w14:paraId="50D26456" w14:textId="77777777" w:rsidR="005A331B" w:rsidRPr="00A02E05" w:rsidRDefault="00E83F8E">
      <w:pPr>
        <w:spacing w:after="86" w:line="259" w:lineRule="auto"/>
        <w:ind w:left="26" w:right="0" w:firstLine="0"/>
        <w:jc w:val="left"/>
      </w:pPr>
      <w:r>
        <w:rPr>
          <w:color w:val="333333"/>
        </w:rPr>
        <w:t xml:space="preserve">  </w:t>
      </w:r>
      <w:r>
        <w:t xml:space="preserve">  </w:t>
      </w:r>
    </w:p>
    <w:p w14:paraId="09722DFA" w14:textId="3D902C27" w:rsidR="005A331B" w:rsidRPr="00A02E05" w:rsidRDefault="000738F1" w:rsidP="00745C4C">
      <w:pPr>
        <w:numPr>
          <w:ilvl w:val="0"/>
          <w:numId w:val="26"/>
        </w:numPr>
        <w:ind w:right="0"/>
      </w:pPr>
      <w:r>
        <w:t>El proceso de devengos de recibos</w:t>
      </w:r>
      <w:r w:rsidR="6C527BD1">
        <w:t xml:space="preserve"> (</w:t>
      </w:r>
      <w:proofErr w:type="spellStart"/>
      <w:r w:rsidR="6C527BD1">
        <w:t>receipt</w:t>
      </w:r>
      <w:proofErr w:type="spellEnd"/>
      <w:r w:rsidR="6C527BD1">
        <w:t xml:space="preserve"> </w:t>
      </w:r>
      <w:proofErr w:type="spellStart"/>
      <w:r w:rsidR="6C527BD1">
        <w:t>accrual</w:t>
      </w:r>
      <w:proofErr w:type="spellEnd"/>
      <w:r w:rsidR="00593C95">
        <w:t xml:space="preserve"> </w:t>
      </w:r>
      <w:r w:rsidR="6C527BD1">
        <w:t>en inglés)</w:t>
      </w:r>
      <w:r>
        <w:t xml:space="preserve"> se gestiona de forma corporativa en la sede y reúne los recibos de las </w:t>
      </w:r>
      <w:r w:rsidR="00745C4C">
        <w:t>órdenes de copra</w:t>
      </w:r>
      <w:r>
        <w:t xml:space="preserve"> que aún no se han acreditado en un plazo determinado ni han sido </w:t>
      </w:r>
      <w:r w:rsidR="00745C4C">
        <w:t>facturadas</w:t>
      </w:r>
      <w:r>
        <w:t xml:space="preserve"> como egresos en el </w:t>
      </w:r>
      <w:r w:rsidR="00593C95">
        <w:t>libro mayor</w:t>
      </w:r>
      <w:r>
        <w:t xml:space="preserve">.    </w:t>
      </w:r>
    </w:p>
    <w:p w14:paraId="71AE09B8" w14:textId="7940F16D" w:rsidR="005A331B" w:rsidRPr="00A02E05" w:rsidRDefault="00E83F8E">
      <w:pPr>
        <w:spacing w:after="88" w:line="259" w:lineRule="auto"/>
        <w:ind w:left="26" w:right="0" w:firstLine="0"/>
        <w:jc w:val="left"/>
      </w:pPr>
      <w:r>
        <w:t xml:space="preserve">    </w:t>
      </w:r>
    </w:p>
    <w:p w14:paraId="3AC3183A" w14:textId="454F4E6F" w:rsidR="005A331B" w:rsidRPr="00A02E05" w:rsidRDefault="00E83F8E" w:rsidP="00745C4C">
      <w:pPr>
        <w:numPr>
          <w:ilvl w:val="0"/>
          <w:numId w:val="26"/>
        </w:numPr>
        <w:spacing w:after="99"/>
        <w:ind w:right="0"/>
      </w:pPr>
      <w:r>
        <w:t>Los</w:t>
      </w:r>
      <w:r w:rsidR="00745C4C" w:rsidRPr="00745C4C">
        <w:t xml:space="preserve"> proyectos utilizan los términos "</w:t>
      </w:r>
      <w:r w:rsidR="00745C4C" w:rsidRPr="00593C95">
        <w:rPr>
          <w:b/>
          <w:bCs/>
        </w:rPr>
        <w:t>obligación</w:t>
      </w:r>
      <w:r w:rsidR="00745C4C" w:rsidRPr="00745C4C">
        <w:t>", "</w:t>
      </w:r>
      <w:r w:rsidR="00745C4C" w:rsidRPr="00593C95">
        <w:rPr>
          <w:b/>
          <w:bCs/>
        </w:rPr>
        <w:t>pago anticipado</w:t>
      </w:r>
      <w:r w:rsidR="00745C4C" w:rsidRPr="00745C4C">
        <w:t>" y "</w:t>
      </w:r>
      <w:r w:rsidR="00745C4C" w:rsidRPr="00593C95">
        <w:rPr>
          <w:b/>
          <w:bCs/>
        </w:rPr>
        <w:t>gasto</w:t>
      </w:r>
      <w:r w:rsidR="00745C4C" w:rsidRPr="00745C4C">
        <w:t>s". En el informe de saldo presupuestario del proyecto, la obligación más el pago anticipado más los gastos equivalen al consumo total.</w:t>
      </w:r>
      <w:r w:rsidRPr="00745C4C">
        <w:t>.</w:t>
      </w:r>
      <w:r>
        <w:t xml:space="preserve">   </w:t>
      </w:r>
    </w:p>
    <w:p w14:paraId="763F33F7" w14:textId="32F14B7B" w:rsidR="005A331B" w:rsidRPr="00A02E05" w:rsidRDefault="001C5D17" w:rsidP="00E83F8E">
      <w:pPr>
        <w:numPr>
          <w:ilvl w:val="1"/>
          <w:numId w:val="21"/>
        </w:numPr>
        <w:spacing w:after="89"/>
        <w:ind w:right="0" w:hanging="360"/>
      </w:pPr>
      <w:r w:rsidRPr="001C5D17">
        <w:t>Las obligaciones del año de cierre incluyen el saldo no liquidado de todas las órdenes de compra con fecha de presupuesto del año de cierre</w:t>
      </w:r>
      <w:r w:rsidR="00E83F8E">
        <w:t xml:space="preserve">.   </w:t>
      </w:r>
    </w:p>
    <w:p w14:paraId="6948879A" w14:textId="77777777" w:rsidR="001C5D17" w:rsidRDefault="001C5D17" w:rsidP="00E83F8E">
      <w:pPr>
        <w:numPr>
          <w:ilvl w:val="1"/>
          <w:numId w:val="21"/>
        </w:numPr>
        <w:ind w:right="0" w:hanging="360"/>
      </w:pPr>
      <w:r w:rsidRPr="001C5D17">
        <w:t>Los pagos anticipados del ejercicio de cierre incluyen todos los anticipos con fecha contable que han sido aprobados y validados.</w:t>
      </w:r>
    </w:p>
    <w:p w14:paraId="109FC43B" w14:textId="39D3FE16" w:rsidR="005A331B" w:rsidRPr="00A02E05" w:rsidRDefault="001C5D17" w:rsidP="00E83F8E">
      <w:pPr>
        <w:numPr>
          <w:ilvl w:val="1"/>
          <w:numId w:val="21"/>
        </w:numPr>
        <w:ind w:right="0" w:hanging="360"/>
      </w:pPr>
      <w:r w:rsidRPr="001C5D17">
        <w:t xml:space="preserve">Los gastos del ejercicio de cierre incluyen todas las facturas de proveedores (con o sin </w:t>
      </w:r>
      <w:r w:rsidR="00593C95">
        <w:t>orden de compra</w:t>
      </w:r>
      <w:r w:rsidRPr="001C5D17">
        <w:t>) con fecha contable que hayan sido aprobadas y validadas.</w:t>
      </w:r>
    </w:p>
    <w:p w14:paraId="2DB7B60E" w14:textId="6AE07730" w:rsidR="00944DB2" w:rsidRDefault="00944DB2">
      <w:pPr>
        <w:spacing w:after="2" w:line="259" w:lineRule="auto"/>
        <w:ind w:left="26" w:right="0" w:firstLine="0"/>
        <w:jc w:val="left"/>
      </w:pPr>
    </w:p>
    <w:p w14:paraId="503EEF71" w14:textId="77777777" w:rsidR="005A331B" w:rsidRPr="00A02E05" w:rsidRDefault="00E83F8E">
      <w:pPr>
        <w:pStyle w:val="Heading1"/>
        <w:ind w:left="-5"/>
      </w:pPr>
      <w:r>
        <w:t>Fecha contable de la orden de compra</w:t>
      </w:r>
      <w:r>
        <w:rPr>
          <w:b w:val="0"/>
        </w:rPr>
        <w:t xml:space="preserve"> </w:t>
      </w:r>
      <w:r>
        <w:t xml:space="preserve">  </w:t>
      </w:r>
    </w:p>
    <w:p w14:paraId="48249360" w14:textId="77777777" w:rsidR="005A331B" w:rsidRPr="00A02E05" w:rsidRDefault="00E83F8E">
      <w:pPr>
        <w:spacing w:after="91" w:line="259" w:lineRule="auto"/>
        <w:ind w:left="26" w:right="0" w:firstLine="0"/>
        <w:jc w:val="left"/>
      </w:pPr>
      <w:r>
        <w:t xml:space="preserve">    </w:t>
      </w:r>
    </w:p>
    <w:p w14:paraId="73C66060" w14:textId="1682D8DB" w:rsidR="005A331B" w:rsidRPr="00A02E05" w:rsidRDefault="001C5D17" w:rsidP="00745C4C">
      <w:pPr>
        <w:numPr>
          <w:ilvl w:val="0"/>
          <w:numId w:val="26"/>
        </w:numPr>
        <w:ind w:right="0"/>
      </w:pPr>
      <w:r w:rsidRPr="001C5D17">
        <w:t>Una orden de compra es una obligación jurídicamente vinculante entre el PNUD y un proveedor para la compra de bienes o servicios. La fecha de la obligación legal es la fecha de entrega de la orden de compra al proveedor. En Quantum, la fecha de envío de la orden de compra representa la fecha en que la orden de compra fue entregada al proveedor.</w:t>
      </w:r>
      <w:r w:rsidR="00E83F8E">
        <w:t xml:space="preserve">.   </w:t>
      </w:r>
    </w:p>
    <w:p w14:paraId="0D193F0C" w14:textId="6CAABF91" w:rsidR="005A331B" w:rsidRPr="00A02E05" w:rsidRDefault="00E83F8E">
      <w:pPr>
        <w:spacing w:after="86" w:line="259" w:lineRule="auto"/>
        <w:ind w:left="26" w:right="0" w:firstLine="0"/>
        <w:jc w:val="left"/>
      </w:pPr>
      <w:r>
        <w:t xml:space="preserve">       </w:t>
      </w:r>
    </w:p>
    <w:p w14:paraId="644B58DF" w14:textId="3F76F80A" w:rsidR="005A331B" w:rsidRPr="00A02E05" w:rsidRDefault="001C5D17" w:rsidP="00745C4C">
      <w:pPr>
        <w:numPr>
          <w:ilvl w:val="0"/>
          <w:numId w:val="26"/>
        </w:numPr>
        <w:ind w:right="0"/>
      </w:pPr>
      <w:r w:rsidRPr="001C5D17">
        <w:t>Tenga en cuenta que los auditores internos y externos solicitan habitualmente a las oficinas que aporten pruebas de que la fecha de presupuesto del pedido coincide con la fecha real en que el pedido se entregó al proveedor. Los auditores también revisan la fecha de entrega de la mercancía para asegurarse de que el tiempo transcurrido entre la realización del pedido y la recepción de la mercancía es razonable</w:t>
      </w:r>
      <w:r w:rsidR="00E83F8E">
        <w:t xml:space="preserve">.    </w:t>
      </w:r>
    </w:p>
    <w:p w14:paraId="2CCB3E68" w14:textId="77777777" w:rsidR="005A331B" w:rsidRPr="00A02E05" w:rsidRDefault="00E83F8E">
      <w:pPr>
        <w:spacing w:after="2" w:line="259" w:lineRule="auto"/>
        <w:ind w:left="26" w:right="0" w:firstLine="0"/>
        <w:jc w:val="left"/>
      </w:pPr>
      <w:r>
        <w:t xml:space="preserve">    </w:t>
      </w:r>
    </w:p>
    <w:p w14:paraId="49B87544" w14:textId="23A8A396" w:rsidR="005A331B" w:rsidRDefault="005A331B" w:rsidP="002D4678">
      <w:pPr>
        <w:keepNext/>
        <w:keepLines/>
        <w:spacing w:after="0" w:line="259" w:lineRule="auto"/>
        <w:ind w:left="-5" w:right="0" w:hanging="10"/>
        <w:jc w:val="left"/>
        <w:outlineLvl w:val="0"/>
        <w:rPr>
          <w:lang w:val="es-AR"/>
        </w:rPr>
      </w:pPr>
    </w:p>
    <w:p w14:paraId="15D68F9D" w14:textId="77777777" w:rsidR="00E543D6" w:rsidRPr="00E543D6" w:rsidRDefault="00E543D6" w:rsidP="00E543D6">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00C90D57" w14:textId="77777777" w:rsidR="00E543D6" w:rsidRPr="00E543D6" w:rsidRDefault="00E543D6" w:rsidP="002D4678">
      <w:pPr>
        <w:keepNext/>
        <w:keepLines/>
        <w:spacing w:after="0" w:line="259" w:lineRule="auto"/>
        <w:ind w:left="-5" w:right="0" w:hanging="10"/>
        <w:jc w:val="left"/>
        <w:outlineLvl w:val="0"/>
        <w:rPr>
          <w:lang w:val="es-ES_tradnl"/>
        </w:rPr>
      </w:pPr>
    </w:p>
    <w:sectPr w:rsidR="00E543D6" w:rsidRPr="00E543D6">
      <w:headerReference w:type="default" r:id="rId17"/>
      <w:footerReference w:type="even" r:id="rId18"/>
      <w:footerReference w:type="default" r:id="rId19"/>
      <w:footerReference w:type="first" r:id="rId20"/>
      <w:pgSz w:w="11906" w:h="16838"/>
      <w:pgMar w:top="1260" w:right="838" w:bottom="1496" w:left="1676" w:header="72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1F22" w14:textId="77777777" w:rsidR="00736DBE" w:rsidRDefault="00736DBE">
      <w:pPr>
        <w:spacing w:after="0" w:line="240" w:lineRule="auto"/>
      </w:pPr>
      <w:r>
        <w:separator/>
      </w:r>
    </w:p>
  </w:endnote>
  <w:endnote w:type="continuationSeparator" w:id="0">
    <w:p w14:paraId="0A5C3BEF" w14:textId="77777777" w:rsidR="00736DBE" w:rsidRDefault="0073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3D8" w14:textId="77777777" w:rsidR="005A331B" w:rsidRDefault="00E83F8E">
    <w:pPr>
      <w:spacing w:after="0" w:line="259" w:lineRule="auto"/>
      <w:ind w:left="18" w:right="0" w:firstLine="0"/>
      <w:jc w:val="center"/>
    </w:pPr>
    <w:r>
      <w:fldChar w:fldCharType="begin"/>
    </w:r>
    <w:r>
      <w:instrText xml:space="preserve"> PAGE   \* MERGEFORMAT </w:instrText>
    </w:r>
    <w:r>
      <w:fldChar w:fldCharType="separate"/>
    </w:r>
    <w:r>
      <w:rPr>
        <w:noProof/>
      </w:rPr>
      <w:t>1</w:t>
    </w:r>
    <w:r>
      <w:fldChar w:fldCharType="end"/>
    </w:r>
    <w:r>
      <w:t xml:space="preserve">   </w:t>
    </w:r>
  </w:p>
  <w:p w14:paraId="1D270314" w14:textId="77777777" w:rsidR="005A331B" w:rsidRDefault="00E83F8E">
    <w:pPr>
      <w:spacing w:after="0" w:line="259" w:lineRule="auto"/>
      <w:ind w:left="2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4FE7" w14:textId="3F530670" w:rsidR="005A331B" w:rsidRDefault="00A02E05">
    <w:pPr>
      <w:spacing w:after="0" w:line="259" w:lineRule="auto"/>
      <w:ind w:left="26" w:right="0" w:firstLine="0"/>
      <w:jc w:val="left"/>
    </w:pPr>
    <w:r>
      <w:t xml:space="preserve">Página </w:t>
    </w:r>
    <w:r>
      <w:rPr>
        <w:b/>
      </w:rPr>
      <w:fldChar w:fldCharType="begin"/>
    </w:r>
    <w:r>
      <w:rPr>
        <w:b/>
      </w:rPr>
      <w:instrText xml:space="preserve"> PAGE  \* Arabic  \* MERGEFORMAT </w:instrText>
    </w:r>
    <w:r>
      <w:rPr>
        <w:b/>
      </w:rPr>
      <w:fldChar w:fldCharType="separate"/>
    </w:r>
    <w:r w:rsidR="000308FA">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0308FA">
      <w:rPr>
        <w:b/>
        <w:noProof/>
      </w:rPr>
      <w:t>7</w:t>
    </w:r>
    <w:r>
      <w:rPr>
        <w:b/>
      </w:rPr>
      <w:fldChar w:fldCharType="end"/>
    </w:r>
    <w:r>
      <w:ptab w:relativeTo="margin" w:alignment="center" w:leader="none"/>
    </w:r>
    <w:r>
      <w:t xml:space="preserve">Fecha de entrada en vigor: </w:t>
    </w:r>
    <w:r w:rsidR="00810F77" w:rsidRPr="00810F77">
      <w:t>29/11/2016</w:t>
    </w:r>
    <w:r w:rsidR="00810F77" w:rsidRPr="00810F77">
      <w:t xml:space="preserve"> </w:t>
    </w:r>
    <w:r>
      <w:ptab w:relativeTo="margin" w:alignment="right" w:leader="none"/>
    </w:r>
    <w:r>
      <w:t xml:space="preserve">Versión #: </w:t>
    </w:r>
    <w:sdt>
      <w:sdtPr>
        <w:alias w:val="POPPRefItemVersion"/>
        <w:tag w:val="UNDP_POPP_REFITEM_VERSION"/>
        <w:id w:val="-1592234960"/>
        <w:placeholder>
          <w:docPart w:val="BB2823C7F53249868E9B5F959058192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14289C8-28D4-489B-B47E-C5AF16C5B27A}"/>
        <w:text/>
      </w:sdtPr>
      <w:sdtContent>
        <w:r w:rsidR="008819DE">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7188" w14:textId="77777777" w:rsidR="005A331B" w:rsidRDefault="00E83F8E">
    <w:pPr>
      <w:spacing w:after="0" w:line="259" w:lineRule="auto"/>
      <w:ind w:left="18" w:right="0" w:firstLine="0"/>
      <w:jc w:val="center"/>
    </w:pPr>
    <w:r>
      <w:fldChar w:fldCharType="begin"/>
    </w:r>
    <w:r>
      <w:instrText xml:space="preserve"> PAGE   \* MERGEFORMAT </w:instrText>
    </w:r>
    <w:r>
      <w:fldChar w:fldCharType="separate"/>
    </w:r>
    <w:r>
      <w:rPr>
        <w:noProof/>
      </w:rPr>
      <w:t>1</w:t>
    </w:r>
    <w:r>
      <w:fldChar w:fldCharType="end"/>
    </w:r>
    <w:r>
      <w:t xml:space="preserve">   </w:t>
    </w:r>
  </w:p>
  <w:p w14:paraId="5DCA3475" w14:textId="77777777" w:rsidR="005A331B" w:rsidRDefault="00E83F8E">
    <w:pPr>
      <w:spacing w:after="0" w:line="259" w:lineRule="auto"/>
      <w:ind w:left="2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C967" w14:textId="77777777" w:rsidR="00736DBE" w:rsidRDefault="00736DBE">
      <w:pPr>
        <w:spacing w:after="0" w:line="240" w:lineRule="auto"/>
      </w:pPr>
      <w:r>
        <w:separator/>
      </w:r>
    </w:p>
  </w:footnote>
  <w:footnote w:type="continuationSeparator" w:id="0">
    <w:p w14:paraId="3F60DB06" w14:textId="77777777" w:rsidR="00736DBE" w:rsidRDefault="00736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5C2D" w14:textId="67A67ADE" w:rsidR="00E83F8E" w:rsidRDefault="007F69ED" w:rsidP="00E83F8E">
    <w:pPr>
      <w:pStyle w:val="Header"/>
      <w:jc w:val="right"/>
    </w:pPr>
    <w:r>
      <w:rPr>
        <w:noProof/>
      </w:rPr>
      <w:drawing>
        <wp:inline distT="0" distB="0" distL="0" distR="0" wp14:anchorId="67B7F4CE" wp14:editId="17376778">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189"/>
    <w:multiLevelType w:val="hybridMultilevel"/>
    <w:tmpl w:val="9CEC8BCA"/>
    <w:lvl w:ilvl="0" w:tplc="48BE1868">
      <w:start w:val="1"/>
      <w:numFmt w:val="decimal"/>
      <w:lvlText w:val="%1)"/>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2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4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7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A0EC7"/>
    <w:multiLevelType w:val="hybridMultilevel"/>
    <w:tmpl w:val="52342FC4"/>
    <w:lvl w:ilvl="0" w:tplc="EB70B340">
      <w:start w:val="16"/>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2CD32">
      <w:start w:val="1"/>
      <w:numFmt w:val="lowerLetter"/>
      <w:lvlText w:val="%2)"/>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322CF4">
      <w:start w:val="1"/>
      <w:numFmt w:val="lowerRoman"/>
      <w:lvlText w:val="%3"/>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DC9C5A">
      <w:start w:val="1"/>
      <w:numFmt w:val="decimal"/>
      <w:lvlText w:val="%4"/>
      <w:lvlJc w:val="left"/>
      <w:pPr>
        <w:ind w:left="2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C85C2">
      <w:start w:val="1"/>
      <w:numFmt w:val="lowerLetter"/>
      <w:lvlText w:val="%5"/>
      <w:lvlJc w:val="left"/>
      <w:pPr>
        <w:ind w:left="3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45B96">
      <w:start w:val="1"/>
      <w:numFmt w:val="lowerRoman"/>
      <w:lvlText w:val="%6"/>
      <w:lvlJc w:val="left"/>
      <w:pPr>
        <w:ind w:left="4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A65FC">
      <w:start w:val="1"/>
      <w:numFmt w:val="decimal"/>
      <w:lvlText w:val="%7"/>
      <w:lvlJc w:val="left"/>
      <w:pPr>
        <w:ind w:left="49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B85A18">
      <w:start w:val="1"/>
      <w:numFmt w:val="lowerLetter"/>
      <w:lvlText w:val="%8"/>
      <w:lvlJc w:val="left"/>
      <w:pPr>
        <w:ind w:left="5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8D756">
      <w:start w:val="1"/>
      <w:numFmt w:val="lowerRoman"/>
      <w:lvlText w:val="%9"/>
      <w:lvlJc w:val="left"/>
      <w:pPr>
        <w:ind w:left="6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B02DB5"/>
    <w:multiLevelType w:val="hybridMultilevel"/>
    <w:tmpl w:val="6C268A08"/>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55D4257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C63F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2BCF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0C1A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895E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BC3C1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C922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4E7E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903F4D"/>
    <w:multiLevelType w:val="hybridMultilevel"/>
    <w:tmpl w:val="50C29C98"/>
    <w:lvl w:ilvl="0" w:tplc="299A5CDA">
      <w:start w:val="3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20"/>
      </w:pPr>
      <w:rPr>
        <w:b w:val="0"/>
        <w:i w:val="0"/>
        <w:strike w:val="0"/>
        <w:dstrike w:val="0"/>
        <w:color w:val="000000"/>
        <w:sz w:val="22"/>
        <w:szCs w:val="22"/>
        <w:u w:val="none" w:color="000000"/>
        <w:bdr w:val="none" w:sz="0" w:space="0" w:color="auto"/>
        <w:shd w:val="clear" w:color="auto" w:fill="auto"/>
        <w:vertAlign w:val="baseline"/>
      </w:rPr>
    </w:lvl>
    <w:lvl w:ilvl="2" w:tplc="7E504618">
      <w:start w:val="1"/>
      <w:numFmt w:val="lowerRoman"/>
      <w:lvlText w:val="%3"/>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408564">
      <w:start w:val="1"/>
      <w:numFmt w:val="decimal"/>
      <w:lvlText w:val="%4"/>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60ED0">
      <w:start w:val="1"/>
      <w:numFmt w:val="lowerLetter"/>
      <w:lvlText w:val="%5"/>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704D1E">
      <w:start w:val="1"/>
      <w:numFmt w:val="lowerRoman"/>
      <w:lvlText w:val="%6"/>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A8832">
      <w:start w:val="1"/>
      <w:numFmt w:val="decimal"/>
      <w:lvlText w:val="%7"/>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6DCF2">
      <w:start w:val="1"/>
      <w:numFmt w:val="lowerLetter"/>
      <w:lvlText w:val="%8"/>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C3D6">
      <w:start w:val="1"/>
      <w:numFmt w:val="lowerRoman"/>
      <w:lvlText w:val="%9"/>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611072"/>
    <w:multiLevelType w:val="hybridMultilevel"/>
    <w:tmpl w:val="70C4A99E"/>
    <w:lvl w:ilvl="0" w:tplc="BD969846">
      <w:start w:val="37"/>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94D29"/>
    <w:multiLevelType w:val="hybridMultilevel"/>
    <w:tmpl w:val="0C127F06"/>
    <w:lvl w:ilvl="0" w:tplc="04090019">
      <w:start w:val="1"/>
      <w:numFmt w:val="lowerLetter"/>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B328EF"/>
    <w:multiLevelType w:val="hybridMultilevel"/>
    <w:tmpl w:val="3552D5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57CD9"/>
    <w:multiLevelType w:val="hybridMultilevel"/>
    <w:tmpl w:val="CEB2199C"/>
    <w:lvl w:ilvl="0" w:tplc="D0CA7272">
      <w:start w:val="4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30A20A">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A460BA">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30BCDC">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CA5C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EC99E2">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260362">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EE141C">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E0216A">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C03573"/>
    <w:multiLevelType w:val="hybridMultilevel"/>
    <w:tmpl w:val="9F3A0DA2"/>
    <w:lvl w:ilvl="0" w:tplc="69F67C48">
      <w:start w:val="15"/>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88A5F8D"/>
    <w:multiLevelType w:val="hybridMultilevel"/>
    <w:tmpl w:val="C128BD4E"/>
    <w:lvl w:ilvl="0" w:tplc="00F2AB42">
      <w:start w:val="46"/>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0610D4">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D4771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0453F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1C501E">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2736C">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32A93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ABEEA">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2ADA4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E372AB"/>
    <w:multiLevelType w:val="hybridMultilevel"/>
    <w:tmpl w:val="A996757A"/>
    <w:lvl w:ilvl="0" w:tplc="2D3E0EAE">
      <w:start w:val="5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C46B24">
      <w:start w:val="1"/>
      <w:numFmt w:val="lowerLetter"/>
      <w:lvlText w:val="%2"/>
      <w:lvlJc w:val="left"/>
      <w:pPr>
        <w:ind w:left="1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AE35D4">
      <w:start w:val="1"/>
      <w:numFmt w:val="lowerRoman"/>
      <w:lvlText w:val="%3"/>
      <w:lvlJc w:val="left"/>
      <w:pPr>
        <w:ind w:left="2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C6D6A0">
      <w:start w:val="1"/>
      <w:numFmt w:val="decimal"/>
      <w:lvlText w:val="%4"/>
      <w:lvlJc w:val="left"/>
      <w:pPr>
        <w:ind w:left="2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C2F9BE">
      <w:start w:val="1"/>
      <w:numFmt w:val="lowerLetter"/>
      <w:lvlText w:val="%5"/>
      <w:lvlJc w:val="left"/>
      <w:pPr>
        <w:ind w:left="3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1E9E70">
      <w:start w:val="1"/>
      <w:numFmt w:val="lowerRoman"/>
      <w:lvlText w:val="%6"/>
      <w:lvlJc w:val="left"/>
      <w:pPr>
        <w:ind w:left="4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2CE6B0">
      <w:start w:val="1"/>
      <w:numFmt w:val="decimal"/>
      <w:lvlText w:val="%7"/>
      <w:lvlJc w:val="left"/>
      <w:pPr>
        <w:ind w:left="5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FE6B0E">
      <w:start w:val="1"/>
      <w:numFmt w:val="lowerLetter"/>
      <w:lvlText w:val="%8"/>
      <w:lvlJc w:val="left"/>
      <w:pPr>
        <w:ind w:left="5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F275F4">
      <w:start w:val="1"/>
      <w:numFmt w:val="lowerRoman"/>
      <w:lvlText w:val="%9"/>
      <w:lvlJc w:val="left"/>
      <w:pPr>
        <w:ind w:left="6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70530F"/>
    <w:multiLevelType w:val="hybridMultilevel"/>
    <w:tmpl w:val="D90E7D92"/>
    <w:lvl w:ilvl="0" w:tplc="64242D20">
      <w:start w:val="27"/>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474A4"/>
    <w:multiLevelType w:val="hybridMultilevel"/>
    <w:tmpl w:val="1EBC7E22"/>
    <w:lvl w:ilvl="0" w:tplc="A87C11AC">
      <w:start w:val="17"/>
      <w:numFmt w:val="decimal"/>
      <w:lvlText w:val="%1."/>
      <w:lvlJc w:val="left"/>
      <w:pPr>
        <w:ind w:left="108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8B7EDBE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C49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E9E9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C2A31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844E4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30087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6A590">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E0A6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956770"/>
    <w:multiLevelType w:val="hybridMultilevel"/>
    <w:tmpl w:val="18C0D4DA"/>
    <w:lvl w:ilvl="0" w:tplc="299A5CDA">
      <w:start w:val="3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3AF292">
      <w:start w:val="1"/>
      <w:numFmt w:val="lowerLetter"/>
      <w:lvlText w:val="%2)"/>
      <w:lvlJc w:val="left"/>
      <w:pPr>
        <w:ind w:left="1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504618">
      <w:start w:val="1"/>
      <w:numFmt w:val="lowerRoman"/>
      <w:lvlText w:val="%3"/>
      <w:lvlJc w:val="left"/>
      <w:pPr>
        <w:ind w:left="1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408564">
      <w:start w:val="1"/>
      <w:numFmt w:val="decimal"/>
      <w:lvlText w:val="%4"/>
      <w:lvlJc w:val="left"/>
      <w:pPr>
        <w:ind w:left="2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60ED0">
      <w:start w:val="1"/>
      <w:numFmt w:val="lowerLetter"/>
      <w:lvlText w:val="%5"/>
      <w:lvlJc w:val="left"/>
      <w:pPr>
        <w:ind w:left="3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704D1E">
      <w:start w:val="1"/>
      <w:numFmt w:val="lowerRoman"/>
      <w:lvlText w:val="%6"/>
      <w:lvlJc w:val="left"/>
      <w:pPr>
        <w:ind w:left="3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6A8832">
      <w:start w:val="1"/>
      <w:numFmt w:val="decimal"/>
      <w:lvlText w:val="%7"/>
      <w:lvlJc w:val="left"/>
      <w:pPr>
        <w:ind w:left="4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F6DCF2">
      <w:start w:val="1"/>
      <w:numFmt w:val="lowerLetter"/>
      <w:lvlText w:val="%8"/>
      <w:lvlJc w:val="left"/>
      <w:pPr>
        <w:ind w:left="5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3CC3D6">
      <w:start w:val="1"/>
      <w:numFmt w:val="lowerRoman"/>
      <w:lvlText w:val="%9"/>
      <w:lvlJc w:val="left"/>
      <w:pPr>
        <w:ind w:left="6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952BC0"/>
    <w:multiLevelType w:val="hybridMultilevel"/>
    <w:tmpl w:val="1C72AEBC"/>
    <w:lvl w:ilvl="0" w:tplc="DB34182C">
      <w:start w:val="19"/>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8A0556">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A638C">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A28338">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A1226">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64AA8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C02D0">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4C8AC">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BEF8C6">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DC61B6"/>
    <w:multiLevelType w:val="hybridMultilevel"/>
    <w:tmpl w:val="AA5404C4"/>
    <w:lvl w:ilvl="0" w:tplc="460E1E8A">
      <w:start w:val="22"/>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0032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8C78C">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8718E">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504972">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685E1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0D786">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0600F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D87EF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7C7FF3"/>
    <w:multiLevelType w:val="hybridMultilevel"/>
    <w:tmpl w:val="AF1415D0"/>
    <w:lvl w:ilvl="0" w:tplc="3B8E030C">
      <w:start w:val="1"/>
      <w:numFmt w:val="lowerLetter"/>
      <w:lvlText w:val="%1)"/>
      <w:lvlJc w:val="left"/>
      <w:pPr>
        <w:ind w:left="1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D4257A">
      <w:start w:val="1"/>
      <w:numFmt w:val="lowerLetter"/>
      <w:lvlText w:val="%2"/>
      <w:lvlJc w:val="left"/>
      <w:pPr>
        <w:ind w:left="1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1C63F0">
      <w:start w:val="1"/>
      <w:numFmt w:val="lowerRoman"/>
      <w:lvlText w:val="%3"/>
      <w:lvlJc w:val="left"/>
      <w:pPr>
        <w:ind w:left="2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2BCF4">
      <w:start w:val="1"/>
      <w:numFmt w:val="decimal"/>
      <w:lvlText w:val="%4"/>
      <w:lvlJc w:val="left"/>
      <w:pPr>
        <w:ind w:left="3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0C1AA">
      <w:start w:val="1"/>
      <w:numFmt w:val="lowerLetter"/>
      <w:lvlText w:val="%5"/>
      <w:lvlJc w:val="left"/>
      <w:pPr>
        <w:ind w:left="4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3895EE">
      <w:start w:val="1"/>
      <w:numFmt w:val="lowerRoman"/>
      <w:lvlText w:val="%6"/>
      <w:lvlJc w:val="left"/>
      <w:pPr>
        <w:ind w:left="4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BC3C16">
      <w:start w:val="1"/>
      <w:numFmt w:val="decimal"/>
      <w:lvlText w:val="%7"/>
      <w:lvlJc w:val="left"/>
      <w:pPr>
        <w:ind w:left="5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6C9224">
      <w:start w:val="1"/>
      <w:numFmt w:val="lowerLetter"/>
      <w:lvlText w:val="%8"/>
      <w:lvlJc w:val="left"/>
      <w:pPr>
        <w:ind w:left="6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4E7E22">
      <w:start w:val="1"/>
      <w:numFmt w:val="lowerRoman"/>
      <w:lvlText w:val="%9"/>
      <w:lvlJc w:val="left"/>
      <w:pPr>
        <w:ind w:left="6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FB0E4A"/>
    <w:multiLevelType w:val="hybridMultilevel"/>
    <w:tmpl w:val="C71C204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80BE52">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806A0D"/>
    <w:multiLevelType w:val="hybridMultilevel"/>
    <w:tmpl w:val="6C2C6C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C02FBE"/>
    <w:multiLevelType w:val="hybridMultilevel"/>
    <w:tmpl w:val="F8B4D8A4"/>
    <w:lvl w:ilvl="0" w:tplc="04090019">
      <w:start w:val="1"/>
      <w:numFmt w:val="lowerLetter"/>
      <w:lvlText w:val="%1."/>
      <w:lvlJc w:val="left"/>
      <w:pPr>
        <w:ind w:left="2160"/>
      </w:pPr>
      <w:rPr>
        <w:b w:val="0"/>
        <w:i w:val="0"/>
        <w:strike w:val="0"/>
        <w:dstrike w:val="0"/>
        <w:color w:val="000000"/>
        <w:sz w:val="22"/>
        <w:szCs w:val="22"/>
        <w:u w:val="none" w:color="000000"/>
        <w:bdr w:val="none" w:sz="0" w:space="0" w:color="auto"/>
        <w:shd w:val="clear" w:color="auto" w:fill="auto"/>
        <w:vertAlign w:val="baseline"/>
      </w:rPr>
    </w:lvl>
    <w:lvl w:ilvl="1" w:tplc="A87C11AC">
      <w:start w:val="17"/>
      <w:numFmt w:val="decimal"/>
      <w:lvlText w:val="%2."/>
      <w:lvlJc w:val="left"/>
      <w:pPr>
        <w:ind w:left="786" w:hanging="360"/>
      </w:pPr>
      <w:rPr>
        <w:rFonts w:ascii="Calibri" w:eastAsia="Calibri" w:hAnsi="Calibri" w:cs="Calibri" w:hint="default"/>
        <w:b w:val="0"/>
        <w:i w:val="0"/>
        <w:strike w:val="0"/>
        <w:dstrike w:val="0"/>
        <w:color w:val="000000"/>
        <w:sz w:val="22"/>
        <w:szCs w:val="22"/>
        <w:u w:val="none" w:color="000000"/>
        <w:vertAlign w:val="baseline"/>
      </w:r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0" w15:restartNumberingAfterBreak="0">
    <w:nsid w:val="5DB66A87"/>
    <w:multiLevelType w:val="hybridMultilevel"/>
    <w:tmpl w:val="35DA6DA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3EC1C17"/>
    <w:multiLevelType w:val="hybridMultilevel"/>
    <w:tmpl w:val="B33EF4E8"/>
    <w:lvl w:ilvl="0" w:tplc="EACC10E4">
      <w:start w:val="28"/>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DC0C40">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EC8AA4">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B064B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3623E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F6B504">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62B00A">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B6972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4CAE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D640AC"/>
    <w:multiLevelType w:val="hybridMultilevel"/>
    <w:tmpl w:val="B51A3A3C"/>
    <w:lvl w:ilvl="0" w:tplc="62DE5DA6">
      <w:start w:val="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F0AA98">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4E4802">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DE1A3A">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64356">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627A2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6652B8">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346E80">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6E8CC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475919"/>
    <w:multiLevelType w:val="hybridMultilevel"/>
    <w:tmpl w:val="D1D8CF78"/>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1400069"/>
    <w:multiLevelType w:val="hybridMultilevel"/>
    <w:tmpl w:val="E076AC48"/>
    <w:lvl w:ilvl="0" w:tplc="CFF6C852">
      <w:start w:val="36"/>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C191EB1"/>
    <w:multiLevelType w:val="hybridMultilevel"/>
    <w:tmpl w:val="520852A4"/>
    <w:lvl w:ilvl="0" w:tplc="3886DCFA">
      <w:start w:val="40"/>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94"/>
      </w:pPr>
      <w:rPr>
        <w:b w:val="0"/>
        <w:i w:val="0"/>
        <w:strike w:val="0"/>
        <w:dstrike w:val="0"/>
        <w:color w:val="000000"/>
        <w:sz w:val="22"/>
        <w:szCs w:val="22"/>
        <w:u w:val="none" w:color="000000"/>
        <w:bdr w:val="none" w:sz="0" w:space="0" w:color="auto"/>
        <w:shd w:val="clear" w:color="auto" w:fill="auto"/>
        <w:vertAlign w:val="baseline"/>
      </w:rPr>
    </w:lvl>
    <w:lvl w:ilvl="2" w:tplc="CBE2339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6131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4FE9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A7836">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40882E">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60F7B0">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46DAB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25129242">
    <w:abstractNumId w:val="22"/>
  </w:num>
  <w:num w:numId="2" w16cid:durableId="582957107">
    <w:abstractNumId w:val="0"/>
  </w:num>
  <w:num w:numId="3" w16cid:durableId="392392432">
    <w:abstractNumId w:val="1"/>
  </w:num>
  <w:num w:numId="4" w16cid:durableId="1398942813">
    <w:abstractNumId w:val="14"/>
  </w:num>
  <w:num w:numId="5" w16cid:durableId="1349716571">
    <w:abstractNumId w:val="15"/>
  </w:num>
  <w:num w:numId="6" w16cid:durableId="1702708642">
    <w:abstractNumId w:val="21"/>
  </w:num>
  <w:num w:numId="7" w16cid:durableId="1609006255">
    <w:abstractNumId w:val="16"/>
  </w:num>
  <w:num w:numId="8" w16cid:durableId="1603566646">
    <w:abstractNumId w:val="13"/>
  </w:num>
  <w:num w:numId="9" w16cid:durableId="429158864">
    <w:abstractNumId w:val="17"/>
  </w:num>
  <w:num w:numId="10" w16cid:durableId="101189531">
    <w:abstractNumId w:val="9"/>
  </w:num>
  <w:num w:numId="11" w16cid:durableId="159085378">
    <w:abstractNumId w:val="7"/>
  </w:num>
  <w:num w:numId="12" w16cid:durableId="481191118">
    <w:abstractNumId w:val="10"/>
  </w:num>
  <w:num w:numId="13" w16cid:durableId="529298868">
    <w:abstractNumId w:val="12"/>
  </w:num>
  <w:num w:numId="14" w16cid:durableId="457190492">
    <w:abstractNumId w:val="5"/>
  </w:num>
  <w:num w:numId="15" w16cid:durableId="39132240">
    <w:abstractNumId w:val="6"/>
  </w:num>
  <w:num w:numId="16" w16cid:durableId="986011003">
    <w:abstractNumId w:val="2"/>
  </w:num>
  <w:num w:numId="17" w16cid:durableId="129372476">
    <w:abstractNumId w:val="18"/>
  </w:num>
  <w:num w:numId="18" w16cid:durableId="1649897640">
    <w:abstractNumId w:val="3"/>
  </w:num>
  <w:num w:numId="19" w16cid:durableId="570237841">
    <w:abstractNumId w:val="23"/>
  </w:num>
  <w:num w:numId="20" w16cid:durableId="2071422092">
    <w:abstractNumId w:val="25"/>
  </w:num>
  <w:num w:numId="21" w16cid:durableId="1474525902">
    <w:abstractNumId w:val="20"/>
  </w:num>
  <w:num w:numId="22" w16cid:durableId="1521316167">
    <w:abstractNumId w:val="8"/>
  </w:num>
  <w:num w:numId="23" w16cid:durableId="518395822">
    <w:abstractNumId w:val="11"/>
  </w:num>
  <w:num w:numId="24" w16cid:durableId="2043431094">
    <w:abstractNumId w:val="4"/>
  </w:num>
  <w:num w:numId="25" w16cid:durableId="862747468">
    <w:abstractNumId w:val="19"/>
  </w:num>
  <w:num w:numId="26" w16cid:durableId="1098331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S3NLG0MLUwMzNS0lEKTi0uzszPAykwrAUAQYkiGSwAAAA="/>
  </w:docVars>
  <w:rsids>
    <w:rsidRoot w:val="005A331B"/>
    <w:rsid w:val="000308FA"/>
    <w:rsid w:val="000738F1"/>
    <w:rsid w:val="00100C0D"/>
    <w:rsid w:val="00165A81"/>
    <w:rsid w:val="001C5D17"/>
    <w:rsid w:val="001C731B"/>
    <w:rsid w:val="001E0405"/>
    <w:rsid w:val="001F3B50"/>
    <w:rsid w:val="002102BD"/>
    <w:rsid w:val="00231ECE"/>
    <w:rsid w:val="00267468"/>
    <w:rsid w:val="002A0B2C"/>
    <w:rsid w:val="002B235A"/>
    <w:rsid w:val="002D000E"/>
    <w:rsid w:val="002D4678"/>
    <w:rsid w:val="003777B3"/>
    <w:rsid w:val="00397D73"/>
    <w:rsid w:val="003C375C"/>
    <w:rsid w:val="003E4536"/>
    <w:rsid w:val="00400F37"/>
    <w:rsid w:val="00420071"/>
    <w:rsid w:val="00465807"/>
    <w:rsid w:val="004939AB"/>
    <w:rsid w:val="004F4E83"/>
    <w:rsid w:val="0058175F"/>
    <w:rsid w:val="00593C95"/>
    <w:rsid w:val="005A331B"/>
    <w:rsid w:val="005D481F"/>
    <w:rsid w:val="005F29C4"/>
    <w:rsid w:val="006D6D82"/>
    <w:rsid w:val="00706056"/>
    <w:rsid w:val="00736DBE"/>
    <w:rsid w:val="00741B66"/>
    <w:rsid w:val="00745C4C"/>
    <w:rsid w:val="00752714"/>
    <w:rsid w:val="007F69ED"/>
    <w:rsid w:val="00805F1E"/>
    <w:rsid w:val="00810F77"/>
    <w:rsid w:val="0086148E"/>
    <w:rsid w:val="008819DE"/>
    <w:rsid w:val="00944DB2"/>
    <w:rsid w:val="00957BD1"/>
    <w:rsid w:val="00962FD5"/>
    <w:rsid w:val="00972496"/>
    <w:rsid w:val="009D241A"/>
    <w:rsid w:val="00A02E05"/>
    <w:rsid w:val="00A2659B"/>
    <w:rsid w:val="00AA150B"/>
    <w:rsid w:val="00B475EB"/>
    <w:rsid w:val="00B61B80"/>
    <w:rsid w:val="00D97F20"/>
    <w:rsid w:val="00DB5ABC"/>
    <w:rsid w:val="00DE0B8C"/>
    <w:rsid w:val="00E15A38"/>
    <w:rsid w:val="00E543D6"/>
    <w:rsid w:val="00E83F8E"/>
    <w:rsid w:val="00F30931"/>
    <w:rsid w:val="00F7259A"/>
    <w:rsid w:val="00FB24E4"/>
    <w:rsid w:val="0190CAE4"/>
    <w:rsid w:val="01EE7D2E"/>
    <w:rsid w:val="02269683"/>
    <w:rsid w:val="02B2C4A5"/>
    <w:rsid w:val="0C860BE9"/>
    <w:rsid w:val="14CB3644"/>
    <w:rsid w:val="1568F0CA"/>
    <w:rsid w:val="1760C87D"/>
    <w:rsid w:val="1A5C35F8"/>
    <w:rsid w:val="1EFD32F2"/>
    <w:rsid w:val="1F6A2108"/>
    <w:rsid w:val="21DAA2C0"/>
    <w:rsid w:val="305E5CCC"/>
    <w:rsid w:val="362447AA"/>
    <w:rsid w:val="373ECD90"/>
    <w:rsid w:val="3A6B2901"/>
    <w:rsid w:val="3BF857A0"/>
    <w:rsid w:val="40274B49"/>
    <w:rsid w:val="4841AB60"/>
    <w:rsid w:val="4943ECBA"/>
    <w:rsid w:val="4EBAF4C6"/>
    <w:rsid w:val="5283FB70"/>
    <w:rsid w:val="58FA094E"/>
    <w:rsid w:val="5CD9780E"/>
    <w:rsid w:val="651FD079"/>
    <w:rsid w:val="67E38EF8"/>
    <w:rsid w:val="6B6DF810"/>
    <w:rsid w:val="6C527BD1"/>
    <w:rsid w:val="6D7FC445"/>
    <w:rsid w:val="6FC727A5"/>
    <w:rsid w:val="71EAB840"/>
    <w:rsid w:val="757551E8"/>
    <w:rsid w:val="7D319928"/>
    <w:rsid w:val="7F7DF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6DBD"/>
  <w15:docId w15:val="{66487401-8EF3-4B4E-84DA-53048CF6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5" w:lineRule="auto"/>
      <w:ind w:left="728"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8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F8E"/>
    <w:rPr>
      <w:rFonts w:ascii="Calibri" w:eastAsia="Calibri" w:hAnsi="Calibri" w:cs="Calibri"/>
      <w:color w:val="000000"/>
    </w:rPr>
  </w:style>
  <w:style w:type="character" w:styleId="PlaceholderText">
    <w:name w:val="Placeholder Text"/>
    <w:basedOn w:val="DefaultParagraphFont"/>
    <w:uiPriority w:val="99"/>
    <w:semiHidden/>
    <w:rsid w:val="00E83F8E"/>
    <w:rPr>
      <w:color w:val="808080"/>
    </w:rPr>
  </w:style>
  <w:style w:type="paragraph" w:styleId="ListParagraph">
    <w:name w:val="List Paragraph"/>
    <w:basedOn w:val="Normal"/>
    <w:uiPriority w:val="34"/>
    <w:qFormat/>
    <w:rsid w:val="00E83F8E"/>
    <w:pPr>
      <w:ind w:left="720"/>
      <w:contextualSpacing/>
    </w:pPr>
  </w:style>
  <w:style w:type="paragraph" w:styleId="BalloonText">
    <w:name w:val="Balloon Text"/>
    <w:basedOn w:val="Normal"/>
    <w:link w:val="BalloonTextChar"/>
    <w:uiPriority w:val="99"/>
    <w:semiHidden/>
    <w:unhideWhenUsed/>
    <w:rsid w:val="00A0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E05"/>
    <w:rPr>
      <w:rFonts w:ascii="Tahoma" w:eastAsia="Calibri" w:hAnsi="Tahoma" w:cs="Tahoma"/>
      <w:color w:val="000000"/>
      <w:sz w:val="16"/>
      <w:szCs w:val="16"/>
    </w:rPr>
  </w:style>
  <w:style w:type="character" w:styleId="Hyperlink">
    <w:name w:val="Hyperlink"/>
    <w:basedOn w:val="DefaultParagraphFont"/>
    <w:uiPriority w:val="99"/>
    <w:unhideWhenUsed/>
    <w:rsid w:val="003C375C"/>
    <w:rPr>
      <w:color w:val="0563C1"/>
      <w:u w:val="single"/>
    </w:rPr>
  </w:style>
  <w:style w:type="paragraph" w:styleId="NormalWeb">
    <w:name w:val="Normal (Web)"/>
    <w:basedOn w:val="Normal"/>
    <w:uiPriority w:val="99"/>
    <w:semiHidden/>
    <w:unhideWhenUsed/>
    <w:rsid w:val="00E543D6"/>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58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37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891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ranet.undp.org/unit/bom/ofrm/accounts/CST/FinancialClosure/financialclosur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pp.undp.org/node/18916"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pp.undp.org/node/18916"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8916"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823C7F53249868E9B5F959058192C"/>
        <w:category>
          <w:name w:val="General"/>
          <w:gallery w:val="placeholder"/>
        </w:category>
        <w:types>
          <w:type w:val="bbPlcHdr"/>
        </w:types>
        <w:behaviors>
          <w:behavior w:val="content"/>
        </w:behaviors>
        <w:guid w:val="{40D3B77E-1AE6-4973-A610-DA309AF9C018}"/>
      </w:docPartPr>
      <w:docPartBody>
        <w:p w:rsidR="00FD52D1" w:rsidRDefault="00F7259A">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761"/>
    <w:rsid w:val="00002761"/>
    <w:rsid w:val="000C3B1F"/>
    <w:rsid w:val="00215D3F"/>
    <w:rsid w:val="002A5052"/>
    <w:rsid w:val="004D61E8"/>
    <w:rsid w:val="00851677"/>
    <w:rsid w:val="008E752F"/>
    <w:rsid w:val="00A11E5C"/>
    <w:rsid w:val="00A87F3F"/>
    <w:rsid w:val="00B454E7"/>
    <w:rsid w:val="00B82D24"/>
    <w:rsid w:val="00D37B3B"/>
    <w:rsid w:val="00EB0AC1"/>
    <w:rsid w:val="00F7259A"/>
    <w:rsid w:val="00FB061B"/>
    <w:rsid w:val="00FD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1ED34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D3F"/>
    <w:rPr>
      <w:color w:val="808080"/>
    </w:rPr>
  </w:style>
  <w:style w:type="paragraph" w:customStyle="1" w:styleId="0ADE3ED8038340919E262EDE2BBDA533">
    <w:name w:val="0ADE3ED8038340919E262EDE2BBDA533"/>
    <w:rsid w:val="00215D3F"/>
    <w:pPr>
      <w:spacing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29/11/2016                                                Version #: 29.0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2016-11-28T23:00:00+00:00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Instrucciones de cierre financiero en Quantum</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POPP-11-3179</_dlc_DocId>
    <_dlc_DocIdUrl xmlns="8264c5cc-ec60-4b56-8111-ce635d3d139a">
      <Url>https://popp.undp.org/_layouts/15/DocIdRedir.aspx?ID=POPP-11-3179</Url>
      <Description>POPP-11-3179</Description>
    </_dlc_DocIdUrl>
    <DLCPolicyLabelValue xmlns="e560140e-7b2f-4392-90df-e7567e3021a3">Effective Date: 29/11/2016                                                Version #: 29</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AE95C-C611-436F-9544-00B383F82DA0}">
  <ds:schemaRefs>
    <ds:schemaRef ds:uri="http://schemas.microsoft.com/sharepoint/v3/contenttype/forms"/>
  </ds:schemaRefs>
</ds:datastoreItem>
</file>

<file path=customXml/itemProps2.xml><?xml version="1.0" encoding="utf-8"?>
<ds:datastoreItem xmlns:ds="http://schemas.openxmlformats.org/officeDocument/2006/customXml" ds:itemID="{D0543670-A72B-447A-B7AA-E03083552FB7}">
  <ds:schemaRefs>
    <ds:schemaRef ds:uri="office.server.policy"/>
  </ds:schemaRefs>
</ds:datastoreItem>
</file>

<file path=customXml/itemProps3.xml><?xml version="1.0" encoding="utf-8"?>
<ds:datastoreItem xmlns:ds="http://schemas.openxmlformats.org/officeDocument/2006/customXml" ds:itemID="{AF04DA00-D55A-41EB-935D-8AC12C36405E}">
  <ds:schemaRefs>
    <ds:schemaRef ds:uri="http://schemas.microsoft.com/sharepoint/events"/>
  </ds:schemaRefs>
</ds:datastoreItem>
</file>

<file path=customXml/itemProps4.xml><?xml version="1.0" encoding="utf-8"?>
<ds:datastoreItem xmlns:ds="http://schemas.openxmlformats.org/officeDocument/2006/customXml" ds:itemID="{B14289C8-28D4-489B-B47E-C5AF16C5B27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B0D59AA0-81CD-42B1-A603-AD544761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2020-10-28T19:37:00Z</dcterms:created>
  <dcterms:modified xsi:type="dcterms:W3CDTF">2024-03-20T11:01:00Z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97fbbcf9-2042-4a59-9928-af82941a846a</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