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51A0" w14:textId="77777777" w:rsidR="000B2D00" w:rsidRPr="00B42BCE" w:rsidRDefault="005F2731" w:rsidP="00E16678">
      <w:pPr>
        <w:pStyle w:val="BodyText"/>
        <w:rPr>
          <w:rFonts w:asciiTheme="minorHAnsi" w:hAnsiTheme="minorHAnsi" w:cstheme="minorHAnsi"/>
          <w:b/>
          <w:bCs/>
          <w:spacing w:val="86"/>
        </w:rPr>
      </w:pPr>
      <w:r w:rsidRPr="00B42BCE">
        <w:rPr>
          <w:rFonts w:asciiTheme="minorHAnsi" w:hAnsiTheme="minorHAnsi" w:cstheme="minorHAnsi"/>
          <w:b/>
          <w:bCs/>
          <w:lang w:bidi="fr-FR"/>
        </w:rPr>
        <w:t xml:space="preserve">POLITIQUE EN MATIÈRE DE DILIGENCE RAISONNABLE ET DE PARTENARIATS AVEC LE SECTEUR PRIVÉ </w:t>
      </w:r>
    </w:p>
    <w:p w14:paraId="24CC2B1A" w14:textId="17D77FFA" w:rsidR="00474239" w:rsidRPr="00B42BCE" w:rsidRDefault="005F2731" w:rsidP="00907718">
      <w:pPr>
        <w:spacing w:before="256"/>
        <w:ind w:left="1840" w:right="643" w:hanging="1205"/>
        <w:jc w:val="center"/>
        <w:rPr>
          <w:rFonts w:asciiTheme="minorHAnsi" w:hAnsiTheme="minorHAnsi" w:cstheme="minorHAnsi"/>
          <w:b/>
        </w:rPr>
      </w:pPr>
      <w:r w:rsidRPr="00B42BCE">
        <w:rPr>
          <w:rFonts w:asciiTheme="minorHAnsi" w:hAnsiTheme="minorHAnsi" w:cstheme="minorHAnsi"/>
          <w:b/>
          <w:spacing w:val="10"/>
          <w:lang w:bidi="fr-FR"/>
        </w:rPr>
        <w:t>(mis à jour en juin 2023)</w:t>
      </w:r>
    </w:p>
    <w:p w14:paraId="24CC2B1B" w14:textId="77777777" w:rsidR="00474239" w:rsidRPr="00B42BCE" w:rsidRDefault="00474239">
      <w:pPr>
        <w:pStyle w:val="BodyText"/>
        <w:rPr>
          <w:rFonts w:asciiTheme="minorHAnsi" w:hAnsiTheme="minorHAnsi" w:cstheme="minorHAnsi"/>
          <w:b/>
        </w:rPr>
      </w:pPr>
    </w:p>
    <w:p w14:paraId="24CC2B1C" w14:textId="77777777" w:rsidR="00474239" w:rsidRPr="00B42BCE" w:rsidRDefault="005F2731">
      <w:pPr>
        <w:spacing w:before="210"/>
        <w:ind w:left="280"/>
        <w:rPr>
          <w:rFonts w:asciiTheme="minorHAnsi" w:hAnsiTheme="minorHAnsi" w:cstheme="minorHAnsi"/>
          <w:b/>
        </w:rPr>
      </w:pPr>
      <w:r w:rsidRPr="00B42BCE">
        <w:rPr>
          <w:rFonts w:asciiTheme="minorHAnsi" w:hAnsiTheme="minorHAnsi" w:cstheme="minorHAnsi"/>
          <w:b/>
          <w:color w:val="365F91"/>
          <w:lang w:bidi="fr-FR"/>
        </w:rPr>
        <w:t>Table des matières</w:t>
      </w:r>
    </w:p>
    <w:sdt>
      <w:sdtPr>
        <w:rPr>
          <w:rFonts w:asciiTheme="minorHAnsi" w:hAnsiTheme="minorHAnsi" w:cstheme="minorHAnsi"/>
        </w:rPr>
        <w:id w:val="-2037264299"/>
        <w:docPartObj>
          <w:docPartGallery w:val="Table of Contents"/>
          <w:docPartUnique/>
        </w:docPartObj>
      </w:sdtPr>
      <w:sdtContent>
        <w:p w14:paraId="31BCC641" w14:textId="5065DC80" w:rsidR="00880C31" w:rsidRPr="00880C31" w:rsidRDefault="005F2731">
          <w:pPr>
            <w:pStyle w:val="TOC1"/>
            <w:tabs>
              <w:tab w:val="left" w:pos="71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r w:rsidRPr="00880C31">
            <w:rPr>
              <w:rFonts w:asciiTheme="minorHAnsi" w:hAnsiTheme="minorHAnsi" w:cstheme="minorHAnsi"/>
              <w:lang w:bidi="fr-FR"/>
            </w:rPr>
            <w:fldChar w:fldCharType="begin"/>
          </w:r>
          <w:r w:rsidRPr="00880C31">
            <w:rPr>
              <w:rFonts w:asciiTheme="minorHAnsi" w:hAnsiTheme="minorHAnsi" w:cstheme="minorHAnsi"/>
              <w:lang w:bidi="fr-FR"/>
            </w:rPr>
            <w:instrText xml:space="preserve">TOC \o "1-2" \h \z \u </w:instrText>
          </w:r>
          <w:r w:rsidRPr="00880C31">
            <w:rPr>
              <w:rFonts w:asciiTheme="minorHAnsi" w:hAnsiTheme="minorHAnsi" w:cstheme="minorHAnsi"/>
              <w:lang w:bidi="fr-FR"/>
            </w:rPr>
            <w:fldChar w:fldCharType="separate"/>
          </w:r>
          <w:hyperlink w:anchor="_Toc160629978" w:history="1">
            <w:r w:rsidR="00880C31" w:rsidRPr="00880C31">
              <w:rPr>
                <w:rStyle w:val="Hyperlink"/>
                <w:rFonts w:asciiTheme="minorHAnsi" w:hAnsiTheme="minorHAnsi" w:cstheme="minorHAnsi"/>
                <w:noProof/>
                <w:spacing w:val="-1"/>
                <w:lang w:val="en-US"/>
              </w:rPr>
              <w:t>1.</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Introduction</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_Toc160629978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4</w:t>
            </w:r>
            <w:r w:rsidR="00880C31" w:rsidRPr="00880C31">
              <w:rPr>
                <w:rFonts w:asciiTheme="minorHAnsi" w:hAnsiTheme="minorHAnsi" w:cstheme="minorHAnsi"/>
                <w:noProof/>
                <w:webHidden/>
              </w:rPr>
              <w:fldChar w:fldCharType="end"/>
            </w:r>
          </w:hyperlink>
        </w:p>
        <w:p w14:paraId="320E6EE6" w14:textId="2834F424" w:rsidR="00880C31" w:rsidRPr="00880C31" w:rsidRDefault="00000000">
          <w:pPr>
            <w:pStyle w:val="TOC1"/>
            <w:tabs>
              <w:tab w:val="left" w:pos="71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79" w:history="1">
            <w:r w:rsidR="00880C31" w:rsidRPr="00880C31">
              <w:rPr>
                <w:rStyle w:val="Hyperlink"/>
                <w:rFonts w:asciiTheme="minorHAnsi" w:hAnsiTheme="minorHAnsi" w:cstheme="minorHAnsi"/>
                <w:noProof/>
                <w:spacing w:val="-1"/>
                <w:lang w:val="en-US"/>
              </w:rPr>
              <w:t>2.</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Objectifs de la politique</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_Toc160629979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5</w:t>
            </w:r>
            <w:r w:rsidR="00880C31" w:rsidRPr="00880C31">
              <w:rPr>
                <w:rFonts w:asciiTheme="minorHAnsi" w:hAnsiTheme="minorHAnsi" w:cstheme="minorHAnsi"/>
                <w:noProof/>
                <w:webHidden/>
              </w:rPr>
              <w:fldChar w:fldCharType="end"/>
            </w:r>
          </w:hyperlink>
        </w:p>
        <w:p w14:paraId="6EC14BBD" w14:textId="266C740F" w:rsidR="00880C31" w:rsidRPr="00880C31" w:rsidRDefault="00000000">
          <w:pPr>
            <w:pStyle w:val="TOC1"/>
            <w:tabs>
              <w:tab w:val="left" w:pos="71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80" w:history="1">
            <w:r w:rsidR="00880C31" w:rsidRPr="00880C31">
              <w:rPr>
                <w:rStyle w:val="Hyperlink"/>
                <w:rFonts w:asciiTheme="minorHAnsi" w:hAnsiTheme="minorHAnsi" w:cstheme="minorHAnsi"/>
                <w:noProof/>
                <w:spacing w:val="-1"/>
                <w:lang w:val="en-US"/>
              </w:rPr>
              <w:t>3.</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Politique en matière de diligence raisonnable</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_Toc160629980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5</w:t>
            </w:r>
            <w:r w:rsidR="00880C31" w:rsidRPr="00880C31">
              <w:rPr>
                <w:rFonts w:asciiTheme="minorHAnsi" w:hAnsiTheme="minorHAnsi" w:cstheme="minorHAnsi"/>
                <w:noProof/>
                <w:webHidden/>
              </w:rPr>
              <w:fldChar w:fldCharType="end"/>
            </w:r>
          </w:hyperlink>
        </w:p>
        <w:p w14:paraId="088377DE" w14:textId="52CD6548"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81" w:history="1">
            <w:r w:rsidR="00880C31" w:rsidRPr="00880C31">
              <w:rPr>
                <w:rStyle w:val="Hyperlink"/>
                <w:rFonts w:asciiTheme="minorHAnsi" w:hAnsiTheme="minorHAnsi" w:cstheme="minorHAnsi"/>
                <w:noProof/>
                <w:spacing w:val="-2"/>
                <w:lang w:val="en-US"/>
              </w:rPr>
              <w:t>3.1</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Champ d’application de la politique</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_Toc160629981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5</w:t>
            </w:r>
            <w:r w:rsidR="00880C31" w:rsidRPr="00880C31">
              <w:rPr>
                <w:rFonts w:asciiTheme="minorHAnsi" w:hAnsiTheme="minorHAnsi" w:cstheme="minorHAnsi"/>
                <w:noProof/>
                <w:webHidden/>
              </w:rPr>
              <w:fldChar w:fldCharType="end"/>
            </w:r>
          </w:hyperlink>
        </w:p>
        <w:p w14:paraId="369A29D5" w14:textId="7465DD80"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82" w:history="1">
            <w:r w:rsidR="00880C31" w:rsidRPr="00880C31">
              <w:rPr>
                <w:rStyle w:val="Hyperlink"/>
                <w:rFonts w:asciiTheme="minorHAnsi" w:hAnsiTheme="minorHAnsi" w:cstheme="minorHAnsi"/>
                <w:noProof/>
                <w:spacing w:val="-2"/>
                <w:lang w:val="en-US"/>
              </w:rPr>
              <w:t>3.2</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Critères d’exclusion</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_Toc160629982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6</w:t>
            </w:r>
            <w:r w:rsidR="00880C31" w:rsidRPr="00880C31">
              <w:rPr>
                <w:rFonts w:asciiTheme="minorHAnsi" w:hAnsiTheme="minorHAnsi" w:cstheme="minorHAnsi"/>
                <w:noProof/>
                <w:webHidden/>
              </w:rPr>
              <w:fldChar w:fldCharType="end"/>
            </w:r>
          </w:hyperlink>
        </w:p>
        <w:p w14:paraId="5343B455" w14:textId="7850A0EF"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83" w:history="1">
            <w:r w:rsidR="00880C31" w:rsidRPr="00880C31">
              <w:rPr>
                <w:rStyle w:val="Hyperlink"/>
                <w:rFonts w:asciiTheme="minorHAnsi" w:hAnsiTheme="minorHAnsi" w:cstheme="minorHAnsi"/>
                <w:noProof/>
                <w:spacing w:val="-2"/>
                <w:lang w:val="en-US"/>
              </w:rPr>
              <w:t>3.3</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Les secteurs à haut risque</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_Toc160629983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12</w:t>
            </w:r>
            <w:r w:rsidR="00880C31" w:rsidRPr="00880C31">
              <w:rPr>
                <w:rFonts w:asciiTheme="minorHAnsi" w:hAnsiTheme="minorHAnsi" w:cstheme="minorHAnsi"/>
                <w:noProof/>
                <w:webHidden/>
              </w:rPr>
              <w:fldChar w:fldCharType="end"/>
            </w:r>
          </w:hyperlink>
        </w:p>
        <w:p w14:paraId="676A068E" w14:textId="035A1124"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84" w:history="1">
            <w:r w:rsidR="00880C31" w:rsidRPr="00880C31">
              <w:rPr>
                <w:rStyle w:val="Hyperlink"/>
                <w:rFonts w:asciiTheme="minorHAnsi" w:hAnsiTheme="minorHAnsi" w:cstheme="minorHAnsi"/>
                <w:noProof/>
                <w:spacing w:val="-2"/>
                <w:lang w:val="en-US"/>
              </w:rPr>
              <w:t>3.4</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Évaluation de la diligence raisonnable – controverses</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_Toc160629984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13</w:t>
            </w:r>
            <w:r w:rsidR="00880C31" w:rsidRPr="00880C31">
              <w:rPr>
                <w:rFonts w:asciiTheme="minorHAnsi" w:hAnsiTheme="minorHAnsi" w:cstheme="minorHAnsi"/>
                <w:noProof/>
                <w:webHidden/>
              </w:rPr>
              <w:fldChar w:fldCharType="end"/>
            </w:r>
          </w:hyperlink>
        </w:p>
        <w:p w14:paraId="698A6214" w14:textId="23E46824" w:rsidR="00880C31" w:rsidRPr="00880C31" w:rsidRDefault="00000000">
          <w:pPr>
            <w:pStyle w:val="TOC1"/>
            <w:tabs>
              <w:tab w:val="left" w:pos="71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85" w:history="1">
            <w:r w:rsidR="00880C31" w:rsidRPr="00880C31">
              <w:rPr>
                <w:rStyle w:val="Hyperlink"/>
                <w:rFonts w:asciiTheme="minorHAnsi" w:hAnsiTheme="minorHAnsi" w:cstheme="minorHAnsi"/>
                <w:noProof/>
                <w:spacing w:val="-1"/>
                <w:lang w:val="en-US"/>
              </w:rPr>
              <w:t>4.</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Procédure de diligence raisonnable</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_Toc160629985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15</w:t>
            </w:r>
            <w:r w:rsidR="00880C31" w:rsidRPr="00880C31">
              <w:rPr>
                <w:rFonts w:asciiTheme="minorHAnsi" w:hAnsiTheme="minorHAnsi" w:cstheme="minorHAnsi"/>
                <w:noProof/>
                <w:webHidden/>
              </w:rPr>
              <w:fldChar w:fldCharType="end"/>
            </w:r>
          </w:hyperlink>
        </w:p>
        <w:p w14:paraId="7CE19A10" w14:textId="7EA56321"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86" w:history="1">
            <w:r w:rsidR="00880C31" w:rsidRPr="00880C31">
              <w:rPr>
                <w:rStyle w:val="Hyperlink"/>
                <w:rFonts w:asciiTheme="minorHAnsi" w:hAnsiTheme="minorHAnsi" w:cstheme="minorHAnsi"/>
                <w:noProof/>
                <w:spacing w:val="-2"/>
                <w:lang w:val="en-US"/>
              </w:rPr>
              <w:t>4.1</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Dans quelles circonstances enclencher une procédure de diligence raisonnable ?</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_Toc160629986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15</w:t>
            </w:r>
            <w:r w:rsidR="00880C31" w:rsidRPr="00880C31">
              <w:rPr>
                <w:rFonts w:asciiTheme="minorHAnsi" w:hAnsiTheme="minorHAnsi" w:cstheme="minorHAnsi"/>
                <w:noProof/>
                <w:webHidden/>
              </w:rPr>
              <w:fldChar w:fldCharType="end"/>
            </w:r>
          </w:hyperlink>
        </w:p>
        <w:p w14:paraId="75E0613A" w14:textId="4008080C"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87" w:history="1">
            <w:r w:rsidR="00880C31" w:rsidRPr="00880C31">
              <w:rPr>
                <w:rStyle w:val="Hyperlink"/>
                <w:rFonts w:asciiTheme="minorHAnsi" w:hAnsiTheme="minorHAnsi" w:cstheme="minorHAnsi"/>
                <w:noProof/>
                <w:spacing w:val="-2"/>
                <w:lang w:val="en-US"/>
              </w:rPr>
              <w:t>4.2</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Les différents processus de diligence raisonnable</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_Toc160629987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15</w:t>
            </w:r>
            <w:r w:rsidR="00880C31" w:rsidRPr="00880C31">
              <w:rPr>
                <w:rFonts w:asciiTheme="minorHAnsi" w:hAnsiTheme="minorHAnsi" w:cstheme="minorHAnsi"/>
                <w:noProof/>
                <w:webHidden/>
              </w:rPr>
              <w:fldChar w:fldCharType="end"/>
            </w:r>
          </w:hyperlink>
        </w:p>
        <w:p w14:paraId="3BFEF35E" w14:textId="2F44629B"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88" w:history="1">
            <w:r w:rsidR="00880C31" w:rsidRPr="00880C31">
              <w:rPr>
                <w:rStyle w:val="Hyperlink"/>
                <w:rFonts w:asciiTheme="minorHAnsi" w:hAnsiTheme="minorHAnsi" w:cstheme="minorHAnsi"/>
                <w:noProof/>
                <w:spacing w:val="-2"/>
                <w:lang w:val="en-US"/>
              </w:rPr>
              <w:t>4.3</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Qui met en œuvre le processus de diligence raisonnable ?</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_Toc160629988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16</w:t>
            </w:r>
            <w:r w:rsidR="00880C31" w:rsidRPr="00880C31">
              <w:rPr>
                <w:rFonts w:asciiTheme="minorHAnsi" w:hAnsiTheme="minorHAnsi" w:cstheme="minorHAnsi"/>
                <w:noProof/>
                <w:webHidden/>
              </w:rPr>
              <w:fldChar w:fldCharType="end"/>
            </w:r>
          </w:hyperlink>
        </w:p>
        <w:p w14:paraId="3ECB3C62" w14:textId="23C5E28B"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89" w:history="1">
            <w:r w:rsidR="00880C31" w:rsidRPr="00880C31">
              <w:rPr>
                <w:rStyle w:val="Hyperlink"/>
                <w:rFonts w:asciiTheme="minorHAnsi" w:hAnsiTheme="minorHAnsi" w:cstheme="minorHAnsi"/>
                <w:noProof/>
                <w:spacing w:val="-2"/>
                <w:lang w:val="en-US"/>
              </w:rPr>
              <w:t>4.4</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Niveaux de risque</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_Toc160629989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16</w:t>
            </w:r>
            <w:r w:rsidR="00880C31" w:rsidRPr="00880C31">
              <w:rPr>
                <w:rFonts w:asciiTheme="minorHAnsi" w:hAnsiTheme="minorHAnsi" w:cstheme="minorHAnsi"/>
                <w:noProof/>
                <w:webHidden/>
              </w:rPr>
              <w:fldChar w:fldCharType="end"/>
            </w:r>
          </w:hyperlink>
        </w:p>
        <w:p w14:paraId="15D85046" w14:textId="0A61AB82"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90" w:history="1">
            <w:r w:rsidR="00880C31" w:rsidRPr="00880C31">
              <w:rPr>
                <w:rStyle w:val="Hyperlink"/>
                <w:rFonts w:asciiTheme="minorHAnsi" w:hAnsiTheme="minorHAnsi" w:cstheme="minorHAnsi"/>
                <w:noProof/>
                <w:spacing w:val="-2"/>
                <w:lang w:val="en-US"/>
              </w:rPr>
              <w:t>4.5</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Conseils et processus d’assurance qualité relatifs à la procédure de diligence raisonnable</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_Toc160629990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17</w:t>
            </w:r>
            <w:r w:rsidR="00880C31" w:rsidRPr="00880C31">
              <w:rPr>
                <w:rFonts w:asciiTheme="minorHAnsi" w:hAnsiTheme="minorHAnsi" w:cstheme="minorHAnsi"/>
                <w:noProof/>
                <w:webHidden/>
              </w:rPr>
              <w:fldChar w:fldCharType="end"/>
            </w:r>
          </w:hyperlink>
        </w:p>
        <w:p w14:paraId="268C4AA6" w14:textId="48A9973A"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91" w:history="1">
            <w:r w:rsidR="00880C31" w:rsidRPr="00880C31">
              <w:rPr>
                <w:rStyle w:val="Hyperlink"/>
                <w:rFonts w:asciiTheme="minorHAnsi" w:hAnsiTheme="minorHAnsi" w:cstheme="minorHAnsi"/>
                <w:noProof/>
                <w:spacing w:val="-2"/>
                <w:lang w:val="en-US"/>
              </w:rPr>
              <w:t>4.6</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La prise de décision</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_Toc160629991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18</w:t>
            </w:r>
            <w:r w:rsidR="00880C31" w:rsidRPr="00880C31">
              <w:rPr>
                <w:rFonts w:asciiTheme="minorHAnsi" w:hAnsiTheme="minorHAnsi" w:cstheme="minorHAnsi"/>
                <w:noProof/>
                <w:webHidden/>
              </w:rPr>
              <w:fldChar w:fldCharType="end"/>
            </w:r>
          </w:hyperlink>
        </w:p>
        <w:p w14:paraId="6F188523" w14:textId="1C8F9CD8"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92" w:history="1">
            <w:r w:rsidR="00880C31" w:rsidRPr="00880C31">
              <w:rPr>
                <w:rStyle w:val="Hyperlink"/>
                <w:rFonts w:asciiTheme="minorHAnsi" w:hAnsiTheme="minorHAnsi" w:cstheme="minorHAnsi"/>
                <w:noProof/>
                <w:spacing w:val="-2"/>
                <w:lang w:val="en-US"/>
              </w:rPr>
              <w:t>4.7</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Suivi des partenariats, gestion des risques et établissement de rapports</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_Toc160629992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20</w:t>
            </w:r>
            <w:r w:rsidR="00880C31" w:rsidRPr="00880C31">
              <w:rPr>
                <w:rFonts w:asciiTheme="minorHAnsi" w:hAnsiTheme="minorHAnsi" w:cstheme="minorHAnsi"/>
                <w:noProof/>
                <w:webHidden/>
              </w:rPr>
              <w:fldChar w:fldCharType="end"/>
            </w:r>
          </w:hyperlink>
        </w:p>
        <w:p w14:paraId="1AB890D2" w14:textId="766CEFFD"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93" w:history="1">
            <w:r w:rsidR="00880C31" w:rsidRPr="00880C31">
              <w:rPr>
                <w:rStyle w:val="Hyperlink"/>
                <w:rFonts w:asciiTheme="minorHAnsi" w:hAnsiTheme="minorHAnsi" w:cstheme="minorHAnsi"/>
                <w:noProof/>
                <w:spacing w:val="-2"/>
                <w:lang w:val="en-US"/>
              </w:rPr>
              <w:t>4.8</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Processus de vérification ponctuelle de la diligence raisonnable</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_Toc160629993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20</w:t>
            </w:r>
            <w:r w:rsidR="00880C31" w:rsidRPr="00880C31">
              <w:rPr>
                <w:rFonts w:asciiTheme="minorHAnsi" w:hAnsiTheme="minorHAnsi" w:cstheme="minorHAnsi"/>
                <w:noProof/>
                <w:webHidden/>
              </w:rPr>
              <w:fldChar w:fldCharType="end"/>
            </w:r>
          </w:hyperlink>
        </w:p>
        <w:p w14:paraId="35987A91" w14:textId="0391BB70"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94" w:history="1">
            <w:r w:rsidR="00880C31" w:rsidRPr="00880C31">
              <w:rPr>
                <w:rStyle w:val="Hyperlink"/>
                <w:rFonts w:asciiTheme="minorHAnsi" w:hAnsiTheme="minorHAnsi" w:cstheme="minorHAnsi"/>
                <w:noProof/>
                <w:spacing w:val="-2"/>
                <w:lang w:val="en-US"/>
              </w:rPr>
              <w:t>4.9</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Situations de crise</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_Toc160629994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20</w:t>
            </w:r>
            <w:r w:rsidR="00880C31" w:rsidRPr="00880C31">
              <w:rPr>
                <w:rFonts w:asciiTheme="minorHAnsi" w:hAnsiTheme="minorHAnsi" w:cstheme="minorHAnsi"/>
                <w:noProof/>
                <w:webHidden/>
              </w:rPr>
              <w:fldChar w:fldCharType="end"/>
            </w:r>
          </w:hyperlink>
        </w:p>
        <w:p w14:paraId="35A2E1F2" w14:textId="5CEDCA1A" w:rsidR="00880C31" w:rsidRPr="00880C31" w:rsidRDefault="00000000">
          <w:pPr>
            <w:pStyle w:val="TOC1"/>
            <w:tabs>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95" w:history="1">
            <w:r w:rsidR="00880C31" w:rsidRPr="00880C31">
              <w:rPr>
                <w:rStyle w:val="Hyperlink"/>
                <w:rFonts w:asciiTheme="minorHAnsi" w:hAnsiTheme="minorHAnsi" w:cstheme="minorHAnsi"/>
                <w:noProof/>
                <w:lang w:bidi="fr-FR"/>
              </w:rPr>
              <w:t>Annexe 1 : Les principes directeurs et les différents types de partenariats avec le secteur privé</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_Toc160629995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22</w:t>
            </w:r>
            <w:r w:rsidR="00880C31" w:rsidRPr="00880C31">
              <w:rPr>
                <w:rFonts w:asciiTheme="minorHAnsi" w:hAnsiTheme="minorHAnsi" w:cstheme="minorHAnsi"/>
                <w:noProof/>
                <w:webHidden/>
              </w:rPr>
              <w:fldChar w:fldCharType="end"/>
            </w:r>
          </w:hyperlink>
        </w:p>
        <w:p w14:paraId="44C2CF84" w14:textId="3582EB67"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96" w:history="1">
            <w:r w:rsidR="00880C31" w:rsidRPr="00880C31">
              <w:rPr>
                <w:rStyle w:val="Hyperlink"/>
                <w:rFonts w:asciiTheme="minorHAnsi" w:hAnsiTheme="minorHAnsi" w:cstheme="minorHAnsi"/>
                <w:noProof/>
                <w:spacing w:val="-2"/>
                <w:lang w:val="en-US"/>
              </w:rPr>
              <w:t>1.</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Définition d’un partenariat</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_Toc160629996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22</w:t>
            </w:r>
            <w:r w:rsidR="00880C31" w:rsidRPr="00880C31">
              <w:rPr>
                <w:rFonts w:asciiTheme="minorHAnsi" w:hAnsiTheme="minorHAnsi" w:cstheme="minorHAnsi"/>
                <w:noProof/>
                <w:webHidden/>
              </w:rPr>
              <w:fldChar w:fldCharType="end"/>
            </w:r>
          </w:hyperlink>
        </w:p>
        <w:p w14:paraId="009FC330" w14:textId="482B69AA"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97" w:history="1">
            <w:r w:rsidR="00880C31" w:rsidRPr="00880C31">
              <w:rPr>
                <w:rStyle w:val="Hyperlink"/>
                <w:rFonts w:asciiTheme="minorHAnsi" w:hAnsiTheme="minorHAnsi" w:cstheme="minorHAnsi"/>
                <w:noProof/>
                <w:spacing w:val="-2"/>
                <w:lang w:val="en-US"/>
              </w:rPr>
              <w:t>2.</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Principes directeurs en matière de partenariats</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_Toc160629997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22</w:t>
            </w:r>
            <w:r w:rsidR="00880C31" w:rsidRPr="00880C31">
              <w:rPr>
                <w:rFonts w:asciiTheme="minorHAnsi" w:hAnsiTheme="minorHAnsi" w:cstheme="minorHAnsi"/>
                <w:noProof/>
                <w:webHidden/>
              </w:rPr>
              <w:fldChar w:fldCharType="end"/>
            </w:r>
          </w:hyperlink>
        </w:p>
        <w:p w14:paraId="0C0FBFD0" w14:textId="7B4D37CD"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98" w:history="1">
            <w:r w:rsidR="00880C31" w:rsidRPr="00880C31">
              <w:rPr>
                <w:rStyle w:val="Hyperlink"/>
                <w:rFonts w:asciiTheme="minorHAnsi" w:hAnsiTheme="minorHAnsi" w:cstheme="minorHAnsi"/>
                <w:noProof/>
                <w:spacing w:val="-2"/>
                <w:lang w:val="en-US"/>
              </w:rPr>
              <w:t>3.</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lang w:bidi="fr-FR"/>
              </w:rPr>
              <w:t>Types de collaboration</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_Toc160629998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23</w:t>
            </w:r>
            <w:r w:rsidR="00880C31" w:rsidRPr="00880C31">
              <w:rPr>
                <w:rFonts w:asciiTheme="minorHAnsi" w:hAnsiTheme="minorHAnsi" w:cstheme="minorHAnsi"/>
                <w:noProof/>
                <w:webHidden/>
              </w:rPr>
              <w:fldChar w:fldCharType="end"/>
            </w:r>
          </w:hyperlink>
        </w:p>
        <w:p w14:paraId="533E4AF4" w14:textId="64BF7080" w:rsidR="00880C31" w:rsidRPr="00880C31" w:rsidRDefault="00000000">
          <w:pPr>
            <w:pStyle w:val="TOC1"/>
            <w:tabs>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29999" w:history="1">
            <w:r w:rsidR="00880C31" w:rsidRPr="00880C31">
              <w:rPr>
                <w:rStyle w:val="Hyperlink"/>
                <w:rFonts w:asciiTheme="minorHAnsi" w:hAnsiTheme="minorHAnsi" w:cstheme="minorHAnsi"/>
                <w:noProof/>
                <w:lang w:bidi="fr-FR"/>
              </w:rPr>
              <w:t>Annexe 2 : les différents types de collaboration avec le secteur privé</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_Toc160629999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27</w:t>
            </w:r>
            <w:r w:rsidR="00880C31" w:rsidRPr="00880C31">
              <w:rPr>
                <w:rFonts w:asciiTheme="minorHAnsi" w:hAnsiTheme="minorHAnsi" w:cstheme="minorHAnsi"/>
                <w:noProof/>
                <w:webHidden/>
              </w:rPr>
              <w:fldChar w:fldCharType="end"/>
            </w:r>
          </w:hyperlink>
        </w:p>
        <w:p w14:paraId="17CE676B" w14:textId="5F41DEDA"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30000" w:history="1">
            <w:r w:rsidR="00880C31" w:rsidRPr="00880C31">
              <w:rPr>
                <w:rStyle w:val="Hyperlink"/>
                <w:rFonts w:asciiTheme="minorHAnsi" w:hAnsiTheme="minorHAnsi" w:cstheme="minorHAnsi"/>
                <w:noProof/>
                <w:lang w:val="en-US"/>
              </w:rPr>
              <w:t>a)</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spacing w:val="3"/>
                <w:lang w:bidi="fr-FR"/>
              </w:rPr>
              <w:t>Activités de plaidoyer et dialogue stratégique</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_Toc160630000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27</w:t>
            </w:r>
            <w:r w:rsidR="00880C31" w:rsidRPr="00880C31">
              <w:rPr>
                <w:rFonts w:asciiTheme="minorHAnsi" w:hAnsiTheme="minorHAnsi" w:cstheme="minorHAnsi"/>
                <w:noProof/>
                <w:webHidden/>
              </w:rPr>
              <w:fldChar w:fldCharType="end"/>
            </w:r>
          </w:hyperlink>
        </w:p>
        <w:p w14:paraId="64623DE6" w14:textId="3AF64C42"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30001" w:history="1">
            <w:r w:rsidR="00880C31" w:rsidRPr="00880C31">
              <w:rPr>
                <w:rStyle w:val="Hyperlink"/>
                <w:rFonts w:asciiTheme="minorHAnsi" w:hAnsiTheme="minorHAnsi" w:cstheme="minorHAnsi"/>
                <w:noProof/>
                <w:lang w:val="en-US"/>
              </w:rPr>
              <w:t>b)</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spacing w:val="3"/>
                <w:lang w:bidi="fr-FR"/>
              </w:rPr>
              <w:t>Mobilisation de ressources</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_Toc160630001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27</w:t>
            </w:r>
            <w:r w:rsidR="00880C31" w:rsidRPr="00880C31">
              <w:rPr>
                <w:rFonts w:asciiTheme="minorHAnsi" w:hAnsiTheme="minorHAnsi" w:cstheme="minorHAnsi"/>
                <w:noProof/>
                <w:webHidden/>
              </w:rPr>
              <w:fldChar w:fldCharType="end"/>
            </w:r>
          </w:hyperlink>
        </w:p>
        <w:p w14:paraId="27ED8C14" w14:textId="1BE9BAEC"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30002" w:history="1">
            <w:r w:rsidR="00880C31" w:rsidRPr="00880C31">
              <w:rPr>
                <w:rStyle w:val="Hyperlink"/>
                <w:rFonts w:asciiTheme="minorHAnsi" w:hAnsiTheme="minorHAnsi" w:cstheme="minorHAnsi"/>
                <w:noProof/>
                <w:lang w:val="en-US"/>
              </w:rPr>
              <w:t>c)</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spacing w:val="9"/>
                <w:lang w:bidi="fr-FR"/>
              </w:rPr>
              <w:t>Innovation</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_Toc160630002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28</w:t>
            </w:r>
            <w:r w:rsidR="00880C31" w:rsidRPr="00880C31">
              <w:rPr>
                <w:rFonts w:asciiTheme="minorHAnsi" w:hAnsiTheme="minorHAnsi" w:cstheme="minorHAnsi"/>
                <w:noProof/>
                <w:webHidden/>
              </w:rPr>
              <w:fldChar w:fldCharType="end"/>
            </w:r>
          </w:hyperlink>
        </w:p>
        <w:p w14:paraId="5F23A7D7" w14:textId="5950CF01"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30003" w:history="1">
            <w:r w:rsidR="00880C31" w:rsidRPr="00880C31">
              <w:rPr>
                <w:rStyle w:val="Hyperlink"/>
                <w:rFonts w:asciiTheme="minorHAnsi" w:hAnsiTheme="minorHAnsi" w:cstheme="minorHAnsi"/>
                <w:noProof/>
                <w:lang w:val="en-US"/>
              </w:rPr>
              <w:t>d)</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spacing w:val="2"/>
                <w:lang w:bidi="fr-FR"/>
              </w:rPr>
              <w:t>Activités principales au service d’un développement inclusif des marchés</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_Toc160630003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29</w:t>
            </w:r>
            <w:r w:rsidR="00880C31" w:rsidRPr="00880C31">
              <w:rPr>
                <w:rFonts w:asciiTheme="minorHAnsi" w:hAnsiTheme="minorHAnsi" w:cstheme="minorHAnsi"/>
                <w:noProof/>
                <w:webHidden/>
              </w:rPr>
              <w:fldChar w:fldCharType="end"/>
            </w:r>
          </w:hyperlink>
        </w:p>
        <w:p w14:paraId="75EAD55E" w14:textId="1686E944" w:rsidR="00880C31" w:rsidRPr="00880C31"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60630004" w:history="1">
            <w:r w:rsidR="00880C31" w:rsidRPr="00880C31">
              <w:rPr>
                <w:rStyle w:val="Hyperlink"/>
                <w:rFonts w:asciiTheme="minorHAnsi" w:hAnsiTheme="minorHAnsi" w:cstheme="minorHAnsi"/>
                <w:noProof/>
                <w:lang w:val="en-US"/>
              </w:rPr>
              <w:t>e)</w:t>
            </w:r>
            <w:r w:rsidR="00880C31" w:rsidRPr="00880C31">
              <w:rPr>
                <w:rFonts w:asciiTheme="minorHAnsi" w:eastAsiaTheme="minorEastAsia" w:hAnsiTheme="minorHAnsi" w:cstheme="minorHAnsi"/>
                <w:noProof/>
                <w:kern w:val="2"/>
                <w:sz w:val="24"/>
                <w:szCs w:val="24"/>
                <w:lang w:val="en-GB" w:eastAsia="en-GB" w:bidi="ar-SA"/>
                <w14:ligatures w14:val="standardContextual"/>
              </w:rPr>
              <w:tab/>
            </w:r>
            <w:r w:rsidR="00880C31" w:rsidRPr="00880C31">
              <w:rPr>
                <w:rStyle w:val="Hyperlink"/>
                <w:rFonts w:asciiTheme="minorHAnsi" w:hAnsiTheme="minorHAnsi" w:cstheme="minorHAnsi"/>
                <w:noProof/>
                <w:spacing w:val="9"/>
                <w:lang w:bidi="fr-FR"/>
              </w:rPr>
              <w:t>Partenariats vecteurs de changements systémiques</w:t>
            </w:r>
            <w:r w:rsidR="00880C31" w:rsidRPr="00880C31">
              <w:rPr>
                <w:rFonts w:asciiTheme="minorHAnsi" w:hAnsiTheme="minorHAnsi" w:cstheme="minorHAnsi"/>
                <w:noProof/>
                <w:webHidden/>
              </w:rPr>
              <w:tab/>
            </w:r>
            <w:r w:rsidR="00880C31" w:rsidRPr="00880C31">
              <w:rPr>
                <w:rFonts w:asciiTheme="minorHAnsi" w:hAnsiTheme="minorHAnsi" w:cstheme="minorHAnsi"/>
                <w:noProof/>
                <w:webHidden/>
              </w:rPr>
              <w:fldChar w:fldCharType="begin"/>
            </w:r>
            <w:r w:rsidR="00880C31" w:rsidRPr="00880C31">
              <w:rPr>
                <w:rFonts w:asciiTheme="minorHAnsi" w:hAnsiTheme="minorHAnsi" w:cstheme="minorHAnsi"/>
                <w:noProof/>
                <w:webHidden/>
              </w:rPr>
              <w:instrText xml:space="preserve"> PAGEREF _Toc160630004 \h </w:instrText>
            </w:r>
            <w:r w:rsidR="00880C31" w:rsidRPr="00880C31">
              <w:rPr>
                <w:rFonts w:asciiTheme="minorHAnsi" w:hAnsiTheme="minorHAnsi" w:cstheme="minorHAnsi"/>
                <w:noProof/>
                <w:webHidden/>
              </w:rPr>
            </w:r>
            <w:r w:rsidR="00880C31" w:rsidRPr="00880C31">
              <w:rPr>
                <w:rFonts w:asciiTheme="minorHAnsi" w:hAnsiTheme="minorHAnsi" w:cstheme="minorHAnsi"/>
                <w:noProof/>
                <w:webHidden/>
              </w:rPr>
              <w:fldChar w:fldCharType="separate"/>
            </w:r>
            <w:r w:rsidR="00880C31" w:rsidRPr="00880C31">
              <w:rPr>
                <w:rFonts w:asciiTheme="minorHAnsi" w:hAnsiTheme="minorHAnsi" w:cstheme="minorHAnsi"/>
                <w:noProof/>
                <w:webHidden/>
              </w:rPr>
              <w:t>31</w:t>
            </w:r>
            <w:r w:rsidR="00880C31" w:rsidRPr="00880C31">
              <w:rPr>
                <w:rFonts w:asciiTheme="minorHAnsi" w:hAnsiTheme="minorHAnsi" w:cstheme="minorHAnsi"/>
                <w:noProof/>
                <w:webHidden/>
              </w:rPr>
              <w:fldChar w:fldCharType="end"/>
            </w:r>
          </w:hyperlink>
        </w:p>
        <w:p w14:paraId="24CC2B2D" w14:textId="4D08776D" w:rsidR="00474239" w:rsidRPr="00B42BCE" w:rsidRDefault="005F2731">
          <w:pPr>
            <w:rPr>
              <w:rFonts w:asciiTheme="minorHAnsi" w:hAnsiTheme="minorHAnsi" w:cstheme="minorHAnsi"/>
            </w:rPr>
          </w:pPr>
          <w:r w:rsidRPr="00880C31">
            <w:rPr>
              <w:rFonts w:asciiTheme="minorHAnsi" w:hAnsiTheme="minorHAnsi" w:cstheme="minorHAnsi"/>
              <w:lang w:bidi="fr-FR"/>
            </w:rPr>
            <w:fldChar w:fldCharType="end"/>
          </w:r>
        </w:p>
      </w:sdtContent>
    </w:sdt>
    <w:p w14:paraId="24CC2B2E" w14:textId="77777777" w:rsidR="00474239" w:rsidRPr="00B42BCE" w:rsidRDefault="00474239">
      <w:pPr>
        <w:rPr>
          <w:rFonts w:asciiTheme="minorHAnsi" w:hAnsiTheme="minorHAnsi" w:cstheme="minorHAnsi"/>
        </w:rPr>
        <w:sectPr w:rsidR="00474239" w:rsidRPr="00B42BCE" w:rsidSect="00EE2173">
          <w:headerReference w:type="default" r:id="rId11"/>
          <w:footerReference w:type="default" r:id="rId12"/>
          <w:type w:val="continuous"/>
          <w:pgSz w:w="11910" w:h="16840"/>
          <w:pgMar w:top="1540" w:right="800" w:bottom="280" w:left="1160" w:header="720" w:footer="388" w:gutter="0"/>
          <w:cols w:space="720"/>
        </w:sectPr>
      </w:pPr>
    </w:p>
    <w:p w14:paraId="24CC2B2F" w14:textId="77777777" w:rsidR="00474239" w:rsidRPr="00B42BCE" w:rsidRDefault="005F2731">
      <w:pPr>
        <w:spacing w:before="59"/>
        <w:ind w:left="2923" w:right="3291"/>
        <w:jc w:val="center"/>
        <w:rPr>
          <w:rFonts w:asciiTheme="minorHAnsi" w:hAnsiTheme="minorHAnsi" w:cstheme="minorHAnsi"/>
          <w:b/>
        </w:rPr>
      </w:pPr>
      <w:r w:rsidRPr="00B42BCE">
        <w:rPr>
          <w:rFonts w:asciiTheme="minorHAnsi" w:hAnsiTheme="minorHAnsi" w:cstheme="minorHAnsi"/>
          <w:b/>
          <w:lang w:bidi="fr-FR"/>
        </w:rPr>
        <w:lastRenderedPageBreak/>
        <w:t>TERMES CLÉS ET ACRONYMES</w:t>
      </w:r>
    </w:p>
    <w:p w14:paraId="78D50494" w14:textId="77777777" w:rsidR="00114B2E" w:rsidRPr="00B42BCE" w:rsidRDefault="00114B2E">
      <w:pPr>
        <w:spacing w:before="59"/>
        <w:ind w:left="2923" w:right="3291"/>
        <w:jc w:val="center"/>
        <w:rPr>
          <w:rFonts w:asciiTheme="minorHAnsi" w:hAnsiTheme="minorHAnsi" w:cstheme="minorHAnsi"/>
          <w:b/>
        </w:rPr>
      </w:pPr>
    </w:p>
    <w:tbl>
      <w:tblPr>
        <w:tblStyle w:val="TableGrid"/>
        <w:tblW w:w="0" w:type="auto"/>
        <w:tblLook w:val="04A0" w:firstRow="1" w:lastRow="0" w:firstColumn="1" w:lastColumn="0" w:noHBand="0" w:noVBand="1"/>
      </w:tblPr>
      <w:tblGrid>
        <w:gridCol w:w="3261"/>
        <w:gridCol w:w="6095"/>
      </w:tblGrid>
      <w:tr w:rsidR="009F2D5A" w:rsidRPr="00B42BCE" w14:paraId="4CDACDD4" w14:textId="77777777" w:rsidTr="009F2D5A">
        <w:tc>
          <w:tcPr>
            <w:tcW w:w="3261" w:type="dxa"/>
            <w:shd w:val="clear" w:color="auto" w:fill="auto"/>
          </w:tcPr>
          <w:p w14:paraId="41AAA53B" w14:textId="594028C8" w:rsidR="008A2C43" w:rsidRPr="00B42BCE" w:rsidRDefault="008A2C43">
            <w:pPr>
              <w:jc w:val="both"/>
              <w:rPr>
                <w:rFonts w:asciiTheme="minorHAnsi" w:hAnsiTheme="minorHAnsi" w:cstheme="minorHAnsi"/>
                <w:sz w:val="22"/>
                <w:szCs w:val="22"/>
                <w:lang w:val="fr-FR"/>
              </w:rPr>
            </w:pPr>
            <w:r w:rsidRPr="00B42BCE">
              <w:rPr>
                <w:rFonts w:asciiTheme="minorHAnsi" w:hAnsiTheme="minorHAnsi" w:cstheme="minorHAnsi"/>
                <w:b/>
                <w:sz w:val="22"/>
                <w:szCs w:val="22"/>
                <w:lang w:val="fr-FR" w:bidi="fr-FR"/>
              </w:rPr>
              <w:t>Activités principales</w:t>
            </w:r>
          </w:p>
        </w:tc>
        <w:tc>
          <w:tcPr>
            <w:tcW w:w="6095" w:type="dxa"/>
            <w:shd w:val="clear" w:color="auto" w:fill="auto"/>
          </w:tcPr>
          <w:p w14:paraId="4A918CFE" w14:textId="3D823AE8" w:rsidR="008A2C43"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Les activités principales correspondent aux actifs et aux compétences qui génèrent un rendement financier pour une entreprise et ses propriétaires. On parle d’activités principales pour désigner le cœur de métier ou l’activité clé d’une organisation.</w:t>
            </w:r>
          </w:p>
        </w:tc>
      </w:tr>
      <w:tr w:rsidR="008A2C43" w:rsidRPr="00B42BCE" w14:paraId="19F6F72C" w14:textId="77777777" w:rsidTr="009F2D5A">
        <w:tc>
          <w:tcPr>
            <w:tcW w:w="3261" w:type="dxa"/>
            <w:shd w:val="clear" w:color="auto" w:fill="auto"/>
          </w:tcPr>
          <w:p w14:paraId="6FA60EE1" w14:textId="4D3C0455" w:rsidR="008A2C43" w:rsidRPr="00B42BCE" w:rsidRDefault="008A2C43">
            <w:pPr>
              <w:jc w:val="both"/>
              <w:rPr>
                <w:rFonts w:asciiTheme="minorHAnsi" w:hAnsiTheme="minorHAnsi" w:cstheme="minorHAnsi"/>
                <w:b/>
                <w:sz w:val="22"/>
                <w:szCs w:val="22"/>
                <w:lang w:val="fr-FR" w:bidi="fr-FR"/>
              </w:rPr>
            </w:pPr>
            <w:r w:rsidRPr="00B42BCE">
              <w:rPr>
                <w:rFonts w:asciiTheme="minorHAnsi" w:hAnsiTheme="minorHAnsi" w:cstheme="minorHAnsi"/>
                <w:b/>
                <w:sz w:val="22"/>
                <w:szCs w:val="22"/>
                <w:lang w:val="fr-FR" w:bidi="fr-FR"/>
              </w:rPr>
              <w:t>AFIM</w:t>
            </w:r>
          </w:p>
        </w:tc>
        <w:tc>
          <w:tcPr>
            <w:tcW w:w="6095" w:type="dxa"/>
            <w:shd w:val="clear" w:color="auto" w:fill="auto"/>
          </w:tcPr>
          <w:p w14:paraId="5095B2BE" w14:textId="6E710533" w:rsidR="008A2C43"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Initiative africaine pour les marchés inclusifs</w:t>
            </w:r>
          </w:p>
        </w:tc>
      </w:tr>
      <w:tr w:rsidR="008A2C43" w:rsidRPr="00B42BCE" w14:paraId="165D66EA" w14:textId="77777777" w:rsidTr="009F2D5A">
        <w:tc>
          <w:tcPr>
            <w:tcW w:w="3261" w:type="dxa"/>
            <w:shd w:val="clear" w:color="auto" w:fill="auto"/>
          </w:tcPr>
          <w:p w14:paraId="7CFC6460" w14:textId="6646B07C" w:rsidR="008A2C43" w:rsidRPr="00B42BCE" w:rsidRDefault="008A2C43">
            <w:pPr>
              <w:jc w:val="both"/>
              <w:rPr>
                <w:rFonts w:asciiTheme="minorHAnsi" w:hAnsiTheme="minorHAnsi" w:cstheme="minorHAnsi"/>
                <w:b/>
                <w:sz w:val="22"/>
                <w:szCs w:val="22"/>
                <w:lang w:val="fr-FR" w:bidi="fr-FR"/>
              </w:rPr>
            </w:pPr>
            <w:r w:rsidRPr="00B42BCE">
              <w:rPr>
                <w:rFonts w:asciiTheme="minorHAnsi" w:hAnsiTheme="minorHAnsi" w:cstheme="minorHAnsi"/>
                <w:b/>
                <w:sz w:val="22"/>
                <w:szCs w:val="22"/>
                <w:lang w:val="fr-FR" w:bidi="fr-FR"/>
              </w:rPr>
              <w:t>Biens</w:t>
            </w:r>
          </w:p>
        </w:tc>
        <w:tc>
          <w:tcPr>
            <w:tcW w:w="6095" w:type="dxa"/>
            <w:shd w:val="clear" w:color="auto" w:fill="auto"/>
          </w:tcPr>
          <w:p w14:paraId="79A3A77D" w14:textId="0BD40201" w:rsidR="008A2C43"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Biens tangibles produits et fournis par une entreprise (articles alimentaires, médicaments, véhicules, etc.)</w:t>
            </w:r>
          </w:p>
        </w:tc>
      </w:tr>
      <w:tr w:rsidR="009F2D5A" w:rsidRPr="00B42BCE" w14:paraId="3AD5070E" w14:textId="77777777" w:rsidTr="009F2D5A">
        <w:tc>
          <w:tcPr>
            <w:tcW w:w="3261" w:type="dxa"/>
            <w:shd w:val="clear" w:color="auto" w:fill="auto"/>
          </w:tcPr>
          <w:p w14:paraId="01172AE4" w14:textId="754549C4" w:rsidR="008A2C43" w:rsidRPr="00B42BCE" w:rsidRDefault="008A2C43">
            <w:pPr>
              <w:jc w:val="both"/>
              <w:rPr>
                <w:rFonts w:asciiTheme="minorHAnsi" w:hAnsiTheme="minorHAnsi" w:cstheme="minorHAnsi"/>
                <w:sz w:val="22"/>
                <w:szCs w:val="22"/>
                <w:lang w:val="fr-FR"/>
              </w:rPr>
            </w:pPr>
            <w:r w:rsidRPr="00B42BCE">
              <w:rPr>
                <w:rFonts w:asciiTheme="minorHAnsi" w:hAnsiTheme="minorHAnsi" w:cstheme="minorHAnsi"/>
                <w:b/>
                <w:sz w:val="22"/>
                <w:szCs w:val="22"/>
                <w:lang w:val="fr-FR" w:bidi="fr-FR"/>
              </w:rPr>
              <w:t>B</w:t>
            </w:r>
            <w:r w:rsidR="007F1CC6">
              <w:rPr>
                <w:rFonts w:asciiTheme="minorHAnsi" w:hAnsiTheme="minorHAnsi" w:cstheme="minorHAnsi"/>
                <w:b/>
                <w:sz w:val="22"/>
                <w:szCs w:val="22"/>
                <w:lang w:val="fr-FR" w:bidi="fr-FR"/>
              </w:rPr>
              <w:t>PPS</w:t>
            </w:r>
          </w:p>
        </w:tc>
        <w:tc>
          <w:tcPr>
            <w:tcW w:w="6095" w:type="dxa"/>
            <w:shd w:val="clear" w:color="auto" w:fill="auto"/>
          </w:tcPr>
          <w:p w14:paraId="70D51D61" w14:textId="752B386C" w:rsidR="008A2C43"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Bureau d</w:t>
            </w:r>
            <w:r w:rsidR="007F1CC6">
              <w:rPr>
                <w:rFonts w:asciiTheme="minorHAnsi" w:hAnsiTheme="minorHAnsi" w:cstheme="minorHAnsi"/>
                <w:sz w:val="22"/>
                <w:szCs w:val="22"/>
                <w:lang w:val="fr-FR" w:bidi="fr-FR"/>
              </w:rPr>
              <w:t xml:space="preserve">’Appui aux </w:t>
            </w:r>
            <w:r w:rsidRPr="00B42BCE">
              <w:rPr>
                <w:rFonts w:asciiTheme="minorHAnsi" w:hAnsiTheme="minorHAnsi" w:cstheme="minorHAnsi"/>
                <w:sz w:val="22"/>
                <w:szCs w:val="22"/>
                <w:lang w:val="fr-FR" w:bidi="fr-FR"/>
              </w:rPr>
              <w:t xml:space="preserve">politiques </w:t>
            </w:r>
            <w:r w:rsidR="007F1CC6">
              <w:rPr>
                <w:rFonts w:asciiTheme="minorHAnsi" w:hAnsiTheme="minorHAnsi" w:cstheme="minorHAnsi"/>
                <w:sz w:val="22"/>
                <w:szCs w:val="22"/>
                <w:lang w:val="fr-FR" w:bidi="fr-FR"/>
              </w:rPr>
              <w:t>et programmes du PNUD.</w:t>
            </w:r>
          </w:p>
        </w:tc>
      </w:tr>
      <w:tr w:rsidR="009F2D5A" w:rsidRPr="00B42BCE" w14:paraId="783871A2" w14:textId="77777777" w:rsidTr="009F2D5A">
        <w:tc>
          <w:tcPr>
            <w:tcW w:w="3261" w:type="dxa"/>
            <w:shd w:val="clear" w:color="auto" w:fill="auto"/>
          </w:tcPr>
          <w:p w14:paraId="674BE8C3" w14:textId="15B4EEEF" w:rsidR="009F2D5A" w:rsidRPr="00B42BCE" w:rsidRDefault="009F2D5A">
            <w:pPr>
              <w:jc w:val="both"/>
              <w:rPr>
                <w:rFonts w:asciiTheme="minorHAnsi" w:hAnsiTheme="minorHAnsi" w:cstheme="minorHAnsi"/>
                <w:b/>
                <w:sz w:val="22"/>
                <w:szCs w:val="22"/>
                <w:lang w:val="fr-FR" w:bidi="fr-FR"/>
              </w:rPr>
            </w:pPr>
            <w:r w:rsidRPr="00B42BCE">
              <w:rPr>
                <w:rFonts w:asciiTheme="minorHAnsi" w:hAnsiTheme="minorHAnsi" w:cstheme="minorHAnsi"/>
                <w:b/>
                <w:sz w:val="22"/>
                <w:szCs w:val="22"/>
                <w:lang w:val="fr-FR" w:bidi="fr-FR"/>
              </w:rPr>
              <w:t>CCI</w:t>
            </w:r>
          </w:p>
        </w:tc>
        <w:tc>
          <w:tcPr>
            <w:tcW w:w="6095" w:type="dxa"/>
            <w:shd w:val="clear" w:color="auto" w:fill="auto"/>
          </w:tcPr>
          <w:p w14:paraId="662D7042" w14:textId="5D561A54" w:rsidR="009F2D5A"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Communautés de la connaissance et de l’innovation</w:t>
            </w:r>
          </w:p>
        </w:tc>
      </w:tr>
      <w:tr w:rsidR="009F2D5A" w:rsidRPr="00B42BCE" w14:paraId="1AE6EE12" w14:textId="77777777" w:rsidTr="009F2D5A">
        <w:tc>
          <w:tcPr>
            <w:tcW w:w="3261" w:type="dxa"/>
            <w:shd w:val="clear" w:color="auto" w:fill="auto"/>
          </w:tcPr>
          <w:p w14:paraId="70FC6D69" w14:textId="2D182C0C" w:rsidR="009F2D5A" w:rsidRPr="00B42BCE" w:rsidRDefault="009F2D5A">
            <w:pPr>
              <w:jc w:val="both"/>
              <w:rPr>
                <w:rFonts w:asciiTheme="minorHAnsi" w:hAnsiTheme="minorHAnsi" w:cstheme="minorHAnsi"/>
                <w:b/>
                <w:sz w:val="22"/>
                <w:szCs w:val="22"/>
                <w:lang w:val="fr-FR" w:bidi="fr-FR"/>
              </w:rPr>
            </w:pPr>
            <w:r w:rsidRPr="00B42BCE">
              <w:rPr>
                <w:rFonts w:asciiTheme="minorHAnsi" w:hAnsiTheme="minorHAnsi" w:cstheme="minorHAnsi"/>
                <w:b/>
                <w:sz w:val="22"/>
                <w:szCs w:val="22"/>
                <w:lang w:val="fr-FR" w:bidi="fr-FR"/>
              </w:rPr>
              <w:t>Chaîne d’approvisionnement</w:t>
            </w:r>
          </w:p>
        </w:tc>
        <w:tc>
          <w:tcPr>
            <w:tcW w:w="6095" w:type="dxa"/>
            <w:shd w:val="clear" w:color="auto" w:fill="auto"/>
          </w:tcPr>
          <w:p w14:paraId="1EFE3FEB" w14:textId="2AFE6F53" w:rsidR="009F2D5A"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Ensemble des transactions économiques effectuées entre la production initiale d’un bien et son achat par une entreprise</w:t>
            </w:r>
          </w:p>
        </w:tc>
      </w:tr>
      <w:tr w:rsidR="008A2C43" w:rsidRPr="00B42BCE" w14:paraId="22E972A3" w14:textId="77777777" w:rsidTr="009F2D5A">
        <w:tc>
          <w:tcPr>
            <w:tcW w:w="3261" w:type="dxa"/>
            <w:shd w:val="clear" w:color="auto" w:fill="auto"/>
          </w:tcPr>
          <w:p w14:paraId="614533A8" w14:textId="66764DD9" w:rsidR="008A2C43" w:rsidRPr="00B42BCE" w:rsidRDefault="008A2C43">
            <w:pPr>
              <w:jc w:val="both"/>
              <w:rPr>
                <w:rFonts w:asciiTheme="minorHAnsi" w:hAnsiTheme="minorHAnsi" w:cstheme="minorHAnsi"/>
                <w:b/>
                <w:sz w:val="22"/>
                <w:szCs w:val="22"/>
                <w:lang w:val="fr-FR" w:bidi="fr-FR"/>
              </w:rPr>
            </w:pPr>
            <w:r w:rsidRPr="00B42BCE">
              <w:rPr>
                <w:rFonts w:asciiTheme="minorHAnsi" w:hAnsiTheme="minorHAnsi" w:cstheme="minorHAnsi"/>
                <w:b/>
                <w:sz w:val="22"/>
                <w:szCs w:val="22"/>
                <w:lang w:val="fr-FR" w:bidi="fr-FR"/>
              </w:rPr>
              <w:t>CITES</w:t>
            </w:r>
          </w:p>
        </w:tc>
        <w:tc>
          <w:tcPr>
            <w:tcW w:w="6095" w:type="dxa"/>
            <w:shd w:val="clear" w:color="auto" w:fill="auto"/>
          </w:tcPr>
          <w:p w14:paraId="36DBA22D" w14:textId="1EF1FEFC" w:rsidR="008A2C43"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Convention sur le commerce international des espèces de faune et de flore sauvages menacées d’extinction</w:t>
            </w:r>
          </w:p>
        </w:tc>
      </w:tr>
      <w:tr w:rsidR="009F2D5A" w:rsidRPr="00B42BCE" w14:paraId="4D87FB2A" w14:textId="77777777" w:rsidTr="009F2D5A">
        <w:tc>
          <w:tcPr>
            <w:tcW w:w="3261" w:type="dxa"/>
            <w:shd w:val="clear" w:color="auto" w:fill="auto"/>
          </w:tcPr>
          <w:p w14:paraId="691B497D" w14:textId="5286F6F2" w:rsidR="009F2D5A" w:rsidRPr="00B42BCE" w:rsidRDefault="009F2D5A">
            <w:pPr>
              <w:jc w:val="both"/>
              <w:rPr>
                <w:rFonts w:asciiTheme="minorHAnsi" w:hAnsiTheme="minorHAnsi" w:cstheme="minorHAnsi"/>
                <w:b/>
                <w:sz w:val="22"/>
                <w:szCs w:val="22"/>
                <w:lang w:val="fr-FR" w:bidi="fr-FR"/>
              </w:rPr>
            </w:pPr>
            <w:r w:rsidRPr="00B42BCE">
              <w:rPr>
                <w:rFonts w:asciiTheme="minorHAnsi" w:hAnsiTheme="minorHAnsi" w:cstheme="minorHAnsi"/>
                <w:b/>
                <w:sz w:val="22"/>
                <w:szCs w:val="22"/>
                <w:lang w:val="fr-FR" w:bidi="fr-FR"/>
              </w:rPr>
              <w:t>Contributions à titre gracieux</w:t>
            </w:r>
          </w:p>
        </w:tc>
        <w:tc>
          <w:tcPr>
            <w:tcW w:w="6095" w:type="dxa"/>
            <w:shd w:val="clear" w:color="auto" w:fill="auto"/>
          </w:tcPr>
          <w:p w14:paraId="56DF3F30" w14:textId="3EABF60D" w:rsidR="009F2D5A"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Contributions réalisées à titre gracieux par une entreprise au profit du PNUD sous la forme de services</w:t>
            </w:r>
          </w:p>
        </w:tc>
      </w:tr>
      <w:tr w:rsidR="009F2D5A" w:rsidRPr="00B42BCE" w14:paraId="41031DEA" w14:textId="77777777" w:rsidTr="009F2D5A">
        <w:tc>
          <w:tcPr>
            <w:tcW w:w="3261" w:type="dxa"/>
            <w:shd w:val="clear" w:color="auto" w:fill="auto"/>
          </w:tcPr>
          <w:p w14:paraId="50108DA2" w14:textId="7ED4E544" w:rsidR="009F2D5A" w:rsidRPr="00B42BCE" w:rsidRDefault="009F2D5A">
            <w:pPr>
              <w:jc w:val="both"/>
              <w:rPr>
                <w:rFonts w:asciiTheme="minorHAnsi" w:hAnsiTheme="minorHAnsi" w:cstheme="minorHAnsi"/>
                <w:b/>
                <w:sz w:val="22"/>
                <w:szCs w:val="22"/>
                <w:lang w:val="fr-FR" w:bidi="fr-FR"/>
              </w:rPr>
            </w:pPr>
            <w:r w:rsidRPr="00B42BCE">
              <w:rPr>
                <w:rFonts w:asciiTheme="minorHAnsi" w:hAnsiTheme="minorHAnsi" w:cstheme="minorHAnsi"/>
                <w:b/>
                <w:sz w:val="22"/>
                <w:szCs w:val="22"/>
                <w:lang w:val="fr-FR" w:bidi="fr-FR"/>
              </w:rPr>
              <w:t>Contributions en nature</w:t>
            </w:r>
          </w:p>
        </w:tc>
        <w:tc>
          <w:tcPr>
            <w:tcW w:w="6095" w:type="dxa"/>
            <w:shd w:val="clear" w:color="auto" w:fill="auto"/>
          </w:tcPr>
          <w:p w14:paraId="26164FE0" w14:textId="67C4161D" w:rsidR="009F2D5A"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Contributions réalisées à titre gracieux par une entreprise au profit du PNUD sous la forme de biens</w:t>
            </w:r>
          </w:p>
        </w:tc>
      </w:tr>
      <w:tr w:rsidR="009F2D5A" w:rsidRPr="00B42BCE" w14:paraId="1BC8FA2B" w14:textId="77777777" w:rsidTr="009F2D5A">
        <w:tc>
          <w:tcPr>
            <w:tcW w:w="3261" w:type="dxa"/>
            <w:shd w:val="clear" w:color="auto" w:fill="auto"/>
          </w:tcPr>
          <w:p w14:paraId="2C75621A" w14:textId="01D4B539" w:rsidR="009F2D5A" w:rsidRPr="00B42BCE" w:rsidRDefault="009F2D5A">
            <w:pPr>
              <w:jc w:val="both"/>
              <w:rPr>
                <w:rFonts w:asciiTheme="minorHAnsi" w:hAnsiTheme="minorHAnsi" w:cstheme="minorHAnsi"/>
                <w:b/>
                <w:sz w:val="22"/>
                <w:szCs w:val="22"/>
                <w:lang w:val="fr-FR" w:bidi="fr-FR"/>
              </w:rPr>
            </w:pPr>
            <w:r w:rsidRPr="00B42BCE">
              <w:rPr>
                <w:rFonts w:asciiTheme="minorHAnsi" w:hAnsiTheme="minorHAnsi" w:cstheme="minorHAnsi"/>
                <w:b/>
                <w:sz w:val="22"/>
                <w:szCs w:val="22"/>
                <w:lang w:val="fr-FR" w:bidi="fr-FR"/>
              </w:rPr>
              <w:t>Développement du secteur privé</w:t>
            </w:r>
          </w:p>
        </w:tc>
        <w:tc>
          <w:tcPr>
            <w:tcW w:w="6095" w:type="dxa"/>
            <w:shd w:val="clear" w:color="auto" w:fill="auto"/>
          </w:tcPr>
          <w:p w14:paraId="2E415790" w14:textId="6DDC51BF" w:rsidR="009F2D5A"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Activités stratégiques, institutionnelles et de renforcement des capacités destinées à favoriser la croissance des petites et moyennes entreprises locales, notamment à travers le renforcement de l’accès aux outils de microfinancement</w:t>
            </w:r>
          </w:p>
        </w:tc>
      </w:tr>
      <w:tr w:rsidR="008A2C43" w:rsidRPr="00B42BCE" w14:paraId="41345E0A" w14:textId="77777777" w:rsidTr="009F2D5A">
        <w:tc>
          <w:tcPr>
            <w:tcW w:w="3261" w:type="dxa"/>
            <w:shd w:val="clear" w:color="auto" w:fill="auto"/>
          </w:tcPr>
          <w:p w14:paraId="197C69FF" w14:textId="520C6B39" w:rsidR="008A2C43" w:rsidRPr="00B42BCE" w:rsidRDefault="008A2C43">
            <w:pPr>
              <w:jc w:val="both"/>
              <w:rPr>
                <w:rFonts w:asciiTheme="minorHAnsi" w:hAnsiTheme="minorHAnsi" w:cstheme="minorHAnsi"/>
                <w:sz w:val="22"/>
                <w:szCs w:val="22"/>
                <w:lang w:val="fr-FR"/>
              </w:rPr>
            </w:pPr>
            <w:r w:rsidRPr="00B42BCE">
              <w:rPr>
                <w:rFonts w:asciiTheme="minorHAnsi" w:hAnsiTheme="minorHAnsi" w:cstheme="minorHAnsi"/>
                <w:b/>
                <w:sz w:val="22"/>
                <w:szCs w:val="22"/>
                <w:lang w:val="fr-FR" w:bidi="fr-FR"/>
              </w:rPr>
              <w:t>Entreprise</w:t>
            </w:r>
          </w:p>
        </w:tc>
        <w:tc>
          <w:tcPr>
            <w:tcW w:w="6095" w:type="dxa"/>
            <w:shd w:val="clear" w:color="auto" w:fill="auto"/>
          </w:tcPr>
          <w:p w14:paraId="54FB212B" w14:textId="390545C1" w:rsidR="008A2C43"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Toute société à but lucratif, quelle que soit sa taille</w:t>
            </w:r>
          </w:p>
        </w:tc>
      </w:tr>
      <w:tr w:rsidR="008A2C43" w:rsidRPr="00B42BCE" w14:paraId="6BEB104D" w14:textId="77777777" w:rsidTr="009F2D5A">
        <w:tc>
          <w:tcPr>
            <w:tcW w:w="3261" w:type="dxa"/>
            <w:shd w:val="clear" w:color="auto" w:fill="auto"/>
          </w:tcPr>
          <w:p w14:paraId="1108834C" w14:textId="33EB849E" w:rsidR="008A2C43" w:rsidRPr="00B42BCE" w:rsidRDefault="008A2C43">
            <w:pPr>
              <w:jc w:val="both"/>
              <w:rPr>
                <w:rFonts w:asciiTheme="minorHAnsi" w:hAnsiTheme="minorHAnsi" w:cstheme="minorHAnsi"/>
                <w:sz w:val="22"/>
                <w:szCs w:val="22"/>
                <w:lang w:val="fr-FR"/>
              </w:rPr>
            </w:pPr>
            <w:r w:rsidRPr="00B42BCE">
              <w:rPr>
                <w:rFonts w:asciiTheme="minorHAnsi" w:hAnsiTheme="minorHAnsi" w:cstheme="minorHAnsi"/>
                <w:b/>
                <w:sz w:val="22"/>
                <w:szCs w:val="22"/>
                <w:lang w:val="fr-FR" w:bidi="fr-FR"/>
              </w:rPr>
              <w:t>ESG</w:t>
            </w:r>
          </w:p>
        </w:tc>
        <w:tc>
          <w:tcPr>
            <w:tcW w:w="6095" w:type="dxa"/>
            <w:shd w:val="clear" w:color="auto" w:fill="auto"/>
          </w:tcPr>
          <w:p w14:paraId="0EA1B009" w14:textId="4AC00DF7" w:rsidR="008A2C43"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Questions d’environnement, de société et de gouvernance</w:t>
            </w:r>
          </w:p>
        </w:tc>
      </w:tr>
      <w:tr w:rsidR="009F2D5A" w:rsidRPr="00B42BCE" w14:paraId="6FCF5D0F" w14:textId="77777777" w:rsidTr="009F2D5A">
        <w:tc>
          <w:tcPr>
            <w:tcW w:w="3261" w:type="dxa"/>
            <w:shd w:val="clear" w:color="auto" w:fill="auto"/>
          </w:tcPr>
          <w:p w14:paraId="139F7656" w14:textId="5207F23D" w:rsidR="009F2D5A" w:rsidRPr="00B42BCE" w:rsidRDefault="009F2D5A">
            <w:pPr>
              <w:jc w:val="both"/>
              <w:rPr>
                <w:rFonts w:asciiTheme="minorHAnsi" w:hAnsiTheme="minorHAnsi" w:cstheme="minorHAnsi"/>
                <w:b/>
                <w:sz w:val="22"/>
                <w:szCs w:val="22"/>
                <w:lang w:val="fr-FR" w:bidi="fr-FR"/>
              </w:rPr>
            </w:pPr>
            <w:r w:rsidRPr="00B42BCE">
              <w:rPr>
                <w:rFonts w:asciiTheme="minorHAnsi" w:hAnsiTheme="minorHAnsi" w:cstheme="minorHAnsi"/>
                <w:b/>
                <w:sz w:val="22"/>
                <w:szCs w:val="22"/>
                <w:lang w:val="fr-FR" w:bidi="fr-FR"/>
              </w:rPr>
              <w:t>GPI</w:t>
            </w:r>
          </w:p>
        </w:tc>
        <w:tc>
          <w:tcPr>
            <w:tcW w:w="6095" w:type="dxa"/>
            <w:shd w:val="clear" w:color="auto" w:fill="auto"/>
          </w:tcPr>
          <w:p w14:paraId="678B8DE4" w14:textId="38C72898" w:rsidR="009F2D5A"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Groupe de la performance institutionnelle</w:t>
            </w:r>
          </w:p>
        </w:tc>
      </w:tr>
      <w:tr w:rsidR="009F2D5A" w:rsidRPr="00B42BCE" w14:paraId="2E0F092E" w14:textId="77777777" w:rsidTr="009F2D5A">
        <w:tc>
          <w:tcPr>
            <w:tcW w:w="3261" w:type="dxa"/>
            <w:shd w:val="clear" w:color="auto" w:fill="auto"/>
          </w:tcPr>
          <w:p w14:paraId="098CB183" w14:textId="32362354" w:rsidR="009F2D5A" w:rsidRPr="00B42BCE" w:rsidRDefault="009F2D5A">
            <w:pPr>
              <w:jc w:val="both"/>
              <w:rPr>
                <w:rFonts w:asciiTheme="minorHAnsi" w:hAnsiTheme="minorHAnsi" w:cstheme="minorHAnsi"/>
                <w:b/>
                <w:sz w:val="22"/>
                <w:szCs w:val="22"/>
                <w:lang w:val="fr-FR" w:bidi="fr-FR"/>
              </w:rPr>
            </w:pPr>
            <w:r w:rsidRPr="00B42BCE">
              <w:rPr>
                <w:rFonts w:asciiTheme="minorHAnsi" w:hAnsiTheme="minorHAnsi" w:cstheme="minorHAnsi"/>
                <w:b/>
                <w:sz w:val="22"/>
                <w:szCs w:val="22"/>
                <w:lang w:val="fr-FR" w:bidi="fr-FR"/>
              </w:rPr>
              <w:t>Marchés inclusifs</w:t>
            </w:r>
          </w:p>
        </w:tc>
        <w:tc>
          <w:tcPr>
            <w:tcW w:w="6095" w:type="dxa"/>
            <w:shd w:val="clear" w:color="auto" w:fill="auto"/>
          </w:tcPr>
          <w:p w14:paraId="75829806" w14:textId="573FE47F" w:rsidR="009F2D5A"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Marchés offrant aux personnes pauvres et défavorisées l’autonomie et les capacités nécessaires pour jouer un rôle actif de consommateurs, de producteurs ou de salariés</w:t>
            </w:r>
          </w:p>
        </w:tc>
      </w:tr>
      <w:tr w:rsidR="009F2D5A" w:rsidRPr="00B42BCE" w14:paraId="1F9C8CD5" w14:textId="77777777" w:rsidTr="009F2D5A">
        <w:tc>
          <w:tcPr>
            <w:tcW w:w="3261" w:type="dxa"/>
            <w:shd w:val="clear" w:color="auto" w:fill="auto"/>
          </w:tcPr>
          <w:p w14:paraId="2AA72F51" w14:textId="4AA7164C" w:rsidR="009F2D5A" w:rsidRPr="00B42BCE" w:rsidRDefault="009F2D5A">
            <w:pPr>
              <w:jc w:val="both"/>
              <w:rPr>
                <w:rFonts w:asciiTheme="minorHAnsi" w:hAnsiTheme="minorHAnsi" w:cstheme="minorHAnsi"/>
                <w:b/>
                <w:sz w:val="22"/>
                <w:szCs w:val="22"/>
                <w:lang w:val="fr-FR" w:bidi="fr-FR"/>
              </w:rPr>
            </w:pPr>
            <w:r w:rsidRPr="00B42BCE">
              <w:rPr>
                <w:rFonts w:asciiTheme="minorHAnsi" w:hAnsiTheme="minorHAnsi" w:cstheme="minorHAnsi"/>
                <w:b/>
                <w:sz w:val="22"/>
                <w:szCs w:val="22"/>
                <w:lang w:val="fr-FR" w:bidi="fr-FR"/>
              </w:rPr>
              <w:t>ODD</w:t>
            </w:r>
          </w:p>
        </w:tc>
        <w:tc>
          <w:tcPr>
            <w:tcW w:w="6095" w:type="dxa"/>
            <w:shd w:val="clear" w:color="auto" w:fill="auto"/>
          </w:tcPr>
          <w:p w14:paraId="6ACEEE65" w14:textId="67A15CB5" w:rsidR="009F2D5A"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Objectifs de développement durable</w:t>
            </w:r>
          </w:p>
        </w:tc>
      </w:tr>
      <w:tr w:rsidR="008A2C43" w:rsidRPr="00B42BCE" w14:paraId="29770820" w14:textId="77777777" w:rsidTr="009F2D5A">
        <w:tc>
          <w:tcPr>
            <w:tcW w:w="3261" w:type="dxa"/>
            <w:shd w:val="clear" w:color="auto" w:fill="auto"/>
          </w:tcPr>
          <w:p w14:paraId="33DD3B4E" w14:textId="27E86091" w:rsidR="008A2C43" w:rsidRPr="00B42BCE" w:rsidRDefault="008A2C43">
            <w:pPr>
              <w:jc w:val="both"/>
              <w:rPr>
                <w:rFonts w:asciiTheme="minorHAnsi" w:hAnsiTheme="minorHAnsi" w:cstheme="minorHAnsi"/>
                <w:sz w:val="22"/>
                <w:szCs w:val="22"/>
                <w:lang w:val="fr-FR"/>
              </w:rPr>
            </w:pPr>
            <w:r w:rsidRPr="00B42BCE">
              <w:rPr>
                <w:rFonts w:asciiTheme="minorHAnsi" w:hAnsiTheme="minorHAnsi" w:cstheme="minorHAnsi"/>
                <w:b/>
                <w:sz w:val="22"/>
                <w:szCs w:val="22"/>
                <w:lang w:val="fr-FR" w:bidi="fr-FR"/>
              </w:rPr>
              <w:t>Pacte mondial</w:t>
            </w:r>
          </w:p>
        </w:tc>
        <w:tc>
          <w:tcPr>
            <w:tcW w:w="6095" w:type="dxa"/>
            <w:shd w:val="clear" w:color="auto" w:fill="auto"/>
          </w:tcPr>
          <w:p w14:paraId="4938F760" w14:textId="1A737B36" w:rsidR="008A2C43"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Le Pacte mondial des Nations Unies est une initiative stratégique à destination des entreprises qui souhaitent s’engager à aligner leurs activités et leurs stratégies sur un ensemble de dix principes universellement reconnus, ayant trait aux droits humains, au travail, à l’environnement et à la lutte contre la corruption</w:t>
            </w:r>
          </w:p>
        </w:tc>
      </w:tr>
      <w:tr w:rsidR="009F2D5A" w:rsidRPr="00B42BCE" w14:paraId="58E1467C" w14:textId="77777777" w:rsidTr="009F2D5A">
        <w:tc>
          <w:tcPr>
            <w:tcW w:w="3261" w:type="dxa"/>
            <w:shd w:val="clear" w:color="auto" w:fill="auto"/>
          </w:tcPr>
          <w:p w14:paraId="734D987B" w14:textId="5729B96C" w:rsidR="009F2D5A" w:rsidRPr="00B42BCE" w:rsidRDefault="009F2D5A">
            <w:pPr>
              <w:jc w:val="both"/>
              <w:rPr>
                <w:rFonts w:asciiTheme="minorHAnsi" w:hAnsiTheme="minorHAnsi" w:cstheme="minorHAnsi"/>
                <w:b/>
                <w:sz w:val="22"/>
                <w:szCs w:val="22"/>
                <w:lang w:val="fr-FR" w:bidi="fr-FR"/>
              </w:rPr>
            </w:pPr>
            <w:r w:rsidRPr="00B42BCE">
              <w:rPr>
                <w:rFonts w:asciiTheme="minorHAnsi" w:hAnsiTheme="minorHAnsi" w:cstheme="minorHAnsi"/>
                <w:b/>
                <w:sz w:val="22"/>
                <w:szCs w:val="22"/>
                <w:lang w:val="fr-FR" w:bidi="fr-FR"/>
              </w:rPr>
              <w:t>Participation du secteur privé</w:t>
            </w:r>
          </w:p>
        </w:tc>
        <w:tc>
          <w:tcPr>
            <w:tcW w:w="6095" w:type="dxa"/>
            <w:shd w:val="clear" w:color="auto" w:fill="auto"/>
          </w:tcPr>
          <w:p w14:paraId="02DFA59E" w14:textId="56A82B51" w:rsidR="009F2D5A"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Ensemble des activités mises en œuvre en collaboration avec les entreprises en vue de mettre au point des solutions, de mobiliser des ressources et de plaider pour des changements en faveur de la lutte contre la pauvreté et de la réalisation des ODD</w:t>
            </w:r>
          </w:p>
        </w:tc>
      </w:tr>
      <w:tr w:rsidR="009F2D5A" w:rsidRPr="00B42BCE" w14:paraId="20F44694" w14:textId="77777777" w:rsidTr="009F2D5A">
        <w:tc>
          <w:tcPr>
            <w:tcW w:w="3261" w:type="dxa"/>
            <w:shd w:val="clear" w:color="auto" w:fill="auto"/>
          </w:tcPr>
          <w:p w14:paraId="2E788D05" w14:textId="0E449A0B" w:rsidR="009F2D5A" w:rsidRPr="00B42BCE" w:rsidRDefault="009F2D5A">
            <w:pPr>
              <w:jc w:val="both"/>
              <w:rPr>
                <w:rFonts w:asciiTheme="minorHAnsi" w:hAnsiTheme="minorHAnsi" w:cstheme="minorHAnsi"/>
                <w:b/>
                <w:sz w:val="22"/>
                <w:szCs w:val="22"/>
                <w:lang w:val="fr-FR" w:bidi="fr-FR"/>
              </w:rPr>
            </w:pPr>
            <w:r w:rsidRPr="00B42BCE">
              <w:rPr>
                <w:rFonts w:asciiTheme="minorHAnsi" w:hAnsiTheme="minorHAnsi" w:cstheme="minorHAnsi"/>
                <w:b/>
                <w:sz w:val="22"/>
                <w:szCs w:val="22"/>
                <w:lang w:val="fr-FR" w:bidi="fr-FR"/>
              </w:rPr>
              <w:t>PDF</w:t>
            </w:r>
          </w:p>
        </w:tc>
        <w:tc>
          <w:tcPr>
            <w:tcW w:w="6095" w:type="dxa"/>
            <w:shd w:val="clear" w:color="auto" w:fill="auto"/>
          </w:tcPr>
          <w:p w14:paraId="61C6C158" w14:textId="78FDB6F1" w:rsidR="009F2D5A"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Programme de développement des fournisseurs</w:t>
            </w:r>
          </w:p>
        </w:tc>
      </w:tr>
      <w:tr w:rsidR="009F2D5A" w:rsidRPr="00B42BCE" w14:paraId="7A7FC7B0" w14:textId="77777777" w:rsidTr="009F2D5A">
        <w:tc>
          <w:tcPr>
            <w:tcW w:w="3261" w:type="dxa"/>
            <w:shd w:val="clear" w:color="auto" w:fill="auto"/>
          </w:tcPr>
          <w:p w14:paraId="3E531309" w14:textId="4DA10DFB" w:rsidR="009F2D5A" w:rsidRPr="00B42BCE" w:rsidRDefault="009F2D5A">
            <w:pPr>
              <w:jc w:val="both"/>
              <w:rPr>
                <w:rFonts w:asciiTheme="minorHAnsi" w:hAnsiTheme="minorHAnsi" w:cstheme="minorHAnsi"/>
                <w:b/>
                <w:sz w:val="22"/>
                <w:szCs w:val="22"/>
                <w:lang w:val="fr-FR" w:bidi="fr-FR"/>
              </w:rPr>
            </w:pPr>
            <w:r w:rsidRPr="00B42BCE">
              <w:rPr>
                <w:rFonts w:asciiTheme="minorHAnsi" w:hAnsiTheme="minorHAnsi" w:cstheme="minorHAnsi"/>
                <w:b/>
                <w:sz w:val="22"/>
                <w:szCs w:val="22"/>
                <w:lang w:val="fr-FR" w:bidi="fr-FR"/>
              </w:rPr>
              <w:t>PME</w:t>
            </w:r>
          </w:p>
        </w:tc>
        <w:tc>
          <w:tcPr>
            <w:tcW w:w="6095" w:type="dxa"/>
            <w:shd w:val="clear" w:color="auto" w:fill="auto"/>
          </w:tcPr>
          <w:p w14:paraId="140E0FC5" w14:textId="6AA89472" w:rsidR="009F2D5A"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Petites et moyennes entreprises</w:t>
            </w:r>
          </w:p>
        </w:tc>
      </w:tr>
      <w:tr w:rsidR="009F2D5A" w:rsidRPr="00B42BCE" w14:paraId="01DFA891" w14:textId="77777777" w:rsidTr="009F2D5A">
        <w:tc>
          <w:tcPr>
            <w:tcW w:w="3261" w:type="dxa"/>
            <w:shd w:val="clear" w:color="auto" w:fill="auto"/>
          </w:tcPr>
          <w:p w14:paraId="557AD2D1" w14:textId="20CFC4BA" w:rsidR="009F2D5A" w:rsidRPr="00B42BCE" w:rsidRDefault="009F2D5A" w:rsidP="009F2D5A">
            <w:pPr>
              <w:jc w:val="both"/>
              <w:rPr>
                <w:rFonts w:asciiTheme="minorHAnsi" w:hAnsiTheme="minorHAnsi" w:cstheme="minorHAnsi"/>
                <w:b/>
                <w:sz w:val="22"/>
                <w:szCs w:val="22"/>
                <w:lang w:val="fr-FR" w:bidi="fr-FR"/>
              </w:rPr>
            </w:pPr>
            <w:r w:rsidRPr="00B42BCE">
              <w:rPr>
                <w:rFonts w:asciiTheme="minorHAnsi" w:hAnsiTheme="minorHAnsi" w:cstheme="minorHAnsi"/>
                <w:b/>
                <w:sz w:val="22"/>
                <w:szCs w:val="22"/>
                <w:lang w:val="fr-FR" w:bidi="fr-FR"/>
              </w:rPr>
              <w:t>POPP</w:t>
            </w:r>
          </w:p>
        </w:tc>
        <w:tc>
          <w:tcPr>
            <w:tcW w:w="6095" w:type="dxa"/>
            <w:shd w:val="clear" w:color="auto" w:fill="auto"/>
          </w:tcPr>
          <w:p w14:paraId="63F67B28" w14:textId="490FD590" w:rsidR="009F2D5A" w:rsidRPr="00B42BCE" w:rsidRDefault="009F2D5A" w:rsidP="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Politiques et procédures relatives aux programmes et aux opérations</w:t>
            </w:r>
          </w:p>
        </w:tc>
      </w:tr>
      <w:tr w:rsidR="008A2C43" w:rsidRPr="00B42BCE" w14:paraId="2924A695" w14:textId="77777777" w:rsidTr="009F2D5A">
        <w:tc>
          <w:tcPr>
            <w:tcW w:w="3261" w:type="dxa"/>
            <w:shd w:val="clear" w:color="auto" w:fill="auto"/>
          </w:tcPr>
          <w:p w14:paraId="567F7CD4" w14:textId="690C262E" w:rsidR="008A2C43"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b/>
                <w:sz w:val="22"/>
                <w:szCs w:val="22"/>
                <w:lang w:val="fr-FR" w:bidi="fr-FR"/>
              </w:rPr>
              <w:t>Risques liés au partenaire</w:t>
            </w:r>
          </w:p>
        </w:tc>
        <w:tc>
          <w:tcPr>
            <w:tcW w:w="6095" w:type="dxa"/>
            <w:shd w:val="clear" w:color="auto" w:fill="auto"/>
          </w:tcPr>
          <w:p w14:paraId="73E4BC9C" w14:textId="4E8CD8E2" w:rsidR="008A2C43"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Les risques liés au partenaire correspondent à l’impact potentiel du secteur d’activité et des performances de l’entreprise concernée sur le développement et le bien-être humains. Leur évaluation soulève des questions sociales, environnementales et de gouvernance</w:t>
            </w:r>
          </w:p>
        </w:tc>
      </w:tr>
      <w:tr w:rsidR="008A2C43" w:rsidRPr="00B42BCE" w14:paraId="20CFB4FC" w14:textId="77777777" w:rsidTr="009F2D5A">
        <w:tc>
          <w:tcPr>
            <w:tcW w:w="3261" w:type="dxa"/>
            <w:shd w:val="clear" w:color="auto" w:fill="auto"/>
          </w:tcPr>
          <w:p w14:paraId="7E1769FB" w14:textId="14CD2244" w:rsidR="008A2C43"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b/>
                <w:sz w:val="22"/>
                <w:szCs w:val="22"/>
                <w:lang w:val="fr-FR" w:bidi="fr-FR"/>
              </w:rPr>
              <w:t>Risques liés au partenariat</w:t>
            </w:r>
          </w:p>
        </w:tc>
        <w:tc>
          <w:tcPr>
            <w:tcW w:w="6095" w:type="dxa"/>
            <w:shd w:val="clear" w:color="auto" w:fill="auto"/>
          </w:tcPr>
          <w:p w14:paraId="6349C9CD" w14:textId="58FA0DCA" w:rsidR="008A2C43"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 xml:space="preserve">Les risques liés au partenariat varient en fonction de la nature de la collaboration avec le PNUD, de ses retombées positives sur les secteurs privé et public, et du rôle que joue le PNUD dans la </w:t>
            </w:r>
            <w:r w:rsidRPr="00B42BCE">
              <w:rPr>
                <w:rFonts w:asciiTheme="minorHAnsi" w:hAnsiTheme="minorHAnsi" w:cstheme="minorHAnsi"/>
                <w:sz w:val="22"/>
                <w:szCs w:val="22"/>
                <w:lang w:val="fr-FR" w:bidi="fr-FR"/>
              </w:rPr>
              <w:lastRenderedPageBreak/>
              <w:t>négociation, l’élaboration conjointe et/ou la mise en œuvre des activités issues de cette collaboration</w:t>
            </w:r>
          </w:p>
        </w:tc>
      </w:tr>
      <w:tr w:rsidR="009F2D5A" w:rsidRPr="00B42BCE" w14:paraId="34764FBA" w14:textId="77777777" w:rsidTr="009F2D5A">
        <w:tc>
          <w:tcPr>
            <w:tcW w:w="3261" w:type="dxa"/>
            <w:shd w:val="clear" w:color="auto" w:fill="auto"/>
          </w:tcPr>
          <w:p w14:paraId="589D15A2" w14:textId="44FB9F8F" w:rsidR="009F2D5A" w:rsidRPr="00B42BCE" w:rsidRDefault="009F2D5A">
            <w:pPr>
              <w:jc w:val="both"/>
              <w:rPr>
                <w:rFonts w:asciiTheme="minorHAnsi" w:hAnsiTheme="minorHAnsi" w:cstheme="minorHAnsi"/>
                <w:b/>
                <w:sz w:val="22"/>
                <w:szCs w:val="22"/>
                <w:lang w:val="fr-FR" w:bidi="fr-FR"/>
              </w:rPr>
            </w:pPr>
            <w:r w:rsidRPr="00B42BCE">
              <w:rPr>
                <w:rFonts w:asciiTheme="minorHAnsi" w:hAnsiTheme="minorHAnsi" w:cstheme="minorHAnsi"/>
                <w:b/>
                <w:sz w:val="22"/>
                <w:szCs w:val="22"/>
                <w:lang w:val="fr-FR" w:bidi="fr-FR"/>
              </w:rPr>
              <w:t>Services</w:t>
            </w:r>
          </w:p>
        </w:tc>
        <w:tc>
          <w:tcPr>
            <w:tcW w:w="6095" w:type="dxa"/>
            <w:shd w:val="clear" w:color="auto" w:fill="auto"/>
          </w:tcPr>
          <w:p w14:paraId="1D53D746" w14:textId="18609214" w:rsidR="009F2D5A"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Produits intangibles fournis par une entreprise (conseil, formation, accompagnement professionnel, information, etc.)</w:t>
            </w:r>
          </w:p>
        </w:tc>
      </w:tr>
      <w:tr w:rsidR="008A2C43" w:rsidRPr="00B42BCE" w14:paraId="396DC075" w14:textId="77777777" w:rsidTr="009F2D5A">
        <w:tc>
          <w:tcPr>
            <w:tcW w:w="3261" w:type="dxa"/>
            <w:shd w:val="clear" w:color="auto" w:fill="auto"/>
          </w:tcPr>
          <w:p w14:paraId="5B5EF685" w14:textId="3F73A3A8" w:rsidR="008A2C43"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b/>
                <w:sz w:val="22"/>
                <w:szCs w:val="22"/>
                <w:lang w:val="fr-FR" w:bidi="fr-FR"/>
              </w:rPr>
              <w:t>Tolérance au risque</w:t>
            </w:r>
          </w:p>
        </w:tc>
        <w:tc>
          <w:tcPr>
            <w:tcW w:w="6095" w:type="dxa"/>
            <w:shd w:val="clear" w:color="auto" w:fill="auto"/>
          </w:tcPr>
          <w:p w14:paraId="65243763" w14:textId="3B621BBD" w:rsidR="008A2C43" w:rsidRPr="00B42BCE" w:rsidRDefault="009F2D5A">
            <w:pPr>
              <w:jc w:val="both"/>
              <w:rPr>
                <w:rFonts w:asciiTheme="minorHAnsi" w:hAnsiTheme="minorHAnsi" w:cstheme="minorHAnsi"/>
                <w:sz w:val="22"/>
                <w:szCs w:val="22"/>
                <w:lang w:val="fr-FR"/>
              </w:rPr>
            </w:pPr>
            <w:r w:rsidRPr="00B42BCE">
              <w:rPr>
                <w:rFonts w:asciiTheme="minorHAnsi" w:hAnsiTheme="minorHAnsi" w:cstheme="minorHAnsi"/>
                <w:sz w:val="22"/>
                <w:szCs w:val="22"/>
                <w:lang w:val="fr-FR" w:bidi="fr-FR"/>
              </w:rPr>
              <w:t>Il s’agit de la tolérance au risque du PNUD dans le cadre de sa collaboration avec le secteur privé. Un haut degré de tolérance indique que le PNUD est prêt à prendre plus de risques que d’habitude pour récolter les fruits de la collaboration concernée. Un faible niveau de tolérance signifie au contraire que le PNUD n’est pas prêt à prendre de tels risques</w:t>
            </w:r>
          </w:p>
        </w:tc>
      </w:tr>
    </w:tbl>
    <w:p w14:paraId="24CC2B4C" w14:textId="77777777" w:rsidR="008A2C43" w:rsidRPr="00B42BCE" w:rsidRDefault="008A2C43">
      <w:pPr>
        <w:jc w:val="both"/>
        <w:rPr>
          <w:rFonts w:asciiTheme="minorHAnsi" w:hAnsiTheme="minorHAnsi" w:cstheme="minorHAnsi"/>
        </w:rPr>
        <w:sectPr w:rsidR="008A2C43" w:rsidRPr="00B42BCE" w:rsidSect="00EE2173">
          <w:pgSz w:w="11910" w:h="16840"/>
          <w:pgMar w:top="1360" w:right="800" w:bottom="280" w:left="1160" w:header="720" w:footer="388" w:gutter="0"/>
          <w:cols w:space="720"/>
        </w:sectPr>
      </w:pPr>
    </w:p>
    <w:p w14:paraId="24CC2B4D" w14:textId="77777777" w:rsidR="00474239" w:rsidRPr="00B42BCE" w:rsidRDefault="005F2731" w:rsidP="005F176C">
      <w:pPr>
        <w:pStyle w:val="Heading1"/>
        <w:numPr>
          <w:ilvl w:val="0"/>
          <w:numId w:val="19"/>
        </w:numPr>
        <w:tabs>
          <w:tab w:val="left" w:pos="1001"/>
        </w:tabs>
        <w:spacing w:before="79" w:after="240"/>
        <w:ind w:hanging="361"/>
        <w:rPr>
          <w:rFonts w:asciiTheme="minorHAnsi" w:hAnsiTheme="minorHAnsi" w:cstheme="minorHAnsi"/>
          <w:sz w:val="22"/>
          <w:szCs w:val="22"/>
        </w:rPr>
      </w:pPr>
      <w:bookmarkStart w:id="0" w:name="_Toc160629978"/>
      <w:r w:rsidRPr="00B42BCE">
        <w:rPr>
          <w:rFonts w:asciiTheme="minorHAnsi" w:hAnsiTheme="minorHAnsi" w:cstheme="minorHAnsi"/>
          <w:color w:val="365F91"/>
          <w:sz w:val="22"/>
          <w:lang w:bidi="fr-FR"/>
        </w:rPr>
        <w:lastRenderedPageBreak/>
        <w:t>Introduction</w:t>
      </w:r>
      <w:bookmarkEnd w:id="0"/>
    </w:p>
    <w:p w14:paraId="24CC2B51" w14:textId="552B968B" w:rsidR="00474239" w:rsidRPr="00B42BCE" w:rsidRDefault="4E063A27" w:rsidP="004B1126">
      <w:pPr>
        <w:spacing w:line="237" w:lineRule="auto"/>
        <w:ind w:left="280" w:right="633"/>
        <w:jc w:val="both"/>
        <w:rPr>
          <w:rFonts w:asciiTheme="minorHAnsi" w:hAnsiTheme="minorHAnsi" w:cstheme="minorHAnsi"/>
        </w:rPr>
      </w:pPr>
      <w:r w:rsidRPr="00B42BCE">
        <w:rPr>
          <w:rFonts w:asciiTheme="minorHAnsi" w:hAnsiTheme="minorHAnsi" w:cstheme="minorHAnsi"/>
          <w:lang w:bidi="fr-FR"/>
        </w:rPr>
        <w:t>Dans le cadre des décisions adoptées en 2020</w:t>
      </w:r>
      <w:r w:rsidR="005F2731" w:rsidRPr="00B42BCE">
        <w:rPr>
          <w:rStyle w:val="FootnoteReference"/>
          <w:rFonts w:asciiTheme="minorHAnsi" w:hAnsiTheme="minorHAnsi" w:cstheme="minorHAnsi"/>
          <w:lang w:bidi="fr-FR"/>
        </w:rPr>
        <w:footnoteReference w:id="2"/>
      </w:r>
      <w:r w:rsidRPr="00B42BCE">
        <w:rPr>
          <w:rFonts w:asciiTheme="minorHAnsi" w:hAnsiTheme="minorHAnsi" w:cstheme="minorHAnsi"/>
          <w:lang w:bidi="fr-FR"/>
        </w:rPr>
        <w:t>, le Conseil d’administration du PNUD accueille avec satisfaction les bons résultats obtenus en matière de mobilisation de ressources et encourage l’organisation à élargir sa base de contributeurs, conformément au pacte de financement du Secrétaire général, notamment en surmontant les obstacles juridiques et divers qui subsistent pour améliorer sa coopération avec le secteur privé. La présente politique en matière de diligence raisonnable et de partenariats avec le secteur privé, complétée par l’outil d’évaluation des risques et par les lignes directrices correspondantes (2023), a pour objectif de renforcer les capacités de gestion des risques du PNUD, dans la perspective d’une collaboration accrue avec le secteur privé</w:t>
      </w:r>
      <w:r w:rsidR="00FA396F" w:rsidRPr="00B42BCE">
        <w:rPr>
          <w:rStyle w:val="FootnoteReference"/>
          <w:rFonts w:asciiTheme="minorHAnsi" w:hAnsiTheme="minorHAnsi" w:cstheme="minorHAnsi"/>
          <w:lang w:bidi="fr-FR"/>
        </w:rPr>
        <w:footnoteReference w:id="3"/>
      </w:r>
      <w:r w:rsidRPr="00B42BCE">
        <w:rPr>
          <w:rFonts w:asciiTheme="minorHAnsi" w:hAnsiTheme="minorHAnsi" w:cstheme="minorHAnsi"/>
          <w:lang w:bidi="fr-FR"/>
        </w:rPr>
        <w:t>.</w:t>
      </w:r>
    </w:p>
    <w:p w14:paraId="24CC2B52" w14:textId="77777777" w:rsidR="00474239" w:rsidRPr="00B42BCE" w:rsidRDefault="005F2731" w:rsidP="00AB661E">
      <w:pPr>
        <w:pStyle w:val="BodyText"/>
        <w:spacing w:before="240"/>
        <w:ind w:left="280" w:right="635"/>
        <w:jc w:val="both"/>
        <w:rPr>
          <w:rFonts w:asciiTheme="minorHAnsi" w:hAnsiTheme="minorHAnsi" w:cstheme="minorHAnsi"/>
        </w:rPr>
      </w:pPr>
      <w:r w:rsidRPr="00B42BCE">
        <w:rPr>
          <w:rFonts w:asciiTheme="minorHAnsi" w:hAnsiTheme="minorHAnsi" w:cstheme="minorHAnsi"/>
          <w:lang w:bidi="fr-FR"/>
        </w:rPr>
        <w:t>Le PNUD a œuvré aux côtés du secteur privé pendant plusieurs décennies mais, depuis quelques années, le rôle de ce dernier dans la réalisation des objectifs de développement durable fait l’objet d’une reconnaissance accrue. Il appartient donc au PNUD de renforcer ses efforts en faveur d’une coopération plus systématique et collaborative avec les acteurs privés.</w:t>
      </w:r>
    </w:p>
    <w:p w14:paraId="1CF6C934" w14:textId="2C10F845" w:rsidR="00F03DB2" w:rsidRPr="00B42BCE" w:rsidRDefault="00F03DB2">
      <w:pPr>
        <w:pStyle w:val="BodyText"/>
        <w:ind w:left="280" w:right="634"/>
        <w:jc w:val="both"/>
        <w:rPr>
          <w:rFonts w:asciiTheme="minorHAnsi" w:hAnsiTheme="minorHAnsi" w:cstheme="minorHAnsi"/>
        </w:rPr>
      </w:pPr>
    </w:p>
    <w:p w14:paraId="673223B9" w14:textId="52704FED" w:rsidR="00F03DB2" w:rsidRPr="00B42BCE" w:rsidRDefault="00F03DB2" w:rsidP="00F03DB2">
      <w:pPr>
        <w:pStyle w:val="BodyText"/>
        <w:ind w:left="280" w:right="634"/>
        <w:jc w:val="both"/>
        <w:rPr>
          <w:rFonts w:asciiTheme="minorHAnsi" w:hAnsiTheme="minorHAnsi" w:cstheme="minorHAnsi"/>
        </w:rPr>
      </w:pPr>
      <w:r w:rsidRPr="00B42BCE">
        <w:rPr>
          <w:rFonts w:asciiTheme="minorHAnsi" w:hAnsiTheme="minorHAnsi" w:cstheme="minorHAnsi"/>
          <w:lang w:bidi="fr-FR"/>
        </w:rPr>
        <w:t>Cette politique a fait l’objet d’une révision à des fins de conformité avec l’approche commune aux entités membres du Groupe des Nations Unies pour le développement durable (GNUDD) et avec la politique de gestion du risque institutionnel du PNUD. Les principaux changements apportés sont les suivants :</w:t>
      </w:r>
    </w:p>
    <w:p w14:paraId="53E92689" w14:textId="112954B1" w:rsidR="00F03DB2" w:rsidRPr="00B42BCE" w:rsidRDefault="00F03DB2" w:rsidP="00F03DB2">
      <w:pPr>
        <w:pStyle w:val="BodyText"/>
        <w:numPr>
          <w:ilvl w:val="0"/>
          <w:numId w:val="26"/>
        </w:numPr>
        <w:ind w:right="634"/>
        <w:jc w:val="both"/>
        <w:rPr>
          <w:rFonts w:asciiTheme="minorHAnsi" w:hAnsiTheme="minorHAnsi" w:cstheme="minorHAnsi"/>
        </w:rPr>
      </w:pPr>
      <w:r w:rsidRPr="00B42BCE">
        <w:rPr>
          <w:rFonts w:asciiTheme="minorHAnsi" w:hAnsiTheme="minorHAnsi" w:cstheme="minorHAnsi"/>
          <w:lang w:bidi="fr-FR"/>
        </w:rPr>
        <w:t>L’éventail des mesures de diligence raisonnable à mettre en œuvre, c’est-à-dire le nombre de sections à prendre en compte dans l’outil d’évaluation des risques, a été modifié à des fins de conformité avec l’approche commune aux entités membres du Groupe des Nations Unies pour le développement durable dans ce domaine. Il est désormais possible de choisir entre trois processus de diligence raisonnable (sommaire, standard et renforcé), en fonction du type d’accord juridique et du type d’entité privée concernés.</w:t>
      </w:r>
    </w:p>
    <w:p w14:paraId="5A2698A4" w14:textId="4456FB51" w:rsidR="00F03DB2" w:rsidRPr="00B42BCE" w:rsidRDefault="00F03DB2" w:rsidP="00F03DB2">
      <w:pPr>
        <w:pStyle w:val="BodyText"/>
        <w:numPr>
          <w:ilvl w:val="0"/>
          <w:numId w:val="26"/>
        </w:numPr>
        <w:ind w:right="634"/>
        <w:jc w:val="both"/>
        <w:rPr>
          <w:rFonts w:asciiTheme="minorHAnsi" w:hAnsiTheme="minorHAnsi" w:cstheme="minorHAnsi"/>
        </w:rPr>
      </w:pPr>
      <w:r w:rsidRPr="00B42BCE">
        <w:rPr>
          <w:rFonts w:asciiTheme="minorHAnsi" w:hAnsiTheme="minorHAnsi" w:cstheme="minorHAnsi"/>
          <w:lang w:bidi="fr-FR"/>
        </w:rPr>
        <w:t>Les niveaux de risque de l’outil d’évaluation des risques sont désormais alignés sur la politique de gestion du risque institutionnel du PNUD. On en distingue dorénavant quatre (faible, modéré, significatif et élevé).</w:t>
      </w:r>
    </w:p>
    <w:p w14:paraId="66B938EB" w14:textId="7A636BEC" w:rsidR="00F03DB2" w:rsidRPr="00B42BCE" w:rsidRDefault="00F03DB2" w:rsidP="00F03DB2">
      <w:pPr>
        <w:pStyle w:val="BodyText"/>
        <w:numPr>
          <w:ilvl w:val="0"/>
          <w:numId w:val="26"/>
        </w:numPr>
        <w:ind w:right="634"/>
        <w:jc w:val="both"/>
        <w:rPr>
          <w:rFonts w:asciiTheme="minorHAnsi" w:hAnsiTheme="minorHAnsi" w:cstheme="minorHAnsi"/>
        </w:rPr>
      </w:pPr>
      <w:r w:rsidRPr="00B42BCE">
        <w:rPr>
          <w:rFonts w:asciiTheme="minorHAnsi" w:hAnsiTheme="minorHAnsi" w:cstheme="minorHAnsi"/>
          <w:lang w:bidi="fr-FR"/>
        </w:rPr>
        <w:t>Le dispositif d’assurance qualité a été élargi, de manière à mobiliser pleinement les capacités de l’organisation et à réduire le nombre de dossiers soumis à l’appréciation du comité sur la diligence raisonnable du secteur privé au niveau du siège. Conformément au principe de la deuxième ligne de maîtrise du PNUD, des comités sur la diligence raisonnable du secteur privé ont été créés au niveau du siège, des bureaux de pays et des bureaux régionaux. Ces comités exerceront des fonctions d’appui technique et de supervision à l’échelle locale dans le cadre de la mise en œuvre de la politique en matière de diligence raisonnable du secteur privé et de l’outil d’évaluation des risques.</w:t>
      </w:r>
    </w:p>
    <w:p w14:paraId="327CBB14" w14:textId="44E70F06" w:rsidR="00F03DB2" w:rsidRPr="00B42BCE" w:rsidRDefault="00F03DB2" w:rsidP="00F03DB2">
      <w:pPr>
        <w:pStyle w:val="BodyText"/>
        <w:numPr>
          <w:ilvl w:val="0"/>
          <w:numId w:val="26"/>
        </w:numPr>
        <w:ind w:right="634"/>
        <w:jc w:val="both"/>
        <w:rPr>
          <w:rFonts w:asciiTheme="minorHAnsi" w:hAnsiTheme="minorHAnsi" w:cstheme="minorHAnsi"/>
        </w:rPr>
      </w:pPr>
      <w:r w:rsidRPr="00B42BCE">
        <w:rPr>
          <w:rFonts w:asciiTheme="minorHAnsi" w:hAnsiTheme="minorHAnsi" w:cstheme="minorHAnsi"/>
          <w:lang w:bidi="fr-FR"/>
        </w:rPr>
        <w:t>En matière de prise de décisions, la répartition des responsabilités dépend du niveau de risque identifié par l’outil d’évaluation des risques. Ces responsabilités, clairement définies, concernent principalement les directeurs d</w:t>
      </w:r>
      <w:r w:rsidR="00582806" w:rsidRPr="00B42BCE">
        <w:rPr>
          <w:rFonts w:asciiTheme="minorHAnsi" w:hAnsiTheme="minorHAnsi" w:cstheme="minorHAnsi"/>
          <w:lang w:bidi="fr-FR"/>
        </w:rPr>
        <w:t>es</w:t>
      </w:r>
      <w:r w:rsidRPr="00B42BCE">
        <w:rPr>
          <w:rFonts w:asciiTheme="minorHAnsi" w:hAnsiTheme="minorHAnsi" w:cstheme="minorHAnsi"/>
          <w:lang w:bidi="fr-FR"/>
        </w:rPr>
        <w:t xml:space="preserve"> bureaux central et régionaux, qui prennent l’ensemble des décisions relatives aux partenariats présentant un risque modéré ou significatif. Le comité des risques sera informé de l’ensemble des projets de partenariat présentant un niveau de risque modéré ou supérieur, et décidera seul de chaque projet présentant un niveau de risque élevé. </w:t>
      </w:r>
    </w:p>
    <w:p w14:paraId="19BE11B6" w14:textId="3119EB13" w:rsidR="00F03DB2" w:rsidRPr="00B42BCE" w:rsidRDefault="00F03DB2" w:rsidP="00F03DB2">
      <w:pPr>
        <w:pStyle w:val="BodyText"/>
        <w:numPr>
          <w:ilvl w:val="0"/>
          <w:numId w:val="26"/>
        </w:numPr>
        <w:ind w:right="634"/>
        <w:jc w:val="both"/>
        <w:rPr>
          <w:rFonts w:asciiTheme="minorHAnsi" w:hAnsiTheme="minorHAnsi" w:cstheme="minorHAnsi"/>
        </w:rPr>
      </w:pPr>
      <w:r w:rsidRPr="00B42BCE">
        <w:rPr>
          <w:rFonts w:asciiTheme="minorHAnsi" w:hAnsiTheme="minorHAnsi" w:cstheme="minorHAnsi"/>
          <w:lang w:bidi="fr-FR"/>
        </w:rPr>
        <w:t xml:space="preserve">Au moins une fois par an, les partenariats feront l’objet d’un suivi des risques dont la fréquence pourra varier en fonction du niveau de risque initial. </w:t>
      </w:r>
    </w:p>
    <w:p w14:paraId="01B1A2CB" w14:textId="4666BC6E" w:rsidR="00F03DB2" w:rsidRDefault="00F03DB2" w:rsidP="00F03DB2">
      <w:pPr>
        <w:pStyle w:val="BodyText"/>
        <w:numPr>
          <w:ilvl w:val="0"/>
          <w:numId w:val="26"/>
        </w:numPr>
        <w:ind w:right="634"/>
        <w:jc w:val="both"/>
        <w:rPr>
          <w:rFonts w:asciiTheme="minorHAnsi" w:hAnsiTheme="minorHAnsi" w:cstheme="minorHAnsi"/>
        </w:rPr>
      </w:pPr>
      <w:r w:rsidRPr="00B42BCE">
        <w:rPr>
          <w:rFonts w:asciiTheme="minorHAnsi" w:hAnsiTheme="minorHAnsi" w:cstheme="minorHAnsi"/>
          <w:lang w:bidi="fr-FR"/>
        </w:rPr>
        <w:lastRenderedPageBreak/>
        <w:t xml:space="preserve">Le processus de diligence raisonnable fera l’objet de vérifications ponctuelles effectuées dans le cadre de la troisième ligne de maîtrise. Ce mécanisme fonctionnera comme un dispositif d’assurance qualité indépendant, chargé d’examiner à la fois les vérifications effectuées par le personnel de direction (première ligne de maîtrise) et les activités de suivi portant sur ces vérifications (deuxième ligne de maîtrise). Les bureaux régionaux se chargeront de vérifier ponctuellement les processus de diligence raisonnable mis en œuvre par les bureaux de pays, et le groupe </w:t>
      </w:r>
      <w:r w:rsidR="005C006F">
        <w:rPr>
          <w:rFonts w:asciiTheme="minorHAnsi" w:hAnsiTheme="minorHAnsi" w:cstheme="minorHAnsi"/>
          <w:lang w:bidi="fr-FR"/>
        </w:rPr>
        <w:t>de</w:t>
      </w:r>
      <w:r w:rsidR="005C006F" w:rsidRPr="00B42BCE">
        <w:rPr>
          <w:rFonts w:asciiTheme="minorHAnsi" w:hAnsiTheme="minorHAnsi" w:cstheme="minorHAnsi"/>
          <w:lang w:bidi="fr-FR"/>
        </w:rPr>
        <w:t xml:space="preserve"> </w:t>
      </w:r>
      <w:r w:rsidRPr="00B42BCE">
        <w:rPr>
          <w:rFonts w:asciiTheme="minorHAnsi" w:hAnsiTheme="minorHAnsi" w:cstheme="minorHAnsi"/>
          <w:lang w:bidi="fr-FR"/>
        </w:rPr>
        <w:t>l’efficacité du Bureau d</w:t>
      </w:r>
      <w:r w:rsidR="005C006F">
        <w:rPr>
          <w:rFonts w:asciiTheme="minorHAnsi" w:hAnsiTheme="minorHAnsi" w:cstheme="minorHAnsi"/>
          <w:lang w:bidi="fr-FR"/>
        </w:rPr>
        <w:t xml:space="preserve">’appui aux politiques et programmes (BPPS) du PNUD </w:t>
      </w:r>
      <w:r w:rsidRPr="00B42BCE">
        <w:rPr>
          <w:rFonts w:asciiTheme="minorHAnsi" w:hAnsiTheme="minorHAnsi" w:cstheme="minorHAnsi"/>
          <w:lang w:bidi="fr-FR"/>
        </w:rPr>
        <w:t xml:space="preserve">procédera à une évaluation indépendante de la conformité aux procédures de diligence raisonnable à l’échelle mondiale. Ces vérifications ponctuelles permettront de confirmer que le processus de diligence raisonnable a été mené dans le respect de la politique et des lignes directrices correspondantes, et que les mécanismes d’évaluation et de traitement des risques liés au partenaire font l’objet d’un suivi opérationnel. </w:t>
      </w:r>
    </w:p>
    <w:p w14:paraId="411CA85C" w14:textId="77777777" w:rsidR="005C006F" w:rsidRPr="00B42BCE" w:rsidRDefault="005C006F" w:rsidP="00F03DB2">
      <w:pPr>
        <w:pStyle w:val="BodyText"/>
        <w:numPr>
          <w:ilvl w:val="0"/>
          <w:numId w:val="26"/>
        </w:numPr>
        <w:ind w:right="634"/>
        <w:jc w:val="both"/>
        <w:rPr>
          <w:rFonts w:asciiTheme="minorHAnsi" w:hAnsiTheme="minorHAnsi" w:cstheme="minorHAnsi"/>
        </w:rPr>
      </w:pPr>
    </w:p>
    <w:p w14:paraId="221133ED" w14:textId="0B4AE2E1" w:rsidR="00F03DB2" w:rsidRDefault="00F03DB2" w:rsidP="00431D2E">
      <w:pPr>
        <w:pStyle w:val="BodyText"/>
        <w:spacing w:after="240"/>
        <w:ind w:left="280" w:right="634"/>
        <w:jc w:val="both"/>
        <w:rPr>
          <w:rFonts w:asciiTheme="minorHAnsi" w:hAnsiTheme="minorHAnsi" w:cstheme="minorHAnsi"/>
          <w:lang w:bidi="fr-FR"/>
        </w:rPr>
      </w:pPr>
      <w:r w:rsidRPr="00B42BCE">
        <w:rPr>
          <w:rFonts w:asciiTheme="minorHAnsi" w:hAnsiTheme="minorHAnsi" w:cstheme="minorHAnsi"/>
          <w:lang w:bidi="fr-FR"/>
        </w:rPr>
        <w:t xml:space="preserve">Des discussions sont en cours au sujet de la collaboration du PNUD avec les industries extractives. La présente politique et les outils correspondants seront mis à jour de manière </w:t>
      </w:r>
      <w:r w:rsidR="005C006F">
        <w:rPr>
          <w:rFonts w:asciiTheme="minorHAnsi" w:hAnsiTheme="minorHAnsi" w:cstheme="minorHAnsi"/>
          <w:lang w:bidi="fr-FR"/>
        </w:rPr>
        <w:t xml:space="preserve">à </w:t>
      </w:r>
      <w:r w:rsidRPr="00B42BCE">
        <w:rPr>
          <w:rFonts w:asciiTheme="minorHAnsi" w:hAnsiTheme="minorHAnsi" w:cstheme="minorHAnsi"/>
          <w:lang w:bidi="fr-FR"/>
        </w:rPr>
        <w:t>refléter les conséquences de ces discussions.</w:t>
      </w:r>
    </w:p>
    <w:p w14:paraId="24CC2B56" w14:textId="77777777" w:rsidR="00474239" w:rsidRPr="00B42BCE" w:rsidRDefault="005F2731">
      <w:pPr>
        <w:pStyle w:val="Heading1"/>
        <w:numPr>
          <w:ilvl w:val="0"/>
          <w:numId w:val="19"/>
        </w:numPr>
        <w:tabs>
          <w:tab w:val="left" w:pos="1001"/>
        </w:tabs>
        <w:ind w:hanging="361"/>
        <w:rPr>
          <w:rFonts w:asciiTheme="minorHAnsi" w:hAnsiTheme="minorHAnsi" w:cstheme="minorHAnsi"/>
          <w:sz w:val="22"/>
          <w:szCs w:val="22"/>
        </w:rPr>
      </w:pPr>
      <w:bookmarkStart w:id="1" w:name="_Toc160629979"/>
      <w:r w:rsidRPr="00B42BCE">
        <w:rPr>
          <w:rFonts w:asciiTheme="minorHAnsi" w:hAnsiTheme="minorHAnsi" w:cstheme="minorHAnsi"/>
          <w:color w:val="365F91"/>
          <w:sz w:val="22"/>
          <w:lang w:bidi="fr-FR"/>
        </w:rPr>
        <w:t>Objectifs de la politique</w:t>
      </w:r>
      <w:bookmarkEnd w:id="1"/>
    </w:p>
    <w:p w14:paraId="1F840421" w14:textId="0E00B7D1" w:rsidR="004D4AE9" w:rsidRPr="00B42BCE" w:rsidRDefault="005F2731">
      <w:pPr>
        <w:pStyle w:val="BodyText"/>
        <w:spacing w:before="114"/>
        <w:ind w:left="280" w:right="634"/>
        <w:jc w:val="both"/>
        <w:rPr>
          <w:rFonts w:asciiTheme="minorHAnsi" w:hAnsiTheme="minorHAnsi" w:cstheme="minorHAnsi"/>
        </w:rPr>
      </w:pPr>
      <w:r w:rsidRPr="00B42BCE">
        <w:rPr>
          <w:rFonts w:asciiTheme="minorHAnsi" w:hAnsiTheme="minorHAnsi" w:cstheme="minorHAnsi"/>
          <w:lang w:bidi="fr-FR"/>
        </w:rPr>
        <w:t>Le contexte de développement évolue et le rôle croissant qu’y joue le secteur privé ouvre de nouvelles perspectives, mais génère également de nouveaux risques. Alors qu’il envisage de renforcer sa collaboration avec le secteur privé, le PNUD doit tenir compte des risques éventuels pour sa réputation.</w:t>
      </w:r>
    </w:p>
    <w:p w14:paraId="24CC2B59" w14:textId="01E999B5" w:rsidR="00474239" w:rsidRPr="00B42BCE" w:rsidRDefault="005F2731" w:rsidP="006932F1">
      <w:pPr>
        <w:pStyle w:val="BodyText"/>
        <w:spacing w:before="240"/>
        <w:ind w:left="280" w:right="634"/>
        <w:jc w:val="both"/>
        <w:rPr>
          <w:rFonts w:asciiTheme="minorHAnsi" w:hAnsiTheme="minorHAnsi" w:cstheme="minorHAnsi"/>
        </w:rPr>
      </w:pPr>
      <w:r w:rsidRPr="00B42BCE">
        <w:rPr>
          <w:rFonts w:asciiTheme="minorHAnsi" w:hAnsiTheme="minorHAnsi" w:cstheme="minorHAnsi"/>
          <w:lang w:bidi="fr-FR"/>
        </w:rPr>
        <w:t>Cette politique a pour objectif de faciliter la prise en compte des risques dans les processus décisionnels relatifs aux partenariats avec le secteur privé. Il s’agit de s’assurer que ces partenariats s’inscrivent dans une approche à la fois efficace, innovante et fondée sur des principes, combinant la gestion des risques et la protection de l’intégrité et de l’indépendance du PNUD.</w:t>
      </w:r>
    </w:p>
    <w:p w14:paraId="24CC2B5A" w14:textId="77777777" w:rsidR="00474239" w:rsidRPr="00B42BCE" w:rsidRDefault="00474239">
      <w:pPr>
        <w:pStyle w:val="BodyText"/>
        <w:rPr>
          <w:rFonts w:asciiTheme="minorHAnsi" w:hAnsiTheme="minorHAnsi" w:cstheme="minorHAnsi"/>
        </w:rPr>
      </w:pPr>
    </w:p>
    <w:p w14:paraId="24CC2B5B" w14:textId="2633B19D" w:rsidR="00474239" w:rsidRPr="00B42BCE" w:rsidRDefault="005F2731">
      <w:pPr>
        <w:pStyle w:val="BodyText"/>
        <w:ind w:left="280" w:right="643"/>
        <w:jc w:val="both"/>
        <w:rPr>
          <w:rFonts w:asciiTheme="minorHAnsi" w:hAnsiTheme="minorHAnsi" w:cstheme="minorHAnsi"/>
        </w:rPr>
      </w:pPr>
      <w:r w:rsidRPr="00B42BCE">
        <w:rPr>
          <w:rFonts w:asciiTheme="minorHAnsi" w:hAnsiTheme="minorHAnsi" w:cstheme="minorHAnsi"/>
          <w:lang w:bidi="fr-FR"/>
        </w:rPr>
        <w:t>La politique présente les critères d’évaluation et de sélection des partenaires du PNUD, ainsi que les principes qui garantiront la collaboration responsable de l’organisation avec ces derniers.</w:t>
      </w:r>
    </w:p>
    <w:p w14:paraId="24CC2B5C" w14:textId="77777777" w:rsidR="00474239" w:rsidRPr="00B42BCE" w:rsidRDefault="00474239" w:rsidP="008A3142">
      <w:pPr>
        <w:pStyle w:val="BodyText"/>
        <w:ind w:left="280" w:right="636"/>
        <w:jc w:val="both"/>
        <w:rPr>
          <w:rFonts w:asciiTheme="minorHAnsi" w:hAnsiTheme="minorHAnsi" w:cstheme="minorHAnsi"/>
        </w:rPr>
      </w:pPr>
    </w:p>
    <w:p w14:paraId="24CC2B5D" w14:textId="16A66A75" w:rsidR="00474239" w:rsidRPr="00B42BCE" w:rsidRDefault="005F2731">
      <w:pPr>
        <w:pStyle w:val="BodyText"/>
        <w:ind w:left="280" w:right="636"/>
        <w:jc w:val="both"/>
        <w:rPr>
          <w:rFonts w:asciiTheme="minorHAnsi" w:hAnsiTheme="minorHAnsi" w:cstheme="minorHAnsi"/>
        </w:rPr>
      </w:pPr>
      <w:r w:rsidRPr="00B42BCE">
        <w:rPr>
          <w:rFonts w:asciiTheme="minorHAnsi" w:hAnsiTheme="minorHAnsi" w:cstheme="minorHAnsi"/>
          <w:lang w:bidi="fr-FR"/>
        </w:rPr>
        <w:t xml:space="preserve">La politique permettra également au PNUD de s’assurer que sa gestion des risques liés à la collaboration avec des acteurs privés est conforme à </w:t>
      </w:r>
      <w:hyperlink r:id="rId13" w:history="1">
        <w:r w:rsidR="002447B2" w:rsidRPr="00B42BCE">
          <w:rPr>
            <w:rFonts w:asciiTheme="minorHAnsi" w:hAnsiTheme="minorHAnsi" w:cstheme="minorHAnsi"/>
            <w:lang w:bidi="fr-FR"/>
          </w:rPr>
          <w:t>l</w:t>
        </w:r>
        <w:r w:rsidR="002447B2" w:rsidRPr="00B42BCE">
          <w:rPr>
            <w:rStyle w:val="Hyperlink"/>
            <w:rFonts w:asciiTheme="minorHAnsi" w:hAnsiTheme="minorHAnsi" w:cstheme="minorHAnsi"/>
          </w:rPr>
          <w:t>’approche commune aux entités membres du Groupe des Nations Unies pour le développement durable en matière de recherche prospective et de diligence raisonnable dans le cadre des partenariats avec le secteur privé</w:t>
        </w:r>
      </w:hyperlink>
      <w:r w:rsidR="00083AF0" w:rsidRPr="00B42BCE">
        <w:rPr>
          <w:rFonts w:asciiTheme="minorHAnsi" w:hAnsiTheme="minorHAnsi" w:cstheme="minorHAnsi"/>
          <w:lang w:bidi="fr-FR"/>
        </w:rPr>
        <w:t xml:space="preserve"> (en anglais)</w:t>
      </w:r>
      <w:r w:rsidRPr="00B42BCE">
        <w:rPr>
          <w:rFonts w:asciiTheme="minorHAnsi" w:hAnsiTheme="minorHAnsi" w:cstheme="minorHAnsi"/>
          <w:lang w:bidi="fr-FR"/>
        </w:rPr>
        <w:t xml:space="preserve">, à la </w:t>
      </w:r>
      <w:hyperlink r:id="rId14" w:history="1">
        <w:r w:rsidR="002447B2" w:rsidRPr="00B42BCE">
          <w:rPr>
            <w:rStyle w:val="Hyperlink"/>
            <w:rFonts w:asciiTheme="minorHAnsi" w:hAnsiTheme="minorHAnsi" w:cstheme="minorHAnsi"/>
            <w:lang w:bidi="fr-FR"/>
          </w:rPr>
          <w:t>politique du PNUD en matière de partenariats avec le secteur privé</w:t>
        </w:r>
      </w:hyperlink>
      <w:r w:rsidRPr="00B42BCE">
        <w:rPr>
          <w:rFonts w:asciiTheme="minorHAnsi" w:hAnsiTheme="minorHAnsi" w:cstheme="minorHAnsi"/>
          <w:lang w:bidi="fr-FR"/>
        </w:rPr>
        <w:t xml:space="preserve"> et à la </w:t>
      </w:r>
      <w:hyperlink r:id="rId15" w:history="1">
        <w:r w:rsidR="002447B2" w:rsidRPr="00B42BCE">
          <w:rPr>
            <w:rStyle w:val="Hyperlink"/>
            <w:rFonts w:asciiTheme="minorHAnsi" w:hAnsiTheme="minorHAnsi" w:cstheme="minorHAnsi"/>
            <w:lang w:bidi="fr-FR"/>
          </w:rPr>
          <w:t>politique de gestion du risque institutionnel du PNUD</w:t>
        </w:r>
      </w:hyperlink>
      <w:r w:rsidRPr="00B42BCE">
        <w:rPr>
          <w:rFonts w:asciiTheme="minorHAnsi" w:hAnsiTheme="minorHAnsi" w:cstheme="minorHAnsi"/>
          <w:lang w:bidi="fr-FR"/>
        </w:rPr>
        <w:t>.</w:t>
      </w:r>
    </w:p>
    <w:p w14:paraId="4C690BF4" w14:textId="2CE0E7A2" w:rsidR="00A34C16" w:rsidRPr="00B42BCE" w:rsidRDefault="00A34C16">
      <w:pPr>
        <w:pStyle w:val="BodyText"/>
        <w:ind w:left="280" w:right="636"/>
        <w:jc w:val="both"/>
        <w:rPr>
          <w:rFonts w:asciiTheme="minorHAnsi" w:hAnsiTheme="minorHAnsi" w:cstheme="minorHAnsi"/>
        </w:rPr>
      </w:pPr>
    </w:p>
    <w:p w14:paraId="4B22EA46" w14:textId="2FF84873" w:rsidR="00A34C16" w:rsidRPr="00B42BCE" w:rsidRDefault="00A34C16">
      <w:pPr>
        <w:pStyle w:val="BodyText"/>
        <w:ind w:left="280" w:right="636"/>
        <w:jc w:val="both"/>
        <w:rPr>
          <w:rFonts w:asciiTheme="minorHAnsi" w:hAnsiTheme="minorHAnsi" w:cstheme="minorHAnsi"/>
        </w:rPr>
      </w:pPr>
      <w:r w:rsidRPr="00B42BCE">
        <w:rPr>
          <w:rFonts w:asciiTheme="minorHAnsi" w:hAnsiTheme="minorHAnsi" w:cstheme="minorHAnsi"/>
          <w:lang w:bidi="fr-FR"/>
        </w:rPr>
        <w:t xml:space="preserve">La procédure générale de développement et de gestion des partenariats avec le secteur privé est présentée en détail dans la </w:t>
      </w:r>
      <w:hyperlink r:id="rId16" w:history="1">
        <w:r w:rsidR="00871871" w:rsidRPr="00B42BCE">
          <w:rPr>
            <w:rStyle w:val="Hyperlink"/>
            <w:rFonts w:asciiTheme="minorHAnsi" w:hAnsiTheme="minorHAnsi" w:cstheme="minorHAnsi"/>
            <w:lang w:bidi="fr-FR"/>
          </w:rPr>
          <w:t>section des POPP consacrée au secteur privé</w:t>
        </w:r>
      </w:hyperlink>
      <w:r w:rsidRPr="00B42BCE">
        <w:rPr>
          <w:rFonts w:asciiTheme="minorHAnsi" w:hAnsiTheme="minorHAnsi" w:cstheme="minorHAnsi"/>
          <w:lang w:bidi="fr-FR"/>
        </w:rPr>
        <w:t>. Le processus de diligence raisonnable fait partie intégrante de l’étape consistant à « évaluer les partenariats avec le secteur privé ».</w:t>
      </w:r>
    </w:p>
    <w:p w14:paraId="24CC2B5E" w14:textId="77777777" w:rsidR="00474239" w:rsidRPr="00B42BCE" w:rsidRDefault="00474239">
      <w:pPr>
        <w:pStyle w:val="BodyText"/>
        <w:spacing w:before="3"/>
        <w:rPr>
          <w:rFonts w:asciiTheme="minorHAnsi" w:hAnsiTheme="minorHAnsi" w:cstheme="minorHAnsi"/>
        </w:rPr>
      </w:pPr>
    </w:p>
    <w:p w14:paraId="24CC2B5F" w14:textId="1167099A" w:rsidR="00474239" w:rsidRPr="00B42BCE" w:rsidRDefault="005F2731">
      <w:pPr>
        <w:pStyle w:val="Heading1"/>
        <w:numPr>
          <w:ilvl w:val="0"/>
          <w:numId w:val="19"/>
        </w:numPr>
        <w:tabs>
          <w:tab w:val="left" w:pos="1001"/>
        </w:tabs>
        <w:spacing w:before="0"/>
        <w:ind w:hanging="361"/>
        <w:rPr>
          <w:rFonts w:asciiTheme="minorHAnsi" w:hAnsiTheme="minorHAnsi" w:cstheme="minorHAnsi"/>
          <w:sz w:val="22"/>
          <w:szCs w:val="22"/>
        </w:rPr>
      </w:pPr>
      <w:bookmarkStart w:id="2" w:name="_Toc160629980"/>
      <w:r w:rsidRPr="00B42BCE">
        <w:rPr>
          <w:rFonts w:asciiTheme="minorHAnsi" w:hAnsiTheme="minorHAnsi" w:cstheme="minorHAnsi"/>
          <w:color w:val="365F91"/>
          <w:sz w:val="22"/>
          <w:lang w:bidi="fr-FR"/>
        </w:rPr>
        <w:t>Politique en matière de diligence raisonnable</w:t>
      </w:r>
      <w:bookmarkEnd w:id="2"/>
    </w:p>
    <w:p w14:paraId="605843D7" w14:textId="43A79A60" w:rsidR="009E0891" w:rsidRPr="00B42BCE" w:rsidRDefault="009E0891" w:rsidP="00871871">
      <w:pPr>
        <w:pStyle w:val="Heading2"/>
        <w:numPr>
          <w:ilvl w:val="1"/>
          <w:numId w:val="15"/>
        </w:numPr>
        <w:tabs>
          <w:tab w:val="left" w:pos="1015"/>
        </w:tabs>
        <w:spacing w:before="240"/>
        <w:rPr>
          <w:rFonts w:asciiTheme="minorHAnsi" w:hAnsiTheme="minorHAnsi" w:cstheme="minorHAnsi"/>
        </w:rPr>
      </w:pPr>
      <w:bookmarkStart w:id="3" w:name="_Toc160629981"/>
      <w:r w:rsidRPr="00B42BCE">
        <w:rPr>
          <w:rFonts w:asciiTheme="minorHAnsi" w:hAnsiTheme="minorHAnsi" w:cstheme="minorHAnsi"/>
          <w:lang w:bidi="fr-FR"/>
        </w:rPr>
        <w:t>Champ d’application de la politique</w:t>
      </w:r>
      <w:bookmarkEnd w:id="3"/>
    </w:p>
    <w:p w14:paraId="24CC2B60" w14:textId="77777777" w:rsidR="00474239" w:rsidRPr="00B42BCE" w:rsidRDefault="005F2731" w:rsidP="00871871">
      <w:pPr>
        <w:pStyle w:val="BodyText"/>
        <w:spacing w:before="240"/>
        <w:ind w:left="280" w:right="635"/>
        <w:jc w:val="both"/>
        <w:rPr>
          <w:rFonts w:asciiTheme="minorHAnsi" w:hAnsiTheme="minorHAnsi" w:cstheme="minorHAnsi"/>
        </w:rPr>
      </w:pPr>
      <w:r w:rsidRPr="00B42BCE">
        <w:rPr>
          <w:rFonts w:asciiTheme="minorHAnsi" w:hAnsiTheme="minorHAnsi" w:cstheme="minorHAnsi"/>
          <w:lang w:bidi="fr-FR"/>
        </w:rPr>
        <w:t>Le PNUD s’efforcera de collaborer avec des entreprises privées engagées en faveur des causes et des valeurs fondamentales des Nations Unies, et dont les diverses activités, notamment commerciales, sont compatibles avec les valeurs, la mission et l’image du PNUD.</w:t>
      </w:r>
    </w:p>
    <w:p w14:paraId="24CC2B61" w14:textId="77777777" w:rsidR="00474239" w:rsidRPr="00B42BCE" w:rsidRDefault="00474239">
      <w:pPr>
        <w:pStyle w:val="BodyText"/>
        <w:spacing w:before="11"/>
        <w:rPr>
          <w:rFonts w:asciiTheme="minorHAnsi" w:hAnsiTheme="minorHAnsi" w:cstheme="minorHAnsi"/>
        </w:rPr>
      </w:pPr>
    </w:p>
    <w:p w14:paraId="24CC2B62" w14:textId="77777777" w:rsidR="00474239" w:rsidRPr="00B42BCE" w:rsidRDefault="005F2731">
      <w:pPr>
        <w:pStyle w:val="BodyText"/>
        <w:ind w:left="280"/>
        <w:jc w:val="both"/>
        <w:rPr>
          <w:rFonts w:asciiTheme="minorHAnsi" w:hAnsiTheme="minorHAnsi" w:cstheme="minorHAnsi"/>
        </w:rPr>
      </w:pPr>
      <w:r w:rsidRPr="00B42BCE">
        <w:rPr>
          <w:rFonts w:asciiTheme="minorHAnsi" w:hAnsiTheme="minorHAnsi" w:cstheme="minorHAnsi"/>
          <w:lang w:bidi="fr-FR"/>
        </w:rPr>
        <w:t>La présente politique s’appuie sur une définition du secteur privé qui comprend :</w:t>
      </w:r>
    </w:p>
    <w:p w14:paraId="24CC2B63" w14:textId="77777777" w:rsidR="00474239" w:rsidRPr="00B42BCE" w:rsidRDefault="005F2731">
      <w:pPr>
        <w:pStyle w:val="ListParagraph"/>
        <w:numPr>
          <w:ilvl w:val="0"/>
          <w:numId w:val="18"/>
        </w:numPr>
        <w:tabs>
          <w:tab w:val="left" w:pos="1001"/>
        </w:tabs>
        <w:spacing w:before="1"/>
        <w:ind w:hanging="361"/>
        <w:rPr>
          <w:rFonts w:asciiTheme="minorHAnsi" w:hAnsiTheme="minorHAnsi" w:cstheme="minorHAnsi"/>
        </w:rPr>
      </w:pPr>
      <w:r w:rsidRPr="00B42BCE">
        <w:rPr>
          <w:rFonts w:asciiTheme="minorHAnsi" w:hAnsiTheme="minorHAnsi" w:cstheme="minorHAnsi"/>
          <w:lang w:bidi="fr-FR"/>
        </w:rPr>
        <w:lastRenderedPageBreak/>
        <w:t>Les entreprises à but lucratif et commercial, quelle que soit leur taille</w:t>
      </w:r>
    </w:p>
    <w:p w14:paraId="24CC2B6B" w14:textId="61B27865" w:rsidR="00474239" w:rsidRPr="00B42BCE" w:rsidRDefault="4E063A27" w:rsidP="6A2D8FB2">
      <w:pPr>
        <w:pStyle w:val="ListParagraph"/>
        <w:numPr>
          <w:ilvl w:val="0"/>
          <w:numId w:val="18"/>
        </w:numPr>
        <w:tabs>
          <w:tab w:val="left" w:pos="1001"/>
        </w:tabs>
        <w:spacing w:before="70" w:line="258" w:lineRule="exact"/>
        <w:ind w:hanging="361"/>
        <w:jc w:val="both"/>
        <w:rPr>
          <w:rFonts w:asciiTheme="minorHAnsi" w:hAnsiTheme="minorHAnsi" w:cstheme="minorHAnsi"/>
        </w:rPr>
      </w:pPr>
      <w:r w:rsidRPr="00B42BCE">
        <w:rPr>
          <w:rFonts w:asciiTheme="minorHAnsi" w:hAnsiTheme="minorHAnsi" w:cstheme="minorHAnsi"/>
          <w:lang w:bidi="fr-FR"/>
        </w:rPr>
        <w:t>Les fondations d’entreprise</w:t>
      </w:r>
      <w:r w:rsidR="00A22371" w:rsidRPr="00B42BCE">
        <w:rPr>
          <w:rStyle w:val="FootnoteReference"/>
          <w:rFonts w:asciiTheme="minorHAnsi" w:hAnsiTheme="minorHAnsi" w:cstheme="minorHAnsi"/>
          <w:lang w:bidi="fr-FR"/>
        </w:rPr>
        <w:footnoteReference w:id="4"/>
      </w:r>
      <w:r w:rsidRPr="00B42BCE">
        <w:rPr>
          <w:rFonts w:asciiTheme="minorHAnsi" w:hAnsiTheme="minorHAnsi" w:cstheme="minorHAnsi"/>
          <w:lang w:bidi="fr-FR"/>
        </w:rPr>
        <w:t> ;</w:t>
      </w:r>
    </w:p>
    <w:p w14:paraId="24CC2B6C" w14:textId="3F80FC5C" w:rsidR="00474239" w:rsidRPr="00B42BCE" w:rsidRDefault="4E063A27">
      <w:pPr>
        <w:pStyle w:val="ListParagraph"/>
        <w:numPr>
          <w:ilvl w:val="0"/>
          <w:numId w:val="18"/>
        </w:numPr>
        <w:tabs>
          <w:tab w:val="left" w:pos="1001"/>
        </w:tabs>
        <w:ind w:right="634"/>
        <w:jc w:val="both"/>
        <w:rPr>
          <w:rFonts w:asciiTheme="minorHAnsi" w:hAnsiTheme="minorHAnsi" w:cstheme="minorHAnsi"/>
        </w:rPr>
      </w:pPr>
      <w:r w:rsidRPr="00B42BCE">
        <w:rPr>
          <w:rFonts w:asciiTheme="minorHAnsi" w:hAnsiTheme="minorHAnsi" w:cstheme="minorHAnsi"/>
          <w:lang w:bidi="fr-FR"/>
        </w:rPr>
        <w:t>Les associations, les coalitions et les alliances interentreprises (notamment les chambres de commerce, les groupements d’employeurs, les coopératives, les initiatives sectorielles ou intersectorielles menées par des entreprises à but lucratif)</w:t>
      </w:r>
      <w:r w:rsidR="00582806" w:rsidRPr="00B42BCE">
        <w:rPr>
          <w:rFonts w:asciiTheme="minorHAnsi" w:hAnsiTheme="minorHAnsi" w:cstheme="minorHAnsi"/>
          <w:lang w:bidi="fr-FR"/>
        </w:rPr>
        <w:t>.</w:t>
      </w:r>
      <w:r w:rsidRPr="00B42BCE">
        <w:rPr>
          <w:rFonts w:asciiTheme="minorHAnsi" w:hAnsiTheme="minorHAnsi" w:cstheme="minorHAnsi"/>
          <w:lang w:bidi="fr-FR"/>
        </w:rPr>
        <w:t xml:space="preserve"> Ces organisations seront évaluées en fonction de leurs mérites propres, et non en fonction des mérites de leurs membres</w:t>
      </w:r>
      <w:r w:rsidR="007B7B76" w:rsidRPr="00B42BCE">
        <w:rPr>
          <w:rStyle w:val="FootnoteReference"/>
          <w:rFonts w:asciiTheme="minorHAnsi" w:hAnsiTheme="minorHAnsi" w:cstheme="minorHAnsi"/>
          <w:lang w:bidi="fr-FR"/>
        </w:rPr>
        <w:footnoteReference w:id="5"/>
      </w:r>
      <w:r w:rsidRPr="00B42BCE">
        <w:rPr>
          <w:rFonts w:asciiTheme="minorHAnsi" w:hAnsiTheme="minorHAnsi" w:cstheme="minorHAnsi"/>
          <w:lang w:bidi="fr-FR"/>
        </w:rPr>
        <w:t>.</w:t>
      </w:r>
    </w:p>
    <w:p w14:paraId="24CC2B6E" w14:textId="497EC1DA" w:rsidR="00474239" w:rsidRPr="00B42BCE" w:rsidRDefault="005F2731" w:rsidP="00871871">
      <w:pPr>
        <w:pStyle w:val="ListParagraph"/>
        <w:numPr>
          <w:ilvl w:val="0"/>
          <w:numId w:val="18"/>
        </w:numPr>
        <w:tabs>
          <w:tab w:val="left" w:pos="1001"/>
        </w:tabs>
        <w:ind w:hanging="361"/>
        <w:jc w:val="both"/>
        <w:rPr>
          <w:rFonts w:asciiTheme="minorHAnsi" w:hAnsiTheme="minorHAnsi" w:cstheme="minorHAnsi"/>
        </w:rPr>
      </w:pPr>
      <w:r w:rsidRPr="00B42BCE">
        <w:rPr>
          <w:rFonts w:asciiTheme="minorHAnsi" w:hAnsiTheme="minorHAnsi" w:cstheme="minorHAnsi"/>
          <w:lang w:bidi="fr-FR"/>
        </w:rPr>
        <w:t>Les entreprises publiques</w:t>
      </w:r>
    </w:p>
    <w:p w14:paraId="24CC2B74" w14:textId="77777777" w:rsidR="00474239" w:rsidRPr="00B42BCE" w:rsidRDefault="00474239">
      <w:pPr>
        <w:pStyle w:val="BodyText"/>
        <w:rPr>
          <w:rFonts w:asciiTheme="minorHAnsi" w:hAnsiTheme="minorHAnsi" w:cstheme="minorHAnsi"/>
        </w:rPr>
      </w:pPr>
    </w:p>
    <w:p w14:paraId="24CC2B75" w14:textId="2E799007" w:rsidR="00474239" w:rsidRPr="00B42BCE" w:rsidRDefault="4E063A27">
      <w:pPr>
        <w:pStyle w:val="BodyText"/>
        <w:spacing w:before="1"/>
        <w:ind w:left="280" w:right="638"/>
        <w:jc w:val="both"/>
        <w:rPr>
          <w:rFonts w:asciiTheme="minorHAnsi" w:hAnsiTheme="minorHAnsi" w:cstheme="minorHAnsi"/>
        </w:rPr>
      </w:pPr>
      <w:r w:rsidRPr="00B42BCE">
        <w:rPr>
          <w:rFonts w:asciiTheme="minorHAnsi" w:hAnsiTheme="minorHAnsi" w:cstheme="minorHAnsi"/>
          <w:lang w:bidi="fr-FR"/>
        </w:rPr>
        <w:t>La politique et les critères actuels du PNUD en matière de sélection des partenaires valent aussi bien pour les collaborations à des fins de développement que pour le choix des organisations privées et des secteurs d’activité à soutenir dans le cadre des activités de développement et de renforcement des capacités du secteur privé mises en œuvre par le PNUD</w:t>
      </w:r>
      <w:r w:rsidR="007B7B76" w:rsidRPr="00B42BCE">
        <w:rPr>
          <w:rStyle w:val="FootnoteReference"/>
          <w:rFonts w:asciiTheme="minorHAnsi" w:hAnsiTheme="minorHAnsi" w:cstheme="minorHAnsi"/>
          <w:lang w:bidi="fr-FR"/>
        </w:rPr>
        <w:footnoteReference w:id="6"/>
      </w:r>
      <w:r w:rsidRPr="00B42BCE">
        <w:rPr>
          <w:rFonts w:asciiTheme="minorHAnsi" w:hAnsiTheme="minorHAnsi" w:cstheme="minorHAnsi"/>
          <w:lang w:bidi="fr-FR"/>
        </w:rPr>
        <w:t>.</w:t>
      </w:r>
      <w:r w:rsidR="0086164E" w:rsidRPr="00B42BCE" w:rsidDel="0086164E">
        <w:rPr>
          <w:rFonts w:asciiTheme="minorHAnsi" w:hAnsiTheme="minorHAnsi" w:cstheme="minorHAnsi"/>
          <w:position w:val="7"/>
          <w:lang w:bidi="fr-FR"/>
        </w:rPr>
        <w:t xml:space="preserve"> </w:t>
      </w:r>
    </w:p>
    <w:p w14:paraId="24CC2B76" w14:textId="77777777" w:rsidR="00474239" w:rsidRDefault="00474239" w:rsidP="001A0FAD">
      <w:pPr>
        <w:pStyle w:val="BodyText"/>
        <w:spacing w:before="1"/>
        <w:ind w:left="280" w:right="638"/>
        <w:jc w:val="both"/>
        <w:rPr>
          <w:rFonts w:asciiTheme="minorHAnsi" w:hAnsiTheme="minorHAnsi" w:cstheme="minorHAnsi"/>
        </w:rPr>
      </w:pPr>
    </w:p>
    <w:p w14:paraId="254CC112" w14:textId="77777777" w:rsidR="00431D2E" w:rsidRPr="00B42BCE" w:rsidRDefault="00431D2E" w:rsidP="001A0FAD">
      <w:pPr>
        <w:pStyle w:val="BodyText"/>
        <w:spacing w:before="1"/>
        <w:ind w:left="280" w:right="638"/>
        <w:jc w:val="both"/>
        <w:rPr>
          <w:rFonts w:asciiTheme="minorHAnsi" w:hAnsiTheme="minorHAnsi" w:cstheme="minorHAnsi"/>
        </w:rPr>
      </w:pPr>
    </w:p>
    <w:p w14:paraId="225E3A6F" w14:textId="73ACBC2F" w:rsidR="0065093B" w:rsidRPr="00B42BCE" w:rsidRDefault="0065093B" w:rsidP="00A22371">
      <w:pPr>
        <w:pStyle w:val="BodyText"/>
        <w:ind w:left="280" w:right="640"/>
        <w:jc w:val="both"/>
        <w:rPr>
          <w:rFonts w:asciiTheme="minorHAnsi" w:hAnsiTheme="minorHAnsi" w:cstheme="minorHAnsi"/>
          <w:b/>
          <w:bCs/>
        </w:rPr>
      </w:pPr>
      <w:r w:rsidRPr="00B42BCE">
        <w:rPr>
          <w:rFonts w:asciiTheme="minorHAnsi" w:hAnsiTheme="minorHAnsi" w:cstheme="minorHAnsi"/>
          <w:b/>
          <w:lang w:bidi="fr-FR"/>
        </w:rPr>
        <w:t>Activités non couvertes par la présente politique</w:t>
      </w:r>
    </w:p>
    <w:p w14:paraId="762297E6" w14:textId="77777777" w:rsidR="0065093B" w:rsidRPr="00B42BCE" w:rsidRDefault="0065093B" w:rsidP="00A22371">
      <w:pPr>
        <w:pStyle w:val="BodyText"/>
        <w:ind w:left="280" w:right="640"/>
        <w:jc w:val="both"/>
        <w:rPr>
          <w:rFonts w:asciiTheme="minorHAnsi" w:hAnsiTheme="minorHAnsi" w:cstheme="minorHAnsi"/>
          <w:b/>
          <w:bCs/>
          <w:highlight w:val="yellow"/>
        </w:rPr>
      </w:pPr>
    </w:p>
    <w:p w14:paraId="2ED9880C" w14:textId="36FEC38D" w:rsidR="00FB3BC3" w:rsidRPr="00B42BCE" w:rsidRDefault="7CE59951" w:rsidP="00FB3BC3">
      <w:pPr>
        <w:pStyle w:val="BodyText"/>
        <w:ind w:left="280" w:right="634"/>
        <w:jc w:val="both"/>
        <w:rPr>
          <w:rFonts w:asciiTheme="minorHAnsi" w:hAnsiTheme="minorHAnsi" w:cstheme="minorHAnsi"/>
        </w:rPr>
      </w:pPr>
      <w:r w:rsidRPr="00B42BCE">
        <w:rPr>
          <w:rStyle w:val="cf01"/>
          <w:rFonts w:asciiTheme="minorHAnsi" w:hAnsiTheme="minorHAnsi" w:cstheme="minorHAnsi"/>
          <w:sz w:val="22"/>
          <w:lang w:bidi="fr-FR"/>
        </w:rPr>
        <w:t>Les activités génératrices de revenus à caractère ponctuel et non commercial mises en œuvre à titre individuel ne sont pas considérées comme relevant du secteur privé. En dessous de 5 000 dollars des États-Unis, les levées de fonds individuelles et les dons effectués par une entreprise au titre du financement participatif ne sont pas non plus couverts par la présente politique, bien qu’ils soient soumis à ses obligations en matière de lutte contre le blanchiment d’argent et le financement du terrorisme</w:t>
      </w:r>
      <w:r w:rsidR="00FE749C" w:rsidRPr="00B42BCE">
        <w:rPr>
          <w:rStyle w:val="cf01"/>
          <w:rFonts w:asciiTheme="minorHAnsi" w:hAnsiTheme="minorHAnsi" w:cstheme="minorHAnsi"/>
          <w:sz w:val="22"/>
          <w:vertAlign w:val="superscript"/>
          <w:lang w:bidi="fr-FR"/>
        </w:rPr>
        <w:footnoteReference w:id="7"/>
      </w:r>
      <w:r w:rsidRPr="00B42BCE">
        <w:rPr>
          <w:rStyle w:val="cf01"/>
          <w:rFonts w:asciiTheme="minorHAnsi" w:hAnsiTheme="minorHAnsi" w:cstheme="minorHAnsi"/>
          <w:sz w:val="22"/>
          <w:lang w:bidi="fr-FR"/>
        </w:rPr>
        <w:t>. Sont également exclues du champ d’application de cette politique les entités directement ciblées par le PNUD dans le cadre de ses interventions de développement, conformément aux modalités de programmation de l’organisme (par exemple, les micro- et petites entreprises).</w:t>
      </w:r>
    </w:p>
    <w:p w14:paraId="7A5D42CF" w14:textId="6A450A99" w:rsidR="00A22371" w:rsidRPr="00B42BCE" w:rsidRDefault="00A22371" w:rsidP="00FB3BC3">
      <w:pPr>
        <w:pStyle w:val="BodyText"/>
        <w:ind w:right="640"/>
        <w:jc w:val="both"/>
        <w:rPr>
          <w:rFonts w:asciiTheme="minorHAnsi" w:hAnsiTheme="minorHAnsi" w:cstheme="minorHAnsi"/>
        </w:rPr>
      </w:pPr>
    </w:p>
    <w:p w14:paraId="24CC2B77" w14:textId="44827FEE" w:rsidR="00474239" w:rsidRDefault="005F2731">
      <w:pPr>
        <w:pStyle w:val="BodyText"/>
        <w:ind w:left="280" w:right="634"/>
        <w:jc w:val="both"/>
        <w:rPr>
          <w:rFonts w:asciiTheme="minorHAnsi" w:hAnsiTheme="minorHAnsi" w:cstheme="minorHAnsi"/>
          <w:lang w:bidi="fr-FR"/>
        </w:rPr>
      </w:pPr>
      <w:bookmarkStart w:id="4" w:name="_Hlk132553104"/>
      <w:r w:rsidRPr="00B42BCE">
        <w:rPr>
          <w:rFonts w:asciiTheme="minorHAnsi" w:hAnsiTheme="minorHAnsi" w:cstheme="minorHAnsi"/>
          <w:lang w:bidi="fr-FR"/>
        </w:rPr>
        <w:t xml:space="preserve">Le PNUD achète également des biens et des services fournis par des entités du secteur privé. </w:t>
      </w:r>
      <w:bookmarkStart w:id="5" w:name="_Hlk132553160"/>
      <w:r w:rsidRPr="00B42BCE">
        <w:rPr>
          <w:rFonts w:asciiTheme="minorHAnsi" w:hAnsiTheme="minorHAnsi" w:cstheme="minorHAnsi"/>
          <w:lang w:bidi="fr-FR"/>
        </w:rPr>
        <w:t>Bien que les achats ne tombent pas sous le coup de la présente politique</w:t>
      </w:r>
      <w:bookmarkEnd w:id="5"/>
      <w:r w:rsidRPr="00B42BCE">
        <w:rPr>
          <w:rFonts w:asciiTheme="minorHAnsi" w:hAnsiTheme="minorHAnsi" w:cstheme="minorHAnsi"/>
          <w:lang w:bidi="fr-FR"/>
        </w:rPr>
        <w:t>, lorsque l’évaluation d’un projet de partenariat aboutit à l’exclusion de l’entité concernée, il convient d’en tenir compte dans le cadre d’un éventuel processus d’achat auprès de ladite entité. Selon le même principe, il convient également de ne pas précipiter les processus de diligence raisonnable au motif que le PNUD entretient déjà, avec l’entité concernée, une relation de longue date en matière d’achats. L’existence d’un partenariat entre une entité privée et le PNUD ne saurait donner lieu à un quelconque traitement de faveur dans le cadre des processus de l’organisme en matière d’achats.</w:t>
      </w:r>
    </w:p>
    <w:p w14:paraId="701920CD" w14:textId="77777777" w:rsidR="00431D2E" w:rsidRPr="00B42BCE" w:rsidRDefault="00431D2E">
      <w:pPr>
        <w:pStyle w:val="BodyText"/>
        <w:ind w:left="280" w:right="634"/>
        <w:jc w:val="both"/>
        <w:rPr>
          <w:rFonts w:asciiTheme="minorHAnsi" w:hAnsiTheme="minorHAnsi" w:cstheme="minorHAnsi"/>
        </w:rPr>
      </w:pPr>
    </w:p>
    <w:bookmarkEnd w:id="4"/>
    <w:p w14:paraId="257AB8D4" w14:textId="77777777" w:rsidR="0091081A" w:rsidRPr="00B42BCE" w:rsidRDefault="0091081A">
      <w:pPr>
        <w:spacing w:line="244" w:lineRule="auto"/>
        <w:jc w:val="both"/>
        <w:rPr>
          <w:rFonts w:asciiTheme="minorHAnsi" w:hAnsiTheme="minorHAnsi" w:cstheme="minorHAnsi"/>
        </w:rPr>
      </w:pPr>
    </w:p>
    <w:p w14:paraId="24CC2B87" w14:textId="77777777" w:rsidR="00474239" w:rsidRPr="00B42BCE" w:rsidRDefault="005F2731" w:rsidP="0060479C">
      <w:pPr>
        <w:pStyle w:val="Heading2"/>
        <w:numPr>
          <w:ilvl w:val="1"/>
          <w:numId w:val="15"/>
        </w:numPr>
        <w:tabs>
          <w:tab w:val="left" w:pos="1015"/>
        </w:tabs>
        <w:rPr>
          <w:rFonts w:asciiTheme="minorHAnsi" w:hAnsiTheme="minorHAnsi" w:cstheme="minorHAnsi"/>
        </w:rPr>
      </w:pPr>
      <w:bookmarkStart w:id="6" w:name="_Toc160629982"/>
      <w:r w:rsidRPr="00B42BCE">
        <w:rPr>
          <w:rFonts w:asciiTheme="minorHAnsi" w:hAnsiTheme="minorHAnsi" w:cstheme="minorHAnsi"/>
          <w:lang w:bidi="fr-FR"/>
        </w:rPr>
        <w:t>Critères d’exclusion</w:t>
      </w:r>
      <w:bookmarkEnd w:id="6"/>
    </w:p>
    <w:p w14:paraId="70134B7B" w14:textId="284223DC" w:rsidR="009A6110" w:rsidRPr="00B42BCE" w:rsidRDefault="4E063A27">
      <w:pPr>
        <w:pStyle w:val="BodyText"/>
        <w:tabs>
          <w:tab w:val="left" w:pos="8428"/>
        </w:tabs>
        <w:spacing w:before="147"/>
        <w:ind w:left="280" w:right="636"/>
        <w:jc w:val="both"/>
        <w:rPr>
          <w:rFonts w:asciiTheme="minorHAnsi" w:hAnsiTheme="minorHAnsi" w:cstheme="minorHAnsi"/>
        </w:rPr>
      </w:pPr>
      <w:r w:rsidRPr="00B42BCE">
        <w:rPr>
          <w:rFonts w:asciiTheme="minorHAnsi" w:hAnsiTheme="minorHAnsi" w:cstheme="minorHAnsi"/>
          <w:lang w:bidi="fr-FR"/>
        </w:rPr>
        <w:t xml:space="preserve">Le tableau 1 ci-dessous présente les différents critères d’exclusion du PNUD, assortis de recommandations concernant le bien-fondé d’une éventuelle collaboration lorsqu’une filiale, une société mère, un distributeur ou un fournisseur de l’entité concernée (ou de l’entreprise « fondatrice » ou « hôte », dans le cas des fondations d’entreprise) participe à des activités correspondant aux </w:t>
      </w:r>
      <w:r w:rsidRPr="00B42BCE">
        <w:rPr>
          <w:rFonts w:asciiTheme="minorHAnsi" w:hAnsiTheme="minorHAnsi" w:cstheme="minorHAnsi"/>
          <w:lang w:bidi="fr-FR"/>
        </w:rPr>
        <w:lastRenderedPageBreak/>
        <w:t>critères d’exclusion. Ce tableau est le résultat de consultations menées auprès d’autres organismes des Nations Unies et constitue la meilleure synthèse possible des différentes normes actuellement en vigueur au sein de ces différents organismes, en particulier l’UNICEF</w:t>
      </w:r>
      <w:r w:rsidR="00E33090" w:rsidRPr="00B42BCE">
        <w:rPr>
          <w:rStyle w:val="FootnoteReference"/>
          <w:rFonts w:asciiTheme="minorHAnsi" w:hAnsiTheme="minorHAnsi" w:cstheme="minorHAnsi"/>
          <w:lang w:bidi="fr-FR"/>
        </w:rPr>
        <w:footnoteReference w:id="8"/>
      </w:r>
      <w:r w:rsidRPr="00B42BCE">
        <w:rPr>
          <w:rFonts w:asciiTheme="minorHAnsi" w:hAnsiTheme="minorHAnsi" w:cstheme="minorHAnsi"/>
          <w:lang w:bidi="fr-FR"/>
        </w:rPr>
        <w:t>.</w:t>
      </w:r>
    </w:p>
    <w:p w14:paraId="1E1EDC6D" w14:textId="1749DB25" w:rsidR="002D6F47" w:rsidRDefault="009A6110" w:rsidP="00827ACC">
      <w:pPr>
        <w:pStyle w:val="BodyText"/>
        <w:tabs>
          <w:tab w:val="left" w:pos="8428"/>
        </w:tabs>
        <w:spacing w:before="147"/>
        <w:ind w:left="280" w:right="636"/>
        <w:jc w:val="both"/>
        <w:rPr>
          <w:rFonts w:asciiTheme="minorHAnsi" w:hAnsiTheme="minorHAnsi" w:cstheme="minorHAnsi"/>
          <w:lang w:bidi="fr-FR"/>
        </w:rPr>
      </w:pPr>
      <w:r w:rsidRPr="00B42BCE">
        <w:rPr>
          <w:rFonts w:asciiTheme="minorHAnsi" w:hAnsiTheme="minorHAnsi" w:cstheme="minorHAnsi"/>
          <w:lang w:bidi="fr-FR"/>
        </w:rPr>
        <w:t xml:space="preserve">Lorsque des éléments de preuve attestent de la participation d’un éventuel partenaire à des activités correspondant aux critères d’exclusion, mais que la collaboration demeure envisageable selon les recommandations du tableau 1 ci-dessous, la décision doit systématiquement être confiée au comité des risques. </w:t>
      </w:r>
    </w:p>
    <w:p w14:paraId="64B97152" w14:textId="77777777" w:rsidR="00431D2E" w:rsidRPr="00B42BCE" w:rsidRDefault="00431D2E" w:rsidP="00827ACC">
      <w:pPr>
        <w:pStyle w:val="BodyText"/>
        <w:tabs>
          <w:tab w:val="left" w:pos="8428"/>
        </w:tabs>
        <w:spacing w:before="147"/>
        <w:ind w:left="280" w:right="636"/>
        <w:jc w:val="both"/>
        <w:rPr>
          <w:rFonts w:asciiTheme="minorHAnsi" w:hAnsiTheme="minorHAnsi" w:cstheme="minorHAnsi"/>
          <w:b/>
        </w:rPr>
      </w:pPr>
    </w:p>
    <w:tbl>
      <w:tblPr>
        <w:tblStyle w:val="TableGrid"/>
        <w:tblW w:w="10064" w:type="dxa"/>
        <w:tblInd w:w="-5" w:type="dxa"/>
        <w:tblLayout w:type="fixed"/>
        <w:tblLook w:val="04A0" w:firstRow="1" w:lastRow="0" w:firstColumn="1" w:lastColumn="0" w:noHBand="0" w:noVBand="1"/>
      </w:tblPr>
      <w:tblGrid>
        <w:gridCol w:w="364"/>
        <w:gridCol w:w="1881"/>
        <w:gridCol w:w="1557"/>
        <w:gridCol w:w="1693"/>
        <w:gridCol w:w="1700"/>
        <w:gridCol w:w="2869"/>
      </w:tblGrid>
      <w:tr w:rsidR="00827ACC" w:rsidRPr="00431D2E" w14:paraId="4748810E" w14:textId="77777777" w:rsidTr="00431D2E">
        <w:trPr>
          <w:tblHeader/>
        </w:trPr>
        <w:tc>
          <w:tcPr>
            <w:tcW w:w="10064" w:type="dxa"/>
            <w:gridSpan w:val="6"/>
            <w:tcBorders>
              <w:top w:val="single" w:sz="4" w:space="0" w:color="auto"/>
              <w:left w:val="single" w:sz="4" w:space="0" w:color="auto"/>
              <w:bottom w:val="single" w:sz="4" w:space="0" w:color="auto"/>
              <w:right w:val="single" w:sz="4" w:space="0" w:color="auto"/>
              <w:tl2br w:val="nil"/>
            </w:tcBorders>
          </w:tcPr>
          <w:p w14:paraId="511E1214" w14:textId="77777777" w:rsidR="00827ACC" w:rsidRPr="00431D2E" w:rsidRDefault="00827ACC" w:rsidP="00972B3A">
            <w:pPr>
              <w:pStyle w:val="TableParagraph"/>
              <w:ind w:left="38" w:right="-71"/>
              <w:rPr>
                <w:rFonts w:asciiTheme="minorHAnsi" w:hAnsiTheme="minorHAnsi" w:cstheme="minorHAnsi"/>
                <w:b/>
                <w:sz w:val="22"/>
                <w:szCs w:val="22"/>
              </w:rPr>
            </w:pPr>
            <w:r w:rsidRPr="00431D2E">
              <w:rPr>
                <w:rFonts w:asciiTheme="minorHAnsi" w:hAnsiTheme="minorHAnsi" w:cstheme="minorHAnsi"/>
                <w:b/>
                <w:sz w:val="22"/>
                <w:szCs w:val="22"/>
                <w:lang w:val="fr-FR" w:bidi="fr-FR"/>
              </w:rPr>
              <w:lastRenderedPageBreak/>
              <w:t>TABLEAU 1 : Critères d’exclusion</w:t>
            </w:r>
          </w:p>
          <w:p w14:paraId="2663372D" w14:textId="611BD69E" w:rsidR="00827ACC" w:rsidRPr="00431D2E" w:rsidRDefault="00827ACC" w:rsidP="00972B3A">
            <w:pPr>
              <w:pStyle w:val="TableParagraph"/>
              <w:ind w:left="38" w:right="-71"/>
              <w:rPr>
                <w:rFonts w:asciiTheme="minorHAnsi" w:hAnsiTheme="minorHAnsi" w:cstheme="minorHAnsi"/>
                <w:b/>
                <w:bCs/>
                <w:sz w:val="22"/>
                <w:szCs w:val="22"/>
              </w:rPr>
            </w:pPr>
          </w:p>
        </w:tc>
      </w:tr>
      <w:tr w:rsidR="00431D2E" w:rsidRPr="00431D2E" w14:paraId="7293418D" w14:textId="77777777" w:rsidTr="00431D2E">
        <w:trPr>
          <w:tblHeader/>
        </w:trPr>
        <w:tc>
          <w:tcPr>
            <w:tcW w:w="364" w:type="dxa"/>
            <w:tcBorders>
              <w:top w:val="single" w:sz="4" w:space="0" w:color="auto"/>
              <w:left w:val="single" w:sz="4" w:space="0" w:color="auto"/>
              <w:bottom w:val="single" w:sz="4" w:space="0" w:color="auto"/>
              <w:right w:val="single" w:sz="4" w:space="0" w:color="auto"/>
              <w:tl2br w:val="nil"/>
            </w:tcBorders>
          </w:tcPr>
          <w:p w14:paraId="7910E221" w14:textId="77777777" w:rsidR="00D703B3" w:rsidRPr="00431D2E" w:rsidRDefault="00D703B3" w:rsidP="00CB5A6E">
            <w:pPr>
              <w:pStyle w:val="BodyText"/>
              <w:tabs>
                <w:tab w:val="left" w:pos="8428"/>
              </w:tabs>
              <w:jc w:val="right"/>
              <w:rPr>
                <w:rFonts w:asciiTheme="minorHAnsi" w:hAnsiTheme="minorHAnsi" w:cstheme="minorHAnsi"/>
                <w:b/>
                <w:sz w:val="22"/>
                <w:szCs w:val="22"/>
              </w:rPr>
            </w:pPr>
          </w:p>
        </w:tc>
        <w:tc>
          <w:tcPr>
            <w:tcW w:w="1881" w:type="dxa"/>
            <w:tcBorders>
              <w:top w:val="single" w:sz="4" w:space="0" w:color="auto"/>
              <w:left w:val="single" w:sz="4" w:space="0" w:color="auto"/>
              <w:bottom w:val="single" w:sz="4" w:space="0" w:color="auto"/>
              <w:right w:val="single" w:sz="4" w:space="0" w:color="auto"/>
              <w:tl2br w:val="single" w:sz="4" w:space="0" w:color="auto"/>
            </w:tcBorders>
          </w:tcPr>
          <w:p w14:paraId="7A13C3C6" w14:textId="17C5BA97" w:rsidR="00D703B3" w:rsidRPr="00431D2E" w:rsidRDefault="00D703B3" w:rsidP="00CE6B8C">
            <w:pPr>
              <w:pStyle w:val="BodyText"/>
              <w:tabs>
                <w:tab w:val="left" w:pos="8428"/>
              </w:tabs>
              <w:jc w:val="right"/>
              <w:rPr>
                <w:rFonts w:asciiTheme="minorHAnsi" w:hAnsiTheme="minorHAnsi" w:cstheme="minorHAnsi"/>
                <w:b/>
                <w:sz w:val="22"/>
                <w:szCs w:val="22"/>
                <w:lang w:val="fr-FR"/>
              </w:rPr>
            </w:pPr>
            <w:r w:rsidRPr="00431D2E">
              <w:rPr>
                <w:rFonts w:asciiTheme="minorHAnsi" w:hAnsiTheme="minorHAnsi" w:cstheme="minorHAnsi"/>
                <w:b/>
                <w:sz w:val="22"/>
                <w:szCs w:val="22"/>
                <w:lang w:val="fr-FR" w:bidi="fr-FR"/>
              </w:rPr>
              <w:t>Nature de la participation</w:t>
            </w:r>
            <w:r w:rsidRPr="00431D2E">
              <w:rPr>
                <w:rFonts w:asciiTheme="minorHAnsi" w:hAnsiTheme="minorHAnsi" w:cstheme="minorHAnsi"/>
                <w:b/>
                <w:sz w:val="22"/>
                <w:szCs w:val="22"/>
                <w:vertAlign w:val="superscript"/>
                <w:lang w:val="fr-FR" w:bidi="fr-FR"/>
              </w:rPr>
              <w:t>7</w:t>
            </w:r>
          </w:p>
          <w:p w14:paraId="141A0ABC" w14:textId="77777777" w:rsidR="00D703B3" w:rsidRPr="00431D2E" w:rsidRDefault="00D703B3" w:rsidP="00CB5A6E">
            <w:pPr>
              <w:pStyle w:val="BodyText"/>
              <w:tabs>
                <w:tab w:val="left" w:pos="8428"/>
              </w:tabs>
              <w:spacing w:before="147"/>
              <w:ind w:right="636"/>
              <w:jc w:val="both"/>
              <w:rPr>
                <w:rFonts w:asciiTheme="minorHAnsi" w:hAnsiTheme="minorHAnsi" w:cstheme="minorHAnsi"/>
                <w:b/>
                <w:sz w:val="22"/>
                <w:szCs w:val="22"/>
                <w:lang w:val="fr-FR"/>
              </w:rPr>
            </w:pPr>
          </w:p>
          <w:p w14:paraId="5DF70799" w14:textId="77777777" w:rsidR="00D703B3" w:rsidRPr="00431D2E" w:rsidRDefault="00D703B3" w:rsidP="00CB5A6E">
            <w:pPr>
              <w:pStyle w:val="BodyText"/>
              <w:tabs>
                <w:tab w:val="left" w:pos="8428"/>
              </w:tabs>
              <w:spacing w:before="147"/>
              <w:ind w:right="636"/>
              <w:jc w:val="both"/>
              <w:rPr>
                <w:rFonts w:asciiTheme="minorHAnsi" w:hAnsiTheme="minorHAnsi" w:cstheme="minorHAnsi"/>
                <w:b/>
                <w:sz w:val="22"/>
                <w:szCs w:val="22"/>
                <w:lang w:val="fr-FR"/>
              </w:rPr>
            </w:pPr>
          </w:p>
          <w:p w14:paraId="4F60820B" w14:textId="4C848CCA" w:rsidR="00D703B3" w:rsidRPr="00431D2E" w:rsidRDefault="00D703B3" w:rsidP="00CD6759">
            <w:pPr>
              <w:pStyle w:val="BodyText"/>
              <w:tabs>
                <w:tab w:val="left" w:pos="8428"/>
              </w:tabs>
              <w:ind w:right="636"/>
              <w:jc w:val="both"/>
              <w:rPr>
                <w:rFonts w:asciiTheme="minorHAnsi" w:hAnsiTheme="minorHAnsi" w:cstheme="minorHAnsi"/>
                <w:b/>
                <w:sz w:val="22"/>
                <w:szCs w:val="22"/>
                <w:lang w:val="fr-FR"/>
              </w:rPr>
            </w:pPr>
            <w:r w:rsidRPr="00431D2E">
              <w:rPr>
                <w:rFonts w:asciiTheme="minorHAnsi" w:hAnsiTheme="minorHAnsi" w:cstheme="minorHAnsi"/>
                <w:b/>
                <w:sz w:val="22"/>
                <w:szCs w:val="22"/>
                <w:lang w:val="fr-FR" w:bidi="fr-FR"/>
              </w:rPr>
              <w:t>Critères d’exclusion du PNUD</w:t>
            </w:r>
          </w:p>
        </w:tc>
        <w:tc>
          <w:tcPr>
            <w:tcW w:w="1557" w:type="dxa"/>
            <w:tcBorders>
              <w:top w:val="single" w:sz="4" w:space="0" w:color="auto"/>
              <w:left w:val="single" w:sz="4" w:space="0" w:color="auto"/>
              <w:bottom w:val="single" w:sz="4" w:space="0" w:color="auto"/>
              <w:right w:val="single" w:sz="4" w:space="0" w:color="auto"/>
            </w:tcBorders>
          </w:tcPr>
          <w:p w14:paraId="4469C60C" w14:textId="07CEB03F" w:rsidR="00D703B3" w:rsidRPr="00431D2E" w:rsidRDefault="00D703B3" w:rsidP="00CD6759">
            <w:pPr>
              <w:pStyle w:val="BodyText"/>
              <w:tabs>
                <w:tab w:val="left" w:pos="8428"/>
              </w:tabs>
              <w:ind w:right="-4"/>
              <w:rPr>
                <w:rFonts w:asciiTheme="minorHAnsi" w:hAnsiTheme="minorHAnsi" w:cstheme="minorHAnsi"/>
                <w:b/>
                <w:sz w:val="22"/>
                <w:szCs w:val="22"/>
                <w:lang w:val="fr-FR"/>
              </w:rPr>
            </w:pPr>
            <w:r w:rsidRPr="00431D2E">
              <w:rPr>
                <w:rFonts w:asciiTheme="minorHAnsi" w:hAnsiTheme="minorHAnsi" w:cstheme="minorHAnsi"/>
                <w:b/>
                <w:sz w:val="22"/>
                <w:szCs w:val="22"/>
                <w:lang w:val="fr-FR" w:bidi="fr-FR"/>
              </w:rPr>
              <w:t>Participation directe du partenaire potentiel à des activités correspondant aux critères d’exclusion</w:t>
            </w:r>
          </w:p>
        </w:tc>
        <w:tc>
          <w:tcPr>
            <w:tcW w:w="1693" w:type="dxa"/>
            <w:tcBorders>
              <w:top w:val="single" w:sz="4" w:space="0" w:color="auto"/>
              <w:left w:val="single" w:sz="4" w:space="0" w:color="auto"/>
              <w:bottom w:val="single" w:sz="4" w:space="0" w:color="auto"/>
              <w:right w:val="single" w:sz="4" w:space="0" w:color="auto"/>
            </w:tcBorders>
          </w:tcPr>
          <w:p w14:paraId="28DFA356" w14:textId="46F90647" w:rsidR="00D703B3" w:rsidRPr="00431D2E" w:rsidRDefault="00D703B3" w:rsidP="00CD6759">
            <w:pPr>
              <w:pStyle w:val="BodyText"/>
              <w:tabs>
                <w:tab w:val="left" w:pos="8428"/>
              </w:tabs>
              <w:rPr>
                <w:rFonts w:asciiTheme="minorHAnsi" w:hAnsiTheme="minorHAnsi" w:cstheme="minorHAnsi"/>
                <w:b/>
                <w:sz w:val="22"/>
                <w:szCs w:val="22"/>
                <w:lang w:val="fr-FR"/>
              </w:rPr>
            </w:pPr>
            <w:r w:rsidRPr="00431D2E">
              <w:rPr>
                <w:rFonts w:asciiTheme="minorHAnsi" w:hAnsiTheme="minorHAnsi" w:cstheme="minorHAnsi"/>
                <w:b/>
                <w:sz w:val="22"/>
                <w:szCs w:val="22"/>
                <w:lang w:val="fr-FR" w:bidi="fr-FR"/>
              </w:rPr>
              <w:t xml:space="preserve">Participation indirecte du partenaire potentiel à des activités correspondant aux critères d’exclusion par l’intermédiaire d’une filiale </w:t>
            </w:r>
          </w:p>
        </w:tc>
        <w:tc>
          <w:tcPr>
            <w:tcW w:w="1700" w:type="dxa"/>
            <w:tcBorders>
              <w:top w:val="single" w:sz="4" w:space="0" w:color="auto"/>
              <w:left w:val="single" w:sz="4" w:space="0" w:color="auto"/>
              <w:bottom w:val="single" w:sz="4" w:space="0" w:color="auto"/>
              <w:right w:val="single" w:sz="4" w:space="0" w:color="auto"/>
            </w:tcBorders>
          </w:tcPr>
          <w:p w14:paraId="2689E014" w14:textId="5BBB7834" w:rsidR="00D703B3" w:rsidRPr="00431D2E" w:rsidRDefault="00D703B3" w:rsidP="005B6264">
            <w:pPr>
              <w:pStyle w:val="TableParagraph"/>
              <w:tabs>
                <w:tab w:val="left" w:pos="1036"/>
              </w:tabs>
              <w:ind w:left="0"/>
              <w:rPr>
                <w:rFonts w:asciiTheme="minorHAnsi" w:hAnsiTheme="minorHAnsi" w:cstheme="minorHAnsi"/>
                <w:b/>
                <w:sz w:val="22"/>
                <w:szCs w:val="22"/>
                <w:lang w:val="fr-FR"/>
              </w:rPr>
            </w:pPr>
            <w:r w:rsidRPr="00431D2E">
              <w:rPr>
                <w:rFonts w:asciiTheme="minorHAnsi" w:hAnsiTheme="minorHAnsi" w:cstheme="minorHAnsi"/>
                <w:b/>
                <w:sz w:val="22"/>
                <w:szCs w:val="22"/>
                <w:lang w:val="fr-FR" w:bidi="fr-FR"/>
              </w:rPr>
              <w:t>Participation indirecte du partenaire potentiel à des activités correspondant</w:t>
            </w:r>
            <w:r w:rsidR="005B6264" w:rsidRPr="00431D2E">
              <w:rPr>
                <w:rFonts w:asciiTheme="minorHAnsi" w:hAnsiTheme="minorHAnsi" w:cstheme="minorHAnsi"/>
                <w:b/>
                <w:sz w:val="22"/>
                <w:szCs w:val="22"/>
                <w:lang w:val="fr-FR" w:bidi="fr-FR"/>
              </w:rPr>
              <w:t xml:space="preserve"> </w:t>
            </w:r>
            <w:r w:rsidR="00972B3A" w:rsidRPr="00431D2E">
              <w:rPr>
                <w:rFonts w:asciiTheme="minorHAnsi" w:hAnsiTheme="minorHAnsi" w:cstheme="minorHAnsi"/>
                <w:b/>
                <w:sz w:val="22"/>
                <w:szCs w:val="22"/>
                <w:lang w:val="fr-FR" w:bidi="fr-FR"/>
              </w:rPr>
              <w:t xml:space="preserve">aux critères d’exclusion par l’intermédiaire de la société mère </w:t>
            </w:r>
          </w:p>
        </w:tc>
        <w:tc>
          <w:tcPr>
            <w:tcW w:w="2869" w:type="dxa"/>
            <w:tcBorders>
              <w:top w:val="single" w:sz="4" w:space="0" w:color="auto"/>
              <w:left w:val="single" w:sz="4" w:space="0" w:color="auto"/>
              <w:bottom w:val="single" w:sz="4" w:space="0" w:color="auto"/>
              <w:right w:val="single" w:sz="4" w:space="0" w:color="auto"/>
            </w:tcBorders>
          </w:tcPr>
          <w:p w14:paraId="12661DD5" w14:textId="3B990B0A" w:rsidR="00D703B3" w:rsidRPr="00431D2E" w:rsidRDefault="00D703B3" w:rsidP="00CE6B8C">
            <w:pPr>
              <w:pStyle w:val="TableParagraph"/>
              <w:ind w:left="38" w:right="-71"/>
              <w:rPr>
                <w:rFonts w:asciiTheme="minorHAnsi" w:hAnsiTheme="minorHAnsi" w:cstheme="minorHAnsi"/>
                <w:b/>
                <w:sz w:val="22"/>
                <w:szCs w:val="22"/>
                <w:lang w:val="fr-FR"/>
              </w:rPr>
            </w:pPr>
            <w:r w:rsidRPr="00431D2E">
              <w:rPr>
                <w:rFonts w:asciiTheme="minorHAnsi" w:hAnsiTheme="minorHAnsi" w:cstheme="minorHAnsi"/>
                <w:b/>
                <w:sz w:val="22"/>
                <w:szCs w:val="22"/>
                <w:lang w:val="fr-FR" w:bidi="fr-FR"/>
              </w:rPr>
              <w:t>Participation indirecte du partenaire potentiel à des activités correspondant</w:t>
            </w:r>
            <w:r w:rsidR="00CE6B8C">
              <w:rPr>
                <w:rFonts w:asciiTheme="minorHAnsi" w:hAnsiTheme="minorHAnsi" w:cstheme="minorHAnsi"/>
                <w:b/>
                <w:sz w:val="22"/>
                <w:szCs w:val="22"/>
                <w:lang w:val="fr-FR" w:bidi="fr-FR"/>
              </w:rPr>
              <w:t xml:space="preserve"> </w:t>
            </w:r>
            <w:r w:rsidR="00972B3A" w:rsidRPr="00431D2E">
              <w:rPr>
                <w:rFonts w:asciiTheme="minorHAnsi" w:hAnsiTheme="minorHAnsi" w:cstheme="minorHAnsi"/>
                <w:b/>
                <w:sz w:val="22"/>
                <w:szCs w:val="22"/>
                <w:lang w:val="fr-FR" w:bidi="fr-FR"/>
              </w:rPr>
              <w:t>aux critères d’exclusion par l’intermédiaire de la chaîne de distribution/d’approvisionnement</w:t>
            </w:r>
            <w:r w:rsidRPr="00431D2E">
              <w:rPr>
                <w:rStyle w:val="FootnoteReference"/>
                <w:rFonts w:asciiTheme="minorHAnsi" w:hAnsiTheme="minorHAnsi" w:cstheme="minorHAnsi"/>
                <w:b/>
                <w:sz w:val="22"/>
                <w:szCs w:val="22"/>
                <w:lang w:val="fr-FR" w:bidi="fr-FR"/>
              </w:rPr>
              <w:footnoteReference w:id="9"/>
            </w:r>
            <w:r w:rsidRPr="00431D2E">
              <w:rPr>
                <w:rFonts w:asciiTheme="minorHAnsi" w:hAnsiTheme="minorHAnsi" w:cstheme="minorHAnsi"/>
                <w:b/>
                <w:position w:val="7"/>
                <w:sz w:val="22"/>
                <w:szCs w:val="22"/>
                <w:lang w:val="fr-FR" w:bidi="fr-FR"/>
              </w:rPr>
              <w:t xml:space="preserve"> </w:t>
            </w:r>
          </w:p>
        </w:tc>
      </w:tr>
      <w:tr w:rsidR="00431D2E" w:rsidRPr="00431D2E" w14:paraId="559C1053" w14:textId="77777777" w:rsidTr="00431D2E">
        <w:trPr>
          <w:tblHeader/>
        </w:trPr>
        <w:tc>
          <w:tcPr>
            <w:tcW w:w="364" w:type="dxa"/>
            <w:tcBorders>
              <w:top w:val="single" w:sz="4" w:space="0" w:color="auto"/>
              <w:left w:val="single" w:sz="4" w:space="0" w:color="auto"/>
              <w:bottom w:val="single" w:sz="4" w:space="0" w:color="auto"/>
              <w:right w:val="single" w:sz="4" w:space="0" w:color="auto"/>
              <w:tl2br w:val="nil"/>
            </w:tcBorders>
          </w:tcPr>
          <w:p w14:paraId="28A560A4" w14:textId="2C205939" w:rsidR="00D703B3" w:rsidRPr="00431D2E" w:rsidRDefault="00D703B3" w:rsidP="00A4240B">
            <w:pPr>
              <w:pStyle w:val="TableParagraph"/>
              <w:ind w:left="-20" w:right="-16"/>
              <w:rPr>
                <w:rFonts w:asciiTheme="minorHAnsi" w:hAnsiTheme="minorHAnsi" w:cstheme="minorHAnsi"/>
                <w:sz w:val="22"/>
                <w:szCs w:val="22"/>
              </w:rPr>
            </w:pPr>
            <w:r w:rsidRPr="00431D2E">
              <w:rPr>
                <w:rFonts w:asciiTheme="minorHAnsi" w:hAnsiTheme="minorHAnsi" w:cstheme="minorHAnsi"/>
                <w:sz w:val="22"/>
                <w:szCs w:val="22"/>
                <w:lang w:val="fr-FR" w:bidi="fr-FR"/>
              </w:rPr>
              <w:t>1.</w:t>
            </w:r>
          </w:p>
        </w:tc>
        <w:tc>
          <w:tcPr>
            <w:tcW w:w="1881" w:type="dxa"/>
            <w:tcBorders>
              <w:top w:val="single" w:sz="4" w:space="0" w:color="auto"/>
              <w:left w:val="single" w:sz="4" w:space="0" w:color="auto"/>
              <w:bottom w:val="single" w:sz="4" w:space="0" w:color="auto"/>
              <w:right w:val="single" w:sz="4" w:space="0" w:color="auto"/>
              <w:tl2br w:val="nil"/>
            </w:tcBorders>
          </w:tcPr>
          <w:p w14:paraId="2AF19EC4" w14:textId="169336AE" w:rsidR="00D703B3" w:rsidRPr="00431D2E" w:rsidRDefault="00D703B3" w:rsidP="00CD6759">
            <w:pPr>
              <w:pStyle w:val="TableParagraph"/>
              <w:ind w:left="-20" w:right="-16"/>
              <w:rPr>
                <w:rFonts w:asciiTheme="minorHAnsi" w:hAnsiTheme="minorHAnsi" w:cstheme="minorHAnsi"/>
                <w:b/>
                <w:sz w:val="22"/>
                <w:szCs w:val="22"/>
                <w:lang w:val="fr-FR"/>
              </w:rPr>
            </w:pPr>
            <w:r w:rsidRPr="00431D2E">
              <w:rPr>
                <w:rFonts w:asciiTheme="minorHAnsi" w:hAnsiTheme="minorHAnsi" w:cstheme="minorHAnsi"/>
                <w:sz w:val="22"/>
                <w:szCs w:val="22"/>
                <w:lang w:val="fr-FR" w:bidi="fr-FR"/>
              </w:rPr>
              <w:t>Fabrication, vente ou distribution d’armes controversées ou de leurs composants, y compris les bombes à sous-munitions, les mines antipersonnel, les armes biologiques ou chimiques ou les armes nucléaires</w:t>
            </w:r>
          </w:p>
        </w:tc>
        <w:tc>
          <w:tcPr>
            <w:tcW w:w="1557" w:type="dxa"/>
            <w:tcBorders>
              <w:top w:val="single" w:sz="4" w:space="0" w:color="auto"/>
              <w:left w:val="single" w:sz="4" w:space="0" w:color="auto"/>
              <w:bottom w:val="single" w:sz="4" w:space="0" w:color="auto"/>
              <w:right w:val="single" w:sz="4" w:space="0" w:color="auto"/>
            </w:tcBorders>
          </w:tcPr>
          <w:p w14:paraId="126485CB" w14:textId="191B16C4" w:rsidR="00D703B3" w:rsidRPr="00431D2E" w:rsidRDefault="00D703B3" w:rsidP="00A4240B">
            <w:pPr>
              <w:pStyle w:val="BodyText"/>
              <w:tabs>
                <w:tab w:val="left" w:pos="8428"/>
              </w:tabs>
              <w:ind w:right="-4"/>
              <w:rPr>
                <w:rFonts w:asciiTheme="minorHAnsi" w:hAnsiTheme="minorHAnsi" w:cstheme="minorHAnsi"/>
                <w:b/>
                <w:sz w:val="22"/>
                <w:szCs w:val="22"/>
              </w:rPr>
            </w:pPr>
            <w:r w:rsidRPr="00431D2E">
              <w:rPr>
                <w:rFonts w:asciiTheme="minorHAnsi" w:hAnsiTheme="minorHAnsi" w:cstheme="minorHAnsi"/>
                <w:sz w:val="22"/>
                <w:szCs w:val="22"/>
                <w:lang w:val="fr-FR" w:bidi="fr-FR"/>
              </w:rPr>
              <w:t>Aucune collaboration</w:t>
            </w:r>
          </w:p>
        </w:tc>
        <w:tc>
          <w:tcPr>
            <w:tcW w:w="1693" w:type="dxa"/>
            <w:tcBorders>
              <w:top w:val="single" w:sz="4" w:space="0" w:color="auto"/>
              <w:left w:val="single" w:sz="4" w:space="0" w:color="auto"/>
              <w:bottom w:val="single" w:sz="4" w:space="0" w:color="auto"/>
              <w:right w:val="single" w:sz="4" w:space="0" w:color="auto"/>
            </w:tcBorders>
          </w:tcPr>
          <w:p w14:paraId="356D8640" w14:textId="3F4521EA" w:rsidR="00D703B3" w:rsidRPr="00431D2E" w:rsidRDefault="00D703B3" w:rsidP="00A4240B">
            <w:pPr>
              <w:pStyle w:val="BodyText"/>
              <w:tabs>
                <w:tab w:val="left" w:pos="8428"/>
              </w:tabs>
              <w:rPr>
                <w:rFonts w:asciiTheme="minorHAnsi" w:hAnsiTheme="minorHAnsi" w:cstheme="minorHAnsi"/>
                <w:b/>
                <w:sz w:val="22"/>
                <w:szCs w:val="22"/>
              </w:rPr>
            </w:pPr>
            <w:r w:rsidRPr="00431D2E">
              <w:rPr>
                <w:rFonts w:asciiTheme="minorHAnsi" w:hAnsiTheme="minorHAnsi" w:cstheme="minorHAnsi"/>
                <w:sz w:val="22"/>
                <w:szCs w:val="22"/>
                <w:lang w:val="fr-FR" w:bidi="fr-FR"/>
              </w:rPr>
              <w:t>Aucune collaboration</w:t>
            </w:r>
          </w:p>
        </w:tc>
        <w:tc>
          <w:tcPr>
            <w:tcW w:w="1700" w:type="dxa"/>
            <w:tcBorders>
              <w:top w:val="single" w:sz="4" w:space="0" w:color="auto"/>
              <w:left w:val="single" w:sz="4" w:space="0" w:color="auto"/>
              <w:bottom w:val="single" w:sz="4" w:space="0" w:color="auto"/>
              <w:right w:val="single" w:sz="4" w:space="0" w:color="auto"/>
            </w:tcBorders>
          </w:tcPr>
          <w:p w14:paraId="45C4265B" w14:textId="5A32D723" w:rsidR="00D703B3" w:rsidRPr="00431D2E" w:rsidRDefault="00D703B3" w:rsidP="00A4240B">
            <w:pPr>
              <w:pStyle w:val="TableParagraph"/>
              <w:tabs>
                <w:tab w:val="left" w:pos="1036"/>
              </w:tabs>
              <w:ind w:left="0"/>
              <w:rPr>
                <w:rFonts w:asciiTheme="minorHAnsi" w:hAnsiTheme="minorHAnsi" w:cstheme="minorHAnsi"/>
                <w:b/>
                <w:sz w:val="22"/>
                <w:szCs w:val="22"/>
              </w:rPr>
            </w:pPr>
            <w:r w:rsidRPr="00431D2E">
              <w:rPr>
                <w:rFonts w:asciiTheme="minorHAnsi" w:hAnsiTheme="minorHAnsi" w:cstheme="minorHAnsi"/>
                <w:sz w:val="22"/>
                <w:szCs w:val="22"/>
                <w:lang w:val="fr-FR" w:bidi="fr-FR"/>
              </w:rPr>
              <w:t>Aucune collaboration</w:t>
            </w:r>
          </w:p>
        </w:tc>
        <w:tc>
          <w:tcPr>
            <w:tcW w:w="2869" w:type="dxa"/>
            <w:tcBorders>
              <w:top w:val="single" w:sz="4" w:space="0" w:color="auto"/>
              <w:left w:val="single" w:sz="4" w:space="0" w:color="auto"/>
              <w:bottom w:val="single" w:sz="4" w:space="0" w:color="auto"/>
              <w:right w:val="single" w:sz="4" w:space="0" w:color="auto"/>
            </w:tcBorders>
          </w:tcPr>
          <w:p w14:paraId="11005A7C" w14:textId="6B743E57" w:rsidR="00D703B3" w:rsidRPr="00431D2E" w:rsidRDefault="00D703B3" w:rsidP="00A4240B">
            <w:pPr>
              <w:pStyle w:val="TableParagraph"/>
              <w:ind w:left="38" w:right="-71"/>
              <w:rPr>
                <w:rFonts w:asciiTheme="minorHAnsi" w:hAnsiTheme="minorHAnsi" w:cstheme="minorHAnsi"/>
                <w:b/>
                <w:bCs/>
                <w:sz w:val="22"/>
                <w:szCs w:val="22"/>
              </w:rPr>
            </w:pPr>
            <w:r w:rsidRPr="00431D2E">
              <w:rPr>
                <w:rFonts w:asciiTheme="minorHAnsi" w:hAnsiTheme="minorHAnsi" w:cstheme="minorHAnsi"/>
                <w:sz w:val="22"/>
                <w:szCs w:val="22"/>
                <w:lang w:val="fr-FR" w:bidi="fr-FR"/>
              </w:rPr>
              <w:t>Aucune collaboration</w:t>
            </w:r>
          </w:p>
        </w:tc>
      </w:tr>
      <w:tr w:rsidR="00431D2E" w:rsidRPr="00431D2E" w14:paraId="6CC92EED" w14:textId="77777777" w:rsidTr="00431D2E">
        <w:trPr>
          <w:tblHeader/>
        </w:trPr>
        <w:tc>
          <w:tcPr>
            <w:tcW w:w="364" w:type="dxa"/>
            <w:tcBorders>
              <w:top w:val="single" w:sz="4" w:space="0" w:color="auto"/>
              <w:left w:val="single" w:sz="4" w:space="0" w:color="auto"/>
              <w:bottom w:val="single" w:sz="4" w:space="0" w:color="auto"/>
              <w:right w:val="single" w:sz="4" w:space="0" w:color="auto"/>
              <w:tl2br w:val="nil"/>
            </w:tcBorders>
          </w:tcPr>
          <w:p w14:paraId="62F3C454" w14:textId="297E2825" w:rsidR="00D703B3" w:rsidRPr="00431D2E" w:rsidRDefault="00D703B3" w:rsidP="00156C01">
            <w:pPr>
              <w:pStyle w:val="TableParagraph"/>
              <w:ind w:left="-20" w:right="-16"/>
              <w:rPr>
                <w:rFonts w:asciiTheme="minorHAnsi" w:hAnsiTheme="minorHAnsi" w:cstheme="minorHAnsi"/>
                <w:sz w:val="22"/>
                <w:szCs w:val="22"/>
              </w:rPr>
            </w:pPr>
            <w:r w:rsidRPr="00431D2E">
              <w:rPr>
                <w:rFonts w:asciiTheme="minorHAnsi" w:hAnsiTheme="minorHAnsi" w:cstheme="minorHAnsi"/>
                <w:sz w:val="22"/>
                <w:szCs w:val="22"/>
                <w:lang w:val="fr-FR" w:bidi="fr-FR"/>
              </w:rPr>
              <w:t>2.</w:t>
            </w:r>
          </w:p>
        </w:tc>
        <w:tc>
          <w:tcPr>
            <w:tcW w:w="1881" w:type="dxa"/>
            <w:tcBorders>
              <w:top w:val="single" w:sz="4" w:space="0" w:color="auto"/>
              <w:left w:val="single" w:sz="4" w:space="0" w:color="auto"/>
              <w:bottom w:val="single" w:sz="4" w:space="0" w:color="auto"/>
              <w:right w:val="single" w:sz="4" w:space="0" w:color="auto"/>
              <w:tl2br w:val="nil"/>
            </w:tcBorders>
          </w:tcPr>
          <w:p w14:paraId="7BA8CBF9" w14:textId="6308C829" w:rsidR="00D703B3" w:rsidRPr="00431D2E" w:rsidRDefault="00D703B3" w:rsidP="00156C01">
            <w:pPr>
              <w:pStyle w:val="TableParagraph"/>
              <w:ind w:left="-20" w:right="-16"/>
              <w:rPr>
                <w:rFonts w:asciiTheme="minorHAnsi" w:hAnsiTheme="minorHAnsi" w:cstheme="minorHAnsi"/>
                <w:sz w:val="22"/>
                <w:szCs w:val="22"/>
                <w:lang w:val="fr-FR"/>
              </w:rPr>
            </w:pPr>
            <w:r w:rsidRPr="00431D2E">
              <w:rPr>
                <w:rFonts w:asciiTheme="minorHAnsi" w:hAnsiTheme="minorHAnsi" w:cstheme="minorHAnsi"/>
                <w:sz w:val="22"/>
                <w:szCs w:val="22"/>
                <w:lang w:val="fr-FR" w:bidi="fr-FR"/>
              </w:rPr>
              <w:t>Fabrication, vente ou distribution d’armements et/ou d’armes ou de leurs composants, y compris les fournitures et équipements militaires</w:t>
            </w:r>
          </w:p>
        </w:tc>
        <w:tc>
          <w:tcPr>
            <w:tcW w:w="1557" w:type="dxa"/>
            <w:tcBorders>
              <w:top w:val="single" w:sz="4" w:space="0" w:color="auto"/>
              <w:left w:val="single" w:sz="4" w:space="0" w:color="auto"/>
              <w:bottom w:val="single" w:sz="4" w:space="0" w:color="auto"/>
              <w:right w:val="single" w:sz="4" w:space="0" w:color="auto"/>
            </w:tcBorders>
          </w:tcPr>
          <w:p w14:paraId="15A60BD7" w14:textId="5C3D4A43" w:rsidR="00D703B3" w:rsidRPr="00431D2E" w:rsidRDefault="00D703B3" w:rsidP="00CD6759">
            <w:pPr>
              <w:pStyle w:val="BodyText"/>
              <w:tabs>
                <w:tab w:val="left" w:pos="8428"/>
              </w:tabs>
              <w:rPr>
                <w:rFonts w:asciiTheme="minorHAnsi" w:hAnsiTheme="minorHAnsi" w:cstheme="minorHAnsi"/>
                <w:sz w:val="22"/>
                <w:szCs w:val="22"/>
                <w:lang w:val="fr-FR"/>
              </w:rPr>
            </w:pPr>
            <w:r w:rsidRPr="00431D2E">
              <w:rPr>
                <w:rFonts w:asciiTheme="minorHAnsi" w:hAnsiTheme="minorHAnsi" w:cstheme="minorHAnsi"/>
                <w:sz w:val="22"/>
                <w:szCs w:val="22"/>
                <w:lang w:val="fr-FR" w:bidi="fr-FR"/>
              </w:rPr>
              <w:t>Aucune collaboration si les armements représentent plus de 5 % des recettes annuelles de l’entreprise</w:t>
            </w:r>
          </w:p>
        </w:tc>
        <w:tc>
          <w:tcPr>
            <w:tcW w:w="1693" w:type="dxa"/>
            <w:tcBorders>
              <w:top w:val="single" w:sz="4" w:space="0" w:color="auto"/>
              <w:left w:val="single" w:sz="4" w:space="0" w:color="auto"/>
              <w:bottom w:val="single" w:sz="4" w:space="0" w:color="auto"/>
              <w:right w:val="single" w:sz="4" w:space="0" w:color="auto"/>
            </w:tcBorders>
          </w:tcPr>
          <w:p w14:paraId="1E20FEAA" w14:textId="011C1D01" w:rsidR="00D703B3" w:rsidRPr="00431D2E" w:rsidRDefault="00D703B3" w:rsidP="005B6264">
            <w:pPr>
              <w:pStyle w:val="BodyText"/>
              <w:tabs>
                <w:tab w:val="left" w:pos="8428"/>
              </w:tabs>
              <w:rPr>
                <w:rFonts w:asciiTheme="minorHAnsi" w:hAnsiTheme="minorHAnsi" w:cstheme="minorHAnsi"/>
                <w:sz w:val="22"/>
                <w:szCs w:val="22"/>
                <w:lang w:val="fr-FR"/>
              </w:rPr>
            </w:pPr>
            <w:r w:rsidRPr="00431D2E">
              <w:rPr>
                <w:rFonts w:asciiTheme="minorHAnsi" w:hAnsiTheme="minorHAnsi" w:cstheme="minorHAnsi"/>
                <w:sz w:val="22"/>
                <w:szCs w:val="22"/>
                <w:lang w:val="fr-FR" w:bidi="fr-FR"/>
              </w:rPr>
              <w:t>Aucune collaboration si le partenaire potentiel possède</w:t>
            </w:r>
            <w:r w:rsidR="005B6264" w:rsidRPr="00431D2E">
              <w:rPr>
                <w:rFonts w:asciiTheme="minorHAnsi" w:hAnsiTheme="minorHAnsi" w:cstheme="minorHAnsi"/>
                <w:sz w:val="22"/>
                <w:szCs w:val="22"/>
                <w:lang w:val="fr-FR" w:bidi="fr-FR"/>
              </w:rPr>
              <w:t xml:space="preserve"> </w:t>
            </w:r>
            <w:r w:rsidRPr="00431D2E">
              <w:rPr>
                <w:rFonts w:asciiTheme="minorHAnsi" w:hAnsiTheme="minorHAnsi" w:cstheme="minorHAnsi"/>
                <w:sz w:val="22"/>
                <w:szCs w:val="22"/>
                <w:lang w:val="fr-FR" w:bidi="fr-FR"/>
              </w:rPr>
              <w:t>plus de 20 % d’une filiale dont le chiffre d’affaires lié aux armements représente</w:t>
            </w:r>
            <w:r w:rsidR="005B6264" w:rsidRPr="00431D2E">
              <w:rPr>
                <w:rFonts w:asciiTheme="minorHAnsi" w:hAnsiTheme="minorHAnsi" w:cstheme="minorHAnsi"/>
                <w:sz w:val="22"/>
                <w:szCs w:val="22"/>
                <w:lang w:val="fr-FR" w:bidi="fr-FR"/>
              </w:rPr>
              <w:t xml:space="preserve"> </w:t>
            </w:r>
            <w:r w:rsidRPr="00431D2E">
              <w:rPr>
                <w:rFonts w:asciiTheme="minorHAnsi" w:hAnsiTheme="minorHAnsi" w:cstheme="minorHAnsi"/>
                <w:sz w:val="22"/>
                <w:szCs w:val="22"/>
                <w:lang w:val="fr-FR" w:bidi="fr-FR"/>
              </w:rPr>
              <w:t>plus de 5 % de ses recettes annuelles</w:t>
            </w:r>
          </w:p>
        </w:tc>
        <w:tc>
          <w:tcPr>
            <w:tcW w:w="1700" w:type="dxa"/>
            <w:tcBorders>
              <w:top w:val="single" w:sz="4" w:space="0" w:color="auto"/>
              <w:left w:val="single" w:sz="4" w:space="0" w:color="auto"/>
              <w:bottom w:val="single" w:sz="4" w:space="0" w:color="auto"/>
              <w:right w:val="single" w:sz="4" w:space="0" w:color="auto"/>
            </w:tcBorders>
          </w:tcPr>
          <w:p w14:paraId="72D68523" w14:textId="2E916BFB" w:rsidR="00D703B3" w:rsidRPr="00431D2E" w:rsidRDefault="00D703B3" w:rsidP="005B6264">
            <w:pPr>
              <w:pStyle w:val="BodyText"/>
              <w:tabs>
                <w:tab w:val="left" w:pos="8428"/>
              </w:tabs>
              <w:rPr>
                <w:rFonts w:asciiTheme="minorHAnsi" w:hAnsiTheme="minorHAnsi" w:cstheme="minorHAnsi"/>
                <w:sz w:val="22"/>
                <w:szCs w:val="22"/>
                <w:lang w:val="fr-FR"/>
              </w:rPr>
            </w:pPr>
            <w:r w:rsidRPr="00431D2E">
              <w:rPr>
                <w:rFonts w:asciiTheme="minorHAnsi" w:hAnsiTheme="minorHAnsi" w:cstheme="minorHAnsi"/>
                <w:sz w:val="22"/>
                <w:szCs w:val="22"/>
                <w:lang w:val="fr-FR" w:bidi="fr-FR"/>
              </w:rPr>
              <w:t>Aucune collaboration si une société mère possède</w:t>
            </w:r>
            <w:r w:rsidR="005B6264" w:rsidRPr="00431D2E">
              <w:rPr>
                <w:rFonts w:asciiTheme="minorHAnsi" w:hAnsiTheme="minorHAnsi" w:cstheme="minorHAnsi"/>
                <w:sz w:val="22"/>
                <w:szCs w:val="22"/>
                <w:lang w:val="fr-FR" w:bidi="fr-FR"/>
              </w:rPr>
              <w:t xml:space="preserve"> </w:t>
            </w:r>
            <w:r w:rsidRPr="00431D2E">
              <w:rPr>
                <w:rFonts w:asciiTheme="minorHAnsi" w:hAnsiTheme="minorHAnsi" w:cstheme="minorHAnsi"/>
                <w:sz w:val="22"/>
                <w:szCs w:val="22"/>
                <w:lang w:val="fr-FR" w:bidi="fr-FR"/>
              </w:rPr>
              <w:t>plus de 20 % du partenaire potentiel et que le chiffre d’affaires lié aux armements de celle-ci représente</w:t>
            </w:r>
            <w:r w:rsidR="005B6264" w:rsidRPr="00431D2E">
              <w:rPr>
                <w:rFonts w:asciiTheme="minorHAnsi" w:hAnsiTheme="minorHAnsi" w:cstheme="minorHAnsi"/>
                <w:sz w:val="22"/>
                <w:szCs w:val="22"/>
                <w:lang w:val="fr-FR" w:bidi="fr-FR"/>
              </w:rPr>
              <w:t xml:space="preserve"> </w:t>
            </w:r>
            <w:r w:rsidRPr="00431D2E">
              <w:rPr>
                <w:rFonts w:asciiTheme="minorHAnsi" w:hAnsiTheme="minorHAnsi" w:cstheme="minorHAnsi"/>
                <w:sz w:val="22"/>
                <w:szCs w:val="22"/>
                <w:lang w:val="fr-FR" w:bidi="fr-FR"/>
              </w:rPr>
              <w:t>plus de 5 % de ses recettes annuelles</w:t>
            </w:r>
          </w:p>
        </w:tc>
        <w:tc>
          <w:tcPr>
            <w:tcW w:w="2869" w:type="dxa"/>
            <w:tcBorders>
              <w:top w:val="single" w:sz="4" w:space="0" w:color="auto"/>
              <w:left w:val="single" w:sz="4" w:space="0" w:color="auto"/>
              <w:bottom w:val="single" w:sz="4" w:space="0" w:color="auto"/>
              <w:right w:val="single" w:sz="4" w:space="0" w:color="auto"/>
            </w:tcBorders>
          </w:tcPr>
          <w:p w14:paraId="2ABE9790" w14:textId="0F32ABB1" w:rsidR="00D703B3" w:rsidRPr="00431D2E" w:rsidRDefault="00D703B3" w:rsidP="00CD6759">
            <w:pPr>
              <w:pStyle w:val="BodyText"/>
              <w:tabs>
                <w:tab w:val="left" w:pos="8428"/>
              </w:tabs>
              <w:rPr>
                <w:rFonts w:asciiTheme="minorHAnsi" w:hAnsiTheme="minorHAnsi" w:cstheme="minorHAnsi"/>
                <w:sz w:val="22"/>
                <w:szCs w:val="22"/>
                <w:lang w:val="fr-FR"/>
              </w:rPr>
            </w:pPr>
            <w:r w:rsidRPr="00431D2E">
              <w:rPr>
                <w:rFonts w:asciiTheme="minorHAnsi" w:hAnsiTheme="minorHAnsi" w:cstheme="minorHAnsi"/>
                <w:sz w:val="22"/>
                <w:szCs w:val="22"/>
                <w:lang w:val="fr-FR" w:bidi="fr-FR"/>
              </w:rPr>
              <w:t>Aucune collaboration si le chiffre d’affaires lié aux armements représente plus de 5 % des recettes totales</w:t>
            </w:r>
          </w:p>
        </w:tc>
      </w:tr>
      <w:tr w:rsidR="00431D2E" w:rsidRPr="00431D2E" w14:paraId="1CFAF0E6" w14:textId="77777777" w:rsidTr="00431D2E">
        <w:trPr>
          <w:tblHeader/>
        </w:trPr>
        <w:tc>
          <w:tcPr>
            <w:tcW w:w="364" w:type="dxa"/>
            <w:tcBorders>
              <w:top w:val="single" w:sz="4" w:space="0" w:color="auto"/>
              <w:left w:val="single" w:sz="4" w:space="0" w:color="auto"/>
              <w:bottom w:val="single" w:sz="4" w:space="0" w:color="auto"/>
              <w:right w:val="single" w:sz="4" w:space="0" w:color="auto"/>
              <w:tl2br w:val="nil"/>
            </w:tcBorders>
          </w:tcPr>
          <w:p w14:paraId="6AEA8B5D" w14:textId="3DCD31E5" w:rsidR="0016596E" w:rsidRPr="00431D2E" w:rsidRDefault="0016596E" w:rsidP="0016596E">
            <w:pPr>
              <w:pStyle w:val="TableParagraph"/>
              <w:ind w:left="-20" w:right="-16"/>
              <w:rPr>
                <w:rFonts w:asciiTheme="minorHAnsi" w:hAnsiTheme="minorHAnsi" w:cstheme="minorHAnsi"/>
                <w:sz w:val="22"/>
                <w:szCs w:val="22"/>
              </w:rPr>
            </w:pPr>
            <w:r w:rsidRPr="00431D2E">
              <w:rPr>
                <w:rFonts w:asciiTheme="minorHAnsi" w:hAnsiTheme="minorHAnsi" w:cstheme="minorHAnsi"/>
                <w:sz w:val="22"/>
                <w:szCs w:val="22"/>
                <w:lang w:val="fr-FR" w:bidi="fr-FR"/>
              </w:rPr>
              <w:lastRenderedPageBreak/>
              <w:t>3.</w:t>
            </w:r>
          </w:p>
        </w:tc>
        <w:tc>
          <w:tcPr>
            <w:tcW w:w="1881" w:type="dxa"/>
            <w:tcBorders>
              <w:top w:val="single" w:sz="4" w:space="0" w:color="auto"/>
              <w:left w:val="single" w:sz="4" w:space="0" w:color="auto"/>
              <w:bottom w:val="single" w:sz="4" w:space="0" w:color="auto"/>
              <w:right w:val="single" w:sz="4" w:space="0" w:color="auto"/>
              <w:tl2br w:val="nil"/>
            </w:tcBorders>
          </w:tcPr>
          <w:p w14:paraId="42F151EA" w14:textId="03FFECA5" w:rsidR="0016596E" w:rsidRPr="00431D2E" w:rsidRDefault="0016596E" w:rsidP="0016596E">
            <w:pPr>
              <w:pStyle w:val="TableParagraph"/>
              <w:ind w:left="-20" w:right="-16"/>
              <w:rPr>
                <w:rFonts w:asciiTheme="minorHAnsi" w:hAnsiTheme="minorHAnsi" w:cstheme="minorHAnsi"/>
                <w:sz w:val="22"/>
                <w:szCs w:val="22"/>
                <w:lang w:val="fr-FR"/>
              </w:rPr>
            </w:pPr>
            <w:r w:rsidRPr="00431D2E">
              <w:rPr>
                <w:rFonts w:asciiTheme="minorHAnsi" w:hAnsiTheme="minorHAnsi" w:cstheme="minorHAnsi"/>
                <w:sz w:val="22"/>
                <w:szCs w:val="22"/>
                <w:lang w:val="fr-FR" w:bidi="fr-FR"/>
              </w:rPr>
              <w:t>Vente de répliques d’armes aux enfants</w:t>
            </w:r>
          </w:p>
        </w:tc>
        <w:tc>
          <w:tcPr>
            <w:tcW w:w="1557" w:type="dxa"/>
            <w:tcBorders>
              <w:top w:val="single" w:sz="4" w:space="0" w:color="auto"/>
              <w:left w:val="single" w:sz="4" w:space="0" w:color="auto"/>
              <w:bottom w:val="single" w:sz="4" w:space="0" w:color="auto"/>
              <w:right w:val="single" w:sz="4" w:space="0" w:color="auto"/>
            </w:tcBorders>
          </w:tcPr>
          <w:p w14:paraId="3EE063D6" w14:textId="0C26303D" w:rsidR="0016596E" w:rsidRPr="00431D2E" w:rsidRDefault="0016596E" w:rsidP="0016596E">
            <w:pPr>
              <w:pStyle w:val="BodyText"/>
              <w:tabs>
                <w:tab w:val="left" w:pos="8428"/>
              </w:tabs>
              <w:rPr>
                <w:rFonts w:asciiTheme="minorHAnsi" w:hAnsiTheme="minorHAnsi" w:cstheme="minorHAnsi"/>
                <w:sz w:val="22"/>
                <w:szCs w:val="22"/>
                <w:lang w:val="fr-FR"/>
              </w:rPr>
            </w:pPr>
            <w:r w:rsidRPr="00431D2E">
              <w:rPr>
                <w:rFonts w:asciiTheme="minorHAnsi" w:hAnsiTheme="minorHAnsi" w:cstheme="minorHAnsi"/>
                <w:sz w:val="22"/>
                <w:szCs w:val="22"/>
                <w:lang w:val="fr-FR" w:bidi="fr-FR"/>
              </w:rPr>
              <w:t>Aucune collaboration si plus de 10 % des recettes annuelles proviennent des armes destinées au jeu/des répliques d’armes</w:t>
            </w:r>
          </w:p>
        </w:tc>
        <w:tc>
          <w:tcPr>
            <w:tcW w:w="1693" w:type="dxa"/>
            <w:tcBorders>
              <w:top w:val="single" w:sz="4" w:space="0" w:color="auto"/>
              <w:left w:val="single" w:sz="4" w:space="0" w:color="auto"/>
              <w:bottom w:val="single" w:sz="4" w:space="0" w:color="auto"/>
              <w:right w:val="single" w:sz="4" w:space="0" w:color="auto"/>
            </w:tcBorders>
          </w:tcPr>
          <w:p w14:paraId="4162DCD0" w14:textId="136B76A9" w:rsidR="0016596E" w:rsidRPr="00431D2E" w:rsidRDefault="0016596E" w:rsidP="005B6264">
            <w:pPr>
              <w:pStyle w:val="TableParagraph"/>
              <w:ind w:right="129" w:firstLine="55"/>
              <w:rPr>
                <w:rFonts w:asciiTheme="minorHAnsi" w:hAnsiTheme="minorHAnsi" w:cstheme="minorHAnsi"/>
                <w:sz w:val="22"/>
                <w:szCs w:val="22"/>
                <w:lang w:val="fr-FR"/>
              </w:rPr>
            </w:pPr>
            <w:r w:rsidRPr="00431D2E">
              <w:rPr>
                <w:rFonts w:asciiTheme="minorHAnsi" w:hAnsiTheme="minorHAnsi" w:cstheme="minorHAnsi"/>
                <w:sz w:val="22"/>
                <w:szCs w:val="22"/>
                <w:lang w:val="fr-FR" w:bidi="fr-FR"/>
              </w:rPr>
              <w:t>Aucune collaboration si le partenaire potentiel possède</w:t>
            </w:r>
            <w:r w:rsidR="005B6264" w:rsidRPr="00431D2E">
              <w:rPr>
                <w:rFonts w:asciiTheme="minorHAnsi" w:hAnsiTheme="minorHAnsi" w:cstheme="minorHAnsi"/>
                <w:sz w:val="22"/>
                <w:szCs w:val="22"/>
                <w:lang w:val="fr-FR" w:bidi="fr-FR"/>
              </w:rPr>
              <w:t xml:space="preserve"> </w:t>
            </w:r>
            <w:r w:rsidRPr="00431D2E">
              <w:rPr>
                <w:rFonts w:asciiTheme="minorHAnsi" w:hAnsiTheme="minorHAnsi" w:cstheme="minorHAnsi"/>
                <w:sz w:val="22"/>
                <w:szCs w:val="22"/>
                <w:lang w:val="fr-FR" w:bidi="fr-FR"/>
              </w:rPr>
              <w:t>plus de 20 % d’une filiale dont le chiffre d’affaires lié aux armements représente</w:t>
            </w:r>
            <w:r w:rsidR="005B6264" w:rsidRPr="00431D2E">
              <w:rPr>
                <w:rFonts w:asciiTheme="minorHAnsi" w:hAnsiTheme="minorHAnsi" w:cstheme="minorHAnsi"/>
                <w:sz w:val="22"/>
                <w:szCs w:val="22"/>
                <w:lang w:val="fr-FR" w:bidi="fr-FR"/>
              </w:rPr>
              <w:t xml:space="preserve"> </w:t>
            </w:r>
            <w:r w:rsidRPr="00431D2E">
              <w:rPr>
                <w:rFonts w:asciiTheme="minorHAnsi" w:hAnsiTheme="minorHAnsi" w:cstheme="minorHAnsi"/>
                <w:sz w:val="22"/>
                <w:szCs w:val="22"/>
                <w:lang w:val="fr-FR" w:bidi="fr-FR"/>
              </w:rPr>
              <w:t>plus de 10 % de ses recettes annuelles</w:t>
            </w:r>
          </w:p>
        </w:tc>
        <w:tc>
          <w:tcPr>
            <w:tcW w:w="1700" w:type="dxa"/>
            <w:tcBorders>
              <w:top w:val="single" w:sz="4" w:space="0" w:color="auto"/>
              <w:left w:val="single" w:sz="4" w:space="0" w:color="auto"/>
              <w:bottom w:val="single" w:sz="4" w:space="0" w:color="auto"/>
              <w:right w:val="single" w:sz="4" w:space="0" w:color="auto"/>
            </w:tcBorders>
          </w:tcPr>
          <w:p w14:paraId="08BDE9C3" w14:textId="3FAD2AA9" w:rsidR="0016596E" w:rsidRPr="00431D2E" w:rsidRDefault="0016596E" w:rsidP="005B6264">
            <w:pPr>
              <w:pStyle w:val="TableParagraph"/>
              <w:ind w:right="136" w:firstLine="55"/>
              <w:rPr>
                <w:rFonts w:asciiTheme="minorHAnsi" w:hAnsiTheme="minorHAnsi" w:cstheme="minorHAnsi"/>
                <w:sz w:val="22"/>
                <w:szCs w:val="22"/>
                <w:lang w:val="fr-FR"/>
              </w:rPr>
            </w:pPr>
            <w:r w:rsidRPr="00431D2E">
              <w:rPr>
                <w:rFonts w:asciiTheme="minorHAnsi" w:hAnsiTheme="minorHAnsi" w:cstheme="minorHAnsi"/>
                <w:sz w:val="22"/>
                <w:szCs w:val="22"/>
                <w:lang w:val="fr-FR" w:bidi="fr-FR"/>
              </w:rPr>
              <w:t>Aucune collaboration si une société mère possède</w:t>
            </w:r>
            <w:r w:rsidR="005B6264" w:rsidRPr="00431D2E">
              <w:rPr>
                <w:rFonts w:asciiTheme="minorHAnsi" w:hAnsiTheme="minorHAnsi" w:cstheme="minorHAnsi"/>
                <w:sz w:val="22"/>
                <w:szCs w:val="22"/>
                <w:lang w:val="fr-FR" w:bidi="fr-FR"/>
              </w:rPr>
              <w:t xml:space="preserve"> </w:t>
            </w:r>
            <w:r w:rsidRPr="00431D2E">
              <w:rPr>
                <w:rFonts w:asciiTheme="minorHAnsi" w:hAnsiTheme="minorHAnsi" w:cstheme="minorHAnsi"/>
                <w:sz w:val="22"/>
                <w:szCs w:val="22"/>
                <w:lang w:val="fr-FR" w:bidi="fr-FR"/>
              </w:rPr>
              <w:t>plus de 20 % du partenaire potentiel et que le chiffre d’affaires lié aux armements de celle-ci représente</w:t>
            </w:r>
            <w:r w:rsidR="005B6264" w:rsidRPr="00431D2E">
              <w:rPr>
                <w:rFonts w:asciiTheme="minorHAnsi" w:hAnsiTheme="minorHAnsi" w:cstheme="minorHAnsi"/>
                <w:sz w:val="22"/>
                <w:szCs w:val="22"/>
                <w:lang w:val="fr-FR" w:bidi="fr-FR"/>
              </w:rPr>
              <w:t xml:space="preserve"> </w:t>
            </w:r>
            <w:r w:rsidRPr="00431D2E">
              <w:rPr>
                <w:rFonts w:asciiTheme="minorHAnsi" w:hAnsiTheme="minorHAnsi" w:cstheme="minorHAnsi"/>
                <w:sz w:val="22"/>
                <w:szCs w:val="22"/>
                <w:lang w:val="fr-FR" w:bidi="fr-FR"/>
              </w:rPr>
              <w:t>plus de 10 % de ses recettes annuelles</w:t>
            </w:r>
          </w:p>
        </w:tc>
        <w:tc>
          <w:tcPr>
            <w:tcW w:w="2869" w:type="dxa"/>
            <w:tcBorders>
              <w:top w:val="single" w:sz="4" w:space="0" w:color="auto"/>
              <w:left w:val="single" w:sz="4" w:space="0" w:color="auto"/>
              <w:bottom w:val="single" w:sz="4" w:space="0" w:color="auto"/>
              <w:right w:val="single" w:sz="4" w:space="0" w:color="auto"/>
            </w:tcBorders>
          </w:tcPr>
          <w:p w14:paraId="78BD9B47" w14:textId="26EC1030" w:rsidR="0016596E" w:rsidRPr="00431D2E" w:rsidRDefault="0016596E" w:rsidP="0016596E">
            <w:pPr>
              <w:pStyle w:val="BodyText"/>
              <w:tabs>
                <w:tab w:val="left" w:pos="8428"/>
              </w:tabs>
              <w:rPr>
                <w:rFonts w:asciiTheme="minorHAnsi" w:hAnsiTheme="minorHAnsi" w:cstheme="minorHAnsi"/>
                <w:sz w:val="22"/>
                <w:szCs w:val="22"/>
                <w:lang w:val="fr-FR"/>
              </w:rPr>
            </w:pPr>
            <w:r w:rsidRPr="00431D2E">
              <w:rPr>
                <w:rFonts w:asciiTheme="minorHAnsi" w:hAnsiTheme="minorHAnsi" w:cstheme="minorHAnsi"/>
                <w:sz w:val="22"/>
                <w:szCs w:val="22"/>
                <w:lang w:val="fr-FR" w:bidi="fr-FR"/>
              </w:rPr>
              <w:t>Aucune collaboration si plus de 10 % des recettes annuelles proviennent des armes destinées au jeu/des répliques d’armes</w:t>
            </w:r>
          </w:p>
        </w:tc>
      </w:tr>
      <w:tr w:rsidR="00431D2E" w:rsidRPr="00431D2E" w14:paraId="3213B895" w14:textId="77777777" w:rsidTr="00431D2E">
        <w:trPr>
          <w:tblHeader/>
        </w:trPr>
        <w:tc>
          <w:tcPr>
            <w:tcW w:w="364" w:type="dxa"/>
            <w:tcBorders>
              <w:top w:val="single" w:sz="4" w:space="0" w:color="auto"/>
              <w:left w:val="single" w:sz="4" w:space="0" w:color="auto"/>
              <w:bottom w:val="single" w:sz="4" w:space="0" w:color="auto"/>
              <w:right w:val="single" w:sz="4" w:space="0" w:color="auto"/>
              <w:tl2br w:val="nil"/>
            </w:tcBorders>
          </w:tcPr>
          <w:p w14:paraId="7CAF2EFC" w14:textId="28E52F9F" w:rsidR="00D703B3" w:rsidRPr="00431D2E" w:rsidRDefault="006A36AD" w:rsidP="00AC5556">
            <w:pPr>
              <w:pStyle w:val="TableParagraph"/>
              <w:ind w:left="-20" w:right="-16"/>
              <w:rPr>
                <w:rFonts w:asciiTheme="minorHAnsi" w:hAnsiTheme="minorHAnsi" w:cstheme="minorHAnsi"/>
                <w:sz w:val="22"/>
                <w:szCs w:val="22"/>
              </w:rPr>
            </w:pPr>
            <w:r w:rsidRPr="00431D2E">
              <w:rPr>
                <w:rFonts w:asciiTheme="minorHAnsi" w:hAnsiTheme="minorHAnsi" w:cstheme="minorHAnsi"/>
                <w:sz w:val="22"/>
                <w:szCs w:val="22"/>
                <w:lang w:val="fr-FR" w:bidi="fr-FR"/>
              </w:rPr>
              <w:t>4.</w:t>
            </w:r>
          </w:p>
        </w:tc>
        <w:tc>
          <w:tcPr>
            <w:tcW w:w="1881" w:type="dxa"/>
            <w:tcBorders>
              <w:top w:val="single" w:sz="4" w:space="0" w:color="auto"/>
              <w:left w:val="single" w:sz="4" w:space="0" w:color="auto"/>
              <w:bottom w:val="single" w:sz="4" w:space="0" w:color="auto"/>
              <w:right w:val="single" w:sz="4" w:space="0" w:color="auto"/>
              <w:tl2br w:val="nil"/>
            </w:tcBorders>
          </w:tcPr>
          <w:p w14:paraId="2950CFD1" w14:textId="257B0D05" w:rsidR="00D703B3" w:rsidRPr="00431D2E" w:rsidRDefault="00D703B3" w:rsidP="00AC5556">
            <w:pPr>
              <w:pStyle w:val="TableParagraph"/>
              <w:ind w:left="-20" w:right="-16"/>
              <w:rPr>
                <w:rFonts w:asciiTheme="minorHAnsi" w:hAnsiTheme="minorHAnsi" w:cstheme="minorHAnsi"/>
                <w:sz w:val="22"/>
                <w:szCs w:val="22"/>
                <w:lang w:val="fr-FR"/>
              </w:rPr>
            </w:pPr>
            <w:r w:rsidRPr="00431D2E">
              <w:rPr>
                <w:rFonts w:asciiTheme="minorHAnsi" w:hAnsiTheme="minorHAnsi" w:cstheme="minorHAnsi"/>
                <w:sz w:val="22"/>
                <w:szCs w:val="22"/>
                <w:lang w:val="fr-FR" w:bidi="fr-FR"/>
              </w:rPr>
              <w:t>Fabrication, vente ou distribution de tabac ou de produits à base de tabac</w:t>
            </w:r>
          </w:p>
        </w:tc>
        <w:tc>
          <w:tcPr>
            <w:tcW w:w="1557" w:type="dxa"/>
            <w:tcBorders>
              <w:top w:val="single" w:sz="4" w:space="0" w:color="auto"/>
              <w:left w:val="single" w:sz="4" w:space="0" w:color="auto"/>
              <w:bottom w:val="single" w:sz="4" w:space="0" w:color="auto"/>
              <w:right w:val="single" w:sz="4" w:space="0" w:color="auto"/>
            </w:tcBorders>
          </w:tcPr>
          <w:p w14:paraId="1C414DAF" w14:textId="71E9378E" w:rsidR="00D703B3" w:rsidRPr="00431D2E" w:rsidRDefault="00D703B3" w:rsidP="00AC5556">
            <w:pPr>
              <w:pStyle w:val="BodyText"/>
              <w:tabs>
                <w:tab w:val="left" w:pos="8428"/>
              </w:tabs>
              <w:rPr>
                <w:rFonts w:asciiTheme="minorHAnsi" w:hAnsiTheme="minorHAnsi" w:cstheme="minorHAnsi"/>
                <w:sz w:val="22"/>
                <w:szCs w:val="22"/>
                <w:lang w:val="fr-FR"/>
              </w:rPr>
            </w:pPr>
            <w:r w:rsidRPr="00431D2E">
              <w:rPr>
                <w:rFonts w:asciiTheme="minorHAnsi" w:hAnsiTheme="minorHAnsi" w:cstheme="minorHAnsi"/>
                <w:sz w:val="22"/>
                <w:szCs w:val="22"/>
                <w:lang w:val="fr-FR" w:bidi="fr-FR"/>
              </w:rPr>
              <w:t>Aucune collaboration avec les fabricants et aucune collaboration avec les entreprises de distribution si les produits du tabac représentent plus de 5 % du chiffre d’affaires total</w:t>
            </w:r>
          </w:p>
        </w:tc>
        <w:tc>
          <w:tcPr>
            <w:tcW w:w="1693" w:type="dxa"/>
            <w:tcBorders>
              <w:top w:val="single" w:sz="4" w:space="0" w:color="auto"/>
              <w:left w:val="single" w:sz="4" w:space="0" w:color="auto"/>
              <w:bottom w:val="single" w:sz="4" w:space="0" w:color="auto"/>
              <w:right w:val="single" w:sz="4" w:space="0" w:color="auto"/>
            </w:tcBorders>
          </w:tcPr>
          <w:p w14:paraId="104DF45D" w14:textId="395E9E43" w:rsidR="00D703B3" w:rsidRPr="00431D2E" w:rsidRDefault="00D703B3" w:rsidP="00AC5556">
            <w:pPr>
              <w:pStyle w:val="TableParagraph"/>
              <w:ind w:right="129" w:firstLine="55"/>
              <w:rPr>
                <w:rFonts w:asciiTheme="minorHAnsi" w:hAnsiTheme="minorHAnsi" w:cstheme="minorHAnsi"/>
                <w:sz w:val="22"/>
                <w:szCs w:val="22"/>
              </w:rPr>
            </w:pPr>
            <w:r w:rsidRPr="00431D2E">
              <w:rPr>
                <w:rFonts w:asciiTheme="minorHAnsi" w:hAnsiTheme="minorHAnsi" w:cstheme="minorHAnsi"/>
                <w:sz w:val="22"/>
                <w:szCs w:val="22"/>
                <w:lang w:val="fr-FR" w:bidi="fr-FR"/>
              </w:rPr>
              <w:t>Aucune collaboration</w:t>
            </w:r>
          </w:p>
        </w:tc>
        <w:tc>
          <w:tcPr>
            <w:tcW w:w="1700" w:type="dxa"/>
            <w:tcBorders>
              <w:top w:val="single" w:sz="4" w:space="0" w:color="auto"/>
              <w:left w:val="single" w:sz="4" w:space="0" w:color="auto"/>
              <w:bottom w:val="single" w:sz="4" w:space="0" w:color="auto"/>
              <w:right w:val="single" w:sz="4" w:space="0" w:color="auto"/>
            </w:tcBorders>
          </w:tcPr>
          <w:p w14:paraId="19A459B2" w14:textId="7DEA4468" w:rsidR="00D703B3" w:rsidRPr="00431D2E" w:rsidRDefault="00D703B3" w:rsidP="00AC5556">
            <w:pPr>
              <w:pStyle w:val="TableParagraph"/>
              <w:ind w:right="136" w:firstLine="55"/>
              <w:rPr>
                <w:rFonts w:asciiTheme="minorHAnsi" w:hAnsiTheme="minorHAnsi" w:cstheme="minorHAnsi"/>
                <w:sz w:val="22"/>
                <w:szCs w:val="22"/>
              </w:rPr>
            </w:pPr>
            <w:r w:rsidRPr="00431D2E">
              <w:rPr>
                <w:rFonts w:asciiTheme="minorHAnsi" w:hAnsiTheme="minorHAnsi" w:cstheme="minorHAnsi"/>
                <w:sz w:val="22"/>
                <w:szCs w:val="22"/>
                <w:lang w:val="fr-FR" w:bidi="fr-FR"/>
              </w:rPr>
              <w:t>Aucune collaboration</w:t>
            </w:r>
          </w:p>
        </w:tc>
        <w:tc>
          <w:tcPr>
            <w:tcW w:w="2869" w:type="dxa"/>
            <w:tcBorders>
              <w:top w:val="single" w:sz="4" w:space="0" w:color="auto"/>
              <w:left w:val="single" w:sz="4" w:space="0" w:color="auto"/>
              <w:bottom w:val="single" w:sz="4" w:space="0" w:color="auto"/>
              <w:right w:val="single" w:sz="4" w:space="0" w:color="auto"/>
            </w:tcBorders>
          </w:tcPr>
          <w:p w14:paraId="5111C732" w14:textId="1F4F4258" w:rsidR="00D703B3" w:rsidRPr="00431D2E" w:rsidRDefault="00D703B3" w:rsidP="00AC5556">
            <w:pPr>
              <w:pStyle w:val="BodyText"/>
              <w:tabs>
                <w:tab w:val="left" w:pos="8428"/>
              </w:tabs>
              <w:rPr>
                <w:rFonts w:asciiTheme="minorHAnsi" w:hAnsiTheme="minorHAnsi" w:cstheme="minorHAnsi"/>
                <w:sz w:val="22"/>
                <w:szCs w:val="22"/>
              </w:rPr>
            </w:pPr>
            <w:r w:rsidRPr="00431D2E">
              <w:rPr>
                <w:rFonts w:asciiTheme="minorHAnsi" w:hAnsiTheme="minorHAnsi" w:cstheme="minorHAnsi"/>
                <w:sz w:val="22"/>
                <w:szCs w:val="22"/>
                <w:lang w:val="fr-FR" w:bidi="fr-FR"/>
              </w:rPr>
              <w:t>s.o.</w:t>
            </w:r>
          </w:p>
        </w:tc>
      </w:tr>
      <w:tr w:rsidR="00431D2E" w:rsidRPr="00431D2E" w14:paraId="594ED632" w14:textId="77777777" w:rsidTr="00431D2E">
        <w:trPr>
          <w:tblHeader/>
        </w:trPr>
        <w:tc>
          <w:tcPr>
            <w:tcW w:w="364" w:type="dxa"/>
            <w:tcBorders>
              <w:top w:val="single" w:sz="4" w:space="0" w:color="auto"/>
              <w:left w:val="single" w:sz="4" w:space="0" w:color="auto"/>
              <w:bottom w:val="single" w:sz="4" w:space="0" w:color="auto"/>
              <w:right w:val="single" w:sz="4" w:space="0" w:color="auto"/>
              <w:tl2br w:val="nil"/>
            </w:tcBorders>
          </w:tcPr>
          <w:p w14:paraId="6834C1FE" w14:textId="6D45A894" w:rsidR="00D703B3" w:rsidRPr="00431D2E" w:rsidRDefault="006A36AD" w:rsidP="00CC4F9B">
            <w:pPr>
              <w:pStyle w:val="TableParagraph"/>
              <w:ind w:left="-20" w:right="-106"/>
              <w:rPr>
                <w:rFonts w:asciiTheme="minorHAnsi" w:hAnsiTheme="minorHAnsi" w:cstheme="minorHAnsi"/>
                <w:sz w:val="22"/>
                <w:szCs w:val="22"/>
              </w:rPr>
            </w:pPr>
            <w:r w:rsidRPr="00431D2E">
              <w:rPr>
                <w:rFonts w:asciiTheme="minorHAnsi" w:hAnsiTheme="minorHAnsi" w:cstheme="minorHAnsi"/>
                <w:sz w:val="22"/>
                <w:szCs w:val="22"/>
                <w:lang w:val="fr-FR" w:bidi="fr-FR"/>
              </w:rPr>
              <w:t>5.</w:t>
            </w:r>
          </w:p>
        </w:tc>
        <w:tc>
          <w:tcPr>
            <w:tcW w:w="1881" w:type="dxa"/>
            <w:tcBorders>
              <w:top w:val="single" w:sz="4" w:space="0" w:color="auto"/>
              <w:left w:val="single" w:sz="4" w:space="0" w:color="auto"/>
              <w:bottom w:val="single" w:sz="4" w:space="0" w:color="auto"/>
              <w:right w:val="single" w:sz="4" w:space="0" w:color="auto"/>
              <w:tl2br w:val="nil"/>
            </w:tcBorders>
          </w:tcPr>
          <w:p w14:paraId="1C2D411B" w14:textId="0F6894DC" w:rsidR="00D703B3" w:rsidRPr="00431D2E" w:rsidRDefault="00D703B3" w:rsidP="00CD6759">
            <w:pPr>
              <w:pStyle w:val="TableParagraph"/>
              <w:ind w:left="-20" w:right="-106"/>
              <w:rPr>
                <w:rFonts w:asciiTheme="minorHAnsi" w:hAnsiTheme="minorHAnsi" w:cstheme="minorHAnsi"/>
                <w:sz w:val="22"/>
                <w:szCs w:val="22"/>
                <w:lang w:val="fr-FR"/>
              </w:rPr>
            </w:pPr>
            <w:r w:rsidRPr="00431D2E">
              <w:rPr>
                <w:rFonts w:asciiTheme="minorHAnsi" w:hAnsiTheme="minorHAnsi" w:cstheme="minorHAnsi"/>
                <w:sz w:val="22"/>
                <w:szCs w:val="22"/>
                <w:lang w:val="fr-FR" w:bidi="fr-FR"/>
              </w:rPr>
              <w:t>Violations à l’encontre des sanctions adoptées par les Nations Unies et des conventions, traités et résolutions en vigueur, et présence sur les listes d’inéligibilité des Nations Unies, sur la liste des sanctions imposées par le PNUD à l’encontre des fournisseurs ou sur la liste interne des exclus du PNUD</w:t>
            </w:r>
            <w:r w:rsidR="001D4CFD" w:rsidRPr="00431D2E">
              <w:rPr>
                <w:rStyle w:val="FootnoteReference"/>
                <w:rFonts w:asciiTheme="minorHAnsi" w:hAnsiTheme="minorHAnsi" w:cstheme="minorHAnsi"/>
                <w:sz w:val="22"/>
                <w:szCs w:val="22"/>
                <w:lang w:val="fr-FR" w:bidi="fr-FR"/>
              </w:rPr>
              <w:footnoteReference w:id="10"/>
            </w:r>
          </w:p>
        </w:tc>
        <w:tc>
          <w:tcPr>
            <w:tcW w:w="1557" w:type="dxa"/>
            <w:tcBorders>
              <w:top w:val="single" w:sz="4" w:space="0" w:color="auto"/>
              <w:left w:val="single" w:sz="4" w:space="0" w:color="auto"/>
              <w:bottom w:val="single" w:sz="4" w:space="0" w:color="auto"/>
              <w:right w:val="single" w:sz="4" w:space="0" w:color="auto"/>
            </w:tcBorders>
          </w:tcPr>
          <w:p w14:paraId="0F2774DD" w14:textId="104ED5ED" w:rsidR="00D703B3" w:rsidRPr="00431D2E" w:rsidRDefault="00D703B3" w:rsidP="00CD6759">
            <w:pPr>
              <w:pStyle w:val="BodyText"/>
              <w:tabs>
                <w:tab w:val="left" w:pos="8428"/>
              </w:tabs>
              <w:rPr>
                <w:rFonts w:asciiTheme="minorHAnsi" w:hAnsiTheme="minorHAnsi" w:cstheme="minorHAnsi"/>
                <w:sz w:val="22"/>
                <w:szCs w:val="22"/>
              </w:rPr>
            </w:pPr>
            <w:r w:rsidRPr="00431D2E">
              <w:rPr>
                <w:rFonts w:asciiTheme="minorHAnsi" w:hAnsiTheme="minorHAnsi" w:cstheme="minorHAnsi"/>
                <w:sz w:val="22"/>
                <w:szCs w:val="22"/>
                <w:lang w:val="fr-FR" w:bidi="fr-FR"/>
              </w:rPr>
              <w:t>Aucune collaboration</w:t>
            </w:r>
          </w:p>
        </w:tc>
        <w:tc>
          <w:tcPr>
            <w:tcW w:w="1693" w:type="dxa"/>
            <w:tcBorders>
              <w:top w:val="single" w:sz="4" w:space="0" w:color="auto"/>
              <w:left w:val="single" w:sz="4" w:space="0" w:color="auto"/>
              <w:bottom w:val="single" w:sz="4" w:space="0" w:color="auto"/>
              <w:right w:val="single" w:sz="4" w:space="0" w:color="auto"/>
            </w:tcBorders>
          </w:tcPr>
          <w:p w14:paraId="77BB03C5" w14:textId="3B71A1CA" w:rsidR="00D703B3" w:rsidRPr="00431D2E" w:rsidRDefault="00D703B3" w:rsidP="00CD6759">
            <w:pPr>
              <w:pStyle w:val="BodyText"/>
              <w:tabs>
                <w:tab w:val="left" w:pos="8428"/>
              </w:tabs>
              <w:rPr>
                <w:rFonts w:asciiTheme="minorHAnsi" w:hAnsiTheme="minorHAnsi" w:cstheme="minorHAnsi"/>
                <w:sz w:val="22"/>
                <w:szCs w:val="22"/>
              </w:rPr>
            </w:pPr>
            <w:r w:rsidRPr="00431D2E">
              <w:rPr>
                <w:rFonts w:asciiTheme="minorHAnsi" w:hAnsiTheme="minorHAnsi" w:cstheme="minorHAnsi"/>
                <w:sz w:val="22"/>
                <w:szCs w:val="22"/>
                <w:lang w:val="fr-FR" w:bidi="fr-FR"/>
              </w:rPr>
              <w:t>Aucune collaboration</w:t>
            </w:r>
          </w:p>
        </w:tc>
        <w:tc>
          <w:tcPr>
            <w:tcW w:w="1700" w:type="dxa"/>
            <w:tcBorders>
              <w:top w:val="single" w:sz="4" w:space="0" w:color="auto"/>
              <w:left w:val="single" w:sz="4" w:space="0" w:color="auto"/>
              <w:bottom w:val="single" w:sz="4" w:space="0" w:color="auto"/>
              <w:right w:val="single" w:sz="4" w:space="0" w:color="auto"/>
            </w:tcBorders>
          </w:tcPr>
          <w:p w14:paraId="5C8C9354" w14:textId="1158A12C" w:rsidR="00D703B3" w:rsidRPr="00431D2E" w:rsidRDefault="00D703B3" w:rsidP="00CD6759">
            <w:pPr>
              <w:pStyle w:val="BodyText"/>
              <w:tabs>
                <w:tab w:val="left" w:pos="8428"/>
              </w:tabs>
              <w:rPr>
                <w:rFonts w:asciiTheme="minorHAnsi" w:hAnsiTheme="minorHAnsi" w:cstheme="minorHAnsi"/>
                <w:sz w:val="22"/>
                <w:szCs w:val="22"/>
              </w:rPr>
            </w:pPr>
            <w:r w:rsidRPr="00431D2E">
              <w:rPr>
                <w:rFonts w:asciiTheme="minorHAnsi" w:hAnsiTheme="minorHAnsi" w:cstheme="minorHAnsi"/>
                <w:sz w:val="22"/>
                <w:szCs w:val="22"/>
                <w:lang w:val="fr-FR" w:bidi="fr-FR"/>
              </w:rPr>
              <w:t>Aucune collaboration</w:t>
            </w:r>
          </w:p>
        </w:tc>
        <w:tc>
          <w:tcPr>
            <w:tcW w:w="2869" w:type="dxa"/>
            <w:tcBorders>
              <w:top w:val="single" w:sz="4" w:space="0" w:color="auto"/>
              <w:left w:val="single" w:sz="4" w:space="0" w:color="auto"/>
              <w:bottom w:val="single" w:sz="4" w:space="0" w:color="auto"/>
              <w:right w:val="single" w:sz="4" w:space="0" w:color="auto"/>
            </w:tcBorders>
          </w:tcPr>
          <w:p w14:paraId="17FCD39C" w14:textId="1C3EAE54" w:rsidR="00D703B3" w:rsidRPr="00431D2E" w:rsidRDefault="00D703B3" w:rsidP="004C70BB">
            <w:pPr>
              <w:pStyle w:val="BodyText"/>
              <w:tabs>
                <w:tab w:val="left" w:pos="8428"/>
              </w:tabs>
              <w:rPr>
                <w:rFonts w:asciiTheme="minorHAnsi" w:hAnsiTheme="minorHAnsi" w:cstheme="minorHAnsi"/>
                <w:sz w:val="22"/>
                <w:szCs w:val="22"/>
                <w:lang w:val="fr-FR"/>
              </w:rPr>
            </w:pPr>
            <w:r w:rsidRPr="00431D2E">
              <w:rPr>
                <w:rFonts w:asciiTheme="minorHAnsi" w:hAnsiTheme="minorHAnsi" w:cstheme="minorHAnsi"/>
                <w:sz w:val="22"/>
                <w:szCs w:val="22"/>
                <w:lang w:val="fr-FR" w:bidi="fr-FR"/>
              </w:rPr>
              <w:t>Aucune collaboration si le chiffre d’affaires associé aux produits fabriqués par des entreprises dont les activités correspondent à ce critère représente plus de 10 % des recettes totales</w:t>
            </w:r>
          </w:p>
        </w:tc>
      </w:tr>
      <w:tr w:rsidR="00431D2E" w:rsidRPr="00431D2E" w14:paraId="530139E3" w14:textId="77777777" w:rsidTr="00431D2E">
        <w:trPr>
          <w:tblHeader/>
        </w:trPr>
        <w:tc>
          <w:tcPr>
            <w:tcW w:w="364" w:type="dxa"/>
            <w:tcBorders>
              <w:top w:val="single" w:sz="4" w:space="0" w:color="auto"/>
              <w:left w:val="single" w:sz="4" w:space="0" w:color="auto"/>
              <w:bottom w:val="single" w:sz="4" w:space="0" w:color="auto"/>
              <w:right w:val="single" w:sz="4" w:space="0" w:color="auto"/>
              <w:tl2br w:val="nil"/>
            </w:tcBorders>
          </w:tcPr>
          <w:p w14:paraId="03E1B8A1" w14:textId="0130F8C2" w:rsidR="00D703B3" w:rsidRPr="00431D2E" w:rsidRDefault="006A36AD" w:rsidP="00B0741F">
            <w:pPr>
              <w:pStyle w:val="TableParagraph"/>
              <w:ind w:left="-20" w:right="-16"/>
              <w:rPr>
                <w:rFonts w:asciiTheme="minorHAnsi" w:hAnsiTheme="minorHAnsi" w:cstheme="minorHAnsi"/>
                <w:sz w:val="22"/>
                <w:szCs w:val="22"/>
              </w:rPr>
            </w:pPr>
            <w:r w:rsidRPr="00431D2E">
              <w:rPr>
                <w:rFonts w:asciiTheme="minorHAnsi" w:hAnsiTheme="minorHAnsi" w:cstheme="minorHAnsi"/>
                <w:sz w:val="22"/>
                <w:szCs w:val="22"/>
                <w:lang w:val="fr-FR" w:bidi="fr-FR"/>
              </w:rPr>
              <w:lastRenderedPageBreak/>
              <w:t>6.</w:t>
            </w:r>
          </w:p>
        </w:tc>
        <w:tc>
          <w:tcPr>
            <w:tcW w:w="1881" w:type="dxa"/>
            <w:tcBorders>
              <w:top w:val="single" w:sz="4" w:space="0" w:color="auto"/>
              <w:left w:val="single" w:sz="4" w:space="0" w:color="auto"/>
              <w:bottom w:val="single" w:sz="4" w:space="0" w:color="auto"/>
              <w:right w:val="single" w:sz="4" w:space="0" w:color="auto"/>
              <w:tl2br w:val="nil"/>
            </w:tcBorders>
          </w:tcPr>
          <w:p w14:paraId="39705205" w14:textId="6A7ACB9A" w:rsidR="00D703B3" w:rsidRPr="00431D2E" w:rsidRDefault="00D703B3" w:rsidP="00B0741F">
            <w:pPr>
              <w:pStyle w:val="TableParagraph"/>
              <w:ind w:left="-20" w:right="-16"/>
              <w:rPr>
                <w:rFonts w:asciiTheme="minorHAnsi" w:hAnsiTheme="minorHAnsi" w:cstheme="minorHAnsi"/>
                <w:sz w:val="22"/>
                <w:szCs w:val="22"/>
                <w:lang w:val="fr-FR"/>
              </w:rPr>
            </w:pPr>
            <w:r w:rsidRPr="00431D2E">
              <w:rPr>
                <w:rFonts w:asciiTheme="minorHAnsi" w:hAnsiTheme="minorHAnsi" w:cstheme="minorHAnsi"/>
                <w:sz w:val="22"/>
                <w:szCs w:val="22"/>
                <w:lang w:val="fr-FR" w:bidi="fr-FR"/>
              </w:rPr>
              <w:t>Fabrication, vente et distribution de pornographie</w:t>
            </w:r>
          </w:p>
        </w:tc>
        <w:tc>
          <w:tcPr>
            <w:tcW w:w="1557" w:type="dxa"/>
            <w:tcBorders>
              <w:top w:val="single" w:sz="4" w:space="0" w:color="auto"/>
              <w:left w:val="single" w:sz="4" w:space="0" w:color="auto"/>
              <w:bottom w:val="single" w:sz="4" w:space="0" w:color="auto"/>
              <w:right w:val="single" w:sz="4" w:space="0" w:color="auto"/>
            </w:tcBorders>
          </w:tcPr>
          <w:p w14:paraId="2507539F" w14:textId="34CCBA1D" w:rsidR="00D703B3" w:rsidRPr="00431D2E" w:rsidRDefault="00D703B3" w:rsidP="00CD6759">
            <w:pPr>
              <w:pStyle w:val="TableParagraph"/>
              <w:ind w:left="-20" w:right="-16"/>
              <w:rPr>
                <w:rFonts w:asciiTheme="minorHAnsi" w:hAnsiTheme="minorHAnsi" w:cstheme="minorHAnsi"/>
                <w:sz w:val="22"/>
                <w:szCs w:val="22"/>
              </w:rPr>
            </w:pPr>
            <w:r w:rsidRPr="00431D2E">
              <w:rPr>
                <w:rFonts w:asciiTheme="minorHAnsi" w:hAnsiTheme="minorHAnsi" w:cstheme="minorHAnsi"/>
                <w:sz w:val="22"/>
                <w:szCs w:val="22"/>
                <w:lang w:val="fr-FR" w:bidi="fr-FR"/>
              </w:rPr>
              <w:t>Aucune collaboration</w:t>
            </w:r>
          </w:p>
        </w:tc>
        <w:tc>
          <w:tcPr>
            <w:tcW w:w="1693" w:type="dxa"/>
            <w:tcBorders>
              <w:top w:val="single" w:sz="4" w:space="0" w:color="auto"/>
              <w:left w:val="single" w:sz="4" w:space="0" w:color="auto"/>
              <w:bottom w:val="single" w:sz="4" w:space="0" w:color="auto"/>
              <w:right w:val="single" w:sz="4" w:space="0" w:color="auto"/>
            </w:tcBorders>
          </w:tcPr>
          <w:p w14:paraId="251FD161" w14:textId="41FFBFDC" w:rsidR="00D703B3" w:rsidRPr="00431D2E" w:rsidRDefault="00D703B3" w:rsidP="00CD6759">
            <w:pPr>
              <w:pStyle w:val="TableParagraph"/>
              <w:ind w:left="-20" w:right="-16"/>
              <w:rPr>
                <w:rFonts w:asciiTheme="minorHAnsi" w:hAnsiTheme="minorHAnsi" w:cstheme="minorHAnsi"/>
                <w:sz w:val="22"/>
                <w:szCs w:val="22"/>
                <w:lang w:val="fr-FR"/>
              </w:rPr>
            </w:pPr>
            <w:r w:rsidRPr="00431D2E">
              <w:rPr>
                <w:rFonts w:asciiTheme="minorHAnsi" w:hAnsiTheme="minorHAnsi" w:cstheme="minorHAnsi"/>
                <w:sz w:val="22"/>
                <w:szCs w:val="22"/>
                <w:lang w:val="fr-FR" w:bidi="fr-FR"/>
              </w:rPr>
              <w:t>Aucune collaboration si le partenaire potentiel possède plus de 20 % d’une filiale participant à ce type d’activités</w:t>
            </w:r>
          </w:p>
        </w:tc>
        <w:tc>
          <w:tcPr>
            <w:tcW w:w="1700" w:type="dxa"/>
            <w:tcBorders>
              <w:top w:val="single" w:sz="4" w:space="0" w:color="auto"/>
              <w:left w:val="single" w:sz="4" w:space="0" w:color="auto"/>
              <w:bottom w:val="single" w:sz="4" w:space="0" w:color="auto"/>
              <w:right w:val="single" w:sz="4" w:space="0" w:color="auto"/>
            </w:tcBorders>
          </w:tcPr>
          <w:p w14:paraId="50B04F2D" w14:textId="2EF148B3" w:rsidR="00D703B3" w:rsidRPr="00431D2E" w:rsidRDefault="00D703B3" w:rsidP="00CD6759">
            <w:pPr>
              <w:pStyle w:val="TableParagraph"/>
              <w:ind w:left="-20" w:right="-16"/>
              <w:rPr>
                <w:rFonts w:asciiTheme="minorHAnsi" w:hAnsiTheme="minorHAnsi" w:cstheme="minorHAnsi"/>
                <w:sz w:val="22"/>
                <w:szCs w:val="22"/>
                <w:lang w:val="fr-FR"/>
              </w:rPr>
            </w:pPr>
            <w:r w:rsidRPr="00431D2E">
              <w:rPr>
                <w:rFonts w:asciiTheme="minorHAnsi" w:hAnsiTheme="minorHAnsi" w:cstheme="minorHAnsi"/>
                <w:sz w:val="22"/>
                <w:szCs w:val="22"/>
                <w:lang w:val="fr-FR" w:bidi="fr-FR"/>
              </w:rPr>
              <w:t>Aucune collaboration si une société mère participant à ce type d’activités possède plus de 20 % du partenaire potentiel</w:t>
            </w:r>
          </w:p>
        </w:tc>
        <w:tc>
          <w:tcPr>
            <w:tcW w:w="2869" w:type="dxa"/>
            <w:tcBorders>
              <w:top w:val="single" w:sz="4" w:space="0" w:color="auto"/>
              <w:left w:val="single" w:sz="4" w:space="0" w:color="auto"/>
              <w:bottom w:val="single" w:sz="4" w:space="0" w:color="auto"/>
              <w:right w:val="single" w:sz="4" w:space="0" w:color="auto"/>
            </w:tcBorders>
          </w:tcPr>
          <w:p w14:paraId="16DA627E" w14:textId="2DD24170" w:rsidR="00D703B3" w:rsidRPr="00431D2E" w:rsidRDefault="00D703B3" w:rsidP="00CD6759">
            <w:pPr>
              <w:pStyle w:val="TableParagraph"/>
              <w:ind w:left="-20" w:right="-16"/>
              <w:rPr>
                <w:rFonts w:asciiTheme="minorHAnsi" w:hAnsiTheme="minorHAnsi" w:cstheme="minorHAnsi"/>
                <w:sz w:val="22"/>
                <w:szCs w:val="22"/>
                <w:lang w:val="fr-FR"/>
              </w:rPr>
            </w:pPr>
            <w:r w:rsidRPr="00431D2E">
              <w:rPr>
                <w:rFonts w:asciiTheme="minorHAnsi" w:hAnsiTheme="minorHAnsi" w:cstheme="minorHAnsi"/>
                <w:sz w:val="22"/>
                <w:szCs w:val="22"/>
                <w:lang w:val="fr-FR" w:bidi="fr-FR"/>
              </w:rPr>
              <w:t>Aucune collaboration si le chiffre d’affaires associé à la pornographie représente plus de 10 % des recettes annuelles totales</w:t>
            </w:r>
          </w:p>
        </w:tc>
      </w:tr>
      <w:tr w:rsidR="00431D2E" w:rsidRPr="00431D2E" w14:paraId="171385D3" w14:textId="77777777" w:rsidTr="00431D2E">
        <w:trPr>
          <w:tblHeader/>
        </w:trPr>
        <w:tc>
          <w:tcPr>
            <w:tcW w:w="364" w:type="dxa"/>
            <w:tcBorders>
              <w:top w:val="single" w:sz="4" w:space="0" w:color="auto"/>
              <w:left w:val="single" w:sz="4" w:space="0" w:color="auto"/>
              <w:bottom w:val="single" w:sz="4" w:space="0" w:color="auto"/>
              <w:right w:val="single" w:sz="4" w:space="0" w:color="auto"/>
              <w:tl2br w:val="nil"/>
            </w:tcBorders>
          </w:tcPr>
          <w:p w14:paraId="20CEA7E1" w14:textId="54F5006C" w:rsidR="0007070B" w:rsidRPr="00431D2E" w:rsidRDefault="0007070B" w:rsidP="0007070B">
            <w:pPr>
              <w:pStyle w:val="TableParagraph"/>
              <w:ind w:left="-20" w:right="-16"/>
              <w:rPr>
                <w:rFonts w:asciiTheme="minorHAnsi" w:hAnsiTheme="minorHAnsi" w:cstheme="minorHAnsi"/>
                <w:sz w:val="22"/>
                <w:szCs w:val="22"/>
              </w:rPr>
            </w:pPr>
            <w:r w:rsidRPr="00431D2E">
              <w:rPr>
                <w:rFonts w:asciiTheme="minorHAnsi" w:hAnsiTheme="minorHAnsi" w:cstheme="minorHAnsi"/>
                <w:sz w:val="22"/>
                <w:szCs w:val="22"/>
                <w:lang w:val="fr-FR" w:bidi="fr-FR"/>
              </w:rPr>
              <w:t>7.</w:t>
            </w:r>
          </w:p>
        </w:tc>
        <w:tc>
          <w:tcPr>
            <w:tcW w:w="1881" w:type="dxa"/>
            <w:tcBorders>
              <w:top w:val="single" w:sz="4" w:space="0" w:color="auto"/>
              <w:left w:val="single" w:sz="4" w:space="0" w:color="auto"/>
              <w:bottom w:val="single" w:sz="4" w:space="0" w:color="auto"/>
              <w:right w:val="single" w:sz="4" w:space="0" w:color="auto"/>
              <w:tl2br w:val="nil"/>
            </w:tcBorders>
          </w:tcPr>
          <w:p w14:paraId="330B37EF" w14:textId="79495DB7" w:rsidR="0007070B" w:rsidRPr="00431D2E" w:rsidRDefault="0007070B" w:rsidP="00CE6B8C">
            <w:pPr>
              <w:pStyle w:val="TableParagraph"/>
              <w:ind w:left="-20" w:right="-16"/>
              <w:rPr>
                <w:rFonts w:asciiTheme="minorHAnsi" w:hAnsiTheme="minorHAnsi" w:cstheme="minorHAnsi"/>
                <w:sz w:val="22"/>
                <w:szCs w:val="22"/>
                <w:lang w:val="fr-FR"/>
              </w:rPr>
            </w:pPr>
            <w:r w:rsidRPr="00431D2E">
              <w:rPr>
                <w:rFonts w:asciiTheme="minorHAnsi" w:hAnsiTheme="minorHAnsi" w:cstheme="minorHAnsi"/>
                <w:sz w:val="22"/>
                <w:szCs w:val="22"/>
                <w:lang w:val="fr-FR" w:bidi="fr-FR"/>
              </w:rPr>
              <w:t>Fabrication, vente ou distribution de substances soumises à des interdictions internationales ou à des mesures d’élimination progressive, de faune sauvage ou de produits et de dérivés obtenus de manière illégale ou en violation de la CITES</w:t>
            </w:r>
            <w:r w:rsidRPr="00431D2E">
              <w:rPr>
                <w:rFonts w:asciiTheme="minorHAnsi" w:hAnsiTheme="minorHAnsi" w:cstheme="minorHAnsi"/>
                <w:sz w:val="22"/>
                <w:szCs w:val="22"/>
                <w:vertAlign w:val="superscript"/>
                <w:lang w:val="fr-FR" w:bidi="fr-FR"/>
              </w:rPr>
              <w:footnoteReference w:id="11"/>
            </w:r>
            <w:r w:rsidRPr="00431D2E">
              <w:rPr>
                <w:rFonts w:asciiTheme="minorHAnsi" w:hAnsiTheme="minorHAnsi" w:cstheme="minorHAnsi"/>
                <w:sz w:val="22"/>
                <w:szCs w:val="22"/>
                <w:lang w:val="fr-FR" w:bidi="fr-FR"/>
              </w:rPr>
              <w:t>.</w:t>
            </w:r>
          </w:p>
        </w:tc>
        <w:tc>
          <w:tcPr>
            <w:tcW w:w="1557" w:type="dxa"/>
            <w:tcBorders>
              <w:top w:val="single" w:sz="4" w:space="0" w:color="auto"/>
              <w:left w:val="single" w:sz="4" w:space="0" w:color="auto"/>
              <w:bottom w:val="single" w:sz="4" w:space="0" w:color="auto"/>
              <w:right w:val="single" w:sz="4" w:space="0" w:color="auto"/>
            </w:tcBorders>
          </w:tcPr>
          <w:p w14:paraId="506D9374" w14:textId="4DCDA716" w:rsidR="0007070B" w:rsidRPr="00431D2E" w:rsidRDefault="0007070B" w:rsidP="0007070B">
            <w:pPr>
              <w:pStyle w:val="TableParagraph"/>
              <w:ind w:left="-20" w:right="-16"/>
              <w:rPr>
                <w:rFonts w:asciiTheme="minorHAnsi" w:hAnsiTheme="minorHAnsi" w:cstheme="minorHAnsi"/>
                <w:sz w:val="22"/>
                <w:szCs w:val="22"/>
              </w:rPr>
            </w:pPr>
            <w:r w:rsidRPr="00431D2E">
              <w:rPr>
                <w:rFonts w:asciiTheme="minorHAnsi" w:hAnsiTheme="minorHAnsi" w:cstheme="minorHAnsi"/>
                <w:sz w:val="22"/>
                <w:szCs w:val="22"/>
                <w:lang w:val="fr-FR" w:bidi="fr-FR"/>
              </w:rPr>
              <w:t>Aucune collaboration</w:t>
            </w:r>
            <w:r w:rsidR="000614BF" w:rsidRPr="00431D2E">
              <w:rPr>
                <w:rFonts w:asciiTheme="minorHAnsi" w:hAnsiTheme="minorHAnsi" w:cstheme="minorHAnsi"/>
                <w:position w:val="8"/>
                <w:sz w:val="22"/>
                <w:szCs w:val="22"/>
                <w:lang w:val="fr-FR" w:bidi="fr-FR"/>
              </w:rPr>
              <w:t>9</w:t>
            </w:r>
          </w:p>
        </w:tc>
        <w:tc>
          <w:tcPr>
            <w:tcW w:w="1693" w:type="dxa"/>
            <w:tcBorders>
              <w:top w:val="single" w:sz="4" w:space="0" w:color="auto"/>
              <w:left w:val="single" w:sz="4" w:space="0" w:color="auto"/>
              <w:bottom w:val="single" w:sz="4" w:space="0" w:color="auto"/>
              <w:right w:val="single" w:sz="4" w:space="0" w:color="auto"/>
            </w:tcBorders>
          </w:tcPr>
          <w:p w14:paraId="16BEBBDC" w14:textId="51F00791" w:rsidR="0007070B" w:rsidRPr="00431D2E" w:rsidRDefault="0007070B" w:rsidP="005B6264">
            <w:pPr>
              <w:pStyle w:val="TableParagraph"/>
              <w:ind w:right="184"/>
              <w:rPr>
                <w:rFonts w:asciiTheme="minorHAnsi" w:hAnsiTheme="minorHAnsi" w:cstheme="minorHAnsi"/>
                <w:sz w:val="22"/>
                <w:szCs w:val="22"/>
                <w:lang w:val="fr-FR"/>
              </w:rPr>
            </w:pPr>
            <w:r w:rsidRPr="00431D2E">
              <w:rPr>
                <w:rFonts w:asciiTheme="minorHAnsi" w:hAnsiTheme="minorHAnsi" w:cstheme="minorHAnsi"/>
                <w:sz w:val="22"/>
                <w:szCs w:val="22"/>
                <w:lang w:val="fr-FR" w:bidi="fr-FR"/>
              </w:rPr>
              <w:t>Aucune collaboration si le partenaire potentiel possède</w:t>
            </w:r>
            <w:r w:rsidR="005B6264" w:rsidRPr="00431D2E">
              <w:rPr>
                <w:rFonts w:asciiTheme="minorHAnsi" w:hAnsiTheme="minorHAnsi" w:cstheme="minorHAnsi"/>
                <w:sz w:val="22"/>
                <w:szCs w:val="22"/>
                <w:lang w:val="fr-FR" w:bidi="fr-FR"/>
              </w:rPr>
              <w:t xml:space="preserve"> </w:t>
            </w:r>
            <w:r w:rsidRPr="00431D2E">
              <w:rPr>
                <w:rFonts w:asciiTheme="minorHAnsi" w:hAnsiTheme="minorHAnsi" w:cstheme="minorHAnsi"/>
                <w:sz w:val="22"/>
                <w:szCs w:val="22"/>
                <w:lang w:val="fr-FR" w:bidi="fr-FR"/>
              </w:rPr>
              <w:t>plus de 20 % d’une filiale participant à ce type d’activités</w:t>
            </w:r>
          </w:p>
        </w:tc>
        <w:tc>
          <w:tcPr>
            <w:tcW w:w="1700" w:type="dxa"/>
            <w:tcBorders>
              <w:top w:val="single" w:sz="4" w:space="0" w:color="auto"/>
              <w:left w:val="single" w:sz="4" w:space="0" w:color="auto"/>
              <w:bottom w:val="single" w:sz="4" w:space="0" w:color="auto"/>
              <w:right w:val="single" w:sz="4" w:space="0" w:color="auto"/>
            </w:tcBorders>
          </w:tcPr>
          <w:p w14:paraId="2E399DEC" w14:textId="600331B0" w:rsidR="0007070B" w:rsidRPr="00431D2E" w:rsidRDefault="0007070B" w:rsidP="005B6264">
            <w:pPr>
              <w:pStyle w:val="TableParagraph"/>
              <w:ind w:right="191"/>
              <w:rPr>
                <w:rFonts w:asciiTheme="minorHAnsi" w:hAnsiTheme="minorHAnsi" w:cstheme="minorHAnsi"/>
                <w:sz w:val="22"/>
                <w:szCs w:val="22"/>
                <w:lang w:val="fr-FR"/>
              </w:rPr>
            </w:pPr>
            <w:r w:rsidRPr="00431D2E">
              <w:rPr>
                <w:rFonts w:asciiTheme="minorHAnsi" w:hAnsiTheme="minorHAnsi" w:cstheme="minorHAnsi"/>
                <w:sz w:val="22"/>
                <w:szCs w:val="22"/>
                <w:lang w:val="fr-FR" w:bidi="fr-FR"/>
              </w:rPr>
              <w:t>Aucune collaboration si une société mère possède</w:t>
            </w:r>
            <w:r w:rsidR="005B6264" w:rsidRPr="00431D2E">
              <w:rPr>
                <w:rFonts w:asciiTheme="minorHAnsi" w:hAnsiTheme="minorHAnsi" w:cstheme="minorHAnsi"/>
                <w:sz w:val="22"/>
                <w:szCs w:val="22"/>
                <w:lang w:val="fr-FR" w:bidi="fr-FR"/>
              </w:rPr>
              <w:t xml:space="preserve"> </w:t>
            </w:r>
            <w:r w:rsidRPr="00431D2E">
              <w:rPr>
                <w:rFonts w:asciiTheme="minorHAnsi" w:hAnsiTheme="minorHAnsi" w:cstheme="minorHAnsi"/>
                <w:sz w:val="22"/>
                <w:szCs w:val="22"/>
                <w:lang w:val="fr-FR" w:bidi="fr-FR"/>
              </w:rPr>
              <w:t>plus de 20 % du partenaire potentiel</w:t>
            </w:r>
          </w:p>
        </w:tc>
        <w:tc>
          <w:tcPr>
            <w:tcW w:w="2869" w:type="dxa"/>
            <w:tcBorders>
              <w:top w:val="single" w:sz="4" w:space="0" w:color="auto"/>
              <w:left w:val="single" w:sz="4" w:space="0" w:color="auto"/>
              <w:bottom w:val="single" w:sz="4" w:space="0" w:color="auto"/>
              <w:right w:val="single" w:sz="4" w:space="0" w:color="auto"/>
            </w:tcBorders>
          </w:tcPr>
          <w:p w14:paraId="736C26A5" w14:textId="1DD1D1E1" w:rsidR="0007070B" w:rsidRPr="00431D2E" w:rsidRDefault="0007070B" w:rsidP="0007070B">
            <w:pPr>
              <w:pStyle w:val="TableParagraph"/>
              <w:ind w:left="-20" w:right="-16"/>
              <w:rPr>
                <w:rFonts w:asciiTheme="minorHAnsi" w:hAnsiTheme="minorHAnsi" w:cstheme="minorHAnsi"/>
                <w:sz w:val="22"/>
                <w:szCs w:val="22"/>
              </w:rPr>
            </w:pPr>
            <w:r w:rsidRPr="00431D2E">
              <w:rPr>
                <w:rFonts w:asciiTheme="minorHAnsi" w:hAnsiTheme="minorHAnsi" w:cstheme="minorHAnsi"/>
                <w:sz w:val="22"/>
                <w:szCs w:val="22"/>
                <w:lang w:val="fr-FR" w:bidi="fr-FR"/>
              </w:rPr>
              <w:t>Aucune collaboration</w:t>
            </w:r>
            <w:r w:rsidR="000614BF" w:rsidRPr="00431D2E">
              <w:rPr>
                <w:rFonts w:asciiTheme="minorHAnsi" w:hAnsiTheme="minorHAnsi" w:cstheme="minorHAnsi"/>
                <w:position w:val="8"/>
                <w:sz w:val="22"/>
                <w:szCs w:val="22"/>
                <w:lang w:val="fr-FR" w:bidi="fr-FR"/>
              </w:rPr>
              <w:t>9</w:t>
            </w:r>
          </w:p>
        </w:tc>
      </w:tr>
      <w:tr w:rsidR="00431D2E" w:rsidRPr="00431D2E" w14:paraId="7FAC27B7" w14:textId="77777777" w:rsidTr="00431D2E">
        <w:trPr>
          <w:tblHeader/>
        </w:trPr>
        <w:tc>
          <w:tcPr>
            <w:tcW w:w="364" w:type="dxa"/>
            <w:tcBorders>
              <w:top w:val="single" w:sz="4" w:space="0" w:color="auto"/>
              <w:left w:val="single" w:sz="4" w:space="0" w:color="auto"/>
              <w:bottom w:val="single" w:sz="4" w:space="0" w:color="auto"/>
              <w:right w:val="single" w:sz="4" w:space="0" w:color="auto"/>
              <w:tl2br w:val="nil"/>
            </w:tcBorders>
          </w:tcPr>
          <w:p w14:paraId="0ED1B66A" w14:textId="18A2F5D3" w:rsidR="00CD6759" w:rsidRPr="00431D2E" w:rsidRDefault="00CD6759" w:rsidP="00CD6759">
            <w:pPr>
              <w:pStyle w:val="TableParagraph"/>
              <w:ind w:left="-20" w:right="-16"/>
              <w:rPr>
                <w:rFonts w:asciiTheme="minorHAnsi" w:hAnsiTheme="minorHAnsi" w:cstheme="minorHAnsi"/>
                <w:sz w:val="22"/>
                <w:szCs w:val="22"/>
              </w:rPr>
            </w:pPr>
            <w:r w:rsidRPr="00431D2E">
              <w:rPr>
                <w:rFonts w:asciiTheme="minorHAnsi" w:hAnsiTheme="minorHAnsi" w:cstheme="minorHAnsi"/>
                <w:sz w:val="22"/>
                <w:szCs w:val="22"/>
                <w:lang w:val="fr-FR" w:bidi="fr-FR"/>
              </w:rPr>
              <w:t xml:space="preserve">8. </w:t>
            </w:r>
          </w:p>
        </w:tc>
        <w:tc>
          <w:tcPr>
            <w:tcW w:w="1881" w:type="dxa"/>
            <w:tcBorders>
              <w:top w:val="single" w:sz="4" w:space="0" w:color="auto"/>
              <w:left w:val="single" w:sz="4" w:space="0" w:color="auto"/>
              <w:bottom w:val="single" w:sz="4" w:space="0" w:color="auto"/>
              <w:right w:val="single" w:sz="4" w:space="0" w:color="auto"/>
              <w:tl2br w:val="nil"/>
            </w:tcBorders>
          </w:tcPr>
          <w:p w14:paraId="1E4FC632" w14:textId="3EBD6E67" w:rsidR="00CD6759" w:rsidRPr="00431D2E" w:rsidRDefault="00CD6759" w:rsidP="00CD6759">
            <w:pPr>
              <w:pStyle w:val="TableParagraph"/>
              <w:ind w:left="-20" w:right="-16"/>
              <w:rPr>
                <w:rFonts w:asciiTheme="minorHAnsi" w:hAnsiTheme="minorHAnsi" w:cstheme="minorHAnsi"/>
                <w:sz w:val="22"/>
                <w:szCs w:val="22"/>
                <w:lang w:val="fr-FR"/>
              </w:rPr>
            </w:pPr>
            <w:r w:rsidRPr="00431D2E">
              <w:rPr>
                <w:rFonts w:asciiTheme="minorHAnsi" w:hAnsiTheme="minorHAnsi" w:cstheme="minorHAnsi"/>
                <w:sz w:val="22"/>
                <w:szCs w:val="22"/>
                <w:lang w:val="fr-FR" w:bidi="fr-FR"/>
              </w:rPr>
              <w:t>Jeux d’argent, y compris les casinos et les paris (à l’exclusion des loteries à but caritatif)</w:t>
            </w:r>
          </w:p>
        </w:tc>
        <w:tc>
          <w:tcPr>
            <w:tcW w:w="1557" w:type="dxa"/>
            <w:tcBorders>
              <w:top w:val="single" w:sz="4" w:space="0" w:color="auto"/>
              <w:left w:val="single" w:sz="4" w:space="0" w:color="auto"/>
              <w:bottom w:val="single" w:sz="4" w:space="0" w:color="auto"/>
              <w:right w:val="single" w:sz="4" w:space="0" w:color="auto"/>
            </w:tcBorders>
          </w:tcPr>
          <w:p w14:paraId="75731CCA" w14:textId="3D444D3A" w:rsidR="00CD6759" w:rsidRPr="00CE6B8C" w:rsidRDefault="00CD6759" w:rsidP="00CE6B8C">
            <w:pPr>
              <w:pStyle w:val="TableParagraph"/>
              <w:ind w:left="-20" w:right="-16"/>
              <w:rPr>
                <w:rFonts w:asciiTheme="minorHAnsi" w:hAnsiTheme="minorHAnsi" w:cstheme="minorHAnsi"/>
                <w:sz w:val="22"/>
                <w:szCs w:val="22"/>
                <w:lang w:val="fr-FR"/>
              </w:rPr>
            </w:pPr>
            <w:r w:rsidRPr="00431D2E">
              <w:rPr>
                <w:rFonts w:asciiTheme="minorHAnsi" w:hAnsiTheme="minorHAnsi" w:cstheme="minorHAnsi"/>
                <w:sz w:val="22"/>
                <w:szCs w:val="22"/>
                <w:lang w:val="fr-FR" w:bidi="fr-FR"/>
              </w:rPr>
              <w:t>Aucune collaboration si les jeux d’argent représentent plus de 20 %</w:t>
            </w:r>
            <w:r w:rsidR="00CE6B8C">
              <w:rPr>
                <w:rFonts w:asciiTheme="minorHAnsi" w:hAnsiTheme="minorHAnsi" w:cstheme="minorHAnsi"/>
                <w:sz w:val="22"/>
                <w:szCs w:val="22"/>
                <w:lang w:val="fr-FR" w:bidi="fr-FR"/>
              </w:rPr>
              <w:t xml:space="preserve"> </w:t>
            </w:r>
            <w:r w:rsidRPr="00431D2E">
              <w:rPr>
                <w:rFonts w:asciiTheme="minorHAnsi" w:hAnsiTheme="minorHAnsi" w:cstheme="minorHAnsi"/>
                <w:sz w:val="22"/>
                <w:szCs w:val="22"/>
                <w:lang w:val="fr-FR" w:bidi="fr-FR"/>
              </w:rPr>
              <w:t>des recettes annuelles</w:t>
            </w:r>
          </w:p>
        </w:tc>
        <w:tc>
          <w:tcPr>
            <w:tcW w:w="1693" w:type="dxa"/>
            <w:tcBorders>
              <w:top w:val="single" w:sz="4" w:space="0" w:color="auto"/>
              <w:left w:val="single" w:sz="4" w:space="0" w:color="auto"/>
              <w:bottom w:val="single" w:sz="4" w:space="0" w:color="auto"/>
              <w:right w:val="single" w:sz="4" w:space="0" w:color="auto"/>
            </w:tcBorders>
          </w:tcPr>
          <w:p w14:paraId="5C246D2A" w14:textId="3986AD0D" w:rsidR="00CD6759" w:rsidRPr="00431D2E" w:rsidRDefault="00CD6759" w:rsidP="00CD6759">
            <w:pPr>
              <w:pStyle w:val="TableParagraph"/>
              <w:ind w:right="184"/>
              <w:rPr>
                <w:rFonts w:asciiTheme="minorHAnsi" w:hAnsiTheme="minorHAnsi" w:cstheme="minorHAnsi"/>
                <w:sz w:val="22"/>
                <w:szCs w:val="22"/>
                <w:lang w:val="fr-FR"/>
              </w:rPr>
            </w:pPr>
            <w:r w:rsidRPr="00431D2E">
              <w:rPr>
                <w:rFonts w:asciiTheme="minorHAnsi" w:hAnsiTheme="minorHAnsi" w:cstheme="minorHAnsi"/>
                <w:sz w:val="22"/>
                <w:szCs w:val="22"/>
                <w:lang w:val="fr-FR" w:bidi="fr-FR"/>
              </w:rPr>
              <w:t>Aucune collaboration si le partenaire potentiel possède plus de 20 % d’une filiale participant à ce type d’activités</w:t>
            </w:r>
          </w:p>
        </w:tc>
        <w:tc>
          <w:tcPr>
            <w:tcW w:w="1700" w:type="dxa"/>
            <w:tcBorders>
              <w:top w:val="single" w:sz="4" w:space="0" w:color="auto"/>
              <w:left w:val="single" w:sz="4" w:space="0" w:color="auto"/>
              <w:bottom w:val="single" w:sz="4" w:space="0" w:color="auto"/>
              <w:right w:val="single" w:sz="4" w:space="0" w:color="auto"/>
            </w:tcBorders>
          </w:tcPr>
          <w:p w14:paraId="7C7CC0CA" w14:textId="196C0AE3" w:rsidR="00CD6759" w:rsidRPr="00431D2E" w:rsidRDefault="00CD6759" w:rsidP="005B6264">
            <w:pPr>
              <w:pStyle w:val="TableParagraph"/>
              <w:ind w:left="-20" w:right="-16"/>
              <w:rPr>
                <w:rFonts w:asciiTheme="minorHAnsi" w:hAnsiTheme="minorHAnsi" w:cstheme="minorHAnsi"/>
                <w:sz w:val="22"/>
                <w:szCs w:val="22"/>
                <w:lang w:val="fr-FR"/>
              </w:rPr>
            </w:pPr>
            <w:r w:rsidRPr="00431D2E">
              <w:rPr>
                <w:rFonts w:asciiTheme="minorHAnsi" w:hAnsiTheme="minorHAnsi" w:cstheme="minorHAnsi"/>
                <w:sz w:val="22"/>
                <w:szCs w:val="22"/>
                <w:lang w:val="fr-FR" w:bidi="fr-FR"/>
              </w:rPr>
              <w:t>Aucune collaboration si une société mère possède</w:t>
            </w:r>
            <w:r w:rsidR="005B6264" w:rsidRPr="00431D2E">
              <w:rPr>
                <w:rFonts w:asciiTheme="minorHAnsi" w:hAnsiTheme="minorHAnsi" w:cstheme="minorHAnsi"/>
                <w:sz w:val="22"/>
                <w:szCs w:val="22"/>
                <w:lang w:val="fr-FR" w:bidi="fr-FR"/>
              </w:rPr>
              <w:t xml:space="preserve"> </w:t>
            </w:r>
            <w:r w:rsidRPr="00431D2E">
              <w:rPr>
                <w:rFonts w:asciiTheme="minorHAnsi" w:hAnsiTheme="minorHAnsi" w:cstheme="minorHAnsi"/>
                <w:sz w:val="22"/>
                <w:szCs w:val="22"/>
                <w:lang w:val="fr-FR" w:bidi="fr-FR"/>
              </w:rPr>
              <w:t>plus de 20 % du partenaire potentiel</w:t>
            </w:r>
          </w:p>
        </w:tc>
        <w:tc>
          <w:tcPr>
            <w:tcW w:w="2869" w:type="dxa"/>
            <w:tcBorders>
              <w:top w:val="single" w:sz="4" w:space="0" w:color="auto"/>
              <w:left w:val="single" w:sz="4" w:space="0" w:color="auto"/>
              <w:bottom w:val="single" w:sz="4" w:space="0" w:color="auto"/>
              <w:right w:val="single" w:sz="4" w:space="0" w:color="auto"/>
            </w:tcBorders>
          </w:tcPr>
          <w:p w14:paraId="58FD1219" w14:textId="1D812ED8" w:rsidR="00CD6759" w:rsidRPr="00431D2E" w:rsidRDefault="00CD6759" w:rsidP="00CD6759">
            <w:pPr>
              <w:pStyle w:val="TableParagraph"/>
              <w:ind w:left="-20" w:right="-16"/>
              <w:rPr>
                <w:rFonts w:asciiTheme="minorHAnsi" w:hAnsiTheme="minorHAnsi" w:cstheme="minorHAnsi"/>
                <w:sz w:val="22"/>
                <w:szCs w:val="22"/>
              </w:rPr>
            </w:pPr>
            <w:r w:rsidRPr="00431D2E">
              <w:rPr>
                <w:rFonts w:asciiTheme="minorHAnsi" w:hAnsiTheme="minorHAnsi" w:cstheme="minorHAnsi"/>
                <w:sz w:val="22"/>
                <w:szCs w:val="22"/>
                <w:lang w:val="fr-FR" w:bidi="fr-FR"/>
              </w:rPr>
              <w:t>s.o.</w:t>
            </w:r>
          </w:p>
        </w:tc>
      </w:tr>
    </w:tbl>
    <w:p w14:paraId="11406104" w14:textId="77777777" w:rsidR="00A84046" w:rsidRPr="00B42BCE" w:rsidRDefault="00A84046">
      <w:pPr>
        <w:rPr>
          <w:rFonts w:asciiTheme="minorHAnsi" w:hAnsiTheme="minorHAnsi" w:cstheme="minorHAnsi"/>
        </w:rPr>
      </w:pPr>
    </w:p>
    <w:tbl>
      <w:tblPr>
        <w:tblStyle w:val="TableGrid"/>
        <w:tblW w:w="10295" w:type="dxa"/>
        <w:tblInd w:w="-95" w:type="dxa"/>
        <w:tblLook w:val="04A0" w:firstRow="1" w:lastRow="0" w:firstColumn="1" w:lastColumn="0" w:noHBand="0" w:noVBand="1"/>
      </w:tblPr>
      <w:tblGrid>
        <w:gridCol w:w="475"/>
        <w:gridCol w:w="1799"/>
        <w:gridCol w:w="1537"/>
        <w:gridCol w:w="1558"/>
        <w:gridCol w:w="1558"/>
        <w:gridCol w:w="3398"/>
      </w:tblGrid>
      <w:tr w:rsidR="00A84046" w:rsidRPr="00CE6B8C" w14:paraId="69ACCBEF" w14:textId="77777777" w:rsidTr="00CE6B8C">
        <w:trPr>
          <w:tblHeader/>
        </w:trPr>
        <w:tc>
          <w:tcPr>
            <w:tcW w:w="450" w:type="dxa"/>
            <w:tcBorders>
              <w:top w:val="single" w:sz="4" w:space="0" w:color="auto"/>
              <w:left w:val="single" w:sz="4" w:space="0" w:color="auto"/>
              <w:bottom w:val="single" w:sz="4" w:space="0" w:color="auto"/>
              <w:right w:val="single" w:sz="4" w:space="0" w:color="auto"/>
              <w:tl2br w:val="nil"/>
            </w:tcBorders>
          </w:tcPr>
          <w:p w14:paraId="586DA7A0" w14:textId="77777777" w:rsidR="00A84046" w:rsidRPr="00CE6B8C" w:rsidRDefault="00A84046" w:rsidP="00A84046">
            <w:pPr>
              <w:pStyle w:val="TableParagraph"/>
              <w:ind w:left="-20" w:right="-16"/>
              <w:rPr>
                <w:rFonts w:asciiTheme="minorHAnsi" w:hAnsiTheme="minorHAnsi" w:cstheme="minorHAnsi"/>
                <w:sz w:val="22"/>
              </w:rPr>
            </w:pPr>
          </w:p>
        </w:tc>
        <w:tc>
          <w:tcPr>
            <w:tcW w:w="2150" w:type="dxa"/>
            <w:tcBorders>
              <w:top w:val="single" w:sz="4" w:space="0" w:color="auto"/>
              <w:left w:val="single" w:sz="4" w:space="0" w:color="auto"/>
              <w:bottom w:val="single" w:sz="4" w:space="0" w:color="auto"/>
              <w:right w:val="single" w:sz="4" w:space="0" w:color="auto"/>
              <w:tl2br w:val="single" w:sz="4" w:space="0" w:color="auto"/>
            </w:tcBorders>
          </w:tcPr>
          <w:p w14:paraId="56C66CA9" w14:textId="27501FF6" w:rsidR="00A84046" w:rsidRPr="00CE6B8C" w:rsidRDefault="00A84046" w:rsidP="00CE6B8C">
            <w:pPr>
              <w:pStyle w:val="BodyText"/>
              <w:tabs>
                <w:tab w:val="left" w:pos="8428"/>
              </w:tabs>
              <w:jc w:val="right"/>
              <w:rPr>
                <w:rFonts w:asciiTheme="minorHAnsi" w:hAnsiTheme="minorHAnsi" w:cstheme="minorHAnsi"/>
                <w:b/>
                <w:sz w:val="22"/>
                <w:lang w:val="fr-FR"/>
              </w:rPr>
            </w:pPr>
            <w:r w:rsidRPr="00CE6B8C">
              <w:rPr>
                <w:rFonts w:asciiTheme="minorHAnsi" w:hAnsiTheme="minorHAnsi" w:cstheme="minorHAnsi"/>
                <w:b/>
                <w:sz w:val="22"/>
                <w:lang w:val="fr-FR" w:bidi="fr-FR"/>
              </w:rPr>
              <w:t>Nature de la participation</w:t>
            </w:r>
            <w:r w:rsidRPr="00CE6B8C">
              <w:rPr>
                <w:rFonts w:asciiTheme="minorHAnsi" w:hAnsiTheme="minorHAnsi" w:cstheme="minorHAnsi"/>
                <w:b/>
                <w:sz w:val="22"/>
                <w:vertAlign w:val="superscript"/>
                <w:lang w:val="fr-FR" w:bidi="fr-FR"/>
              </w:rPr>
              <w:t>7</w:t>
            </w:r>
          </w:p>
          <w:p w14:paraId="15437B25" w14:textId="77777777" w:rsidR="00A84046" w:rsidRPr="00CE6B8C" w:rsidRDefault="00A84046" w:rsidP="00A84046">
            <w:pPr>
              <w:pStyle w:val="BodyText"/>
              <w:tabs>
                <w:tab w:val="left" w:pos="8428"/>
              </w:tabs>
              <w:spacing w:before="147"/>
              <w:ind w:right="636"/>
              <w:jc w:val="both"/>
              <w:rPr>
                <w:rFonts w:asciiTheme="minorHAnsi" w:hAnsiTheme="minorHAnsi" w:cstheme="minorHAnsi"/>
                <w:b/>
                <w:sz w:val="22"/>
                <w:lang w:val="fr-FR"/>
              </w:rPr>
            </w:pPr>
          </w:p>
          <w:p w14:paraId="58D7F58F" w14:textId="77777777" w:rsidR="00A84046" w:rsidRDefault="00A84046" w:rsidP="00A84046">
            <w:pPr>
              <w:pStyle w:val="BodyText"/>
              <w:tabs>
                <w:tab w:val="left" w:pos="8428"/>
              </w:tabs>
              <w:spacing w:before="147"/>
              <w:ind w:right="636"/>
              <w:jc w:val="both"/>
              <w:rPr>
                <w:rFonts w:asciiTheme="minorHAnsi" w:hAnsiTheme="minorHAnsi" w:cstheme="minorHAnsi"/>
                <w:b/>
                <w:sz w:val="22"/>
                <w:lang w:val="fr-FR"/>
              </w:rPr>
            </w:pPr>
          </w:p>
          <w:p w14:paraId="040C8284" w14:textId="77777777" w:rsidR="00CE6B8C" w:rsidRPr="00CE6B8C" w:rsidRDefault="00CE6B8C" w:rsidP="00A84046">
            <w:pPr>
              <w:pStyle w:val="BodyText"/>
              <w:tabs>
                <w:tab w:val="left" w:pos="8428"/>
              </w:tabs>
              <w:spacing w:before="147"/>
              <w:ind w:right="636"/>
              <w:jc w:val="both"/>
              <w:rPr>
                <w:rFonts w:asciiTheme="minorHAnsi" w:hAnsiTheme="minorHAnsi" w:cstheme="minorHAnsi"/>
                <w:b/>
                <w:sz w:val="22"/>
                <w:lang w:val="fr-FR"/>
              </w:rPr>
            </w:pPr>
          </w:p>
          <w:p w14:paraId="01C47980" w14:textId="1D09325D" w:rsidR="00A84046" w:rsidRPr="00CE6B8C" w:rsidRDefault="00A84046" w:rsidP="00CE6B8C">
            <w:pPr>
              <w:pStyle w:val="TableParagraph"/>
              <w:ind w:left="-20" w:right="574"/>
              <w:rPr>
                <w:rFonts w:asciiTheme="minorHAnsi" w:hAnsiTheme="minorHAnsi" w:cstheme="minorHAnsi"/>
                <w:sz w:val="22"/>
                <w:lang w:val="fr-FR"/>
              </w:rPr>
            </w:pPr>
            <w:r w:rsidRPr="00CE6B8C">
              <w:rPr>
                <w:rFonts w:asciiTheme="minorHAnsi" w:hAnsiTheme="minorHAnsi" w:cstheme="minorHAnsi"/>
                <w:b/>
                <w:sz w:val="22"/>
                <w:lang w:val="fr-FR" w:bidi="fr-FR"/>
              </w:rPr>
              <w:t>Critères</w:t>
            </w:r>
            <w:r w:rsidR="00CE6B8C" w:rsidRPr="00CE6B8C">
              <w:rPr>
                <w:rFonts w:asciiTheme="minorHAnsi" w:hAnsiTheme="minorHAnsi" w:cstheme="minorHAnsi"/>
                <w:b/>
                <w:sz w:val="22"/>
                <w:lang w:val="fr-FR" w:bidi="fr-FR"/>
              </w:rPr>
              <w:t xml:space="preserve"> </w:t>
            </w:r>
            <w:r w:rsidRPr="00CE6B8C">
              <w:rPr>
                <w:rFonts w:asciiTheme="minorHAnsi" w:hAnsiTheme="minorHAnsi" w:cstheme="minorHAnsi"/>
                <w:b/>
                <w:sz w:val="22"/>
                <w:lang w:val="fr-FR" w:bidi="fr-FR"/>
              </w:rPr>
              <w:t>d’exclusion</w:t>
            </w:r>
            <w:r w:rsidR="00CE6B8C" w:rsidRPr="00CE6B8C">
              <w:rPr>
                <w:rFonts w:asciiTheme="minorHAnsi" w:hAnsiTheme="minorHAnsi" w:cstheme="minorHAnsi"/>
                <w:b/>
                <w:sz w:val="22"/>
                <w:lang w:val="fr-FR" w:bidi="fr-FR"/>
              </w:rPr>
              <w:t xml:space="preserve"> </w:t>
            </w:r>
            <w:r w:rsidRPr="00CE6B8C">
              <w:rPr>
                <w:rFonts w:asciiTheme="minorHAnsi" w:hAnsiTheme="minorHAnsi" w:cstheme="minorHAnsi"/>
                <w:b/>
                <w:sz w:val="22"/>
                <w:lang w:val="fr-FR" w:bidi="fr-FR"/>
              </w:rPr>
              <w:t>du PNUD</w:t>
            </w:r>
          </w:p>
        </w:tc>
        <w:tc>
          <w:tcPr>
            <w:tcW w:w="1923" w:type="dxa"/>
            <w:tcBorders>
              <w:top w:val="single" w:sz="4" w:space="0" w:color="auto"/>
              <w:left w:val="single" w:sz="4" w:space="0" w:color="auto"/>
              <w:bottom w:val="single" w:sz="4" w:space="0" w:color="auto"/>
              <w:right w:val="single" w:sz="4" w:space="0" w:color="auto"/>
            </w:tcBorders>
          </w:tcPr>
          <w:p w14:paraId="6975C4D7" w14:textId="315D6DF3" w:rsidR="00A84046" w:rsidRPr="00CE6B8C" w:rsidRDefault="00A84046" w:rsidP="00D530E2">
            <w:pPr>
              <w:pStyle w:val="TableParagraph"/>
              <w:ind w:left="-20" w:right="-16"/>
              <w:rPr>
                <w:rFonts w:asciiTheme="minorHAnsi" w:hAnsiTheme="minorHAnsi" w:cstheme="minorHAnsi"/>
                <w:sz w:val="22"/>
                <w:lang w:val="fr-FR"/>
              </w:rPr>
            </w:pPr>
            <w:r w:rsidRPr="00CE6B8C">
              <w:rPr>
                <w:rFonts w:asciiTheme="minorHAnsi" w:hAnsiTheme="minorHAnsi" w:cstheme="minorHAnsi"/>
                <w:b/>
                <w:sz w:val="22"/>
                <w:lang w:val="fr-FR" w:bidi="fr-FR"/>
              </w:rPr>
              <w:t>Participation directe du partenaire potentiel à des activités correspondant aux critères d’exclusion</w:t>
            </w:r>
          </w:p>
        </w:tc>
        <w:tc>
          <w:tcPr>
            <w:tcW w:w="1924" w:type="dxa"/>
            <w:tcBorders>
              <w:top w:val="single" w:sz="4" w:space="0" w:color="auto"/>
              <w:left w:val="single" w:sz="4" w:space="0" w:color="auto"/>
              <w:bottom w:val="single" w:sz="4" w:space="0" w:color="auto"/>
              <w:right w:val="single" w:sz="4" w:space="0" w:color="auto"/>
            </w:tcBorders>
          </w:tcPr>
          <w:p w14:paraId="660D65CA" w14:textId="684FC80F" w:rsidR="00A84046" w:rsidRPr="00CE6B8C" w:rsidRDefault="00A84046" w:rsidP="00CD6759">
            <w:pPr>
              <w:pStyle w:val="TableParagraph"/>
              <w:ind w:left="-20" w:right="-16"/>
              <w:rPr>
                <w:rFonts w:asciiTheme="minorHAnsi" w:hAnsiTheme="minorHAnsi" w:cstheme="minorHAnsi"/>
                <w:sz w:val="22"/>
                <w:lang w:val="fr-FR"/>
              </w:rPr>
            </w:pPr>
            <w:r w:rsidRPr="00CE6B8C">
              <w:rPr>
                <w:rFonts w:asciiTheme="minorHAnsi" w:hAnsiTheme="minorHAnsi" w:cstheme="minorHAnsi"/>
                <w:b/>
                <w:sz w:val="22"/>
                <w:lang w:val="fr-FR" w:bidi="fr-FR"/>
              </w:rPr>
              <w:t>Participation indirecte du partenaire potentiel à des activités correspondant aux critères d’exclusion par l’intermédiaire d’une filiale</w:t>
            </w:r>
          </w:p>
        </w:tc>
        <w:tc>
          <w:tcPr>
            <w:tcW w:w="1924" w:type="dxa"/>
            <w:tcBorders>
              <w:top w:val="single" w:sz="4" w:space="0" w:color="auto"/>
              <w:left w:val="single" w:sz="4" w:space="0" w:color="auto"/>
              <w:bottom w:val="single" w:sz="4" w:space="0" w:color="auto"/>
              <w:right w:val="single" w:sz="4" w:space="0" w:color="auto"/>
            </w:tcBorders>
          </w:tcPr>
          <w:p w14:paraId="2B06E6A1" w14:textId="7E12AB38" w:rsidR="00A84046" w:rsidRPr="00CE6B8C" w:rsidRDefault="00A84046" w:rsidP="00CE6B8C">
            <w:pPr>
              <w:pStyle w:val="TableParagraph"/>
              <w:tabs>
                <w:tab w:val="left" w:pos="1036"/>
              </w:tabs>
              <w:ind w:left="-20" w:right="-16"/>
              <w:rPr>
                <w:rFonts w:asciiTheme="minorHAnsi" w:hAnsiTheme="minorHAnsi" w:cstheme="minorHAnsi"/>
                <w:sz w:val="22"/>
                <w:lang w:val="fr-FR"/>
              </w:rPr>
            </w:pPr>
            <w:r w:rsidRPr="00CE6B8C">
              <w:rPr>
                <w:rFonts w:asciiTheme="minorHAnsi" w:hAnsiTheme="minorHAnsi" w:cstheme="minorHAnsi"/>
                <w:b/>
                <w:sz w:val="22"/>
                <w:lang w:val="fr-FR" w:bidi="fr-FR"/>
              </w:rPr>
              <w:t>Participation indirecte du partenaire potentiel à des activités correspondant aux critères d’exclusion par l’intermédiaire</w:t>
            </w:r>
            <w:r w:rsidR="00CE6B8C">
              <w:rPr>
                <w:rFonts w:asciiTheme="minorHAnsi" w:hAnsiTheme="minorHAnsi" w:cstheme="minorHAnsi"/>
                <w:b/>
                <w:sz w:val="22"/>
                <w:lang w:val="fr-FR" w:bidi="fr-FR"/>
              </w:rPr>
              <w:t xml:space="preserve"> </w:t>
            </w:r>
            <w:r w:rsidRPr="00CE6B8C">
              <w:rPr>
                <w:rFonts w:asciiTheme="minorHAnsi" w:hAnsiTheme="minorHAnsi" w:cstheme="minorHAnsi"/>
                <w:b/>
                <w:sz w:val="22"/>
                <w:lang w:val="fr-FR" w:bidi="fr-FR"/>
              </w:rPr>
              <w:t>de la société mère</w:t>
            </w:r>
          </w:p>
        </w:tc>
        <w:tc>
          <w:tcPr>
            <w:tcW w:w="1924" w:type="dxa"/>
            <w:tcBorders>
              <w:top w:val="single" w:sz="4" w:space="0" w:color="auto"/>
              <w:left w:val="single" w:sz="4" w:space="0" w:color="auto"/>
              <w:bottom w:val="single" w:sz="4" w:space="0" w:color="auto"/>
              <w:right w:val="single" w:sz="4" w:space="0" w:color="auto"/>
            </w:tcBorders>
          </w:tcPr>
          <w:p w14:paraId="42CA65B6" w14:textId="75B8256F" w:rsidR="00A84046" w:rsidRPr="00CE6B8C" w:rsidRDefault="00A84046" w:rsidP="00CE6B8C">
            <w:pPr>
              <w:pStyle w:val="TableParagraph"/>
              <w:ind w:left="-20" w:right="-16" w:hanging="38"/>
              <w:rPr>
                <w:rFonts w:asciiTheme="minorHAnsi" w:hAnsiTheme="minorHAnsi" w:cstheme="minorHAnsi"/>
                <w:sz w:val="22"/>
                <w:lang w:val="fr-FR"/>
              </w:rPr>
            </w:pPr>
            <w:r w:rsidRPr="00CE6B8C">
              <w:rPr>
                <w:rFonts w:asciiTheme="minorHAnsi" w:hAnsiTheme="minorHAnsi" w:cstheme="minorHAnsi"/>
                <w:b/>
                <w:sz w:val="22"/>
                <w:lang w:val="fr-FR" w:bidi="fr-FR"/>
              </w:rPr>
              <w:t>Participation indirecte du partenaire potentiel à des activités correspondant aux critères d’exclusion par l’intermédiaire de la chaîne de distribution/d’approvisionnement</w:t>
            </w:r>
            <w:r w:rsidRPr="00CE6B8C">
              <w:rPr>
                <w:rFonts w:asciiTheme="minorHAnsi" w:hAnsiTheme="minorHAnsi" w:cstheme="minorHAnsi"/>
                <w:b/>
                <w:sz w:val="22"/>
                <w:vertAlign w:val="superscript"/>
                <w:lang w:val="fr-FR" w:bidi="fr-FR"/>
              </w:rPr>
              <w:t>8</w:t>
            </w:r>
            <w:r w:rsidR="00CE6B8C">
              <w:rPr>
                <w:rFonts w:asciiTheme="minorHAnsi" w:hAnsiTheme="minorHAnsi" w:cstheme="minorHAnsi"/>
                <w:b/>
                <w:sz w:val="22"/>
                <w:vertAlign w:val="superscript"/>
                <w:lang w:val="fr-FR" w:bidi="fr-FR"/>
              </w:rPr>
              <w:t xml:space="preserve"> </w:t>
            </w:r>
            <w:r w:rsidR="00D530E2" w:rsidRPr="00CE6B8C">
              <w:rPr>
                <w:rFonts w:asciiTheme="minorHAnsi" w:hAnsiTheme="minorHAnsi" w:cstheme="minorHAnsi"/>
                <w:b/>
                <w:sz w:val="22"/>
                <w:lang w:val="fr-FR" w:bidi="fr-FR"/>
              </w:rPr>
              <w:t>du PNUD</w:t>
            </w:r>
          </w:p>
        </w:tc>
      </w:tr>
      <w:tr w:rsidR="0094312B" w:rsidRPr="00CE6B8C" w14:paraId="760A6270" w14:textId="77777777" w:rsidTr="00CE6B8C">
        <w:trPr>
          <w:tblHeader/>
        </w:trPr>
        <w:tc>
          <w:tcPr>
            <w:tcW w:w="450" w:type="dxa"/>
            <w:tcBorders>
              <w:top w:val="single" w:sz="4" w:space="0" w:color="auto"/>
              <w:left w:val="single" w:sz="4" w:space="0" w:color="auto"/>
              <w:bottom w:val="single" w:sz="4" w:space="0" w:color="auto"/>
              <w:right w:val="single" w:sz="4" w:space="0" w:color="auto"/>
              <w:tl2br w:val="nil"/>
            </w:tcBorders>
          </w:tcPr>
          <w:p w14:paraId="63DC8636" w14:textId="0B830DE3" w:rsidR="0094312B" w:rsidRPr="00CE6B8C" w:rsidRDefault="0094312B" w:rsidP="0094312B">
            <w:pPr>
              <w:pStyle w:val="TableParagraph"/>
              <w:ind w:left="-20" w:right="-110"/>
              <w:rPr>
                <w:rFonts w:asciiTheme="minorHAnsi" w:hAnsiTheme="minorHAnsi" w:cstheme="minorHAnsi"/>
                <w:sz w:val="22"/>
              </w:rPr>
            </w:pPr>
            <w:r w:rsidRPr="00CE6B8C">
              <w:rPr>
                <w:rFonts w:asciiTheme="minorHAnsi" w:hAnsiTheme="minorHAnsi" w:cstheme="minorHAnsi"/>
                <w:sz w:val="22"/>
                <w:lang w:val="fr-FR" w:bidi="fr-FR"/>
              </w:rPr>
              <w:t>9.</w:t>
            </w:r>
          </w:p>
        </w:tc>
        <w:tc>
          <w:tcPr>
            <w:tcW w:w="2150" w:type="dxa"/>
            <w:tcBorders>
              <w:top w:val="single" w:sz="4" w:space="0" w:color="auto"/>
              <w:left w:val="single" w:sz="4" w:space="0" w:color="auto"/>
              <w:bottom w:val="single" w:sz="4" w:space="0" w:color="auto"/>
              <w:right w:val="single" w:sz="4" w:space="0" w:color="auto"/>
              <w:tl2br w:val="nil"/>
            </w:tcBorders>
          </w:tcPr>
          <w:p w14:paraId="1E15B5CA" w14:textId="3DB8676D" w:rsidR="0094312B" w:rsidRPr="00CE6B8C" w:rsidRDefault="0094312B" w:rsidP="0094312B">
            <w:pPr>
              <w:pStyle w:val="TableParagraph"/>
              <w:ind w:left="-20" w:right="-16"/>
              <w:rPr>
                <w:rFonts w:asciiTheme="minorHAnsi" w:hAnsiTheme="minorHAnsi" w:cstheme="minorHAnsi"/>
                <w:sz w:val="22"/>
                <w:lang w:val="fr-FR"/>
              </w:rPr>
            </w:pPr>
            <w:r w:rsidRPr="00CE6B8C">
              <w:rPr>
                <w:rFonts w:asciiTheme="minorHAnsi" w:hAnsiTheme="minorHAnsi" w:cstheme="minorHAnsi"/>
                <w:sz w:val="22"/>
                <w:lang w:val="fr-FR" w:bidi="fr-FR"/>
              </w:rPr>
              <w:t xml:space="preserve">Violation ou complicité de violation systémique ou flagrante des droits humains </w:t>
            </w:r>
          </w:p>
        </w:tc>
        <w:tc>
          <w:tcPr>
            <w:tcW w:w="1923" w:type="dxa"/>
            <w:tcBorders>
              <w:top w:val="single" w:sz="4" w:space="0" w:color="auto"/>
              <w:left w:val="single" w:sz="4" w:space="0" w:color="auto"/>
              <w:bottom w:val="single" w:sz="4" w:space="0" w:color="auto"/>
              <w:right w:val="single" w:sz="4" w:space="0" w:color="auto"/>
            </w:tcBorders>
          </w:tcPr>
          <w:p w14:paraId="41EBB6A3" w14:textId="38D578CB" w:rsidR="0094312B" w:rsidRPr="00CE6B8C" w:rsidRDefault="0094312B" w:rsidP="0094312B">
            <w:pPr>
              <w:pStyle w:val="TableParagraph"/>
              <w:ind w:left="-20" w:right="-86"/>
              <w:rPr>
                <w:rFonts w:asciiTheme="minorHAnsi" w:hAnsiTheme="minorHAnsi" w:cstheme="minorHAnsi"/>
                <w:sz w:val="22"/>
              </w:rPr>
            </w:pPr>
            <w:r w:rsidRPr="00CE6B8C">
              <w:rPr>
                <w:rFonts w:asciiTheme="minorHAnsi" w:hAnsiTheme="minorHAnsi" w:cstheme="minorHAnsi"/>
                <w:sz w:val="22"/>
                <w:lang w:val="fr-FR" w:bidi="fr-FR"/>
              </w:rPr>
              <w:t>Aucune collaboration</w:t>
            </w:r>
            <w:r w:rsidRPr="00CE6B8C">
              <w:rPr>
                <w:rStyle w:val="FootnoteReference"/>
                <w:rFonts w:asciiTheme="minorHAnsi" w:hAnsiTheme="minorHAnsi" w:cstheme="minorHAnsi"/>
                <w:sz w:val="22"/>
                <w:lang w:val="fr-FR" w:bidi="fr-FR"/>
              </w:rPr>
              <w:footnoteReference w:id="12"/>
            </w:r>
          </w:p>
        </w:tc>
        <w:tc>
          <w:tcPr>
            <w:tcW w:w="1924" w:type="dxa"/>
            <w:tcBorders>
              <w:top w:val="single" w:sz="4" w:space="0" w:color="auto"/>
              <w:left w:val="single" w:sz="4" w:space="0" w:color="auto"/>
              <w:bottom w:val="single" w:sz="4" w:space="0" w:color="auto"/>
              <w:right w:val="single" w:sz="4" w:space="0" w:color="auto"/>
            </w:tcBorders>
          </w:tcPr>
          <w:p w14:paraId="0ACA6429" w14:textId="19B74228" w:rsidR="0094312B" w:rsidRPr="00CE6B8C" w:rsidRDefault="0094312B" w:rsidP="005B6264">
            <w:pPr>
              <w:pStyle w:val="TableParagraph"/>
              <w:ind w:left="-20" w:right="-86"/>
              <w:rPr>
                <w:rFonts w:asciiTheme="minorHAnsi" w:hAnsiTheme="minorHAnsi" w:cstheme="minorHAnsi"/>
                <w:sz w:val="22"/>
                <w:lang w:val="fr-FR"/>
              </w:rPr>
            </w:pPr>
            <w:r w:rsidRPr="00CE6B8C">
              <w:rPr>
                <w:rFonts w:asciiTheme="minorHAnsi" w:hAnsiTheme="minorHAnsi" w:cstheme="minorHAnsi"/>
                <w:sz w:val="22"/>
                <w:lang w:val="fr-FR" w:bidi="fr-FR"/>
              </w:rPr>
              <w:t>Aucune collaboration si le partenaire potentiel possède</w:t>
            </w:r>
            <w:r w:rsidR="005B6264" w:rsidRPr="00CE6B8C">
              <w:rPr>
                <w:rFonts w:asciiTheme="minorHAnsi" w:hAnsiTheme="minorHAnsi" w:cstheme="minorHAnsi"/>
                <w:sz w:val="22"/>
                <w:lang w:val="fr-FR" w:bidi="fr-FR"/>
              </w:rPr>
              <w:t xml:space="preserve"> </w:t>
            </w:r>
            <w:r w:rsidRPr="00CE6B8C">
              <w:rPr>
                <w:rFonts w:asciiTheme="minorHAnsi" w:hAnsiTheme="minorHAnsi" w:cstheme="minorHAnsi"/>
                <w:sz w:val="22"/>
                <w:lang w:val="fr-FR" w:bidi="fr-FR"/>
              </w:rPr>
              <w:t>plus de 20 % d’une filiale participant à ce type d’activités</w:t>
            </w:r>
          </w:p>
        </w:tc>
        <w:tc>
          <w:tcPr>
            <w:tcW w:w="1924" w:type="dxa"/>
            <w:tcBorders>
              <w:top w:val="single" w:sz="4" w:space="0" w:color="auto"/>
              <w:left w:val="single" w:sz="4" w:space="0" w:color="auto"/>
              <w:bottom w:val="single" w:sz="4" w:space="0" w:color="auto"/>
              <w:right w:val="single" w:sz="4" w:space="0" w:color="auto"/>
            </w:tcBorders>
          </w:tcPr>
          <w:p w14:paraId="11711D50" w14:textId="736D488C" w:rsidR="0094312B" w:rsidRPr="00CE6B8C" w:rsidRDefault="0094312B" w:rsidP="005B6264">
            <w:pPr>
              <w:pStyle w:val="TableParagraph"/>
              <w:ind w:left="-20" w:right="-86"/>
              <w:rPr>
                <w:rFonts w:asciiTheme="minorHAnsi" w:hAnsiTheme="minorHAnsi" w:cstheme="minorHAnsi"/>
                <w:sz w:val="22"/>
                <w:lang w:val="fr-FR"/>
              </w:rPr>
            </w:pPr>
            <w:r w:rsidRPr="00CE6B8C">
              <w:rPr>
                <w:rFonts w:asciiTheme="minorHAnsi" w:hAnsiTheme="minorHAnsi" w:cstheme="minorHAnsi"/>
                <w:sz w:val="22"/>
                <w:lang w:val="fr-FR" w:bidi="fr-FR"/>
              </w:rPr>
              <w:t>Aucune collaboration si une société mère possède</w:t>
            </w:r>
            <w:r w:rsidR="005B6264" w:rsidRPr="00CE6B8C">
              <w:rPr>
                <w:rFonts w:asciiTheme="minorHAnsi" w:hAnsiTheme="minorHAnsi" w:cstheme="minorHAnsi"/>
                <w:sz w:val="22"/>
                <w:lang w:val="fr-FR" w:bidi="fr-FR"/>
              </w:rPr>
              <w:t xml:space="preserve"> </w:t>
            </w:r>
            <w:r w:rsidRPr="00CE6B8C">
              <w:rPr>
                <w:rFonts w:asciiTheme="minorHAnsi" w:hAnsiTheme="minorHAnsi" w:cstheme="minorHAnsi"/>
                <w:sz w:val="22"/>
                <w:lang w:val="fr-FR" w:bidi="fr-FR"/>
              </w:rPr>
              <w:t>plus de 20 % du partenaire potentiel</w:t>
            </w:r>
          </w:p>
        </w:tc>
        <w:tc>
          <w:tcPr>
            <w:tcW w:w="1924" w:type="dxa"/>
            <w:tcBorders>
              <w:top w:val="single" w:sz="4" w:space="0" w:color="auto"/>
              <w:left w:val="single" w:sz="4" w:space="0" w:color="auto"/>
              <w:bottom w:val="single" w:sz="4" w:space="0" w:color="auto"/>
              <w:right w:val="single" w:sz="4" w:space="0" w:color="auto"/>
            </w:tcBorders>
          </w:tcPr>
          <w:p w14:paraId="3B7E442E" w14:textId="6F9D7589" w:rsidR="0094312B" w:rsidRPr="00CE6B8C" w:rsidRDefault="0094312B" w:rsidP="0094312B">
            <w:pPr>
              <w:pStyle w:val="TableParagraph"/>
              <w:ind w:left="-20" w:right="-71"/>
              <w:rPr>
                <w:rFonts w:asciiTheme="minorHAnsi" w:hAnsiTheme="minorHAnsi" w:cstheme="minorHAnsi"/>
                <w:sz w:val="22"/>
                <w:lang w:val="fr-FR"/>
              </w:rPr>
            </w:pPr>
            <w:r w:rsidRPr="00CE6B8C">
              <w:rPr>
                <w:rFonts w:asciiTheme="minorHAnsi" w:hAnsiTheme="minorHAnsi" w:cstheme="minorHAnsi"/>
                <w:sz w:val="22"/>
                <w:lang w:val="fr-FR" w:bidi="fr-FR"/>
              </w:rPr>
              <w:t>En cas de violation systématique et flagrante des droits humains au niveau de la chaîne d’approvisionnement ou de distribution du partenaire potentiel, il convient de se montrer particulièrement prudent et de confier la décision au siège</w:t>
            </w:r>
          </w:p>
        </w:tc>
      </w:tr>
      <w:tr w:rsidR="0094312B" w:rsidRPr="00CE6B8C" w14:paraId="2575B9A9" w14:textId="77777777" w:rsidTr="00CE6B8C">
        <w:trPr>
          <w:tblHeader/>
        </w:trPr>
        <w:tc>
          <w:tcPr>
            <w:tcW w:w="450" w:type="dxa"/>
            <w:tcBorders>
              <w:top w:val="single" w:sz="4" w:space="0" w:color="auto"/>
              <w:left w:val="single" w:sz="4" w:space="0" w:color="auto"/>
              <w:bottom w:val="single" w:sz="4" w:space="0" w:color="auto"/>
              <w:right w:val="single" w:sz="4" w:space="0" w:color="auto"/>
              <w:tl2br w:val="nil"/>
            </w:tcBorders>
          </w:tcPr>
          <w:p w14:paraId="0F3FF166" w14:textId="32142813" w:rsidR="0094312B" w:rsidRPr="00CE6B8C" w:rsidRDefault="0094312B" w:rsidP="0094312B">
            <w:pPr>
              <w:pStyle w:val="TableParagraph"/>
              <w:ind w:left="-20" w:right="-110"/>
              <w:rPr>
                <w:rFonts w:asciiTheme="minorHAnsi" w:hAnsiTheme="minorHAnsi" w:cstheme="minorHAnsi"/>
                <w:sz w:val="22"/>
              </w:rPr>
            </w:pPr>
            <w:r w:rsidRPr="00CE6B8C">
              <w:rPr>
                <w:rFonts w:asciiTheme="minorHAnsi" w:hAnsiTheme="minorHAnsi" w:cstheme="minorHAnsi"/>
                <w:sz w:val="22"/>
                <w:lang w:val="fr-FR" w:bidi="fr-FR"/>
              </w:rPr>
              <w:t>10.</w:t>
            </w:r>
          </w:p>
        </w:tc>
        <w:tc>
          <w:tcPr>
            <w:tcW w:w="2150" w:type="dxa"/>
            <w:tcBorders>
              <w:top w:val="single" w:sz="4" w:space="0" w:color="auto"/>
              <w:left w:val="single" w:sz="4" w:space="0" w:color="auto"/>
              <w:bottom w:val="single" w:sz="4" w:space="0" w:color="auto"/>
              <w:right w:val="single" w:sz="4" w:space="0" w:color="auto"/>
              <w:tl2br w:val="nil"/>
            </w:tcBorders>
          </w:tcPr>
          <w:p w14:paraId="231C8363" w14:textId="087A5149" w:rsidR="0094312B" w:rsidRPr="00CE6B8C" w:rsidRDefault="0094312B" w:rsidP="0094312B">
            <w:pPr>
              <w:pStyle w:val="TableParagraph"/>
              <w:ind w:left="-20" w:right="-16"/>
              <w:rPr>
                <w:rFonts w:asciiTheme="minorHAnsi" w:hAnsiTheme="minorHAnsi" w:cstheme="minorHAnsi"/>
                <w:sz w:val="22"/>
                <w:lang w:val="fr-FR"/>
              </w:rPr>
            </w:pPr>
            <w:r w:rsidRPr="00CE6B8C">
              <w:rPr>
                <w:rFonts w:asciiTheme="minorHAnsi" w:hAnsiTheme="minorHAnsi" w:cstheme="minorHAnsi"/>
                <w:sz w:val="22"/>
                <w:lang w:val="fr-FR" w:bidi="fr-FR"/>
              </w:rPr>
              <w:t>Recours au travail forcé ou obligatoire, ou tolérance à l’égard de cette pratique</w:t>
            </w:r>
          </w:p>
        </w:tc>
        <w:tc>
          <w:tcPr>
            <w:tcW w:w="1923" w:type="dxa"/>
            <w:tcBorders>
              <w:top w:val="single" w:sz="4" w:space="0" w:color="auto"/>
              <w:left w:val="single" w:sz="4" w:space="0" w:color="auto"/>
              <w:bottom w:val="single" w:sz="4" w:space="0" w:color="auto"/>
              <w:right w:val="single" w:sz="4" w:space="0" w:color="auto"/>
            </w:tcBorders>
          </w:tcPr>
          <w:p w14:paraId="17E942B0" w14:textId="4651DE46" w:rsidR="0094312B" w:rsidRPr="00CE6B8C" w:rsidRDefault="0094312B" w:rsidP="0094312B">
            <w:pPr>
              <w:pStyle w:val="TableParagraph"/>
              <w:ind w:left="-20" w:right="-86"/>
              <w:rPr>
                <w:rFonts w:asciiTheme="minorHAnsi" w:hAnsiTheme="minorHAnsi" w:cstheme="minorHAnsi"/>
                <w:sz w:val="22"/>
              </w:rPr>
            </w:pPr>
            <w:r w:rsidRPr="00CE6B8C">
              <w:rPr>
                <w:rFonts w:asciiTheme="minorHAnsi" w:hAnsiTheme="minorHAnsi" w:cstheme="minorHAnsi"/>
                <w:sz w:val="22"/>
                <w:lang w:val="fr-FR" w:bidi="fr-FR"/>
              </w:rPr>
              <w:t>Aucune collaboration</w:t>
            </w:r>
            <w:r w:rsidRPr="00CE6B8C">
              <w:rPr>
                <w:rStyle w:val="FootnoteReference"/>
                <w:rFonts w:asciiTheme="minorHAnsi" w:hAnsiTheme="minorHAnsi" w:cstheme="minorHAnsi"/>
                <w:sz w:val="22"/>
                <w:lang w:val="fr-FR" w:bidi="fr-FR"/>
              </w:rPr>
              <w:t>11</w:t>
            </w:r>
          </w:p>
        </w:tc>
        <w:tc>
          <w:tcPr>
            <w:tcW w:w="1924" w:type="dxa"/>
            <w:tcBorders>
              <w:top w:val="single" w:sz="4" w:space="0" w:color="auto"/>
              <w:left w:val="single" w:sz="4" w:space="0" w:color="auto"/>
              <w:bottom w:val="single" w:sz="4" w:space="0" w:color="auto"/>
              <w:right w:val="single" w:sz="4" w:space="0" w:color="auto"/>
            </w:tcBorders>
          </w:tcPr>
          <w:p w14:paraId="6AB0059E" w14:textId="4FAC25D6" w:rsidR="0094312B" w:rsidRPr="00CE6B8C" w:rsidRDefault="0094312B" w:rsidP="005B6264">
            <w:pPr>
              <w:pStyle w:val="TableParagraph"/>
              <w:ind w:left="-20" w:right="-86"/>
              <w:rPr>
                <w:rFonts w:asciiTheme="minorHAnsi" w:hAnsiTheme="minorHAnsi" w:cstheme="minorHAnsi"/>
                <w:sz w:val="22"/>
                <w:lang w:val="fr-FR"/>
              </w:rPr>
            </w:pPr>
            <w:r w:rsidRPr="00CE6B8C">
              <w:rPr>
                <w:rFonts w:asciiTheme="minorHAnsi" w:hAnsiTheme="minorHAnsi" w:cstheme="minorHAnsi"/>
                <w:sz w:val="22"/>
                <w:lang w:val="fr-FR" w:bidi="fr-FR"/>
              </w:rPr>
              <w:t>Aucune collaboration si le partenaire potentiel possède</w:t>
            </w:r>
            <w:r w:rsidR="005B6264" w:rsidRPr="00CE6B8C">
              <w:rPr>
                <w:rFonts w:asciiTheme="minorHAnsi" w:hAnsiTheme="minorHAnsi" w:cstheme="minorHAnsi"/>
                <w:sz w:val="22"/>
                <w:lang w:val="fr-FR" w:bidi="fr-FR"/>
              </w:rPr>
              <w:t xml:space="preserve"> </w:t>
            </w:r>
            <w:r w:rsidRPr="00CE6B8C">
              <w:rPr>
                <w:rFonts w:asciiTheme="minorHAnsi" w:hAnsiTheme="minorHAnsi" w:cstheme="minorHAnsi"/>
                <w:sz w:val="22"/>
                <w:lang w:val="fr-FR" w:bidi="fr-FR"/>
              </w:rPr>
              <w:t>plus de 20 % d’une filiale participant à ce type d’activités</w:t>
            </w:r>
          </w:p>
        </w:tc>
        <w:tc>
          <w:tcPr>
            <w:tcW w:w="1924" w:type="dxa"/>
            <w:tcBorders>
              <w:top w:val="single" w:sz="4" w:space="0" w:color="auto"/>
              <w:left w:val="single" w:sz="4" w:space="0" w:color="auto"/>
              <w:bottom w:val="single" w:sz="4" w:space="0" w:color="auto"/>
              <w:right w:val="single" w:sz="4" w:space="0" w:color="auto"/>
            </w:tcBorders>
          </w:tcPr>
          <w:p w14:paraId="7DD47AA0" w14:textId="099063B3" w:rsidR="0094312B" w:rsidRPr="00CE6B8C" w:rsidRDefault="0094312B" w:rsidP="005B6264">
            <w:pPr>
              <w:pStyle w:val="TableParagraph"/>
              <w:ind w:left="-20" w:right="-86"/>
              <w:rPr>
                <w:rFonts w:asciiTheme="minorHAnsi" w:hAnsiTheme="minorHAnsi" w:cstheme="minorHAnsi"/>
                <w:sz w:val="22"/>
                <w:lang w:val="fr-FR"/>
              </w:rPr>
            </w:pPr>
            <w:r w:rsidRPr="00CE6B8C">
              <w:rPr>
                <w:rFonts w:asciiTheme="minorHAnsi" w:hAnsiTheme="minorHAnsi" w:cstheme="minorHAnsi"/>
                <w:sz w:val="22"/>
                <w:lang w:val="fr-FR" w:bidi="fr-FR"/>
              </w:rPr>
              <w:t>Aucune collaboration si une société mère possède</w:t>
            </w:r>
            <w:r w:rsidR="005B6264" w:rsidRPr="00CE6B8C">
              <w:rPr>
                <w:rFonts w:asciiTheme="minorHAnsi" w:hAnsiTheme="minorHAnsi" w:cstheme="minorHAnsi"/>
                <w:sz w:val="22"/>
                <w:lang w:val="fr-FR" w:bidi="fr-FR"/>
              </w:rPr>
              <w:t xml:space="preserve"> </w:t>
            </w:r>
            <w:r w:rsidRPr="00CE6B8C">
              <w:rPr>
                <w:rFonts w:asciiTheme="minorHAnsi" w:hAnsiTheme="minorHAnsi" w:cstheme="minorHAnsi"/>
                <w:sz w:val="22"/>
                <w:lang w:val="fr-FR" w:bidi="fr-FR"/>
              </w:rPr>
              <w:t>plus de 20 % du partenaire potentiel</w:t>
            </w:r>
          </w:p>
        </w:tc>
        <w:tc>
          <w:tcPr>
            <w:tcW w:w="1924" w:type="dxa"/>
            <w:tcBorders>
              <w:top w:val="single" w:sz="4" w:space="0" w:color="auto"/>
              <w:left w:val="single" w:sz="4" w:space="0" w:color="auto"/>
              <w:bottom w:val="single" w:sz="4" w:space="0" w:color="auto"/>
              <w:right w:val="single" w:sz="4" w:space="0" w:color="auto"/>
            </w:tcBorders>
          </w:tcPr>
          <w:p w14:paraId="5B715278" w14:textId="2BF22C47" w:rsidR="0094312B" w:rsidRPr="00CE6B8C" w:rsidRDefault="0094312B" w:rsidP="0094312B">
            <w:pPr>
              <w:pStyle w:val="TableParagraph"/>
              <w:ind w:left="-20" w:right="-71"/>
              <w:rPr>
                <w:rFonts w:asciiTheme="minorHAnsi" w:hAnsiTheme="minorHAnsi" w:cstheme="minorHAnsi"/>
                <w:sz w:val="22"/>
                <w:lang w:val="fr-FR"/>
              </w:rPr>
            </w:pPr>
            <w:r w:rsidRPr="00CE6B8C">
              <w:rPr>
                <w:rFonts w:asciiTheme="minorHAnsi" w:hAnsiTheme="minorHAnsi" w:cstheme="minorHAnsi"/>
                <w:sz w:val="22"/>
                <w:lang w:val="fr-FR" w:bidi="fr-FR"/>
              </w:rPr>
              <w:t>En cas de violation systématique et flagrante des droits humains au niveau de la chaîne d’approvisionnement ou de distribution du partenaire potentiel, il convient de se montrer particulièrement prudent et de confier la décision au siège</w:t>
            </w:r>
          </w:p>
        </w:tc>
      </w:tr>
      <w:tr w:rsidR="0094312B" w:rsidRPr="00CE6B8C" w14:paraId="4B94070C" w14:textId="77777777" w:rsidTr="00CE6B8C">
        <w:trPr>
          <w:tblHeader/>
        </w:trPr>
        <w:tc>
          <w:tcPr>
            <w:tcW w:w="450" w:type="dxa"/>
            <w:tcBorders>
              <w:top w:val="single" w:sz="4" w:space="0" w:color="auto"/>
              <w:left w:val="single" w:sz="4" w:space="0" w:color="auto"/>
              <w:bottom w:val="single" w:sz="4" w:space="0" w:color="auto"/>
              <w:right w:val="single" w:sz="4" w:space="0" w:color="auto"/>
              <w:tl2br w:val="nil"/>
            </w:tcBorders>
          </w:tcPr>
          <w:p w14:paraId="5F87E361" w14:textId="3BFD66CE" w:rsidR="0094312B" w:rsidRPr="00CE6B8C" w:rsidRDefault="0094312B" w:rsidP="0094312B">
            <w:pPr>
              <w:pStyle w:val="TableParagraph"/>
              <w:ind w:left="-20" w:right="-110"/>
              <w:rPr>
                <w:rFonts w:asciiTheme="minorHAnsi" w:hAnsiTheme="minorHAnsi" w:cstheme="minorHAnsi"/>
                <w:sz w:val="22"/>
              </w:rPr>
            </w:pPr>
            <w:r w:rsidRPr="00CE6B8C">
              <w:rPr>
                <w:rFonts w:asciiTheme="minorHAnsi" w:hAnsiTheme="minorHAnsi" w:cstheme="minorHAnsi"/>
                <w:sz w:val="22"/>
                <w:lang w:val="fr-FR" w:bidi="fr-FR"/>
              </w:rPr>
              <w:t>11.</w:t>
            </w:r>
          </w:p>
        </w:tc>
        <w:tc>
          <w:tcPr>
            <w:tcW w:w="2150" w:type="dxa"/>
            <w:tcBorders>
              <w:top w:val="single" w:sz="4" w:space="0" w:color="auto"/>
              <w:left w:val="single" w:sz="4" w:space="0" w:color="auto"/>
              <w:bottom w:val="single" w:sz="4" w:space="0" w:color="auto"/>
              <w:right w:val="single" w:sz="4" w:space="0" w:color="auto"/>
              <w:tl2br w:val="nil"/>
            </w:tcBorders>
          </w:tcPr>
          <w:p w14:paraId="7B2AD92D" w14:textId="3570DABC" w:rsidR="0094312B" w:rsidRPr="00CE6B8C" w:rsidRDefault="0094312B" w:rsidP="0094312B">
            <w:pPr>
              <w:pStyle w:val="TableParagraph"/>
              <w:ind w:left="-20" w:right="-16"/>
              <w:rPr>
                <w:rFonts w:asciiTheme="minorHAnsi" w:hAnsiTheme="minorHAnsi" w:cstheme="minorHAnsi"/>
                <w:sz w:val="22"/>
                <w:lang w:val="fr-FR"/>
              </w:rPr>
            </w:pPr>
            <w:r w:rsidRPr="00CE6B8C">
              <w:rPr>
                <w:rFonts w:asciiTheme="minorHAnsi" w:hAnsiTheme="minorHAnsi" w:cstheme="minorHAnsi"/>
                <w:sz w:val="22"/>
                <w:lang w:val="fr-FR" w:bidi="fr-FR"/>
              </w:rPr>
              <w:t>Recours au travail des enfants, ou tolérance à l’égard de cette pratique</w:t>
            </w:r>
          </w:p>
        </w:tc>
        <w:tc>
          <w:tcPr>
            <w:tcW w:w="1923" w:type="dxa"/>
            <w:tcBorders>
              <w:top w:val="single" w:sz="4" w:space="0" w:color="auto"/>
              <w:left w:val="single" w:sz="4" w:space="0" w:color="auto"/>
              <w:bottom w:val="single" w:sz="4" w:space="0" w:color="auto"/>
              <w:right w:val="single" w:sz="4" w:space="0" w:color="auto"/>
            </w:tcBorders>
          </w:tcPr>
          <w:p w14:paraId="35DA847E" w14:textId="269B5812" w:rsidR="0094312B" w:rsidRPr="00CE6B8C" w:rsidRDefault="0094312B" w:rsidP="0094312B">
            <w:pPr>
              <w:pStyle w:val="TableParagraph"/>
              <w:ind w:left="-20" w:right="-86"/>
              <w:rPr>
                <w:rFonts w:asciiTheme="minorHAnsi" w:hAnsiTheme="minorHAnsi" w:cstheme="minorHAnsi"/>
                <w:sz w:val="22"/>
              </w:rPr>
            </w:pPr>
            <w:r w:rsidRPr="00CE6B8C">
              <w:rPr>
                <w:rFonts w:asciiTheme="minorHAnsi" w:hAnsiTheme="minorHAnsi" w:cstheme="minorHAnsi"/>
                <w:sz w:val="22"/>
                <w:lang w:val="fr-FR" w:bidi="fr-FR"/>
              </w:rPr>
              <w:t>Aucune collaboration</w:t>
            </w:r>
            <w:r w:rsidRPr="00CE6B8C">
              <w:rPr>
                <w:rStyle w:val="FootnoteReference"/>
                <w:rFonts w:asciiTheme="minorHAnsi" w:hAnsiTheme="minorHAnsi" w:cstheme="minorHAnsi"/>
                <w:sz w:val="22"/>
                <w:lang w:val="fr-FR" w:bidi="fr-FR"/>
              </w:rPr>
              <w:t>11</w:t>
            </w:r>
          </w:p>
        </w:tc>
        <w:tc>
          <w:tcPr>
            <w:tcW w:w="1924" w:type="dxa"/>
            <w:tcBorders>
              <w:top w:val="single" w:sz="4" w:space="0" w:color="auto"/>
              <w:left w:val="single" w:sz="4" w:space="0" w:color="auto"/>
              <w:bottom w:val="single" w:sz="4" w:space="0" w:color="auto"/>
              <w:right w:val="single" w:sz="4" w:space="0" w:color="auto"/>
            </w:tcBorders>
          </w:tcPr>
          <w:p w14:paraId="1B19940B" w14:textId="656C0D54" w:rsidR="0094312B" w:rsidRPr="00CE6B8C" w:rsidRDefault="0094312B" w:rsidP="005B6264">
            <w:pPr>
              <w:pStyle w:val="TableParagraph"/>
              <w:ind w:left="-20" w:right="-86"/>
              <w:rPr>
                <w:rFonts w:asciiTheme="minorHAnsi" w:hAnsiTheme="minorHAnsi" w:cstheme="minorHAnsi"/>
                <w:sz w:val="22"/>
                <w:lang w:val="fr-FR"/>
              </w:rPr>
            </w:pPr>
            <w:r w:rsidRPr="00CE6B8C">
              <w:rPr>
                <w:rFonts w:asciiTheme="minorHAnsi" w:hAnsiTheme="minorHAnsi" w:cstheme="minorHAnsi"/>
                <w:sz w:val="22"/>
                <w:lang w:val="fr-FR" w:bidi="fr-FR"/>
              </w:rPr>
              <w:t>Aucune collaboration si le partenaire potentiel possède</w:t>
            </w:r>
            <w:r w:rsidR="005B6264" w:rsidRPr="00CE6B8C">
              <w:rPr>
                <w:rFonts w:asciiTheme="minorHAnsi" w:hAnsiTheme="minorHAnsi" w:cstheme="minorHAnsi"/>
                <w:sz w:val="22"/>
                <w:lang w:val="fr-FR" w:bidi="fr-FR"/>
              </w:rPr>
              <w:t xml:space="preserve"> </w:t>
            </w:r>
            <w:r w:rsidRPr="00CE6B8C">
              <w:rPr>
                <w:rFonts w:asciiTheme="minorHAnsi" w:hAnsiTheme="minorHAnsi" w:cstheme="minorHAnsi"/>
                <w:sz w:val="22"/>
                <w:lang w:val="fr-FR" w:bidi="fr-FR"/>
              </w:rPr>
              <w:t>plus de 20 % d’une filiale participant à ce type d’activités</w:t>
            </w:r>
          </w:p>
        </w:tc>
        <w:tc>
          <w:tcPr>
            <w:tcW w:w="1924" w:type="dxa"/>
            <w:tcBorders>
              <w:top w:val="single" w:sz="4" w:space="0" w:color="auto"/>
              <w:left w:val="single" w:sz="4" w:space="0" w:color="auto"/>
              <w:bottom w:val="single" w:sz="4" w:space="0" w:color="auto"/>
              <w:right w:val="single" w:sz="4" w:space="0" w:color="auto"/>
            </w:tcBorders>
          </w:tcPr>
          <w:p w14:paraId="3F511B4D" w14:textId="575877D9" w:rsidR="0094312B" w:rsidRPr="00CE6B8C" w:rsidRDefault="0094312B" w:rsidP="005B6264">
            <w:pPr>
              <w:pStyle w:val="TableParagraph"/>
              <w:ind w:left="-20" w:right="-86"/>
              <w:rPr>
                <w:rFonts w:asciiTheme="minorHAnsi" w:hAnsiTheme="minorHAnsi" w:cstheme="minorHAnsi"/>
                <w:sz w:val="22"/>
                <w:lang w:val="fr-FR"/>
              </w:rPr>
            </w:pPr>
            <w:r w:rsidRPr="00CE6B8C">
              <w:rPr>
                <w:rFonts w:asciiTheme="minorHAnsi" w:hAnsiTheme="minorHAnsi" w:cstheme="minorHAnsi"/>
                <w:sz w:val="22"/>
                <w:lang w:val="fr-FR" w:bidi="fr-FR"/>
              </w:rPr>
              <w:t>Aucune collaboration si une société mère possède</w:t>
            </w:r>
            <w:r w:rsidR="005B6264" w:rsidRPr="00CE6B8C">
              <w:rPr>
                <w:rFonts w:asciiTheme="minorHAnsi" w:hAnsiTheme="minorHAnsi" w:cstheme="minorHAnsi"/>
                <w:sz w:val="22"/>
                <w:lang w:val="fr-FR" w:bidi="fr-FR"/>
              </w:rPr>
              <w:t xml:space="preserve"> </w:t>
            </w:r>
            <w:r w:rsidRPr="00CE6B8C">
              <w:rPr>
                <w:rFonts w:asciiTheme="minorHAnsi" w:hAnsiTheme="minorHAnsi" w:cstheme="minorHAnsi"/>
                <w:sz w:val="22"/>
                <w:lang w:val="fr-FR" w:bidi="fr-FR"/>
              </w:rPr>
              <w:t>plus de 20 % du partenaire potentiel</w:t>
            </w:r>
          </w:p>
        </w:tc>
        <w:tc>
          <w:tcPr>
            <w:tcW w:w="1924" w:type="dxa"/>
            <w:tcBorders>
              <w:top w:val="single" w:sz="4" w:space="0" w:color="auto"/>
              <w:left w:val="single" w:sz="4" w:space="0" w:color="auto"/>
              <w:bottom w:val="single" w:sz="4" w:space="0" w:color="auto"/>
              <w:right w:val="single" w:sz="4" w:space="0" w:color="auto"/>
            </w:tcBorders>
          </w:tcPr>
          <w:p w14:paraId="25912062" w14:textId="5B26A4B0" w:rsidR="0094312B" w:rsidRPr="00CE6B8C" w:rsidRDefault="0094312B" w:rsidP="0094312B">
            <w:pPr>
              <w:pStyle w:val="TableParagraph"/>
              <w:ind w:left="-20" w:right="-71"/>
              <w:rPr>
                <w:rFonts w:asciiTheme="minorHAnsi" w:hAnsiTheme="minorHAnsi" w:cstheme="minorHAnsi"/>
                <w:sz w:val="22"/>
                <w:lang w:val="fr-FR"/>
              </w:rPr>
            </w:pPr>
            <w:r w:rsidRPr="00CE6B8C">
              <w:rPr>
                <w:rFonts w:asciiTheme="minorHAnsi" w:hAnsiTheme="minorHAnsi" w:cstheme="minorHAnsi"/>
                <w:sz w:val="22"/>
                <w:lang w:val="fr-FR" w:bidi="fr-FR"/>
              </w:rPr>
              <w:t>En cas de violation systématique et flagrante des droits humains au niveau de la chaîne d’approvisionnement ou de distribution du partenaire potentiel, il convient de se montrer particulièrement prudent et de confier la décision au siège</w:t>
            </w:r>
          </w:p>
        </w:tc>
      </w:tr>
    </w:tbl>
    <w:p w14:paraId="24CC2CA0" w14:textId="0391CD6D" w:rsidR="00474239" w:rsidRPr="00B42BCE" w:rsidRDefault="005F2731" w:rsidP="006E4085">
      <w:pPr>
        <w:pStyle w:val="Heading2"/>
        <w:numPr>
          <w:ilvl w:val="1"/>
          <w:numId w:val="15"/>
        </w:numPr>
        <w:tabs>
          <w:tab w:val="left" w:pos="1015"/>
        </w:tabs>
        <w:spacing w:before="240" w:line="480" w:lineRule="auto"/>
        <w:rPr>
          <w:rFonts w:asciiTheme="minorHAnsi" w:hAnsiTheme="minorHAnsi" w:cstheme="minorHAnsi"/>
        </w:rPr>
      </w:pPr>
      <w:bookmarkStart w:id="7" w:name="_Toc160629983"/>
      <w:r w:rsidRPr="00B42BCE">
        <w:rPr>
          <w:rFonts w:asciiTheme="minorHAnsi" w:hAnsiTheme="minorHAnsi" w:cstheme="minorHAnsi"/>
          <w:lang w:bidi="fr-FR"/>
        </w:rPr>
        <w:lastRenderedPageBreak/>
        <w:t>Les secteurs à haut risque</w:t>
      </w:r>
      <w:bookmarkEnd w:id="7"/>
    </w:p>
    <w:p w14:paraId="26A2EA4E" w14:textId="0444A8EE" w:rsidR="009B1A6D" w:rsidRPr="00B42BCE" w:rsidRDefault="4E063A27" w:rsidP="00E36DAD">
      <w:pPr>
        <w:pStyle w:val="BodyText"/>
        <w:spacing w:before="113"/>
        <w:ind w:left="280" w:right="635"/>
        <w:jc w:val="both"/>
        <w:rPr>
          <w:rFonts w:asciiTheme="minorHAnsi" w:hAnsiTheme="minorHAnsi" w:cstheme="minorHAnsi"/>
        </w:rPr>
      </w:pPr>
      <w:r w:rsidRPr="00B42BCE">
        <w:rPr>
          <w:rFonts w:asciiTheme="minorHAnsi" w:hAnsiTheme="minorHAnsi" w:cstheme="minorHAnsi"/>
          <w:lang w:bidi="fr-FR"/>
        </w:rPr>
        <w:t>En plus des secteurs d’activité correspondant aux critères d’exclusion présentés ci-dessus, un certain nombre de secteurs « à haut risque » ont également été identifiés, caractérisés par des controverses particulièrement fréquentes et/ou par une adhésion moins évidente ou historiquement plus faible aux grands principes de durabilité des entreprises. Ces secteurs sont énumérés dans le tableau 2. Toute collaboration avec l’un de ces secteurs s’accompagne automatiquement d’un accroissement du niveau de risque associé au partenariat concerné, au moins jusqu’au niveau « modéré » et, dans le cas des industries extractives, jusqu’au niveau « élevé »</w:t>
      </w:r>
      <w:r w:rsidR="00FB3BC3" w:rsidRPr="00B42BCE">
        <w:rPr>
          <w:rStyle w:val="FootnoteReference"/>
          <w:rFonts w:asciiTheme="minorHAnsi" w:hAnsiTheme="minorHAnsi" w:cstheme="minorHAnsi"/>
          <w:lang w:bidi="fr-FR"/>
        </w:rPr>
        <w:footnoteReference w:id="13"/>
      </w:r>
      <w:r w:rsidR="00901D78" w:rsidRPr="00B42BCE">
        <w:rPr>
          <w:rFonts w:asciiTheme="minorHAnsi" w:hAnsiTheme="minorHAnsi" w:cstheme="minorHAnsi"/>
          <w:lang w:bidi="fr-FR"/>
        </w:rPr>
        <w:t xml:space="preserve">. </w:t>
      </w:r>
      <w:r w:rsidRPr="00B42BCE">
        <w:rPr>
          <w:rFonts w:asciiTheme="minorHAnsi" w:hAnsiTheme="minorHAnsi" w:cstheme="minorHAnsi"/>
          <w:lang w:bidi="fr-FR"/>
        </w:rPr>
        <w:t>Le niveau de risque détermine le niveau d’assurance qualité auquel le partenariat sera soumis, ainsi que l’instance décisionnaire qui actera ou non la poursuite du partenariat.</w:t>
      </w:r>
    </w:p>
    <w:p w14:paraId="375CEA16" w14:textId="4D6F0AE7" w:rsidR="009B1A6D" w:rsidRPr="00B42BCE" w:rsidRDefault="009B1A6D" w:rsidP="006E4085">
      <w:pPr>
        <w:spacing w:before="120"/>
        <w:ind w:left="274"/>
        <w:jc w:val="both"/>
        <w:rPr>
          <w:rFonts w:asciiTheme="minorHAnsi" w:hAnsiTheme="minorHAnsi" w:cstheme="minorHAnsi"/>
          <w:b/>
        </w:rPr>
      </w:pPr>
      <w:r w:rsidRPr="00B42BCE">
        <w:rPr>
          <w:rFonts w:asciiTheme="minorHAnsi" w:hAnsiTheme="minorHAnsi" w:cstheme="minorHAnsi"/>
          <w:b/>
          <w:lang w:bidi="fr-FR"/>
        </w:rPr>
        <w:t>TABLEAU 2 : Les secteurs à haut risque</w:t>
      </w:r>
    </w:p>
    <w:p w14:paraId="028D2FDA" w14:textId="77777777" w:rsidR="009B1A6D" w:rsidRPr="00B42BCE" w:rsidRDefault="009B1A6D" w:rsidP="009B1A6D">
      <w:pPr>
        <w:pStyle w:val="BodyText"/>
        <w:spacing w:before="8"/>
        <w:rPr>
          <w:rFonts w:asciiTheme="minorHAnsi" w:hAnsiTheme="minorHAnsi" w:cstheme="minorHAnsi"/>
          <w:b/>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70"/>
      </w:tblGrid>
      <w:tr w:rsidR="009B1A6D" w:rsidRPr="00B42BCE" w14:paraId="5B820788" w14:textId="77777777" w:rsidTr="418E8D3F">
        <w:trPr>
          <w:trHeight w:val="962"/>
        </w:trPr>
        <w:tc>
          <w:tcPr>
            <w:tcW w:w="9270" w:type="dxa"/>
          </w:tcPr>
          <w:p w14:paraId="7D717A36" w14:textId="77777777" w:rsidR="009B1A6D" w:rsidRPr="00B42BCE" w:rsidRDefault="049F42A6" w:rsidP="00F745B3">
            <w:pPr>
              <w:pStyle w:val="TableParagraph"/>
              <w:spacing w:before="58"/>
              <w:ind w:left="107"/>
              <w:rPr>
                <w:rFonts w:asciiTheme="minorHAnsi" w:hAnsiTheme="minorHAnsi" w:cstheme="minorHAnsi"/>
                <w:b/>
              </w:rPr>
            </w:pPr>
            <w:r w:rsidRPr="00B42BCE">
              <w:rPr>
                <w:rFonts w:asciiTheme="minorHAnsi" w:hAnsiTheme="minorHAnsi" w:cstheme="minorHAnsi"/>
                <w:b/>
                <w:lang w:bidi="fr-FR"/>
              </w:rPr>
              <w:t>Pétrole et gaz</w:t>
            </w:r>
            <w:r w:rsidR="009B1A6D" w:rsidRPr="00B42BCE">
              <w:rPr>
                <w:rStyle w:val="FootnoteReference"/>
                <w:rFonts w:asciiTheme="minorHAnsi" w:hAnsiTheme="minorHAnsi" w:cstheme="minorHAnsi"/>
                <w:b/>
                <w:lang w:bidi="fr-FR"/>
              </w:rPr>
              <w:footnoteReference w:id="14"/>
            </w:r>
          </w:p>
          <w:p w14:paraId="056A566B" w14:textId="77777777" w:rsidR="009B1A6D" w:rsidRPr="00B42BCE" w:rsidRDefault="009B1A6D" w:rsidP="00F745B3">
            <w:pPr>
              <w:pStyle w:val="TableParagraph"/>
              <w:spacing w:before="54"/>
              <w:ind w:left="107"/>
              <w:rPr>
                <w:rFonts w:asciiTheme="minorHAnsi" w:hAnsiTheme="minorHAnsi" w:cstheme="minorHAnsi"/>
              </w:rPr>
            </w:pPr>
            <w:r w:rsidRPr="00B42BCE">
              <w:rPr>
                <w:rFonts w:asciiTheme="minorHAnsi" w:hAnsiTheme="minorHAnsi" w:cstheme="minorHAnsi"/>
                <w:lang w:bidi="fr-FR"/>
              </w:rPr>
              <w:t>Extraction de pétrole et de gaz (y compris les sables bitumineux) ; fabrication de produits pétroliers raffinés ; transport par l’intermédiaire de pipelines</w:t>
            </w:r>
          </w:p>
        </w:tc>
      </w:tr>
      <w:tr w:rsidR="009B1A6D" w:rsidRPr="00B42BCE" w14:paraId="731ECB06" w14:textId="77777777" w:rsidTr="418E8D3F">
        <w:trPr>
          <w:trHeight w:val="1250"/>
        </w:trPr>
        <w:tc>
          <w:tcPr>
            <w:tcW w:w="9270" w:type="dxa"/>
          </w:tcPr>
          <w:p w14:paraId="2667E33F" w14:textId="77777777" w:rsidR="009B1A6D" w:rsidRPr="00B42BCE" w:rsidRDefault="049F42A6" w:rsidP="00F745B3">
            <w:pPr>
              <w:pStyle w:val="TableParagraph"/>
              <w:spacing w:before="58"/>
              <w:ind w:left="107"/>
              <w:jc w:val="both"/>
              <w:rPr>
                <w:rFonts w:asciiTheme="minorHAnsi" w:hAnsiTheme="minorHAnsi" w:cstheme="minorHAnsi"/>
                <w:b/>
              </w:rPr>
            </w:pPr>
            <w:r w:rsidRPr="00B42BCE">
              <w:rPr>
                <w:rFonts w:asciiTheme="minorHAnsi" w:hAnsiTheme="minorHAnsi" w:cstheme="minorHAnsi"/>
                <w:b/>
                <w:lang w:bidi="fr-FR"/>
              </w:rPr>
              <w:t>Extraction de métaux et exploitation minière</w:t>
            </w:r>
            <w:r w:rsidR="009B1A6D" w:rsidRPr="00B42BCE">
              <w:rPr>
                <w:rStyle w:val="FootnoteReference"/>
                <w:rFonts w:asciiTheme="minorHAnsi" w:hAnsiTheme="minorHAnsi" w:cstheme="minorHAnsi"/>
                <w:b/>
                <w:lang w:bidi="fr-FR"/>
              </w:rPr>
              <w:footnoteReference w:id="15"/>
            </w:r>
          </w:p>
          <w:p w14:paraId="7A859E82" w14:textId="77777777" w:rsidR="009B1A6D" w:rsidRPr="00B42BCE" w:rsidRDefault="009B1A6D" w:rsidP="00F745B3">
            <w:pPr>
              <w:pStyle w:val="TableParagraph"/>
              <w:spacing w:before="54"/>
              <w:ind w:left="107" w:right="95"/>
              <w:jc w:val="both"/>
              <w:rPr>
                <w:rFonts w:asciiTheme="minorHAnsi" w:hAnsiTheme="minorHAnsi" w:cstheme="minorHAnsi"/>
              </w:rPr>
            </w:pPr>
            <w:r w:rsidRPr="00B42BCE">
              <w:rPr>
                <w:rFonts w:asciiTheme="minorHAnsi" w:hAnsiTheme="minorHAnsi" w:cstheme="minorHAnsi"/>
                <w:lang w:bidi="fr-FR"/>
              </w:rPr>
              <w:t>Exploitation minière (charbon, diamants et autres pierres précieuses et semi-précieuses, métaux, uranium, etc.) ; fabrication de produits sidérurgiques de base, d’acier, de métaux non ferreux et de métaux précieux ; moulage des métaux ; traitement et revêtement des métaux ; exploitation de carrières</w:t>
            </w:r>
          </w:p>
        </w:tc>
      </w:tr>
      <w:tr w:rsidR="009B1A6D" w:rsidRPr="00B42BCE" w14:paraId="5170C611" w14:textId="77777777" w:rsidTr="418E8D3F">
        <w:trPr>
          <w:trHeight w:val="1250"/>
        </w:trPr>
        <w:tc>
          <w:tcPr>
            <w:tcW w:w="9270" w:type="dxa"/>
          </w:tcPr>
          <w:p w14:paraId="7F5F914C" w14:textId="77777777" w:rsidR="009B1A6D" w:rsidRPr="00B42BCE" w:rsidRDefault="049F42A6" w:rsidP="00F745B3">
            <w:pPr>
              <w:pStyle w:val="TableParagraph"/>
              <w:spacing w:before="58"/>
              <w:ind w:left="107"/>
              <w:rPr>
                <w:rFonts w:asciiTheme="minorHAnsi" w:hAnsiTheme="minorHAnsi" w:cstheme="minorHAnsi"/>
                <w:b/>
              </w:rPr>
            </w:pPr>
            <w:r w:rsidRPr="00B42BCE">
              <w:rPr>
                <w:rFonts w:asciiTheme="minorHAnsi" w:hAnsiTheme="minorHAnsi" w:cstheme="minorHAnsi"/>
                <w:b/>
                <w:lang w:bidi="fr-FR"/>
              </w:rPr>
              <w:t>Services d’utilité publique</w:t>
            </w:r>
            <w:r w:rsidR="009B1A6D" w:rsidRPr="00B42BCE">
              <w:rPr>
                <w:rStyle w:val="FootnoteReference"/>
                <w:rFonts w:asciiTheme="minorHAnsi" w:hAnsiTheme="minorHAnsi" w:cstheme="minorHAnsi"/>
                <w:b/>
                <w:lang w:bidi="fr-FR"/>
              </w:rPr>
              <w:footnoteReference w:id="16"/>
            </w:r>
          </w:p>
          <w:p w14:paraId="10561503" w14:textId="77777777" w:rsidR="009B1A6D" w:rsidRPr="00B42BCE" w:rsidRDefault="009B1A6D" w:rsidP="00F745B3">
            <w:pPr>
              <w:pStyle w:val="TableParagraph"/>
              <w:spacing w:before="54"/>
              <w:ind w:left="107" w:right="94"/>
              <w:jc w:val="both"/>
              <w:rPr>
                <w:rFonts w:asciiTheme="minorHAnsi" w:hAnsiTheme="minorHAnsi" w:cstheme="minorHAnsi"/>
              </w:rPr>
            </w:pPr>
            <w:r w:rsidRPr="00B42BCE">
              <w:rPr>
                <w:rFonts w:asciiTheme="minorHAnsi" w:hAnsiTheme="minorHAnsi" w:cstheme="minorHAnsi"/>
                <w:lang w:bidi="fr-FR"/>
              </w:rPr>
              <w:t>Production d’électricité à partir de grands barrages, de centrales nucléaires, de centrales à combustibles fossiles (par exemple, gaz et charbon) ; transmission et distribution d’électricité ; collecte, traitement et distribution de l’eau ; évacuation des eaux usées ; traitement et élimination des déchets ; récupération des matériaux (recyclage)</w:t>
            </w:r>
          </w:p>
        </w:tc>
      </w:tr>
      <w:tr w:rsidR="009B1A6D" w:rsidRPr="00B42BCE" w14:paraId="0FD72574" w14:textId="77777777" w:rsidTr="418E8D3F">
        <w:trPr>
          <w:trHeight w:val="978"/>
        </w:trPr>
        <w:tc>
          <w:tcPr>
            <w:tcW w:w="9270" w:type="dxa"/>
          </w:tcPr>
          <w:p w14:paraId="6E6B59EE" w14:textId="77777777" w:rsidR="009B1A6D" w:rsidRPr="00B42BCE" w:rsidRDefault="009B1A6D" w:rsidP="00F745B3">
            <w:pPr>
              <w:pStyle w:val="TableParagraph"/>
              <w:spacing w:before="58"/>
              <w:ind w:left="107"/>
              <w:rPr>
                <w:rFonts w:asciiTheme="minorHAnsi" w:hAnsiTheme="minorHAnsi" w:cstheme="minorHAnsi"/>
                <w:b/>
              </w:rPr>
            </w:pPr>
            <w:r w:rsidRPr="00B42BCE">
              <w:rPr>
                <w:rFonts w:asciiTheme="minorHAnsi" w:hAnsiTheme="minorHAnsi" w:cstheme="minorHAnsi"/>
                <w:b/>
                <w:lang w:bidi="fr-FR"/>
              </w:rPr>
              <w:t>Grandes infrastructures</w:t>
            </w:r>
          </w:p>
          <w:p w14:paraId="276604E9" w14:textId="77777777" w:rsidR="009B1A6D" w:rsidRPr="00B42BCE" w:rsidRDefault="009B1A6D" w:rsidP="00F745B3">
            <w:pPr>
              <w:pStyle w:val="TableParagraph"/>
              <w:spacing w:before="54"/>
              <w:ind w:left="107"/>
              <w:rPr>
                <w:rFonts w:asciiTheme="minorHAnsi" w:hAnsiTheme="minorHAnsi" w:cstheme="minorHAnsi"/>
              </w:rPr>
            </w:pPr>
            <w:r w:rsidRPr="00B42BCE">
              <w:rPr>
                <w:rFonts w:asciiTheme="minorHAnsi" w:hAnsiTheme="minorHAnsi" w:cstheme="minorHAnsi"/>
                <w:lang w:bidi="fr-FR"/>
              </w:rPr>
              <w:t>Construction de bâtiments, de routes, de rails, projets de génie civil ; construction ou modernisation de grands barrages, de centrales nucléaires ou de pipelines</w:t>
            </w:r>
          </w:p>
        </w:tc>
      </w:tr>
      <w:tr w:rsidR="009B1A6D" w:rsidRPr="00B42BCE" w14:paraId="61FEA285" w14:textId="77777777" w:rsidTr="418E8D3F">
        <w:trPr>
          <w:trHeight w:val="981"/>
        </w:trPr>
        <w:tc>
          <w:tcPr>
            <w:tcW w:w="9270" w:type="dxa"/>
          </w:tcPr>
          <w:p w14:paraId="4BC49F91" w14:textId="77777777" w:rsidR="009B1A6D" w:rsidRPr="00B42BCE" w:rsidRDefault="009B1A6D" w:rsidP="00F745B3">
            <w:pPr>
              <w:pStyle w:val="TableParagraph"/>
              <w:spacing w:before="58"/>
              <w:ind w:left="107"/>
              <w:rPr>
                <w:rFonts w:asciiTheme="minorHAnsi" w:hAnsiTheme="minorHAnsi" w:cstheme="minorHAnsi"/>
                <w:b/>
              </w:rPr>
            </w:pPr>
            <w:r w:rsidRPr="00B42BCE">
              <w:rPr>
                <w:rFonts w:asciiTheme="minorHAnsi" w:hAnsiTheme="minorHAnsi" w:cstheme="minorHAnsi"/>
                <w:b/>
                <w:lang w:bidi="fr-FR"/>
              </w:rPr>
              <w:t>Agriculture et pêche</w:t>
            </w:r>
          </w:p>
          <w:p w14:paraId="512A6201" w14:textId="77777777" w:rsidR="009B1A6D" w:rsidRPr="00B42BCE" w:rsidRDefault="009B1A6D" w:rsidP="00F745B3">
            <w:pPr>
              <w:pStyle w:val="TableParagraph"/>
              <w:spacing w:before="57"/>
              <w:ind w:left="107"/>
              <w:rPr>
                <w:rFonts w:asciiTheme="minorHAnsi" w:hAnsiTheme="minorHAnsi" w:cstheme="minorHAnsi"/>
              </w:rPr>
            </w:pPr>
            <w:r w:rsidRPr="00B42BCE">
              <w:rPr>
                <w:rFonts w:asciiTheme="minorHAnsi" w:hAnsiTheme="minorHAnsi" w:cstheme="minorHAnsi"/>
                <w:lang w:bidi="fr-FR"/>
              </w:rPr>
              <w:t>Activités de culture, notamment d’huile de palme et d’autres grandes monocultures (par exemple, les cultures énergétiques pour la fabrication de biocarburants) ; élevage, pêche ; aquaculture</w:t>
            </w:r>
          </w:p>
        </w:tc>
      </w:tr>
      <w:tr w:rsidR="009B1A6D" w:rsidRPr="00B42BCE" w14:paraId="1F91A520" w14:textId="77777777" w:rsidTr="418E8D3F">
        <w:trPr>
          <w:trHeight w:val="798"/>
        </w:trPr>
        <w:tc>
          <w:tcPr>
            <w:tcW w:w="9270" w:type="dxa"/>
          </w:tcPr>
          <w:p w14:paraId="00ADA036" w14:textId="77777777" w:rsidR="009B1A6D" w:rsidRPr="00B42BCE" w:rsidRDefault="009B1A6D" w:rsidP="00F745B3">
            <w:pPr>
              <w:pStyle w:val="TableParagraph"/>
              <w:spacing w:before="58"/>
              <w:ind w:left="107"/>
              <w:rPr>
                <w:rFonts w:asciiTheme="minorHAnsi" w:hAnsiTheme="minorHAnsi" w:cstheme="minorHAnsi"/>
                <w:b/>
              </w:rPr>
            </w:pPr>
            <w:r w:rsidRPr="00B42BCE">
              <w:rPr>
                <w:rFonts w:asciiTheme="minorHAnsi" w:hAnsiTheme="minorHAnsi" w:cstheme="minorHAnsi"/>
                <w:b/>
                <w:lang w:bidi="fr-FR"/>
              </w:rPr>
              <w:t>Bois, pâtes et papiers</w:t>
            </w:r>
          </w:p>
          <w:p w14:paraId="1FE7ED91" w14:textId="77777777" w:rsidR="009B1A6D" w:rsidRPr="00B42BCE" w:rsidRDefault="009B1A6D" w:rsidP="00F745B3">
            <w:pPr>
              <w:pStyle w:val="TableParagraph"/>
              <w:spacing w:before="54"/>
              <w:ind w:left="107"/>
              <w:rPr>
                <w:rFonts w:asciiTheme="minorHAnsi" w:hAnsiTheme="minorHAnsi" w:cstheme="minorHAnsi"/>
              </w:rPr>
            </w:pPr>
            <w:r w:rsidRPr="00B42BCE">
              <w:rPr>
                <w:rFonts w:asciiTheme="minorHAnsi" w:hAnsiTheme="minorHAnsi" w:cstheme="minorHAnsi"/>
                <w:lang w:bidi="fr-FR"/>
              </w:rPr>
              <w:t>Production de bois ; exploitation forestière ; sciage et rabotage du bois ; production de pâtes et papiers</w:t>
            </w:r>
          </w:p>
        </w:tc>
      </w:tr>
      <w:tr w:rsidR="009B1A6D" w:rsidRPr="00B42BCE" w14:paraId="253626B0" w14:textId="77777777" w:rsidTr="418E8D3F">
        <w:trPr>
          <w:trHeight w:val="1521"/>
        </w:trPr>
        <w:tc>
          <w:tcPr>
            <w:tcW w:w="9270" w:type="dxa"/>
          </w:tcPr>
          <w:p w14:paraId="31788C9D" w14:textId="77777777" w:rsidR="009B1A6D" w:rsidRPr="00B42BCE" w:rsidRDefault="009B1A6D" w:rsidP="00F745B3">
            <w:pPr>
              <w:pStyle w:val="TableParagraph"/>
              <w:spacing w:before="58"/>
              <w:ind w:left="107"/>
              <w:rPr>
                <w:rFonts w:asciiTheme="minorHAnsi" w:hAnsiTheme="minorHAnsi" w:cstheme="minorHAnsi"/>
                <w:b/>
              </w:rPr>
            </w:pPr>
            <w:r w:rsidRPr="00B42BCE">
              <w:rPr>
                <w:rFonts w:asciiTheme="minorHAnsi" w:hAnsiTheme="minorHAnsi" w:cstheme="minorHAnsi"/>
                <w:b/>
                <w:lang w:bidi="fr-FR"/>
              </w:rPr>
              <w:lastRenderedPageBreak/>
              <w:t>Alcool</w:t>
            </w:r>
          </w:p>
          <w:p w14:paraId="78B725E8" w14:textId="77777777" w:rsidR="009B1A6D" w:rsidRPr="00B42BCE" w:rsidRDefault="009B1A6D" w:rsidP="00F745B3">
            <w:pPr>
              <w:pStyle w:val="TableParagraph"/>
              <w:spacing w:before="57"/>
              <w:ind w:left="107" w:right="93"/>
              <w:jc w:val="both"/>
              <w:rPr>
                <w:rFonts w:asciiTheme="minorHAnsi" w:hAnsiTheme="minorHAnsi" w:cstheme="minorHAnsi"/>
              </w:rPr>
            </w:pPr>
            <w:r w:rsidRPr="00B42BCE">
              <w:rPr>
                <w:rFonts w:asciiTheme="minorHAnsi" w:hAnsiTheme="minorHAnsi" w:cstheme="minorHAnsi"/>
                <w:lang w:bidi="fr-FR"/>
              </w:rPr>
              <w:t>Producteurs, grossistes et importateurs dont les activités concernent exclusivement les boissons alcoolisées ou dont les recettes sont principalement issues du commerce de boissons alcoolisées. L’« industrie de l’alcool » comprend également les associations et autres entités chargées de représenter ces différents acteurs ou financées en grande partie par eux, ainsi que les lobbyistes du secteur.</w:t>
            </w:r>
          </w:p>
        </w:tc>
      </w:tr>
      <w:tr w:rsidR="009B1A6D" w:rsidRPr="00B42BCE" w14:paraId="3AFC7BEC" w14:textId="77777777" w:rsidTr="418E8D3F">
        <w:trPr>
          <w:trHeight w:val="978"/>
        </w:trPr>
        <w:tc>
          <w:tcPr>
            <w:tcW w:w="9270" w:type="dxa"/>
          </w:tcPr>
          <w:p w14:paraId="2976F14D" w14:textId="77777777" w:rsidR="009B1A6D" w:rsidRPr="00B42BCE" w:rsidRDefault="009B1A6D" w:rsidP="00F745B3">
            <w:pPr>
              <w:pStyle w:val="TableParagraph"/>
              <w:spacing w:before="58"/>
              <w:ind w:left="107"/>
              <w:rPr>
                <w:rFonts w:asciiTheme="minorHAnsi" w:hAnsiTheme="minorHAnsi" w:cstheme="minorHAnsi"/>
                <w:b/>
              </w:rPr>
            </w:pPr>
            <w:r w:rsidRPr="00B42BCE">
              <w:rPr>
                <w:rFonts w:asciiTheme="minorHAnsi" w:hAnsiTheme="minorHAnsi" w:cstheme="minorHAnsi"/>
                <w:b/>
                <w:lang w:bidi="fr-FR"/>
              </w:rPr>
              <w:t>Produits chimiques</w:t>
            </w:r>
          </w:p>
          <w:p w14:paraId="5313D5C3" w14:textId="77777777" w:rsidR="009B1A6D" w:rsidRPr="00B42BCE" w:rsidRDefault="009B1A6D" w:rsidP="00F745B3">
            <w:pPr>
              <w:pStyle w:val="TableParagraph"/>
              <w:spacing w:before="54"/>
              <w:ind w:left="107"/>
              <w:rPr>
                <w:rFonts w:asciiTheme="minorHAnsi" w:hAnsiTheme="minorHAnsi" w:cstheme="minorHAnsi"/>
              </w:rPr>
            </w:pPr>
            <w:r w:rsidRPr="00B42BCE">
              <w:rPr>
                <w:rFonts w:asciiTheme="minorHAnsi" w:hAnsiTheme="minorHAnsi" w:cstheme="minorHAnsi"/>
                <w:lang w:bidi="fr-FR"/>
              </w:rPr>
              <w:t>Fabrication de produits chimiques de base, de produits pharmaceutiques, pétrochimiques, agrochimiques, de pesticides, d’engrais, de plastiques, de peintures, de vernis, de revêtements, de détergents et de produits d’hygiène.</w:t>
            </w:r>
          </w:p>
        </w:tc>
      </w:tr>
      <w:tr w:rsidR="009B1A6D" w:rsidRPr="00B42BCE" w14:paraId="1E865677" w14:textId="77777777" w:rsidTr="418E8D3F">
        <w:trPr>
          <w:trHeight w:val="530"/>
        </w:trPr>
        <w:tc>
          <w:tcPr>
            <w:tcW w:w="9270" w:type="dxa"/>
          </w:tcPr>
          <w:p w14:paraId="032ADDA9" w14:textId="77777777" w:rsidR="009B1A6D" w:rsidRPr="00B42BCE" w:rsidRDefault="009B1A6D" w:rsidP="00F745B3">
            <w:pPr>
              <w:pStyle w:val="TableParagraph"/>
              <w:spacing w:before="53"/>
              <w:ind w:left="107"/>
              <w:rPr>
                <w:rFonts w:asciiTheme="minorHAnsi" w:hAnsiTheme="minorHAnsi" w:cstheme="minorHAnsi"/>
              </w:rPr>
            </w:pPr>
            <w:r w:rsidRPr="00B42BCE">
              <w:rPr>
                <w:rFonts w:asciiTheme="minorHAnsi" w:hAnsiTheme="minorHAnsi" w:cstheme="minorHAnsi"/>
                <w:b/>
                <w:lang w:bidi="fr-FR"/>
              </w:rPr>
              <w:t xml:space="preserve">Vêtements, jouets et appareils électroniques à destination du grand public </w:t>
            </w:r>
            <w:r w:rsidRPr="00B42BCE">
              <w:rPr>
                <w:rFonts w:asciiTheme="minorHAnsi" w:hAnsiTheme="minorHAnsi" w:cstheme="minorHAnsi"/>
                <w:lang w:bidi="fr-FR"/>
              </w:rPr>
              <w:t>(les risques concernent principalement la chaîne d’approvisionnement)</w:t>
            </w:r>
          </w:p>
        </w:tc>
      </w:tr>
      <w:tr w:rsidR="009B1A6D" w:rsidRPr="00B42BCE" w14:paraId="50D66358" w14:textId="77777777" w:rsidTr="418E8D3F">
        <w:trPr>
          <w:trHeight w:val="530"/>
        </w:trPr>
        <w:tc>
          <w:tcPr>
            <w:tcW w:w="9270" w:type="dxa"/>
          </w:tcPr>
          <w:p w14:paraId="22AFE44F" w14:textId="77777777" w:rsidR="009B1A6D" w:rsidRPr="00B42BCE" w:rsidRDefault="009B1A6D" w:rsidP="00F745B3">
            <w:pPr>
              <w:pStyle w:val="TableParagraph"/>
              <w:spacing w:before="58"/>
              <w:ind w:left="107"/>
              <w:rPr>
                <w:rFonts w:asciiTheme="minorHAnsi" w:hAnsiTheme="minorHAnsi" w:cstheme="minorHAnsi"/>
                <w:b/>
              </w:rPr>
            </w:pPr>
            <w:r w:rsidRPr="00B42BCE">
              <w:rPr>
                <w:rFonts w:asciiTheme="minorHAnsi" w:hAnsiTheme="minorHAnsi" w:cstheme="minorHAnsi"/>
                <w:b/>
                <w:lang w:bidi="fr-FR"/>
              </w:rPr>
              <w:t>Restauration rapide, boissons riches en sucre et sodas</w:t>
            </w:r>
          </w:p>
        </w:tc>
      </w:tr>
    </w:tbl>
    <w:p w14:paraId="7427F533" w14:textId="17B1563A" w:rsidR="00FB3BC3" w:rsidRPr="00B42BCE" w:rsidRDefault="00FB3BC3" w:rsidP="00760896">
      <w:pPr>
        <w:pStyle w:val="Heading2"/>
        <w:numPr>
          <w:ilvl w:val="1"/>
          <w:numId w:val="15"/>
        </w:numPr>
        <w:tabs>
          <w:tab w:val="left" w:pos="1015"/>
        </w:tabs>
        <w:spacing w:before="480"/>
        <w:ind w:left="1008" w:hanging="374"/>
        <w:rPr>
          <w:rFonts w:asciiTheme="minorHAnsi" w:hAnsiTheme="minorHAnsi" w:cstheme="minorHAnsi"/>
        </w:rPr>
      </w:pPr>
      <w:bookmarkStart w:id="9" w:name="_Toc160629984"/>
      <w:r w:rsidRPr="00B42BCE">
        <w:rPr>
          <w:rFonts w:asciiTheme="minorHAnsi" w:hAnsiTheme="minorHAnsi" w:cstheme="minorHAnsi"/>
          <w:lang w:bidi="fr-FR"/>
        </w:rPr>
        <w:t>Évaluation de la diligence raisonnable – controverses</w:t>
      </w:r>
      <w:bookmarkEnd w:id="9"/>
    </w:p>
    <w:p w14:paraId="7FEA8C8E" w14:textId="77777777" w:rsidR="00FB3BC3" w:rsidRPr="00B42BCE" w:rsidRDefault="00FB3BC3" w:rsidP="00FB3BC3">
      <w:pPr>
        <w:pStyle w:val="BodyText"/>
        <w:rPr>
          <w:rFonts w:asciiTheme="minorHAnsi" w:hAnsiTheme="minorHAnsi" w:cstheme="minorHAnsi"/>
        </w:rPr>
      </w:pPr>
    </w:p>
    <w:p w14:paraId="2AB2EC80" w14:textId="470623B4" w:rsidR="00FB3BC3" w:rsidRPr="00B42BCE" w:rsidRDefault="009B1A6D" w:rsidP="00FB3BC3">
      <w:pPr>
        <w:pStyle w:val="BodyText"/>
        <w:ind w:left="280" w:right="633"/>
        <w:jc w:val="both"/>
        <w:rPr>
          <w:rFonts w:asciiTheme="minorHAnsi" w:hAnsiTheme="minorHAnsi" w:cstheme="minorHAnsi"/>
        </w:rPr>
      </w:pPr>
      <w:r w:rsidRPr="00B42BCE">
        <w:rPr>
          <w:rFonts w:asciiTheme="minorHAnsi" w:hAnsiTheme="minorHAnsi" w:cstheme="minorHAnsi"/>
          <w:lang w:bidi="fr-FR"/>
        </w:rPr>
        <w:t>Outre l’étude des critères d’exclusion et du secteur d’activité, il est essentiel que l’analyse des risques s’intéresse aux performances du partenaire potentiel en matière de questions d’environnement, de société et de gouvernance (ESG), de manière à identifier les éventuels sujets de controverses substantielles dont l’entité concernée pourrait faire l’objet. Les données relatives aux sujets de controverses permettront également de déterminer le niveau de risque, le niveau d’assurance qualité auquel le partenariat sera soumis, ainsi que l’instance décisionnaire qui actera ou non la poursuite du partenariat. Le tableau 3 présente les différents sujets de controverse possibles.</w:t>
      </w:r>
    </w:p>
    <w:p w14:paraId="2FDD95FA" w14:textId="77777777" w:rsidR="004F47A4" w:rsidRPr="00B42BCE" w:rsidRDefault="004F47A4" w:rsidP="00FB3BC3">
      <w:pPr>
        <w:spacing w:before="80"/>
        <w:ind w:left="280"/>
        <w:rPr>
          <w:rFonts w:asciiTheme="minorHAnsi" w:hAnsiTheme="minorHAnsi" w:cstheme="minorHAnsi"/>
          <w:b/>
        </w:rPr>
      </w:pPr>
    </w:p>
    <w:p w14:paraId="5E10FF55" w14:textId="5D0F5285" w:rsidR="00FB3BC3" w:rsidRPr="00B42BCE" w:rsidRDefault="00760896" w:rsidP="00FB3BC3">
      <w:pPr>
        <w:spacing w:before="80"/>
        <w:ind w:left="280"/>
        <w:rPr>
          <w:rFonts w:asciiTheme="minorHAnsi" w:hAnsiTheme="minorHAnsi" w:cstheme="minorHAnsi"/>
          <w:b/>
        </w:rPr>
      </w:pPr>
      <w:r w:rsidRPr="00B42BCE">
        <w:rPr>
          <w:rFonts w:asciiTheme="minorHAnsi" w:hAnsiTheme="minorHAnsi" w:cstheme="minorHAnsi"/>
          <w:b/>
          <w:lang w:bidi="fr-FR"/>
        </w:rPr>
        <w:t>TABLEAU 3 : Sujets de controverse possibles</w:t>
      </w:r>
    </w:p>
    <w:p w14:paraId="4D20384B" w14:textId="77777777" w:rsidR="00FB3BC3" w:rsidRPr="00B42BCE" w:rsidRDefault="00FB3BC3" w:rsidP="00FB3BC3">
      <w:pPr>
        <w:pStyle w:val="BodyText"/>
        <w:spacing w:before="6"/>
        <w:rPr>
          <w:rFonts w:asciiTheme="minorHAnsi" w:hAnsiTheme="minorHAnsi" w:cstheme="minorHAnsi"/>
          <w:b/>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7295"/>
      </w:tblGrid>
      <w:tr w:rsidR="00FB3BC3" w:rsidRPr="00B42BCE" w14:paraId="63EC79E7" w14:textId="77777777" w:rsidTr="004511DB">
        <w:trPr>
          <w:trHeight w:val="506"/>
        </w:trPr>
        <w:tc>
          <w:tcPr>
            <w:tcW w:w="1975" w:type="dxa"/>
            <w:shd w:val="clear" w:color="auto" w:fill="8DB3E2" w:themeFill="text2" w:themeFillTint="66"/>
          </w:tcPr>
          <w:p w14:paraId="681C7BF8" w14:textId="520295B0" w:rsidR="00FB3BC3" w:rsidRPr="00B42BCE" w:rsidRDefault="00FB3BC3" w:rsidP="009F212A">
            <w:pPr>
              <w:pStyle w:val="TableParagraph"/>
              <w:tabs>
                <w:tab w:val="left" w:pos="1684"/>
              </w:tabs>
              <w:spacing w:before="20" w:after="20" w:line="252" w:lineRule="exact"/>
              <w:ind w:left="107"/>
              <w:jc w:val="both"/>
              <w:rPr>
                <w:rFonts w:asciiTheme="minorHAnsi" w:hAnsiTheme="minorHAnsi" w:cstheme="minorHAnsi"/>
                <w:b/>
              </w:rPr>
            </w:pPr>
            <w:r w:rsidRPr="00B42BCE">
              <w:rPr>
                <w:rFonts w:asciiTheme="minorHAnsi" w:hAnsiTheme="minorHAnsi" w:cstheme="minorHAnsi"/>
                <w:b/>
                <w:lang w:bidi="fr-FR"/>
              </w:rPr>
              <w:t>Domaines</w:t>
            </w:r>
          </w:p>
          <w:p w14:paraId="27CCDA6C" w14:textId="77777777" w:rsidR="00FB3BC3" w:rsidRPr="00B42BCE" w:rsidRDefault="00FB3BC3" w:rsidP="009F212A">
            <w:pPr>
              <w:pStyle w:val="TableParagraph"/>
              <w:spacing w:before="20" w:after="20" w:line="233" w:lineRule="exact"/>
              <w:ind w:left="107"/>
              <w:rPr>
                <w:rFonts w:asciiTheme="minorHAnsi" w:hAnsiTheme="minorHAnsi" w:cstheme="minorHAnsi"/>
                <w:b/>
              </w:rPr>
            </w:pPr>
            <w:r w:rsidRPr="00B42BCE">
              <w:rPr>
                <w:rFonts w:asciiTheme="minorHAnsi" w:hAnsiTheme="minorHAnsi" w:cstheme="minorHAnsi"/>
                <w:b/>
                <w:lang w:bidi="fr-FR"/>
              </w:rPr>
              <w:t>d’évaluation</w:t>
            </w:r>
          </w:p>
        </w:tc>
        <w:tc>
          <w:tcPr>
            <w:tcW w:w="7295" w:type="dxa"/>
            <w:shd w:val="clear" w:color="auto" w:fill="8DB3E2" w:themeFill="text2" w:themeFillTint="66"/>
          </w:tcPr>
          <w:p w14:paraId="78E42857" w14:textId="77777777" w:rsidR="00FB3BC3" w:rsidRPr="00B42BCE" w:rsidRDefault="00FB3BC3" w:rsidP="009F212A">
            <w:pPr>
              <w:pStyle w:val="TableParagraph"/>
              <w:spacing w:before="20" w:after="20" w:line="252" w:lineRule="exact"/>
              <w:ind w:left="107"/>
              <w:rPr>
                <w:rFonts w:asciiTheme="minorHAnsi" w:hAnsiTheme="minorHAnsi" w:cstheme="minorHAnsi"/>
                <w:b/>
              </w:rPr>
            </w:pPr>
            <w:r w:rsidRPr="00B42BCE">
              <w:rPr>
                <w:rFonts w:asciiTheme="minorHAnsi" w:hAnsiTheme="minorHAnsi" w:cstheme="minorHAnsi"/>
                <w:b/>
                <w:lang w:bidi="fr-FR"/>
              </w:rPr>
              <w:t>Exemples de sujets de controverse possibles (notamment l’existence ou l’absence de systèmes d’orientation/de gestion)</w:t>
            </w:r>
          </w:p>
        </w:tc>
      </w:tr>
      <w:tr w:rsidR="00FB3BC3" w:rsidRPr="00B42BCE" w14:paraId="07D2B82B" w14:textId="77777777" w:rsidTr="00723BB5">
        <w:trPr>
          <w:trHeight w:val="2102"/>
        </w:trPr>
        <w:tc>
          <w:tcPr>
            <w:tcW w:w="1975" w:type="dxa"/>
          </w:tcPr>
          <w:p w14:paraId="020D8D21" w14:textId="77777777" w:rsidR="00FB3BC3" w:rsidRPr="00B42BCE" w:rsidRDefault="00FB3BC3" w:rsidP="009F212A">
            <w:pPr>
              <w:pStyle w:val="TableParagraph"/>
              <w:spacing w:before="20" w:after="20"/>
              <w:ind w:left="107" w:right="762"/>
              <w:rPr>
                <w:rFonts w:asciiTheme="minorHAnsi" w:hAnsiTheme="minorHAnsi" w:cstheme="minorHAnsi"/>
              </w:rPr>
            </w:pPr>
            <w:r w:rsidRPr="00B42BCE">
              <w:rPr>
                <w:rFonts w:asciiTheme="minorHAnsi" w:hAnsiTheme="minorHAnsi" w:cstheme="minorHAnsi"/>
                <w:lang w:bidi="fr-FR"/>
              </w:rPr>
              <w:t>Exercice responsable du leadership</w:t>
            </w:r>
          </w:p>
        </w:tc>
        <w:tc>
          <w:tcPr>
            <w:tcW w:w="7295" w:type="dxa"/>
          </w:tcPr>
          <w:p w14:paraId="5CEBE847" w14:textId="77777777" w:rsidR="00FB3BC3" w:rsidRPr="00B42BCE" w:rsidRDefault="00FB3BC3" w:rsidP="009F212A">
            <w:pPr>
              <w:pStyle w:val="TableParagraph"/>
              <w:numPr>
                <w:ilvl w:val="0"/>
                <w:numId w:val="14"/>
              </w:numPr>
              <w:tabs>
                <w:tab w:val="left" w:pos="467"/>
                <w:tab w:val="left" w:pos="468"/>
              </w:tabs>
              <w:spacing w:before="20" w:after="20" w:line="262" w:lineRule="exact"/>
              <w:ind w:hanging="361"/>
              <w:rPr>
                <w:rFonts w:asciiTheme="minorHAnsi" w:hAnsiTheme="minorHAnsi" w:cstheme="minorHAnsi"/>
              </w:rPr>
            </w:pPr>
            <w:r w:rsidRPr="00B42BCE">
              <w:rPr>
                <w:rFonts w:asciiTheme="minorHAnsi" w:hAnsiTheme="minorHAnsi" w:cstheme="minorHAnsi"/>
                <w:lang w:bidi="fr-FR"/>
              </w:rPr>
              <w:t>Bonne situation financière</w:t>
            </w:r>
          </w:p>
          <w:p w14:paraId="613ADBF6" w14:textId="77777777" w:rsidR="00FB3BC3" w:rsidRPr="00B42BCE" w:rsidRDefault="00FB3BC3" w:rsidP="009F212A">
            <w:pPr>
              <w:pStyle w:val="TableParagraph"/>
              <w:numPr>
                <w:ilvl w:val="0"/>
                <w:numId w:val="14"/>
              </w:numPr>
              <w:tabs>
                <w:tab w:val="left" w:pos="467"/>
                <w:tab w:val="left" w:pos="468"/>
              </w:tabs>
              <w:spacing w:before="20" w:after="20"/>
              <w:ind w:right="239"/>
              <w:rPr>
                <w:rFonts w:asciiTheme="minorHAnsi" w:hAnsiTheme="minorHAnsi" w:cstheme="minorHAnsi"/>
              </w:rPr>
            </w:pPr>
            <w:r w:rsidRPr="00B42BCE">
              <w:rPr>
                <w:rFonts w:asciiTheme="minorHAnsi" w:hAnsiTheme="minorHAnsi" w:cstheme="minorHAnsi"/>
                <w:lang w:bidi="fr-FR"/>
              </w:rPr>
              <w:t>Engagement général en faveur de la durabilité (participation au Pacte mondial des Nations Unies, obtention de certifications en matière de durabilité, présence dans les indices de durabilité, etc.)</w:t>
            </w:r>
          </w:p>
          <w:p w14:paraId="2A1559FD" w14:textId="77777777" w:rsidR="00FB3BC3" w:rsidRPr="00B42BCE" w:rsidRDefault="00FB3BC3" w:rsidP="009F212A">
            <w:pPr>
              <w:pStyle w:val="TableParagraph"/>
              <w:numPr>
                <w:ilvl w:val="0"/>
                <w:numId w:val="14"/>
              </w:numPr>
              <w:tabs>
                <w:tab w:val="left" w:pos="467"/>
                <w:tab w:val="left" w:pos="468"/>
              </w:tabs>
              <w:spacing w:before="20" w:after="20" w:line="266" w:lineRule="exact"/>
              <w:ind w:hanging="361"/>
              <w:rPr>
                <w:rFonts w:asciiTheme="minorHAnsi" w:hAnsiTheme="minorHAnsi" w:cstheme="minorHAnsi"/>
              </w:rPr>
            </w:pPr>
            <w:r w:rsidRPr="00B42BCE">
              <w:rPr>
                <w:rFonts w:asciiTheme="minorHAnsi" w:hAnsiTheme="minorHAnsi" w:cstheme="minorHAnsi"/>
                <w:lang w:bidi="fr-FR"/>
              </w:rPr>
              <w:t>Image de marque positive</w:t>
            </w:r>
          </w:p>
          <w:p w14:paraId="102A0EC9" w14:textId="77777777" w:rsidR="00FB3BC3" w:rsidRPr="00B42BCE" w:rsidRDefault="00FB3BC3" w:rsidP="009F212A">
            <w:pPr>
              <w:pStyle w:val="TableParagraph"/>
              <w:numPr>
                <w:ilvl w:val="0"/>
                <w:numId w:val="14"/>
              </w:numPr>
              <w:tabs>
                <w:tab w:val="left" w:pos="467"/>
                <w:tab w:val="left" w:pos="468"/>
              </w:tabs>
              <w:spacing w:before="20" w:after="20" w:line="269" w:lineRule="exact"/>
              <w:ind w:hanging="361"/>
              <w:rPr>
                <w:rFonts w:asciiTheme="minorHAnsi" w:hAnsiTheme="minorHAnsi" w:cstheme="minorHAnsi"/>
              </w:rPr>
            </w:pPr>
            <w:r w:rsidRPr="00B42BCE">
              <w:rPr>
                <w:rFonts w:asciiTheme="minorHAnsi" w:hAnsiTheme="minorHAnsi" w:cstheme="minorHAnsi"/>
                <w:lang w:bidi="fr-FR"/>
              </w:rPr>
              <w:t>Position de leader sur le marché</w:t>
            </w:r>
          </w:p>
          <w:p w14:paraId="3886009F" w14:textId="77777777" w:rsidR="00FB3BC3" w:rsidRPr="00B42BCE" w:rsidRDefault="00FB3BC3" w:rsidP="009F212A">
            <w:pPr>
              <w:pStyle w:val="TableParagraph"/>
              <w:numPr>
                <w:ilvl w:val="0"/>
                <w:numId w:val="14"/>
              </w:numPr>
              <w:tabs>
                <w:tab w:val="left" w:pos="467"/>
                <w:tab w:val="left" w:pos="468"/>
              </w:tabs>
              <w:spacing w:before="20" w:after="20" w:line="254" w:lineRule="exact"/>
              <w:ind w:right="1179"/>
              <w:rPr>
                <w:rFonts w:asciiTheme="minorHAnsi" w:hAnsiTheme="minorHAnsi" w:cstheme="minorHAnsi"/>
              </w:rPr>
            </w:pPr>
            <w:r w:rsidRPr="00B42BCE">
              <w:rPr>
                <w:rFonts w:asciiTheme="minorHAnsi" w:hAnsiTheme="minorHAnsi" w:cstheme="minorHAnsi"/>
                <w:lang w:bidi="fr-FR"/>
              </w:rPr>
              <w:t>Antécédents de mobilisation en faveur du développement et de la participation communautaire</w:t>
            </w:r>
          </w:p>
        </w:tc>
      </w:tr>
      <w:tr w:rsidR="00FB3BC3" w:rsidRPr="00B42BCE" w14:paraId="506D2F32" w14:textId="77777777" w:rsidTr="00723BB5">
        <w:trPr>
          <w:trHeight w:val="1850"/>
        </w:trPr>
        <w:tc>
          <w:tcPr>
            <w:tcW w:w="1975" w:type="dxa"/>
          </w:tcPr>
          <w:p w14:paraId="39F00C62" w14:textId="77777777" w:rsidR="00FB3BC3" w:rsidRPr="00B42BCE" w:rsidRDefault="00FB3BC3" w:rsidP="009F212A">
            <w:pPr>
              <w:pStyle w:val="TableParagraph"/>
              <w:spacing w:before="20" w:after="20" w:line="247" w:lineRule="exact"/>
              <w:ind w:left="107"/>
              <w:rPr>
                <w:rFonts w:asciiTheme="minorHAnsi" w:hAnsiTheme="minorHAnsi" w:cstheme="minorHAnsi"/>
              </w:rPr>
            </w:pPr>
            <w:r w:rsidRPr="00B42BCE">
              <w:rPr>
                <w:rFonts w:asciiTheme="minorHAnsi" w:hAnsiTheme="minorHAnsi" w:cstheme="minorHAnsi"/>
                <w:lang w:bidi="fr-FR"/>
              </w:rPr>
              <w:t>Droits humains</w:t>
            </w:r>
          </w:p>
        </w:tc>
        <w:tc>
          <w:tcPr>
            <w:tcW w:w="7295" w:type="dxa"/>
          </w:tcPr>
          <w:p w14:paraId="4917DF5F" w14:textId="77777777" w:rsidR="00FB3BC3" w:rsidRPr="00B42BCE" w:rsidRDefault="00FB3BC3" w:rsidP="009F212A">
            <w:pPr>
              <w:pStyle w:val="TableParagraph"/>
              <w:numPr>
                <w:ilvl w:val="0"/>
                <w:numId w:val="13"/>
              </w:numPr>
              <w:tabs>
                <w:tab w:val="left" w:pos="467"/>
                <w:tab w:val="left" w:pos="468"/>
              </w:tabs>
              <w:spacing w:before="20" w:after="20"/>
              <w:ind w:right="272"/>
              <w:rPr>
                <w:rFonts w:asciiTheme="minorHAnsi" w:hAnsiTheme="minorHAnsi" w:cstheme="minorHAnsi"/>
              </w:rPr>
            </w:pPr>
            <w:r w:rsidRPr="00B42BCE">
              <w:rPr>
                <w:rFonts w:asciiTheme="minorHAnsi" w:hAnsiTheme="minorHAnsi" w:cstheme="minorHAnsi"/>
                <w:lang w:bidi="fr-FR"/>
              </w:rPr>
              <w:t>Activités commerciales de l’entité n’ayant pas d’impact négatif sur le respect des droits humains</w:t>
            </w:r>
          </w:p>
          <w:p w14:paraId="33E11C33" w14:textId="77777777" w:rsidR="00FB3BC3" w:rsidRPr="00B42BCE" w:rsidRDefault="00FB3BC3" w:rsidP="009F212A">
            <w:pPr>
              <w:pStyle w:val="TableParagraph"/>
              <w:numPr>
                <w:ilvl w:val="0"/>
                <w:numId w:val="13"/>
              </w:numPr>
              <w:tabs>
                <w:tab w:val="left" w:pos="467"/>
                <w:tab w:val="left" w:pos="468"/>
              </w:tabs>
              <w:spacing w:before="20" w:after="20" w:line="268" w:lineRule="exact"/>
              <w:ind w:hanging="361"/>
              <w:rPr>
                <w:rFonts w:asciiTheme="minorHAnsi" w:hAnsiTheme="minorHAnsi" w:cstheme="minorHAnsi"/>
              </w:rPr>
            </w:pPr>
            <w:r w:rsidRPr="00B42BCE">
              <w:rPr>
                <w:rFonts w:asciiTheme="minorHAnsi" w:hAnsiTheme="minorHAnsi" w:cstheme="minorHAnsi"/>
                <w:lang w:bidi="fr-FR"/>
              </w:rPr>
              <w:t>Complicité avec des violations des droits humains, y compris au niveau des chaînes d’approvisionnement</w:t>
            </w:r>
          </w:p>
          <w:p w14:paraId="5E039E74" w14:textId="77777777" w:rsidR="00FB3BC3" w:rsidRPr="00B42BCE" w:rsidRDefault="00FB3BC3" w:rsidP="009F212A">
            <w:pPr>
              <w:pStyle w:val="TableParagraph"/>
              <w:numPr>
                <w:ilvl w:val="0"/>
                <w:numId w:val="13"/>
              </w:numPr>
              <w:tabs>
                <w:tab w:val="left" w:pos="467"/>
                <w:tab w:val="left" w:pos="468"/>
              </w:tabs>
              <w:spacing w:before="20" w:after="20" w:line="269" w:lineRule="exact"/>
              <w:ind w:hanging="361"/>
              <w:rPr>
                <w:rFonts w:asciiTheme="minorHAnsi" w:hAnsiTheme="minorHAnsi" w:cstheme="minorHAnsi"/>
              </w:rPr>
            </w:pPr>
            <w:r w:rsidRPr="00B42BCE">
              <w:rPr>
                <w:rFonts w:asciiTheme="minorHAnsi" w:hAnsiTheme="minorHAnsi" w:cstheme="minorHAnsi"/>
                <w:lang w:bidi="fr-FR"/>
              </w:rPr>
              <w:t>Le cas échéant, respect des droits des populations autochtones</w:t>
            </w:r>
          </w:p>
          <w:p w14:paraId="4BE29E62" w14:textId="77777777" w:rsidR="00FB3BC3" w:rsidRPr="00B42BCE" w:rsidRDefault="00FB3BC3" w:rsidP="009F212A">
            <w:pPr>
              <w:pStyle w:val="TableParagraph"/>
              <w:numPr>
                <w:ilvl w:val="0"/>
                <w:numId w:val="13"/>
              </w:numPr>
              <w:tabs>
                <w:tab w:val="left" w:pos="467"/>
                <w:tab w:val="left" w:pos="468"/>
              </w:tabs>
              <w:spacing w:before="20" w:after="20"/>
              <w:ind w:right="195"/>
              <w:rPr>
                <w:rFonts w:asciiTheme="minorHAnsi" w:hAnsiTheme="minorHAnsi" w:cstheme="minorHAnsi"/>
              </w:rPr>
            </w:pPr>
            <w:r w:rsidRPr="00B42BCE">
              <w:rPr>
                <w:rFonts w:asciiTheme="minorHAnsi" w:hAnsiTheme="minorHAnsi" w:cstheme="minorHAnsi"/>
                <w:lang w:bidi="fr-FR"/>
              </w:rPr>
              <w:t>Respect des droits et égalité des chances pour l’ensemble des employés, quelle que soit leur origine ethnique, leur couleur de peau, leur âge, leur genre, leur orientation sexuelle, leur religion ou leur situation matrimoniale</w:t>
            </w:r>
          </w:p>
          <w:p w14:paraId="4FE2F210" w14:textId="77777777" w:rsidR="00FB3BC3" w:rsidRPr="00B42BCE" w:rsidRDefault="00FB3BC3" w:rsidP="009F212A">
            <w:pPr>
              <w:pStyle w:val="TableParagraph"/>
              <w:numPr>
                <w:ilvl w:val="0"/>
                <w:numId w:val="13"/>
              </w:numPr>
              <w:tabs>
                <w:tab w:val="left" w:pos="467"/>
                <w:tab w:val="left" w:pos="468"/>
              </w:tabs>
              <w:spacing w:before="20" w:after="20" w:line="256" w:lineRule="exact"/>
              <w:ind w:hanging="361"/>
              <w:rPr>
                <w:rFonts w:asciiTheme="minorHAnsi" w:hAnsiTheme="minorHAnsi" w:cstheme="minorHAnsi"/>
              </w:rPr>
            </w:pPr>
            <w:r w:rsidRPr="00B42BCE">
              <w:rPr>
                <w:rFonts w:asciiTheme="minorHAnsi" w:hAnsiTheme="minorHAnsi" w:cstheme="minorHAnsi"/>
                <w:lang w:bidi="fr-FR"/>
              </w:rPr>
              <w:t>Enjeux relatifs à la santé et à la sécurité au travail</w:t>
            </w:r>
          </w:p>
        </w:tc>
      </w:tr>
      <w:tr w:rsidR="00FB3BC3" w:rsidRPr="00B42BCE" w14:paraId="041654FD" w14:textId="77777777" w:rsidTr="00723BB5">
        <w:trPr>
          <w:trHeight w:val="1074"/>
        </w:trPr>
        <w:tc>
          <w:tcPr>
            <w:tcW w:w="1975" w:type="dxa"/>
          </w:tcPr>
          <w:p w14:paraId="07B873C6" w14:textId="77777777" w:rsidR="00FB3BC3" w:rsidRPr="00B42BCE" w:rsidRDefault="00FB3BC3" w:rsidP="009F212A">
            <w:pPr>
              <w:pStyle w:val="TableParagraph"/>
              <w:spacing w:before="20" w:after="20" w:line="247" w:lineRule="exact"/>
              <w:ind w:left="107"/>
              <w:rPr>
                <w:rFonts w:asciiTheme="minorHAnsi" w:hAnsiTheme="minorHAnsi" w:cstheme="minorHAnsi"/>
              </w:rPr>
            </w:pPr>
            <w:r w:rsidRPr="00B42BCE">
              <w:rPr>
                <w:rFonts w:asciiTheme="minorHAnsi" w:hAnsiTheme="minorHAnsi" w:cstheme="minorHAnsi"/>
                <w:lang w:bidi="fr-FR"/>
              </w:rPr>
              <w:lastRenderedPageBreak/>
              <w:t>Travail</w:t>
            </w:r>
          </w:p>
        </w:tc>
        <w:tc>
          <w:tcPr>
            <w:tcW w:w="7295" w:type="dxa"/>
          </w:tcPr>
          <w:p w14:paraId="4A3E27E7" w14:textId="0DD65EF7" w:rsidR="00FB3BC3" w:rsidRPr="00B42BCE" w:rsidRDefault="00FB3BC3" w:rsidP="009F212A">
            <w:pPr>
              <w:pStyle w:val="TableParagraph"/>
              <w:numPr>
                <w:ilvl w:val="0"/>
                <w:numId w:val="12"/>
              </w:numPr>
              <w:tabs>
                <w:tab w:val="left" w:pos="467"/>
                <w:tab w:val="left" w:pos="468"/>
              </w:tabs>
              <w:spacing w:before="20" w:after="20" w:line="261" w:lineRule="exact"/>
              <w:ind w:hanging="361"/>
              <w:rPr>
                <w:rFonts w:asciiTheme="minorHAnsi" w:hAnsiTheme="minorHAnsi" w:cstheme="minorHAnsi"/>
              </w:rPr>
            </w:pPr>
            <w:r w:rsidRPr="00B42BCE">
              <w:rPr>
                <w:rFonts w:asciiTheme="minorHAnsi" w:hAnsiTheme="minorHAnsi" w:cstheme="minorHAnsi"/>
                <w:lang w:bidi="fr-FR"/>
              </w:rPr>
              <w:t>Discriminations sur le lieu de travail</w:t>
            </w:r>
            <w:r w:rsidR="00B93DE9" w:rsidRPr="00B42BCE">
              <w:rPr>
                <w:rStyle w:val="FootnoteReference"/>
                <w:rFonts w:asciiTheme="minorHAnsi" w:hAnsiTheme="minorHAnsi" w:cstheme="minorHAnsi"/>
                <w:lang w:bidi="fr-FR"/>
              </w:rPr>
              <w:footnoteReference w:id="17"/>
            </w:r>
          </w:p>
          <w:p w14:paraId="4D8DB2DE" w14:textId="77777777" w:rsidR="00FB3BC3" w:rsidRPr="00B42BCE" w:rsidRDefault="00FB3BC3" w:rsidP="009F212A">
            <w:pPr>
              <w:pStyle w:val="TableParagraph"/>
              <w:numPr>
                <w:ilvl w:val="0"/>
                <w:numId w:val="12"/>
              </w:numPr>
              <w:tabs>
                <w:tab w:val="left" w:pos="467"/>
                <w:tab w:val="left" w:pos="468"/>
              </w:tabs>
              <w:spacing w:before="20" w:after="20" w:line="269" w:lineRule="exact"/>
              <w:ind w:hanging="361"/>
              <w:rPr>
                <w:rFonts w:asciiTheme="minorHAnsi" w:hAnsiTheme="minorHAnsi" w:cstheme="minorHAnsi"/>
              </w:rPr>
            </w:pPr>
            <w:r w:rsidRPr="00B42BCE">
              <w:rPr>
                <w:rFonts w:asciiTheme="minorHAnsi" w:hAnsiTheme="minorHAnsi" w:cstheme="minorHAnsi"/>
                <w:lang w:bidi="fr-FR"/>
              </w:rPr>
              <w:t>Liberté d’association et droit à la négociation collective</w:t>
            </w:r>
          </w:p>
          <w:p w14:paraId="5013C258" w14:textId="77777777" w:rsidR="00FB3BC3" w:rsidRPr="00B42BCE" w:rsidRDefault="00FB3BC3" w:rsidP="009F212A">
            <w:pPr>
              <w:pStyle w:val="TableParagraph"/>
              <w:numPr>
                <w:ilvl w:val="0"/>
                <w:numId w:val="12"/>
              </w:numPr>
              <w:tabs>
                <w:tab w:val="left" w:pos="467"/>
                <w:tab w:val="left" w:pos="468"/>
              </w:tabs>
              <w:spacing w:before="20" w:after="20" w:line="269" w:lineRule="exact"/>
              <w:ind w:hanging="361"/>
              <w:rPr>
                <w:rFonts w:asciiTheme="minorHAnsi" w:hAnsiTheme="minorHAnsi" w:cstheme="minorHAnsi"/>
              </w:rPr>
            </w:pPr>
            <w:r w:rsidRPr="00B42BCE">
              <w:rPr>
                <w:rFonts w:asciiTheme="minorHAnsi" w:hAnsiTheme="minorHAnsi" w:cstheme="minorHAnsi"/>
                <w:lang w:bidi="fr-FR"/>
              </w:rPr>
              <w:t>Santé et sécurité au travail</w:t>
            </w:r>
          </w:p>
          <w:p w14:paraId="21137FB0" w14:textId="77777777" w:rsidR="00FB3BC3" w:rsidRPr="00B42BCE" w:rsidRDefault="00FB3BC3" w:rsidP="009F212A">
            <w:pPr>
              <w:pStyle w:val="TableParagraph"/>
              <w:numPr>
                <w:ilvl w:val="0"/>
                <w:numId w:val="12"/>
              </w:numPr>
              <w:tabs>
                <w:tab w:val="left" w:pos="467"/>
                <w:tab w:val="left" w:pos="468"/>
              </w:tabs>
              <w:spacing w:before="20" w:after="20" w:line="256" w:lineRule="exact"/>
              <w:ind w:hanging="361"/>
              <w:rPr>
                <w:rFonts w:asciiTheme="minorHAnsi" w:hAnsiTheme="minorHAnsi" w:cstheme="minorHAnsi"/>
              </w:rPr>
            </w:pPr>
            <w:r w:rsidRPr="00B42BCE">
              <w:rPr>
                <w:rFonts w:asciiTheme="minorHAnsi" w:hAnsiTheme="minorHAnsi" w:cstheme="minorHAnsi"/>
                <w:lang w:bidi="fr-FR"/>
              </w:rPr>
              <w:t>Conditions de travail</w:t>
            </w:r>
          </w:p>
        </w:tc>
      </w:tr>
      <w:tr w:rsidR="00FB3BC3" w:rsidRPr="00B42BCE" w14:paraId="0458B79F" w14:textId="77777777" w:rsidTr="00723BB5">
        <w:trPr>
          <w:trHeight w:val="1074"/>
        </w:trPr>
        <w:tc>
          <w:tcPr>
            <w:tcW w:w="1975" w:type="dxa"/>
          </w:tcPr>
          <w:p w14:paraId="67C71D6A" w14:textId="77777777" w:rsidR="00FB3BC3" w:rsidRPr="00B42BCE" w:rsidRDefault="00FB3BC3" w:rsidP="009F212A">
            <w:pPr>
              <w:pStyle w:val="TableParagraph"/>
              <w:spacing w:before="20" w:after="20" w:line="247" w:lineRule="exact"/>
              <w:ind w:left="107"/>
              <w:rPr>
                <w:rFonts w:asciiTheme="minorHAnsi" w:hAnsiTheme="minorHAnsi" w:cstheme="minorHAnsi"/>
              </w:rPr>
            </w:pPr>
            <w:r w:rsidRPr="00B42BCE">
              <w:rPr>
                <w:rFonts w:asciiTheme="minorHAnsi" w:hAnsiTheme="minorHAnsi" w:cstheme="minorHAnsi"/>
                <w:lang w:bidi="fr-FR"/>
              </w:rPr>
              <w:t>Communautés</w:t>
            </w:r>
          </w:p>
        </w:tc>
        <w:tc>
          <w:tcPr>
            <w:tcW w:w="7295" w:type="dxa"/>
          </w:tcPr>
          <w:p w14:paraId="5CC04B7D" w14:textId="77777777" w:rsidR="00FB3BC3" w:rsidRPr="00B42BCE" w:rsidRDefault="00FB3BC3" w:rsidP="009F212A">
            <w:pPr>
              <w:pStyle w:val="TableParagraph"/>
              <w:numPr>
                <w:ilvl w:val="0"/>
                <w:numId w:val="11"/>
              </w:numPr>
              <w:tabs>
                <w:tab w:val="left" w:pos="467"/>
                <w:tab w:val="left" w:pos="468"/>
              </w:tabs>
              <w:spacing w:before="20" w:after="20" w:line="261" w:lineRule="exact"/>
              <w:ind w:hanging="361"/>
              <w:rPr>
                <w:rFonts w:asciiTheme="minorHAnsi" w:hAnsiTheme="minorHAnsi" w:cstheme="minorHAnsi"/>
              </w:rPr>
            </w:pPr>
            <w:r w:rsidRPr="00B42BCE">
              <w:rPr>
                <w:rFonts w:asciiTheme="minorHAnsi" w:hAnsiTheme="minorHAnsi" w:cstheme="minorHAnsi"/>
                <w:lang w:bidi="fr-FR"/>
              </w:rPr>
              <w:t>Santé et sécurité communautaires</w:t>
            </w:r>
          </w:p>
          <w:p w14:paraId="581CEE66" w14:textId="77777777" w:rsidR="00FB3BC3" w:rsidRPr="00B42BCE" w:rsidRDefault="00FB3BC3" w:rsidP="009F212A">
            <w:pPr>
              <w:pStyle w:val="TableParagraph"/>
              <w:numPr>
                <w:ilvl w:val="0"/>
                <w:numId w:val="11"/>
              </w:numPr>
              <w:tabs>
                <w:tab w:val="left" w:pos="467"/>
                <w:tab w:val="left" w:pos="468"/>
              </w:tabs>
              <w:spacing w:before="20" w:after="20" w:line="269" w:lineRule="exact"/>
              <w:ind w:hanging="361"/>
              <w:rPr>
                <w:rFonts w:asciiTheme="minorHAnsi" w:hAnsiTheme="minorHAnsi" w:cstheme="minorHAnsi"/>
              </w:rPr>
            </w:pPr>
            <w:r w:rsidRPr="00B42BCE">
              <w:rPr>
                <w:rFonts w:asciiTheme="minorHAnsi" w:hAnsiTheme="minorHAnsi" w:cstheme="minorHAnsi"/>
                <w:lang w:bidi="fr-FR"/>
              </w:rPr>
              <w:t>Impact du partenaire potentiel sur les moyens de subsistance</w:t>
            </w:r>
          </w:p>
          <w:p w14:paraId="68F29FC9" w14:textId="77777777" w:rsidR="00FB3BC3" w:rsidRPr="00B42BCE" w:rsidRDefault="00FB3BC3" w:rsidP="009F212A">
            <w:pPr>
              <w:pStyle w:val="TableParagraph"/>
              <w:numPr>
                <w:ilvl w:val="0"/>
                <w:numId w:val="11"/>
              </w:numPr>
              <w:tabs>
                <w:tab w:val="left" w:pos="467"/>
                <w:tab w:val="left" w:pos="468"/>
              </w:tabs>
              <w:spacing w:before="20" w:after="20" w:line="269" w:lineRule="exact"/>
              <w:ind w:hanging="361"/>
              <w:rPr>
                <w:rFonts w:asciiTheme="minorHAnsi" w:hAnsiTheme="minorHAnsi" w:cstheme="minorHAnsi"/>
              </w:rPr>
            </w:pPr>
            <w:r w:rsidRPr="00B42BCE">
              <w:rPr>
                <w:rFonts w:asciiTheme="minorHAnsi" w:hAnsiTheme="minorHAnsi" w:cstheme="minorHAnsi"/>
                <w:lang w:bidi="fr-FR"/>
              </w:rPr>
              <w:t>Participation aux activités locales</w:t>
            </w:r>
          </w:p>
          <w:p w14:paraId="3EE8CEF7" w14:textId="77777777" w:rsidR="00FB3BC3" w:rsidRPr="00B42BCE" w:rsidRDefault="00FB3BC3" w:rsidP="009F212A">
            <w:pPr>
              <w:pStyle w:val="TableParagraph"/>
              <w:numPr>
                <w:ilvl w:val="0"/>
                <w:numId w:val="11"/>
              </w:numPr>
              <w:tabs>
                <w:tab w:val="left" w:pos="467"/>
                <w:tab w:val="left" w:pos="468"/>
              </w:tabs>
              <w:spacing w:before="20" w:after="20" w:line="256" w:lineRule="exact"/>
              <w:ind w:hanging="361"/>
              <w:rPr>
                <w:rFonts w:asciiTheme="minorHAnsi" w:hAnsiTheme="minorHAnsi" w:cstheme="minorHAnsi"/>
              </w:rPr>
            </w:pPr>
            <w:r w:rsidRPr="00B42BCE">
              <w:rPr>
                <w:rFonts w:asciiTheme="minorHAnsi" w:hAnsiTheme="minorHAnsi" w:cstheme="minorHAnsi"/>
                <w:lang w:bidi="fr-FR"/>
              </w:rPr>
              <w:t>Discrimination sociale</w:t>
            </w:r>
          </w:p>
        </w:tc>
      </w:tr>
      <w:tr w:rsidR="00FB3BC3" w:rsidRPr="00B42BCE" w14:paraId="14EF704F" w14:textId="77777777" w:rsidTr="00723BB5">
        <w:trPr>
          <w:trHeight w:val="1343"/>
        </w:trPr>
        <w:tc>
          <w:tcPr>
            <w:tcW w:w="1975" w:type="dxa"/>
          </w:tcPr>
          <w:p w14:paraId="5A88F2BA" w14:textId="77777777" w:rsidR="00FB3BC3" w:rsidRPr="00B42BCE" w:rsidRDefault="00FB3BC3" w:rsidP="009F212A">
            <w:pPr>
              <w:pStyle w:val="TableParagraph"/>
              <w:spacing w:before="20" w:after="20" w:line="247" w:lineRule="exact"/>
              <w:ind w:left="107"/>
              <w:rPr>
                <w:rFonts w:asciiTheme="minorHAnsi" w:hAnsiTheme="minorHAnsi" w:cstheme="minorHAnsi"/>
              </w:rPr>
            </w:pPr>
            <w:r w:rsidRPr="00B42BCE">
              <w:rPr>
                <w:rFonts w:asciiTheme="minorHAnsi" w:hAnsiTheme="minorHAnsi" w:cstheme="minorHAnsi"/>
                <w:lang w:bidi="fr-FR"/>
              </w:rPr>
              <w:t>Environnement</w:t>
            </w:r>
          </w:p>
        </w:tc>
        <w:tc>
          <w:tcPr>
            <w:tcW w:w="7295" w:type="dxa"/>
          </w:tcPr>
          <w:p w14:paraId="52D4AA9A" w14:textId="77777777" w:rsidR="00FB3BC3" w:rsidRPr="00B42BCE" w:rsidRDefault="00FB3BC3" w:rsidP="009F212A">
            <w:pPr>
              <w:pStyle w:val="TableParagraph"/>
              <w:numPr>
                <w:ilvl w:val="0"/>
                <w:numId w:val="10"/>
              </w:numPr>
              <w:tabs>
                <w:tab w:val="left" w:pos="467"/>
                <w:tab w:val="left" w:pos="468"/>
              </w:tabs>
              <w:spacing w:before="20" w:after="20" w:line="262" w:lineRule="exact"/>
              <w:ind w:hanging="361"/>
              <w:rPr>
                <w:rFonts w:asciiTheme="minorHAnsi" w:hAnsiTheme="minorHAnsi" w:cstheme="minorHAnsi"/>
              </w:rPr>
            </w:pPr>
            <w:r w:rsidRPr="00B42BCE">
              <w:rPr>
                <w:rFonts w:asciiTheme="minorHAnsi" w:hAnsiTheme="minorHAnsi" w:cstheme="minorHAnsi"/>
                <w:lang w:bidi="fr-FR"/>
              </w:rPr>
              <w:t>Pollution (y compris les activités contribuant aux changements climatiques)</w:t>
            </w:r>
          </w:p>
          <w:p w14:paraId="43A1B867" w14:textId="77777777" w:rsidR="00FB3BC3" w:rsidRPr="00B42BCE" w:rsidRDefault="00FB3BC3" w:rsidP="009F212A">
            <w:pPr>
              <w:pStyle w:val="TableParagraph"/>
              <w:numPr>
                <w:ilvl w:val="0"/>
                <w:numId w:val="10"/>
              </w:numPr>
              <w:tabs>
                <w:tab w:val="left" w:pos="467"/>
                <w:tab w:val="left" w:pos="468"/>
              </w:tabs>
              <w:spacing w:before="20" w:after="20" w:line="269" w:lineRule="exact"/>
              <w:ind w:hanging="361"/>
              <w:rPr>
                <w:rFonts w:asciiTheme="minorHAnsi" w:hAnsiTheme="minorHAnsi" w:cstheme="minorHAnsi"/>
              </w:rPr>
            </w:pPr>
            <w:r w:rsidRPr="00B42BCE">
              <w:rPr>
                <w:rFonts w:asciiTheme="minorHAnsi" w:hAnsiTheme="minorHAnsi" w:cstheme="minorHAnsi"/>
                <w:lang w:bidi="fr-FR"/>
              </w:rPr>
              <w:t>Impact sur les écosystèmes et les paysages</w:t>
            </w:r>
          </w:p>
          <w:p w14:paraId="2E2C14D2" w14:textId="77777777" w:rsidR="00FB3BC3" w:rsidRPr="00B42BCE" w:rsidRDefault="00FB3BC3" w:rsidP="009F212A">
            <w:pPr>
              <w:pStyle w:val="TableParagraph"/>
              <w:numPr>
                <w:ilvl w:val="0"/>
                <w:numId w:val="10"/>
              </w:numPr>
              <w:tabs>
                <w:tab w:val="left" w:pos="467"/>
                <w:tab w:val="left" w:pos="468"/>
              </w:tabs>
              <w:spacing w:before="20" w:after="20" w:line="269" w:lineRule="exact"/>
              <w:ind w:hanging="361"/>
              <w:rPr>
                <w:rFonts w:asciiTheme="minorHAnsi" w:hAnsiTheme="minorHAnsi" w:cstheme="minorHAnsi"/>
              </w:rPr>
            </w:pPr>
            <w:r w:rsidRPr="00B42BCE">
              <w:rPr>
                <w:rFonts w:asciiTheme="minorHAnsi" w:hAnsiTheme="minorHAnsi" w:cstheme="minorHAnsi"/>
                <w:lang w:bidi="fr-FR"/>
              </w:rPr>
              <w:t>Exploitation excessive des ressources</w:t>
            </w:r>
          </w:p>
          <w:p w14:paraId="6C27881D" w14:textId="77777777" w:rsidR="00FB3BC3" w:rsidRPr="00B42BCE" w:rsidRDefault="00FB3BC3" w:rsidP="009F212A">
            <w:pPr>
              <w:pStyle w:val="TableParagraph"/>
              <w:numPr>
                <w:ilvl w:val="0"/>
                <w:numId w:val="10"/>
              </w:numPr>
              <w:tabs>
                <w:tab w:val="left" w:pos="467"/>
                <w:tab w:val="left" w:pos="468"/>
              </w:tabs>
              <w:spacing w:before="20" w:after="20" w:line="269" w:lineRule="exact"/>
              <w:ind w:hanging="361"/>
              <w:rPr>
                <w:rFonts w:asciiTheme="minorHAnsi" w:hAnsiTheme="minorHAnsi" w:cstheme="minorHAnsi"/>
              </w:rPr>
            </w:pPr>
            <w:r w:rsidRPr="00B42BCE">
              <w:rPr>
                <w:rFonts w:asciiTheme="minorHAnsi" w:hAnsiTheme="minorHAnsi" w:cstheme="minorHAnsi"/>
                <w:lang w:bidi="fr-FR"/>
              </w:rPr>
              <w:t>Gestion des déchets</w:t>
            </w:r>
          </w:p>
          <w:p w14:paraId="439DB9D8" w14:textId="77777777" w:rsidR="00FB3BC3" w:rsidRPr="00B42BCE" w:rsidRDefault="00FB3BC3" w:rsidP="009F212A">
            <w:pPr>
              <w:pStyle w:val="TableParagraph"/>
              <w:numPr>
                <w:ilvl w:val="0"/>
                <w:numId w:val="10"/>
              </w:numPr>
              <w:tabs>
                <w:tab w:val="left" w:pos="467"/>
                <w:tab w:val="left" w:pos="468"/>
              </w:tabs>
              <w:spacing w:before="20" w:after="20" w:line="256" w:lineRule="exact"/>
              <w:ind w:hanging="361"/>
              <w:rPr>
                <w:rFonts w:asciiTheme="minorHAnsi" w:hAnsiTheme="minorHAnsi" w:cstheme="minorHAnsi"/>
              </w:rPr>
            </w:pPr>
            <w:r w:rsidRPr="00B42BCE">
              <w:rPr>
                <w:rFonts w:asciiTheme="minorHAnsi" w:hAnsiTheme="minorHAnsi" w:cstheme="minorHAnsi"/>
                <w:lang w:bidi="fr-FR"/>
              </w:rPr>
              <w:t>Maltraitance animale</w:t>
            </w:r>
          </w:p>
        </w:tc>
      </w:tr>
      <w:tr w:rsidR="00FB3BC3" w:rsidRPr="00B42BCE" w14:paraId="394DEB24" w14:textId="77777777" w:rsidTr="00723BB5">
        <w:trPr>
          <w:trHeight w:val="805"/>
        </w:trPr>
        <w:tc>
          <w:tcPr>
            <w:tcW w:w="1975" w:type="dxa"/>
          </w:tcPr>
          <w:p w14:paraId="40B43C33" w14:textId="77777777" w:rsidR="00FB3BC3" w:rsidRPr="00B42BCE" w:rsidRDefault="00FB3BC3" w:rsidP="009F212A">
            <w:pPr>
              <w:pStyle w:val="TableParagraph"/>
              <w:spacing w:before="20" w:after="20" w:line="247" w:lineRule="exact"/>
              <w:ind w:left="107"/>
              <w:rPr>
                <w:rFonts w:asciiTheme="minorHAnsi" w:hAnsiTheme="minorHAnsi" w:cstheme="minorHAnsi"/>
              </w:rPr>
            </w:pPr>
            <w:r w:rsidRPr="00B42BCE">
              <w:rPr>
                <w:rFonts w:asciiTheme="minorHAnsi" w:hAnsiTheme="minorHAnsi" w:cstheme="minorHAnsi"/>
                <w:lang w:bidi="fr-FR"/>
              </w:rPr>
              <w:t>Gouvernance</w:t>
            </w:r>
          </w:p>
        </w:tc>
        <w:tc>
          <w:tcPr>
            <w:tcW w:w="7295" w:type="dxa"/>
          </w:tcPr>
          <w:p w14:paraId="5D763E87" w14:textId="77777777" w:rsidR="00FB3BC3" w:rsidRPr="00B42BCE" w:rsidRDefault="00FB3BC3" w:rsidP="009F212A">
            <w:pPr>
              <w:pStyle w:val="TableParagraph"/>
              <w:numPr>
                <w:ilvl w:val="0"/>
                <w:numId w:val="9"/>
              </w:numPr>
              <w:tabs>
                <w:tab w:val="left" w:pos="467"/>
                <w:tab w:val="left" w:pos="468"/>
              </w:tabs>
              <w:spacing w:before="20" w:after="20" w:line="261" w:lineRule="exact"/>
              <w:ind w:hanging="361"/>
              <w:rPr>
                <w:rFonts w:asciiTheme="minorHAnsi" w:hAnsiTheme="minorHAnsi" w:cstheme="minorHAnsi"/>
              </w:rPr>
            </w:pPr>
            <w:r w:rsidRPr="00B42BCE">
              <w:rPr>
                <w:rFonts w:asciiTheme="minorHAnsi" w:hAnsiTheme="minorHAnsi" w:cstheme="minorHAnsi"/>
                <w:lang w:bidi="fr-FR"/>
              </w:rPr>
              <w:t>Corruption</w:t>
            </w:r>
          </w:p>
          <w:p w14:paraId="1C499E42" w14:textId="77777777" w:rsidR="00FB3BC3" w:rsidRPr="00B42BCE" w:rsidRDefault="00FB3BC3" w:rsidP="009F212A">
            <w:pPr>
              <w:pStyle w:val="TableParagraph"/>
              <w:numPr>
                <w:ilvl w:val="0"/>
                <w:numId w:val="9"/>
              </w:numPr>
              <w:tabs>
                <w:tab w:val="left" w:pos="467"/>
                <w:tab w:val="left" w:pos="468"/>
              </w:tabs>
              <w:spacing w:before="20" w:after="20" w:line="269" w:lineRule="exact"/>
              <w:ind w:hanging="361"/>
              <w:rPr>
                <w:rFonts w:asciiTheme="minorHAnsi" w:hAnsiTheme="minorHAnsi" w:cstheme="minorHAnsi"/>
              </w:rPr>
            </w:pPr>
            <w:r w:rsidRPr="00B42BCE">
              <w:rPr>
                <w:rFonts w:asciiTheme="minorHAnsi" w:hAnsiTheme="minorHAnsi" w:cstheme="minorHAnsi"/>
                <w:lang w:bidi="fr-FR"/>
              </w:rPr>
              <w:t>Fraude</w:t>
            </w:r>
          </w:p>
          <w:p w14:paraId="4F48FBF4" w14:textId="77777777" w:rsidR="00FB3BC3" w:rsidRPr="00B42BCE" w:rsidRDefault="00FB3BC3" w:rsidP="009F212A">
            <w:pPr>
              <w:pStyle w:val="TableParagraph"/>
              <w:numPr>
                <w:ilvl w:val="0"/>
                <w:numId w:val="9"/>
              </w:numPr>
              <w:tabs>
                <w:tab w:val="left" w:pos="467"/>
                <w:tab w:val="left" w:pos="468"/>
              </w:tabs>
              <w:spacing w:before="20" w:after="20" w:line="256" w:lineRule="exact"/>
              <w:ind w:hanging="361"/>
              <w:rPr>
                <w:rFonts w:asciiTheme="minorHAnsi" w:hAnsiTheme="minorHAnsi" w:cstheme="minorHAnsi"/>
              </w:rPr>
            </w:pPr>
            <w:r w:rsidRPr="00B42BCE">
              <w:rPr>
                <w:rFonts w:asciiTheme="minorHAnsi" w:hAnsiTheme="minorHAnsi" w:cstheme="minorHAnsi"/>
                <w:lang w:bidi="fr-FR"/>
              </w:rPr>
              <w:t>Fraude fiscale</w:t>
            </w:r>
          </w:p>
          <w:p w14:paraId="3DF69F66" w14:textId="77777777" w:rsidR="00FB3BC3" w:rsidRPr="00B42BCE" w:rsidRDefault="00FB3BC3" w:rsidP="009F212A">
            <w:pPr>
              <w:pStyle w:val="TableParagraph"/>
              <w:numPr>
                <w:ilvl w:val="0"/>
                <w:numId w:val="9"/>
              </w:numPr>
              <w:tabs>
                <w:tab w:val="left" w:pos="467"/>
                <w:tab w:val="left" w:pos="468"/>
              </w:tabs>
              <w:spacing w:before="20" w:after="20" w:line="256" w:lineRule="exact"/>
              <w:ind w:hanging="361"/>
              <w:rPr>
                <w:rFonts w:asciiTheme="minorHAnsi" w:hAnsiTheme="minorHAnsi" w:cstheme="minorHAnsi"/>
              </w:rPr>
            </w:pPr>
            <w:r w:rsidRPr="00B42BCE">
              <w:rPr>
                <w:rFonts w:asciiTheme="minorHAnsi" w:hAnsiTheme="minorHAnsi" w:cstheme="minorHAnsi"/>
                <w:lang w:bidi="fr-FR"/>
              </w:rPr>
              <w:t>Flux financiers illégaux, y compris le blanchiment d’argent et le financement du terrorisme</w:t>
            </w:r>
          </w:p>
        </w:tc>
      </w:tr>
      <w:tr w:rsidR="00FB3BC3" w:rsidRPr="00B42BCE" w14:paraId="40338B4C" w14:textId="77777777" w:rsidTr="00723BB5">
        <w:trPr>
          <w:trHeight w:val="1060"/>
        </w:trPr>
        <w:tc>
          <w:tcPr>
            <w:tcW w:w="1975" w:type="dxa"/>
          </w:tcPr>
          <w:p w14:paraId="7D428ACF" w14:textId="77777777" w:rsidR="00FB3BC3" w:rsidRPr="00B42BCE" w:rsidRDefault="00FB3BC3" w:rsidP="009F212A">
            <w:pPr>
              <w:pStyle w:val="TableParagraph"/>
              <w:spacing w:before="20" w:after="20" w:line="247" w:lineRule="exact"/>
              <w:ind w:left="107"/>
              <w:rPr>
                <w:rFonts w:asciiTheme="minorHAnsi" w:hAnsiTheme="minorHAnsi" w:cstheme="minorHAnsi"/>
              </w:rPr>
            </w:pPr>
            <w:r w:rsidRPr="00B42BCE">
              <w:rPr>
                <w:rFonts w:asciiTheme="minorHAnsi" w:hAnsiTheme="minorHAnsi" w:cstheme="minorHAnsi"/>
                <w:lang w:bidi="fr-FR"/>
              </w:rPr>
              <w:t>Produits</w:t>
            </w:r>
          </w:p>
        </w:tc>
        <w:tc>
          <w:tcPr>
            <w:tcW w:w="7295" w:type="dxa"/>
          </w:tcPr>
          <w:p w14:paraId="7CD41305" w14:textId="77777777" w:rsidR="00FB3BC3" w:rsidRPr="00B42BCE" w:rsidRDefault="00FB3BC3" w:rsidP="009F212A">
            <w:pPr>
              <w:pStyle w:val="TableParagraph"/>
              <w:numPr>
                <w:ilvl w:val="0"/>
                <w:numId w:val="8"/>
              </w:numPr>
              <w:tabs>
                <w:tab w:val="left" w:pos="467"/>
                <w:tab w:val="left" w:pos="468"/>
              </w:tabs>
              <w:spacing w:before="20" w:after="20" w:line="261" w:lineRule="exact"/>
              <w:ind w:hanging="361"/>
              <w:rPr>
                <w:rFonts w:asciiTheme="minorHAnsi" w:hAnsiTheme="minorHAnsi" w:cstheme="minorHAnsi"/>
              </w:rPr>
            </w:pPr>
            <w:r w:rsidRPr="00B42BCE">
              <w:rPr>
                <w:rFonts w:asciiTheme="minorHAnsi" w:hAnsiTheme="minorHAnsi" w:cstheme="minorHAnsi"/>
                <w:lang w:bidi="fr-FR"/>
              </w:rPr>
              <w:t>Sécurité des produits</w:t>
            </w:r>
          </w:p>
          <w:p w14:paraId="6EEA8F57" w14:textId="77777777" w:rsidR="00FB3BC3" w:rsidRPr="00B42BCE" w:rsidRDefault="00FB3BC3" w:rsidP="009F212A">
            <w:pPr>
              <w:pStyle w:val="TableParagraph"/>
              <w:numPr>
                <w:ilvl w:val="0"/>
                <w:numId w:val="8"/>
              </w:numPr>
              <w:tabs>
                <w:tab w:val="left" w:pos="467"/>
                <w:tab w:val="left" w:pos="468"/>
              </w:tabs>
              <w:spacing w:before="20" w:after="20" w:line="269" w:lineRule="exact"/>
              <w:ind w:hanging="361"/>
              <w:rPr>
                <w:rFonts w:asciiTheme="minorHAnsi" w:hAnsiTheme="minorHAnsi" w:cstheme="minorHAnsi"/>
              </w:rPr>
            </w:pPr>
            <w:r w:rsidRPr="00B42BCE">
              <w:rPr>
                <w:rFonts w:asciiTheme="minorHAnsi" w:hAnsiTheme="minorHAnsi" w:cstheme="minorHAnsi"/>
                <w:lang w:bidi="fr-FR"/>
              </w:rPr>
              <w:t>Produits ou services controversés</w:t>
            </w:r>
          </w:p>
          <w:p w14:paraId="3789E56E" w14:textId="1DF8E377" w:rsidR="00FB3BC3" w:rsidRPr="00B42BCE" w:rsidRDefault="00FB3BC3" w:rsidP="009F212A">
            <w:pPr>
              <w:pStyle w:val="TableParagraph"/>
              <w:numPr>
                <w:ilvl w:val="0"/>
                <w:numId w:val="8"/>
              </w:numPr>
              <w:tabs>
                <w:tab w:val="left" w:pos="467"/>
                <w:tab w:val="left" w:pos="468"/>
              </w:tabs>
              <w:spacing w:before="20" w:after="20" w:line="254" w:lineRule="exact"/>
              <w:ind w:right="166"/>
              <w:rPr>
                <w:rFonts w:asciiTheme="minorHAnsi" w:hAnsiTheme="minorHAnsi" w:cstheme="minorHAnsi"/>
              </w:rPr>
            </w:pPr>
            <w:r w:rsidRPr="00B42BCE">
              <w:rPr>
                <w:rFonts w:asciiTheme="minorHAnsi" w:hAnsiTheme="minorHAnsi" w:cstheme="minorHAnsi"/>
                <w:lang w:bidi="fr-FR"/>
              </w:rPr>
              <w:t>Commercialisation de substituts du lait maternel en violation du Code international de commercialisation des substituts du lait maternel de l’OMS</w:t>
            </w:r>
            <w:r w:rsidR="00B93DE9" w:rsidRPr="00B42BCE">
              <w:rPr>
                <w:rStyle w:val="FootnoteReference"/>
                <w:rFonts w:asciiTheme="minorHAnsi" w:hAnsiTheme="minorHAnsi" w:cstheme="minorHAnsi"/>
                <w:lang w:bidi="fr-FR"/>
              </w:rPr>
              <w:footnoteReference w:id="18"/>
            </w:r>
            <w:r w:rsidRPr="00B42BCE">
              <w:rPr>
                <w:rFonts w:asciiTheme="minorHAnsi" w:hAnsiTheme="minorHAnsi" w:cstheme="minorHAnsi"/>
                <w:lang w:bidi="fr-FR"/>
              </w:rPr>
              <w:t>.</w:t>
            </w:r>
          </w:p>
        </w:tc>
      </w:tr>
      <w:tr w:rsidR="00FB3BC3" w:rsidRPr="00B42BCE" w14:paraId="5558D1C5" w14:textId="77777777" w:rsidTr="00723BB5">
        <w:trPr>
          <w:trHeight w:val="520"/>
        </w:trPr>
        <w:tc>
          <w:tcPr>
            <w:tcW w:w="1975" w:type="dxa"/>
          </w:tcPr>
          <w:p w14:paraId="1473B063" w14:textId="51947DDE" w:rsidR="00FB3BC3" w:rsidRPr="00B42BCE" w:rsidRDefault="00FB3BC3" w:rsidP="009F212A">
            <w:pPr>
              <w:pStyle w:val="TableParagraph"/>
              <w:tabs>
                <w:tab w:val="left" w:pos="1683"/>
              </w:tabs>
              <w:spacing w:before="20" w:after="20"/>
              <w:ind w:left="107" w:right="95"/>
              <w:rPr>
                <w:rFonts w:asciiTheme="minorHAnsi" w:hAnsiTheme="minorHAnsi" w:cstheme="minorHAnsi"/>
              </w:rPr>
            </w:pPr>
            <w:r w:rsidRPr="00B42BCE">
              <w:rPr>
                <w:rFonts w:asciiTheme="minorHAnsi" w:hAnsiTheme="minorHAnsi" w:cstheme="minorHAnsi"/>
                <w:lang w:bidi="fr-FR"/>
              </w:rPr>
              <w:t>Propriété ou gestion</w:t>
            </w:r>
          </w:p>
        </w:tc>
        <w:tc>
          <w:tcPr>
            <w:tcW w:w="7295" w:type="dxa"/>
          </w:tcPr>
          <w:p w14:paraId="35428E46" w14:textId="77777777" w:rsidR="00FB3BC3" w:rsidRPr="00B42BCE" w:rsidRDefault="00FB3BC3" w:rsidP="009F212A">
            <w:pPr>
              <w:pStyle w:val="TableParagraph"/>
              <w:numPr>
                <w:ilvl w:val="0"/>
                <w:numId w:val="7"/>
              </w:numPr>
              <w:tabs>
                <w:tab w:val="left" w:pos="467"/>
                <w:tab w:val="left" w:pos="468"/>
              </w:tabs>
              <w:spacing w:before="20" w:after="20" w:line="254" w:lineRule="exact"/>
              <w:ind w:right="907"/>
              <w:rPr>
                <w:rFonts w:asciiTheme="minorHAnsi" w:hAnsiTheme="minorHAnsi" w:cstheme="minorHAnsi"/>
              </w:rPr>
            </w:pPr>
            <w:r w:rsidRPr="00B42BCE">
              <w:rPr>
                <w:rFonts w:asciiTheme="minorHAnsi" w:hAnsiTheme="minorHAnsi" w:cstheme="minorHAnsi"/>
                <w:lang w:bidi="fr-FR"/>
              </w:rPr>
              <w:t>Sujets de controverses liées aux propriétaires ou aux gestionnaires du partenaire potentiel</w:t>
            </w:r>
          </w:p>
        </w:tc>
      </w:tr>
    </w:tbl>
    <w:p w14:paraId="6AB4D24B" w14:textId="77777777" w:rsidR="00B93DE9" w:rsidRPr="00B42BCE" w:rsidRDefault="00B93DE9" w:rsidP="001228A5">
      <w:pPr>
        <w:pStyle w:val="BodyText"/>
        <w:spacing w:before="2"/>
        <w:rPr>
          <w:rFonts w:asciiTheme="minorHAnsi" w:hAnsiTheme="minorHAnsi" w:cstheme="minorHAnsi"/>
        </w:rPr>
      </w:pPr>
    </w:p>
    <w:p w14:paraId="7FE924DC" w14:textId="77777777" w:rsidR="00B93DE9" w:rsidRPr="00B42BCE" w:rsidRDefault="00B93DE9" w:rsidP="001228A5">
      <w:pPr>
        <w:pStyle w:val="BodyText"/>
        <w:spacing w:before="2"/>
        <w:rPr>
          <w:rFonts w:asciiTheme="minorHAnsi" w:hAnsiTheme="minorHAnsi" w:cstheme="minorHAnsi"/>
        </w:rPr>
      </w:pPr>
    </w:p>
    <w:p w14:paraId="24CC2CA9" w14:textId="77777777" w:rsidR="00474239" w:rsidRPr="00B42BCE" w:rsidRDefault="00474239">
      <w:pPr>
        <w:rPr>
          <w:rFonts w:asciiTheme="minorHAnsi" w:hAnsiTheme="minorHAnsi" w:cstheme="minorHAnsi"/>
        </w:rPr>
        <w:sectPr w:rsidR="00474239" w:rsidRPr="00B42BCE" w:rsidSect="00EE2173">
          <w:footerReference w:type="default" r:id="rId17"/>
          <w:pgSz w:w="11910" w:h="16840"/>
          <w:pgMar w:top="1560" w:right="800" w:bottom="990" w:left="1160" w:header="450" w:footer="637" w:gutter="0"/>
          <w:cols w:space="720"/>
        </w:sectPr>
      </w:pPr>
    </w:p>
    <w:p w14:paraId="24CC2CCB" w14:textId="77777777" w:rsidR="00474239" w:rsidRPr="00B42BCE" w:rsidRDefault="005F2731">
      <w:pPr>
        <w:pStyle w:val="Heading1"/>
        <w:numPr>
          <w:ilvl w:val="0"/>
          <w:numId w:val="19"/>
        </w:numPr>
        <w:tabs>
          <w:tab w:val="left" w:pos="1001"/>
        </w:tabs>
        <w:ind w:hanging="361"/>
        <w:rPr>
          <w:rFonts w:asciiTheme="minorHAnsi" w:hAnsiTheme="minorHAnsi" w:cstheme="minorHAnsi"/>
          <w:sz w:val="22"/>
          <w:szCs w:val="22"/>
        </w:rPr>
      </w:pPr>
      <w:bookmarkStart w:id="10" w:name="_Toc160629985"/>
      <w:r w:rsidRPr="00B42BCE">
        <w:rPr>
          <w:rFonts w:asciiTheme="minorHAnsi" w:hAnsiTheme="minorHAnsi" w:cstheme="minorHAnsi"/>
          <w:color w:val="365F91"/>
          <w:sz w:val="22"/>
          <w:lang w:bidi="fr-FR"/>
        </w:rPr>
        <w:lastRenderedPageBreak/>
        <w:t>Procédure de diligence raisonnable</w:t>
      </w:r>
      <w:bookmarkEnd w:id="10"/>
    </w:p>
    <w:p w14:paraId="24CC2CCC" w14:textId="77777777" w:rsidR="00474239" w:rsidRPr="00B42BCE" w:rsidRDefault="005F2731">
      <w:pPr>
        <w:pStyle w:val="Heading2"/>
        <w:numPr>
          <w:ilvl w:val="1"/>
          <w:numId w:val="19"/>
        </w:numPr>
        <w:tabs>
          <w:tab w:val="left" w:pos="1015"/>
        </w:tabs>
        <w:spacing w:before="242"/>
        <w:rPr>
          <w:rFonts w:asciiTheme="minorHAnsi" w:hAnsiTheme="minorHAnsi" w:cstheme="minorHAnsi"/>
        </w:rPr>
      </w:pPr>
      <w:bookmarkStart w:id="11" w:name="_Toc160629986"/>
      <w:r w:rsidRPr="00B42BCE">
        <w:rPr>
          <w:rFonts w:asciiTheme="minorHAnsi" w:hAnsiTheme="minorHAnsi" w:cstheme="minorHAnsi"/>
          <w:lang w:bidi="fr-FR"/>
        </w:rPr>
        <w:t>Dans quelles circonstances enclencher une procédure de diligence raisonnable ?</w:t>
      </w:r>
      <w:bookmarkEnd w:id="11"/>
    </w:p>
    <w:p w14:paraId="24CC2CCD" w14:textId="047AE73E" w:rsidR="00474239" w:rsidRPr="00B42BCE" w:rsidRDefault="005F2731" w:rsidP="00AD73AA">
      <w:pPr>
        <w:pStyle w:val="BodyText"/>
        <w:spacing w:before="240"/>
        <w:ind w:left="274" w:right="635"/>
        <w:jc w:val="both"/>
        <w:rPr>
          <w:rFonts w:asciiTheme="minorHAnsi" w:hAnsiTheme="minorHAnsi" w:cstheme="minorHAnsi"/>
        </w:rPr>
      </w:pPr>
      <w:r w:rsidRPr="00B42BCE">
        <w:rPr>
          <w:rFonts w:asciiTheme="minorHAnsi" w:hAnsiTheme="minorHAnsi" w:cstheme="minorHAnsi"/>
          <w:lang w:bidi="fr-FR"/>
        </w:rPr>
        <w:t>Le PNUD s’est engagé à se montrer proactif dans la conclusion de partenariats avec des entités privées susceptibles de contribuer à son action et de faire avance</w:t>
      </w:r>
      <w:r w:rsidR="007565E4">
        <w:rPr>
          <w:rFonts w:asciiTheme="minorHAnsi" w:hAnsiTheme="minorHAnsi" w:cstheme="minorHAnsi"/>
          <w:lang w:bidi="fr-FR"/>
        </w:rPr>
        <w:t>r</w:t>
      </w:r>
      <w:r w:rsidRPr="00B42BCE">
        <w:rPr>
          <w:rFonts w:asciiTheme="minorHAnsi" w:hAnsiTheme="minorHAnsi" w:cstheme="minorHAnsi"/>
          <w:lang w:bidi="fr-FR"/>
        </w:rPr>
        <w:t xml:space="preserve"> ses priorités en matière de développement. Cet engagement suppose d’identifier et de présenter les différentes possibilités de collaboration avec le secteur privé et, sur cette base, de trouver les partenaires privés les plus adaptés.</w:t>
      </w:r>
    </w:p>
    <w:p w14:paraId="24CC2CD4" w14:textId="515677DB" w:rsidR="00474239" w:rsidRPr="00B42BCE" w:rsidRDefault="00636D07" w:rsidP="00AD73AA">
      <w:pPr>
        <w:pStyle w:val="BodyText"/>
        <w:spacing w:before="240"/>
        <w:ind w:left="274" w:right="634"/>
        <w:jc w:val="both"/>
        <w:rPr>
          <w:rFonts w:asciiTheme="minorHAnsi" w:hAnsiTheme="minorHAnsi" w:cstheme="minorHAnsi"/>
        </w:rPr>
      </w:pPr>
      <w:r w:rsidRPr="00B42BCE">
        <w:rPr>
          <w:rStyle w:val="cf01"/>
          <w:rFonts w:asciiTheme="minorHAnsi" w:hAnsiTheme="minorHAnsi" w:cstheme="minorHAnsi"/>
          <w:sz w:val="22"/>
          <w:lang w:bidi="fr-FR"/>
        </w:rPr>
        <w:t xml:space="preserve">Il convient notamment de s’assurer que les activités des partenaires potentiels sont efficaces et compatibles avec l’appétit pour le risque du PNUD. Dans le cadre du processus de collaboration, la procédure de diligence raisonnable doit démarrer le plus tôt possible et, tant que les informations relatives aux critères d’exclusion, aux risques sectoriels et aux sujets de controverse possibles n’ont pas été analysées, cette collaboration doit être réduite au strict minimum. </w:t>
      </w:r>
    </w:p>
    <w:p w14:paraId="24CC2CD5" w14:textId="77777777" w:rsidR="00474239" w:rsidRPr="00B42BCE" w:rsidRDefault="005F2731" w:rsidP="00AD73AA">
      <w:pPr>
        <w:pStyle w:val="BodyText"/>
        <w:spacing w:before="240"/>
        <w:ind w:left="274" w:right="634"/>
        <w:jc w:val="both"/>
        <w:rPr>
          <w:rStyle w:val="cf01"/>
          <w:rFonts w:asciiTheme="minorHAnsi" w:hAnsiTheme="minorHAnsi" w:cstheme="minorHAnsi"/>
          <w:sz w:val="22"/>
          <w:szCs w:val="22"/>
        </w:rPr>
      </w:pPr>
      <w:r w:rsidRPr="00B42BCE">
        <w:rPr>
          <w:rStyle w:val="cf01"/>
          <w:rFonts w:asciiTheme="minorHAnsi" w:hAnsiTheme="minorHAnsi" w:cstheme="minorHAnsi"/>
          <w:sz w:val="22"/>
          <w:lang w:bidi="fr-FR"/>
        </w:rPr>
        <w:t>Afin de garantir la transparence et de ne pas décevoir les attentes des partenaires potentiels, il est important que ces derniers soient clairement informés, dès le début des discussions, de la procédure de diligence raisonnable à laquelle le PNUD soumet l’ensemble de ses partenaires privés et de la nécessité de mener cette procédure à son terme avant de conclure un accord quelconque.</w:t>
      </w:r>
    </w:p>
    <w:p w14:paraId="24CC2CD6" w14:textId="77777777" w:rsidR="00474239" w:rsidRPr="00B42BCE" w:rsidRDefault="00474239" w:rsidP="00AD73AA">
      <w:pPr>
        <w:pStyle w:val="BodyText"/>
        <w:spacing w:before="75"/>
        <w:ind w:left="280" w:right="634"/>
        <w:jc w:val="both"/>
        <w:rPr>
          <w:rStyle w:val="cf01"/>
          <w:rFonts w:asciiTheme="minorHAnsi" w:hAnsiTheme="minorHAnsi" w:cstheme="minorHAnsi"/>
          <w:sz w:val="22"/>
          <w:szCs w:val="22"/>
        </w:rPr>
      </w:pPr>
    </w:p>
    <w:p w14:paraId="59F39F0A" w14:textId="11B78DF1" w:rsidR="009E0891" w:rsidRPr="00B42BCE" w:rsidRDefault="009E0891" w:rsidP="008A57BD">
      <w:pPr>
        <w:pStyle w:val="Heading2"/>
        <w:numPr>
          <w:ilvl w:val="1"/>
          <w:numId w:val="19"/>
        </w:numPr>
        <w:tabs>
          <w:tab w:val="left" w:pos="1015"/>
        </w:tabs>
        <w:spacing w:before="1"/>
        <w:rPr>
          <w:rFonts w:asciiTheme="minorHAnsi" w:hAnsiTheme="minorHAnsi" w:cstheme="minorHAnsi"/>
        </w:rPr>
      </w:pPr>
      <w:bookmarkStart w:id="12" w:name="_Toc160629987"/>
      <w:r w:rsidRPr="00B42BCE">
        <w:rPr>
          <w:rFonts w:asciiTheme="minorHAnsi" w:hAnsiTheme="minorHAnsi" w:cstheme="minorHAnsi"/>
          <w:lang w:bidi="fr-FR"/>
        </w:rPr>
        <w:t>Les différents processus de diligence raisonnable</w:t>
      </w:r>
      <w:bookmarkEnd w:id="12"/>
    </w:p>
    <w:p w14:paraId="3EA93EC6" w14:textId="77777777" w:rsidR="00815585" w:rsidRPr="00B42BCE" w:rsidRDefault="009E0891" w:rsidP="00CE6B8C">
      <w:pPr>
        <w:ind w:left="270" w:right="594"/>
        <w:rPr>
          <w:rFonts w:asciiTheme="minorHAnsi" w:hAnsiTheme="minorHAnsi" w:cstheme="minorHAnsi"/>
        </w:rPr>
      </w:pPr>
      <w:r w:rsidRPr="00B42BCE">
        <w:rPr>
          <w:rFonts w:asciiTheme="minorHAnsi" w:hAnsiTheme="minorHAnsi" w:cstheme="minorHAnsi"/>
          <w:lang w:bidi="fr-FR"/>
        </w:rPr>
        <w:t xml:space="preserve">On distingue trois processus de diligence raisonnable : sommaire, standard et renforcé. Le choix du processus repose sur deux critères : le type d’accord juridique et le type d’entité privée concernés, comme indiqué dans le tableau 4 ci-dessous. </w:t>
      </w:r>
    </w:p>
    <w:p w14:paraId="55A2BCCC" w14:textId="10EBBC73" w:rsidR="00815585" w:rsidRPr="00B42BCE" w:rsidRDefault="00815585" w:rsidP="00815585">
      <w:pPr>
        <w:ind w:left="270"/>
        <w:rPr>
          <w:rFonts w:asciiTheme="minorHAnsi" w:hAnsiTheme="minorHAnsi" w:cstheme="minorHAnsi"/>
        </w:rPr>
      </w:pPr>
      <w:r w:rsidRPr="00B42BCE">
        <w:rPr>
          <w:rFonts w:asciiTheme="minorHAnsi" w:hAnsiTheme="minorHAnsi" w:cstheme="minorHAnsi"/>
          <w:b/>
          <w:lang w:bidi="fr-FR"/>
        </w:rPr>
        <w:t>TABLEAU 4 : Identifier le processus de diligence raisonnable à mettre en œuvre</w:t>
      </w:r>
    </w:p>
    <w:tbl>
      <w:tblPr>
        <w:tblStyle w:val="TableGrid"/>
        <w:tblpPr w:leftFromText="180" w:rightFromText="180" w:vertAnchor="page" w:horzAnchor="margin" w:tblpX="279" w:tblpY="8423"/>
        <w:tblOverlap w:val="never"/>
        <w:tblW w:w="4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684"/>
        <w:gridCol w:w="1127"/>
        <w:gridCol w:w="2455"/>
      </w:tblGrid>
      <w:tr w:rsidR="00CE6B8C" w:rsidRPr="00B42BCE" w14:paraId="50C1A45F" w14:textId="77777777" w:rsidTr="00CE6B8C">
        <w:trPr>
          <w:trHeight w:val="260"/>
        </w:trPr>
        <w:tc>
          <w:tcPr>
            <w:tcW w:w="2057" w:type="pct"/>
            <w:vMerge w:val="restart"/>
            <w:shd w:val="clear" w:color="auto" w:fill="FBD4B4" w:themeFill="accent6" w:themeFillTint="66"/>
            <w:vAlign w:val="center"/>
          </w:tcPr>
          <w:p w14:paraId="67BB042B" w14:textId="77777777" w:rsidR="00CE6B8C" w:rsidRPr="00B42BCE" w:rsidRDefault="00CE6B8C" w:rsidP="00CE6B8C">
            <w:pPr>
              <w:spacing w:before="40" w:after="40"/>
              <w:rPr>
                <w:rFonts w:asciiTheme="minorHAnsi" w:hAnsiTheme="minorHAnsi" w:cstheme="minorHAnsi"/>
                <w:b/>
                <w:bCs/>
                <w:sz w:val="22"/>
                <w:szCs w:val="22"/>
                <w:lang w:val="en-US"/>
              </w:rPr>
            </w:pPr>
            <w:r w:rsidRPr="00B42BCE">
              <w:rPr>
                <w:rFonts w:asciiTheme="minorHAnsi" w:hAnsiTheme="minorHAnsi" w:cstheme="minorHAnsi"/>
                <w:b/>
                <w:sz w:val="22"/>
                <w:lang w:val="fr-FR" w:bidi="fr-FR"/>
              </w:rPr>
              <w:t xml:space="preserve">Type d’accord juridique </w:t>
            </w:r>
          </w:p>
        </w:tc>
        <w:tc>
          <w:tcPr>
            <w:tcW w:w="2943" w:type="pct"/>
            <w:gridSpan w:val="3"/>
            <w:shd w:val="clear" w:color="auto" w:fill="B6DDE8" w:themeFill="accent5" w:themeFillTint="66"/>
            <w:vAlign w:val="center"/>
          </w:tcPr>
          <w:p w14:paraId="0C9BD185" w14:textId="77777777" w:rsidR="00CE6B8C" w:rsidRPr="00B42BCE" w:rsidRDefault="00CE6B8C" w:rsidP="00CE6B8C">
            <w:pPr>
              <w:spacing w:before="40" w:after="40"/>
              <w:jc w:val="center"/>
              <w:rPr>
                <w:rFonts w:asciiTheme="minorHAnsi" w:hAnsiTheme="minorHAnsi" w:cstheme="minorHAnsi"/>
                <w:b/>
                <w:bCs/>
                <w:sz w:val="22"/>
                <w:szCs w:val="22"/>
                <w:lang w:val="en-US"/>
              </w:rPr>
            </w:pPr>
            <w:r w:rsidRPr="00B42BCE">
              <w:rPr>
                <w:rFonts w:asciiTheme="minorHAnsi" w:hAnsiTheme="minorHAnsi" w:cstheme="minorHAnsi"/>
                <w:b/>
                <w:sz w:val="22"/>
                <w:lang w:val="fr-FR" w:bidi="fr-FR"/>
              </w:rPr>
              <w:t>Type d’entité</w:t>
            </w:r>
          </w:p>
        </w:tc>
      </w:tr>
      <w:tr w:rsidR="00CE6B8C" w:rsidRPr="00B42BCE" w14:paraId="3D8E168E" w14:textId="77777777" w:rsidTr="00CE6B8C">
        <w:trPr>
          <w:trHeight w:val="799"/>
        </w:trPr>
        <w:tc>
          <w:tcPr>
            <w:tcW w:w="2057" w:type="pct"/>
            <w:vMerge/>
            <w:shd w:val="clear" w:color="auto" w:fill="FBD4B4" w:themeFill="accent6" w:themeFillTint="66"/>
            <w:vAlign w:val="center"/>
          </w:tcPr>
          <w:p w14:paraId="2FCBAE2C" w14:textId="77777777" w:rsidR="00CE6B8C" w:rsidRPr="00B42BCE" w:rsidRDefault="00CE6B8C" w:rsidP="00CE6B8C">
            <w:pPr>
              <w:spacing w:before="40" w:after="40"/>
              <w:rPr>
                <w:rFonts w:asciiTheme="minorHAnsi" w:hAnsiTheme="minorHAnsi" w:cstheme="minorHAnsi"/>
                <w:b/>
                <w:bCs/>
                <w:sz w:val="22"/>
                <w:szCs w:val="22"/>
                <w:lang w:val="en-US"/>
              </w:rPr>
            </w:pPr>
          </w:p>
        </w:tc>
        <w:tc>
          <w:tcPr>
            <w:tcW w:w="941" w:type="pct"/>
            <w:shd w:val="clear" w:color="auto" w:fill="B6DDE8" w:themeFill="accent5" w:themeFillTint="66"/>
            <w:vAlign w:val="center"/>
          </w:tcPr>
          <w:p w14:paraId="33E5A9C6" w14:textId="77777777" w:rsidR="00CE6B8C" w:rsidRPr="00B42BCE" w:rsidRDefault="00CE6B8C" w:rsidP="00CE6B8C">
            <w:pPr>
              <w:spacing w:before="40" w:after="40"/>
              <w:jc w:val="center"/>
              <w:rPr>
                <w:rFonts w:asciiTheme="minorHAnsi" w:hAnsiTheme="minorHAnsi" w:cstheme="minorHAnsi"/>
                <w:b/>
                <w:bCs/>
                <w:sz w:val="22"/>
                <w:szCs w:val="22"/>
                <w:lang w:val="fr-FR"/>
              </w:rPr>
            </w:pPr>
            <w:r w:rsidRPr="00B42BCE">
              <w:rPr>
                <w:rFonts w:asciiTheme="minorHAnsi" w:hAnsiTheme="minorHAnsi" w:cstheme="minorHAnsi"/>
                <w:b/>
                <w:sz w:val="22"/>
                <w:lang w:val="fr-FR" w:bidi="fr-FR"/>
              </w:rPr>
              <w:t>Associations, coalitions et alliances interentreprises</w:t>
            </w:r>
          </w:p>
        </w:tc>
        <w:tc>
          <w:tcPr>
            <w:tcW w:w="630" w:type="pct"/>
            <w:shd w:val="clear" w:color="auto" w:fill="B6DDE8" w:themeFill="accent5" w:themeFillTint="66"/>
            <w:vAlign w:val="center"/>
          </w:tcPr>
          <w:p w14:paraId="0CAED7F7" w14:textId="77777777" w:rsidR="00CE6B8C" w:rsidRPr="00B42BCE" w:rsidRDefault="00CE6B8C" w:rsidP="00CE6B8C">
            <w:pPr>
              <w:spacing w:before="40" w:after="40"/>
              <w:jc w:val="center"/>
              <w:rPr>
                <w:rFonts w:asciiTheme="minorHAnsi" w:hAnsiTheme="minorHAnsi" w:cstheme="minorHAnsi"/>
                <w:b/>
                <w:bCs/>
                <w:sz w:val="22"/>
                <w:szCs w:val="22"/>
                <w:lang w:val="fr-FR"/>
              </w:rPr>
            </w:pPr>
            <w:r w:rsidRPr="00B42BCE">
              <w:rPr>
                <w:rFonts w:asciiTheme="minorHAnsi" w:hAnsiTheme="minorHAnsi" w:cstheme="minorHAnsi"/>
                <w:b/>
                <w:sz w:val="22"/>
                <w:lang w:val="fr-FR" w:bidi="fr-FR"/>
              </w:rPr>
              <w:t>Instituts de recherche à but lucratif</w:t>
            </w:r>
          </w:p>
        </w:tc>
        <w:tc>
          <w:tcPr>
            <w:tcW w:w="1372" w:type="pct"/>
            <w:shd w:val="clear" w:color="auto" w:fill="B6DDE8" w:themeFill="accent5" w:themeFillTint="66"/>
            <w:vAlign w:val="center"/>
          </w:tcPr>
          <w:p w14:paraId="516F7FFE" w14:textId="259540EB" w:rsidR="00CE6B8C" w:rsidRPr="00B42BCE" w:rsidRDefault="00CE6B8C" w:rsidP="00CE6B8C">
            <w:pPr>
              <w:spacing w:before="40" w:after="40"/>
              <w:jc w:val="center"/>
              <w:rPr>
                <w:rFonts w:asciiTheme="minorHAnsi" w:hAnsiTheme="minorHAnsi" w:cstheme="minorHAnsi"/>
                <w:b/>
                <w:bCs/>
                <w:sz w:val="22"/>
                <w:szCs w:val="22"/>
                <w:lang w:val="fr-FR"/>
              </w:rPr>
            </w:pPr>
            <w:r w:rsidRPr="00B42BCE">
              <w:rPr>
                <w:rFonts w:asciiTheme="minorHAnsi" w:hAnsiTheme="minorHAnsi" w:cstheme="minorHAnsi"/>
                <w:b/>
                <w:sz w:val="22"/>
                <w:lang w:val="fr-FR" w:bidi="fr-FR"/>
              </w:rPr>
              <w:t>Fondations d’entreprise/</w:t>
            </w:r>
            <w:r>
              <w:rPr>
                <w:rFonts w:asciiTheme="minorHAnsi" w:hAnsiTheme="minorHAnsi" w:cstheme="minorHAnsi"/>
                <w:b/>
                <w:sz w:val="22"/>
                <w:lang w:val="fr-FR" w:bidi="fr-FR"/>
              </w:rPr>
              <w:br/>
            </w:r>
            <w:r w:rsidRPr="00B42BCE">
              <w:rPr>
                <w:rFonts w:asciiTheme="minorHAnsi" w:hAnsiTheme="minorHAnsi" w:cstheme="minorHAnsi"/>
                <w:b/>
                <w:sz w:val="22"/>
                <w:lang w:val="fr-FR" w:bidi="fr-FR"/>
              </w:rPr>
              <w:t>Entreprises</w:t>
            </w:r>
            <w:r>
              <w:rPr>
                <w:rFonts w:asciiTheme="minorHAnsi" w:hAnsiTheme="minorHAnsi" w:cstheme="minorHAnsi"/>
                <w:b/>
                <w:sz w:val="22"/>
                <w:lang w:val="fr-FR" w:bidi="fr-FR"/>
              </w:rPr>
              <w:t xml:space="preserve"> </w:t>
            </w:r>
            <w:r w:rsidRPr="00B42BCE">
              <w:rPr>
                <w:rFonts w:asciiTheme="minorHAnsi" w:hAnsiTheme="minorHAnsi" w:cstheme="minorHAnsi"/>
                <w:b/>
                <w:sz w:val="22"/>
                <w:lang w:val="fr-FR" w:bidi="fr-FR"/>
              </w:rPr>
              <w:t>à but lucratif et commercial, quelle que soit leur taille/entreprises publiques</w:t>
            </w:r>
          </w:p>
        </w:tc>
      </w:tr>
      <w:tr w:rsidR="00CE6B8C" w:rsidRPr="00B42BCE" w14:paraId="148A5311" w14:textId="77777777" w:rsidTr="00CE6B8C">
        <w:trPr>
          <w:trHeight w:val="170"/>
        </w:trPr>
        <w:tc>
          <w:tcPr>
            <w:tcW w:w="2057" w:type="pct"/>
            <w:shd w:val="clear" w:color="auto" w:fill="FBD4B4" w:themeFill="accent6" w:themeFillTint="66"/>
            <w:vAlign w:val="center"/>
          </w:tcPr>
          <w:p w14:paraId="0F0412EA" w14:textId="77777777" w:rsidR="00CE6B8C" w:rsidRPr="00B42BCE" w:rsidRDefault="00CE6B8C" w:rsidP="00CE6B8C">
            <w:pPr>
              <w:spacing w:before="40" w:after="40"/>
              <w:rPr>
                <w:rFonts w:asciiTheme="minorHAnsi" w:hAnsiTheme="minorHAnsi" w:cstheme="minorHAnsi"/>
                <w:b/>
                <w:bCs/>
                <w:sz w:val="22"/>
                <w:szCs w:val="22"/>
                <w:lang w:val="en-US"/>
              </w:rPr>
            </w:pPr>
            <w:r w:rsidRPr="00B42BCE">
              <w:rPr>
                <w:rFonts w:asciiTheme="minorHAnsi" w:hAnsiTheme="minorHAnsi" w:cstheme="minorHAnsi"/>
                <w:b/>
                <w:sz w:val="22"/>
                <w:lang w:val="fr-FR" w:bidi="fr-FR"/>
              </w:rPr>
              <w:t>Accord non financier*</w:t>
            </w:r>
          </w:p>
        </w:tc>
        <w:tc>
          <w:tcPr>
            <w:tcW w:w="941" w:type="pct"/>
            <w:vAlign w:val="center"/>
          </w:tcPr>
          <w:p w14:paraId="2A565FDE" w14:textId="77777777" w:rsidR="00CE6B8C" w:rsidRPr="00B42BCE" w:rsidRDefault="00CE6B8C" w:rsidP="00CE6B8C">
            <w:pPr>
              <w:spacing w:before="40" w:after="40"/>
              <w:jc w:val="center"/>
              <w:rPr>
                <w:rFonts w:asciiTheme="minorHAnsi" w:hAnsiTheme="minorHAnsi" w:cstheme="minorHAnsi"/>
                <w:sz w:val="22"/>
                <w:szCs w:val="22"/>
                <w:lang w:val="en-US"/>
              </w:rPr>
            </w:pPr>
            <w:r w:rsidRPr="00B42BCE">
              <w:rPr>
                <w:rFonts w:asciiTheme="minorHAnsi" w:hAnsiTheme="minorHAnsi" w:cstheme="minorHAnsi"/>
                <w:sz w:val="22"/>
                <w:lang w:val="fr-FR" w:bidi="fr-FR"/>
              </w:rPr>
              <w:t>Sommaire</w:t>
            </w:r>
          </w:p>
        </w:tc>
        <w:tc>
          <w:tcPr>
            <w:tcW w:w="630" w:type="pct"/>
            <w:vAlign w:val="center"/>
          </w:tcPr>
          <w:p w14:paraId="4EA89EB7" w14:textId="77777777" w:rsidR="00CE6B8C" w:rsidRPr="00B42BCE" w:rsidRDefault="00CE6B8C" w:rsidP="00CE6B8C">
            <w:pPr>
              <w:spacing w:before="40" w:after="40"/>
              <w:jc w:val="center"/>
              <w:rPr>
                <w:rFonts w:asciiTheme="minorHAnsi" w:hAnsiTheme="minorHAnsi" w:cstheme="minorHAnsi"/>
                <w:sz w:val="22"/>
                <w:szCs w:val="22"/>
                <w:lang w:val="en-US"/>
              </w:rPr>
            </w:pPr>
            <w:r w:rsidRPr="00B42BCE">
              <w:rPr>
                <w:rFonts w:asciiTheme="minorHAnsi" w:hAnsiTheme="minorHAnsi" w:cstheme="minorHAnsi"/>
                <w:sz w:val="22"/>
                <w:lang w:val="fr-FR" w:bidi="fr-FR"/>
              </w:rPr>
              <w:t>Sommaire</w:t>
            </w:r>
          </w:p>
        </w:tc>
        <w:tc>
          <w:tcPr>
            <w:tcW w:w="1372" w:type="pct"/>
            <w:vAlign w:val="center"/>
          </w:tcPr>
          <w:p w14:paraId="35DDAEDE" w14:textId="77777777" w:rsidR="00CE6B8C" w:rsidRPr="00B42BCE" w:rsidRDefault="00CE6B8C" w:rsidP="00CE6B8C">
            <w:pPr>
              <w:spacing w:before="40" w:after="40"/>
              <w:jc w:val="center"/>
              <w:rPr>
                <w:rFonts w:asciiTheme="minorHAnsi" w:hAnsiTheme="minorHAnsi" w:cstheme="minorHAnsi"/>
                <w:sz w:val="22"/>
                <w:szCs w:val="22"/>
                <w:lang w:val="en-US"/>
              </w:rPr>
            </w:pPr>
            <w:r w:rsidRPr="00B42BCE">
              <w:rPr>
                <w:rFonts w:asciiTheme="minorHAnsi" w:hAnsiTheme="minorHAnsi" w:cstheme="minorHAnsi"/>
                <w:sz w:val="22"/>
                <w:lang w:val="fr-FR" w:bidi="fr-FR"/>
              </w:rPr>
              <w:t>Renforcé</w:t>
            </w:r>
          </w:p>
        </w:tc>
      </w:tr>
      <w:tr w:rsidR="00CE6B8C" w:rsidRPr="00B42BCE" w14:paraId="41D70181" w14:textId="77777777" w:rsidTr="00CE6B8C">
        <w:trPr>
          <w:trHeight w:val="107"/>
        </w:trPr>
        <w:tc>
          <w:tcPr>
            <w:tcW w:w="2057" w:type="pct"/>
            <w:shd w:val="clear" w:color="auto" w:fill="FBD4B4" w:themeFill="accent6" w:themeFillTint="66"/>
            <w:vAlign w:val="center"/>
          </w:tcPr>
          <w:p w14:paraId="19A1738B" w14:textId="77777777" w:rsidR="00CE6B8C" w:rsidRPr="00B42BCE" w:rsidRDefault="00CE6B8C" w:rsidP="00CE6B8C">
            <w:pPr>
              <w:spacing w:before="40" w:after="40"/>
              <w:rPr>
                <w:rFonts w:asciiTheme="minorHAnsi" w:hAnsiTheme="minorHAnsi" w:cstheme="minorHAnsi"/>
                <w:b/>
                <w:bCs/>
                <w:sz w:val="22"/>
                <w:szCs w:val="22"/>
                <w:lang w:val="fr-FR"/>
              </w:rPr>
            </w:pPr>
            <w:r w:rsidRPr="00B42BCE">
              <w:rPr>
                <w:rFonts w:asciiTheme="minorHAnsi" w:hAnsiTheme="minorHAnsi" w:cstheme="minorHAnsi"/>
                <w:b/>
                <w:sz w:val="22"/>
                <w:lang w:val="fr-FR" w:bidi="fr-FR"/>
              </w:rPr>
              <w:t xml:space="preserve">Accord financier ≤ 150 000 dollars des États-Unis </w:t>
            </w:r>
          </w:p>
        </w:tc>
        <w:tc>
          <w:tcPr>
            <w:tcW w:w="941" w:type="pct"/>
            <w:vAlign w:val="center"/>
          </w:tcPr>
          <w:p w14:paraId="61DA5018" w14:textId="77777777" w:rsidR="00CE6B8C" w:rsidRPr="00B42BCE" w:rsidRDefault="00CE6B8C" w:rsidP="00CE6B8C">
            <w:pPr>
              <w:spacing w:before="40" w:after="40"/>
              <w:jc w:val="center"/>
              <w:rPr>
                <w:rFonts w:asciiTheme="minorHAnsi" w:hAnsiTheme="minorHAnsi" w:cstheme="minorHAnsi"/>
                <w:sz w:val="22"/>
                <w:szCs w:val="22"/>
                <w:lang w:val="en-US"/>
              </w:rPr>
            </w:pPr>
            <w:r w:rsidRPr="00B42BCE">
              <w:rPr>
                <w:rFonts w:asciiTheme="minorHAnsi" w:hAnsiTheme="minorHAnsi" w:cstheme="minorHAnsi"/>
                <w:sz w:val="22"/>
                <w:lang w:val="fr-FR" w:bidi="fr-FR"/>
              </w:rPr>
              <w:t>Sommaire</w:t>
            </w:r>
          </w:p>
        </w:tc>
        <w:tc>
          <w:tcPr>
            <w:tcW w:w="630" w:type="pct"/>
            <w:vAlign w:val="center"/>
          </w:tcPr>
          <w:p w14:paraId="0F3F9631" w14:textId="77777777" w:rsidR="00CE6B8C" w:rsidRPr="00B42BCE" w:rsidRDefault="00CE6B8C" w:rsidP="00CE6B8C">
            <w:pPr>
              <w:spacing w:before="40" w:after="40"/>
              <w:jc w:val="center"/>
              <w:rPr>
                <w:rFonts w:asciiTheme="minorHAnsi" w:hAnsiTheme="minorHAnsi" w:cstheme="minorHAnsi"/>
                <w:sz w:val="22"/>
                <w:szCs w:val="22"/>
                <w:lang w:val="en-US"/>
              </w:rPr>
            </w:pPr>
            <w:r w:rsidRPr="00B42BCE">
              <w:rPr>
                <w:rFonts w:asciiTheme="minorHAnsi" w:hAnsiTheme="minorHAnsi" w:cstheme="minorHAnsi"/>
                <w:sz w:val="22"/>
                <w:lang w:val="fr-FR" w:bidi="fr-FR"/>
              </w:rPr>
              <w:t>Sommaire</w:t>
            </w:r>
          </w:p>
        </w:tc>
        <w:tc>
          <w:tcPr>
            <w:tcW w:w="1372" w:type="pct"/>
            <w:vAlign w:val="center"/>
          </w:tcPr>
          <w:p w14:paraId="157197BE" w14:textId="77777777" w:rsidR="00CE6B8C" w:rsidRPr="00B42BCE" w:rsidRDefault="00CE6B8C" w:rsidP="00CE6B8C">
            <w:pPr>
              <w:spacing w:before="40" w:after="40"/>
              <w:jc w:val="center"/>
              <w:rPr>
                <w:rFonts w:asciiTheme="minorHAnsi" w:hAnsiTheme="minorHAnsi" w:cstheme="minorHAnsi"/>
                <w:sz w:val="22"/>
                <w:szCs w:val="22"/>
                <w:lang w:val="en-US"/>
              </w:rPr>
            </w:pPr>
            <w:r w:rsidRPr="00B42BCE">
              <w:rPr>
                <w:rFonts w:asciiTheme="minorHAnsi" w:hAnsiTheme="minorHAnsi" w:cstheme="minorHAnsi"/>
                <w:sz w:val="22"/>
                <w:lang w:val="fr-FR" w:bidi="fr-FR"/>
              </w:rPr>
              <w:t>Renforcé</w:t>
            </w:r>
          </w:p>
        </w:tc>
      </w:tr>
      <w:tr w:rsidR="00CE6B8C" w:rsidRPr="00B42BCE" w14:paraId="224167E2" w14:textId="77777777" w:rsidTr="00CE6B8C">
        <w:trPr>
          <w:trHeight w:val="269"/>
        </w:trPr>
        <w:tc>
          <w:tcPr>
            <w:tcW w:w="2057" w:type="pct"/>
            <w:shd w:val="clear" w:color="auto" w:fill="FBD4B4" w:themeFill="accent6" w:themeFillTint="66"/>
            <w:vAlign w:val="center"/>
          </w:tcPr>
          <w:p w14:paraId="70619584" w14:textId="77777777" w:rsidR="00CE6B8C" w:rsidRPr="00B42BCE" w:rsidRDefault="00CE6B8C" w:rsidP="00CE6B8C">
            <w:pPr>
              <w:spacing w:before="40" w:after="40"/>
              <w:rPr>
                <w:rFonts w:asciiTheme="minorHAnsi" w:hAnsiTheme="minorHAnsi" w:cstheme="minorHAnsi"/>
                <w:b/>
                <w:bCs/>
                <w:sz w:val="22"/>
                <w:szCs w:val="22"/>
                <w:lang w:val="fr-FR"/>
              </w:rPr>
            </w:pPr>
            <w:r w:rsidRPr="00B42BCE">
              <w:rPr>
                <w:rFonts w:asciiTheme="minorHAnsi" w:hAnsiTheme="minorHAnsi" w:cstheme="minorHAnsi"/>
                <w:b/>
                <w:sz w:val="22"/>
                <w:lang w:val="fr-FR" w:bidi="fr-FR"/>
              </w:rPr>
              <w:t>Accord financier &gt; 150 000 dollars des États-Unis</w:t>
            </w:r>
          </w:p>
        </w:tc>
        <w:tc>
          <w:tcPr>
            <w:tcW w:w="941" w:type="pct"/>
            <w:vAlign w:val="center"/>
          </w:tcPr>
          <w:p w14:paraId="6AB1D91E" w14:textId="77777777" w:rsidR="00CE6B8C" w:rsidRPr="00B42BCE" w:rsidRDefault="00CE6B8C" w:rsidP="00CE6B8C">
            <w:pPr>
              <w:spacing w:before="40" w:after="40"/>
              <w:jc w:val="center"/>
              <w:rPr>
                <w:rFonts w:asciiTheme="minorHAnsi" w:hAnsiTheme="minorHAnsi" w:cstheme="minorHAnsi"/>
                <w:sz w:val="22"/>
                <w:szCs w:val="22"/>
                <w:lang w:val="en-US"/>
              </w:rPr>
            </w:pPr>
            <w:r w:rsidRPr="00B42BCE">
              <w:rPr>
                <w:rFonts w:asciiTheme="minorHAnsi" w:hAnsiTheme="minorHAnsi" w:cstheme="minorHAnsi"/>
                <w:sz w:val="22"/>
                <w:lang w:val="fr-FR" w:bidi="fr-FR"/>
              </w:rPr>
              <w:t>Standard</w:t>
            </w:r>
          </w:p>
        </w:tc>
        <w:tc>
          <w:tcPr>
            <w:tcW w:w="630" w:type="pct"/>
            <w:vAlign w:val="center"/>
          </w:tcPr>
          <w:p w14:paraId="43E350F4" w14:textId="77777777" w:rsidR="00CE6B8C" w:rsidRPr="00B42BCE" w:rsidRDefault="00CE6B8C" w:rsidP="00CE6B8C">
            <w:pPr>
              <w:spacing w:before="40" w:after="40"/>
              <w:jc w:val="center"/>
              <w:rPr>
                <w:rFonts w:asciiTheme="minorHAnsi" w:hAnsiTheme="minorHAnsi" w:cstheme="minorHAnsi"/>
                <w:sz w:val="22"/>
                <w:szCs w:val="22"/>
                <w:lang w:val="en-US"/>
              </w:rPr>
            </w:pPr>
            <w:r w:rsidRPr="00B42BCE">
              <w:rPr>
                <w:rFonts w:asciiTheme="minorHAnsi" w:hAnsiTheme="minorHAnsi" w:cstheme="minorHAnsi"/>
                <w:sz w:val="22"/>
                <w:lang w:val="fr-FR" w:bidi="fr-FR"/>
              </w:rPr>
              <w:t>Standard</w:t>
            </w:r>
          </w:p>
        </w:tc>
        <w:tc>
          <w:tcPr>
            <w:tcW w:w="1372" w:type="pct"/>
            <w:vAlign w:val="center"/>
          </w:tcPr>
          <w:p w14:paraId="02A5808E" w14:textId="77777777" w:rsidR="00CE6B8C" w:rsidRPr="00B42BCE" w:rsidRDefault="00CE6B8C" w:rsidP="00CE6B8C">
            <w:pPr>
              <w:spacing w:before="40" w:after="40"/>
              <w:jc w:val="center"/>
              <w:rPr>
                <w:rFonts w:asciiTheme="minorHAnsi" w:hAnsiTheme="minorHAnsi" w:cstheme="minorHAnsi"/>
                <w:sz w:val="22"/>
                <w:szCs w:val="22"/>
                <w:lang w:val="en-US"/>
              </w:rPr>
            </w:pPr>
            <w:r w:rsidRPr="00B42BCE">
              <w:rPr>
                <w:rFonts w:asciiTheme="minorHAnsi" w:hAnsiTheme="minorHAnsi" w:cstheme="minorHAnsi"/>
                <w:sz w:val="22"/>
                <w:lang w:val="fr-FR" w:bidi="fr-FR"/>
              </w:rPr>
              <w:t>Renforcé</w:t>
            </w:r>
          </w:p>
        </w:tc>
      </w:tr>
    </w:tbl>
    <w:p w14:paraId="7FF57881" w14:textId="77777777" w:rsidR="000F537B" w:rsidRPr="00B42BCE" w:rsidRDefault="000F537B" w:rsidP="0062267C">
      <w:pPr>
        <w:spacing w:before="91"/>
        <w:ind w:left="280"/>
        <w:jc w:val="both"/>
        <w:rPr>
          <w:rFonts w:asciiTheme="minorHAnsi" w:hAnsiTheme="minorHAnsi" w:cstheme="minorHAnsi"/>
          <w:b/>
        </w:rPr>
      </w:pPr>
    </w:p>
    <w:p w14:paraId="6B8CB873" w14:textId="62522CD7" w:rsidR="00827ACC" w:rsidRPr="00B42BCE" w:rsidRDefault="00CF5ADE" w:rsidP="00827ACC">
      <w:pPr>
        <w:pStyle w:val="BodyText"/>
        <w:spacing w:before="113"/>
        <w:ind w:left="280" w:right="634"/>
        <w:jc w:val="both"/>
        <w:rPr>
          <w:rFonts w:asciiTheme="minorHAnsi" w:hAnsiTheme="minorHAnsi" w:cstheme="minorHAnsi"/>
        </w:rPr>
      </w:pPr>
      <w:r w:rsidRPr="00B42BCE">
        <w:rPr>
          <w:rFonts w:asciiTheme="minorHAnsi" w:hAnsiTheme="minorHAnsi" w:cstheme="minorHAnsi"/>
          <w:lang w:bidi="fr-FR"/>
        </w:rPr>
        <w:t xml:space="preserve">Le processus de diligence raisonnable détermine les sections de l’outil d’évaluation des risques qui seront prises en compte, comme indiqué dans le tableau 5. </w:t>
      </w:r>
    </w:p>
    <w:p w14:paraId="0CEE3F6B" w14:textId="77777777" w:rsidR="00CE6B8C" w:rsidRDefault="00CE6B8C">
      <w:pPr>
        <w:rPr>
          <w:rFonts w:asciiTheme="minorHAnsi" w:hAnsiTheme="minorHAnsi" w:cstheme="minorHAnsi"/>
          <w:b/>
          <w:lang w:bidi="fr-FR"/>
        </w:rPr>
      </w:pPr>
      <w:r>
        <w:rPr>
          <w:rFonts w:asciiTheme="minorHAnsi" w:hAnsiTheme="minorHAnsi" w:cstheme="minorHAnsi"/>
          <w:b/>
          <w:lang w:bidi="fr-FR"/>
        </w:rPr>
        <w:br w:type="page"/>
      </w:r>
    </w:p>
    <w:p w14:paraId="574B8C12" w14:textId="69E83961" w:rsidR="00CE3F1E" w:rsidRPr="00B42BCE" w:rsidRDefault="00CE3F1E" w:rsidP="00827ACC">
      <w:pPr>
        <w:pStyle w:val="BodyText"/>
        <w:spacing w:before="113"/>
        <w:ind w:left="280" w:right="634"/>
        <w:jc w:val="both"/>
        <w:rPr>
          <w:rFonts w:asciiTheme="minorHAnsi" w:hAnsiTheme="minorHAnsi" w:cstheme="minorHAnsi"/>
        </w:rPr>
      </w:pPr>
      <w:r w:rsidRPr="00B42BCE">
        <w:rPr>
          <w:rFonts w:asciiTheme="minorHAnsi" w:hAnsiTheme="minorHAnsi" w:cstheme="minorHAnsi"/>
          <w:b/>
          <w:lang w:bidi="fr-FR"/>
        </w:rPr>
        <w:lastRenderedPageBreak/>
        <w:t>TABLEAU 5 : Utilisation de l’outil d’évaluation des risques en fonction du processus de diligence raisonnable choisi</w:t>
      </w:r>
    </w:p>
    <w:tbl>
      <w:tblPr>
        <w:tblStyle w:val="TableGrid"/>
        <w:tblW w:w="444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1711"/>
        <w:gridCol w:w="1711"/>
        <w:gridCol w:w="1709"/>
      </w:tblGrid>
      <w:tr w:rsidR="00CE3F1E" w:rsidRPr="00B42BCE" w14:paraId="05EBEBAE" w14:textId="77777777" w:rsidTr="00220F7D">
        <w:trPr>
          <w:trHeight w:val="361"/>
        </w:trPr>
        <w:tc>
          <w:tcPr>
            <w:tcW w:w="2099" w:type="pct"/>
            <w:shd w:val="clear" w:color="auto" w:fill="FBD4B4" w:themeFill="accent6" w:themeFillTint="66"/>
            <w:vAlign w:val="center"/>
          </w:tcPr>
          <w:p w14:paraId="399938E3" w14:textId="77777777" w:rsidR="00CE3F1E" w:rsidRPr="00B42BCE" w:rsidRDefault="00CE3F1E" w:rsidP="00775C53">
            <w:pPr>
              <w:spacing w:before="40" w:after="40"/>
              <w:rPr>
                <w:rFonts w:asciiTheme="minorHAnsi" w:hAnsiTheme="minorHAnsi" w:cstheme="minorHAnsi"/>
                <w:b/>
                <w:bCs/>
                <w:sz w:val="22"/>
                <w:szCs w:val="22"/>
                <w:lang w:val="fr-FR"/>
              </w:rPr>
            </w:pPr>
            <w:r w:rsidRPr="00B42BCE">
              <w:rPr>
                <w:rFonts w:asciiTheme="minorHAnsi" w:hAnsiTheme="minorHAnsi" w:cstheme="minorHAnsi"/>
                <w:b/>
                <w:sz w:val="22"/>
                <w:lang w:val="fr-FR" w:bidi="fr-FR"/>
              </w:rPr>
              <w:t>Sections de l’outil d’évaluation des risques</w:t>
            </w:r>
          </w:p>
        </w:tc>
        <w:tc>
          <w:tcPr>
            <w:tcW w:w="967" w:type="pct"/>
            <w:shd w:val="clear" w:color="auto" w:fill="B6DDE8" w:themeFill="accent5" w:themeFillTint="66"/>
            <w:vAlign w:val="center"/>
          </w:tcPr>
          <w:p w14:paraId="462824C5" w14:textId="77777777" w:rsidR="00CE3F1E" w:rsidRPr="00B42BCE" w:rsidRDefault="00CE3F1E" w:rsidP="00775C53">
            <w:pPr>
              <w:spacing w:before="40" w:after="40"/>
              <w:jc w:val="center"/>
              <w:rPr>
                <w:rFonts w:asciiTheme="minorHAnsi" w:hAnsiTheme="minorHAnsi" w:cstheme="minorHAnsi"/>
                <w:b/>
                <w:bCs/>
                <w:sz w:val="22"/>
                <w:szCs w:val="22"/>
              </w:rPr>
            </w:pPr>
            <w:r w:rsidRPr="00B42BCE">
              <w:rPr>
                <w:rFonts w:asciiTheme="minorHAnsi" w:hAnsiTheme="minorHAnsi" w:cstheme="minorHAnsi"/>
                <w:b/>
                <w:sz w:val="22"/>
                <w:lang w:val="fr-FR" w:bidi="fr-FR"/>
              </w:rPr>
              <w:t>Sommaire</w:t>
            </w:r>
          </w:p>
        </w:tc>
        <w:tc>
          <w:tcPr>
            <w:tcW w:w="967" w:type="pct"/>
            <w:shd w:val="clear" w:color="auto" w:fill="B6DDE8" w:themeFill="accent5" w:themeFillTint="66"/>
            <w:vAlign w:val="center"/>
          </w:tcPr>
          <w:p w14:paraId="0D177E46" w14:textId="77777777" w:rsidR="00CE3F1E" w:rsidRPr="00B42BCE" w:rsidRDefault="00CE3F1E" w:rsidP="00775C53">
            <w:pPr>
              <w:spacing w:before="40" w:after="40"/>
              <w:jc w:val="center"/>
              <w:rPr>
                <w:rFonts w:asciiTheme="minorHAnsi" w:hAnsiTheme="minorHAnsi" w:cstheme="minorHAnsi"/>
                <w:b/>
                <w:bCs/>
                <w:sz w:val="22"/>
                <w:szCs w:val="22"/>
              </w:rPr>
            </w:pPr>
            <w:r w:rsidRPr="00B42BCE">
              <w:rPr>
                <w:rFonts w:asciiTheme="minorHAnsi" w:hAnsiTheme="minorHAnsi" w:cstheme="minorHAnsi"/>
                <w:b/>
                <w:sz w:val="22"/>
                <w:lang w:val="fr-FR" w:bidi="fr-FR"/>
              </w:rPr>
              <w:t>Standard</w:t>
            </w:r>
          </w:p>
        </w:tc>
        <w:tc>
          <w:tcPr>
            <w:tcW w:w="966" w:type="pct"/>
            <w:shd w:val="clear" w:color="auto" w:fill="B6DDE8" w:themeFill="accent5" w:themeFillTint="66"/>
            <w:vAlign w:val="center"/>
          </w:tcPr>
          <w:p w14:paraId="5953FBB3" w14:textId="77777777" w:rsidR="00CE3F1E" w:rsidRPr="00B42BCE" w:rsidRDefault="00CE3F1E" w:rsidP="00775C53">
            <w:pPr>
              <w:spacing w:before="40" w:after="40"/>
              <w:jc w:val="center"/>
              <w:rPr>
                <w:rFonts w:asciiTheme="minorHAnsi" w:hAnsiTheme="minorHAnsi" w:cstheme="minorHAnsi"/>
                <w:b/>
                <w:bCs/>
                <w:sz w:val="22"/>
                <w:szCs w:val="22"/>
              </w:rPr>
            </w:pPr>
            <w:r w:rsidRPr="00B42BCE">
              <w:rPr>
                <w:rFonts w:asciiTheme="minorHAnsi" w:hAnsiTheme="minorHAnsi" w:cstheme="minorHAnsi"/>
                <w:b/>
                <w:sz w:val="22"/>
                <w:lang w:val="fr-FR" w:bidi="fr-FR"/>
              </w:rPr>
              <w:t>Renforcé</w:t>
            </w:r>
          </w:p>
        </w:tc>
      </w:tr>
      <w:tr w:rsidR="00CE3F1E" w:rsidRPr="00B42BCE" w14:paraId="095AAECA" w14:textId="77777777" w:rsidTr="00220F7D">
        <w:trPr>
          <w:trHeight w:val="421"/>
        </w:trPr>
        <w:tc>
          <w:tcPr>
            <w:tcW w:w="2099" w:type="pct"/>
            <w:shd w:val="clear" w:color="auto" w:fill="FBD4B4" w:themeFill="accent6" w:themeFillTint="66"/>
            <w:vAlign w:val="center"/>
          </w:tcPr>
          <w:p w14:paraId="46BD2A08" w14:textId="77777777" w:rsidR="00CE3F1E" w:rsidRPr="00B42BCE" w:rsidRDefault="00CE3F1E" w:rsidP="00775C53">
            <w:pPr>
              <w:spacing w:before="40" w:after="40"/>
              <w:rPr>
                <w:rFonts w:asciiTheme="minorHAnsi" w:hAnsiTheme="minorHAnsi" w:cstheme="minorHAnsi"/>
                <w:b/>
                <w:bCs/>
                <w:sz w:val="22"/>
                <w:szCs w:val="22"/>
                <w:lang w:val="fr-FR"/>
              </w:rPr>
            </w:pPr>
            <w:r w:rsidRPr="00B42BCE">
              <w:rPr>
                <w:rFonts w:asciiTheme="minorHAnsi" w:hAnsiTheme="minorHAnsi" w:cstheme="minorHAnsi"/>
                <w:b/>
                <w:sz w:val="22"/>
                <w:lang w:val="fr-FR" w:bidi="fr-FR"/>
              </w:rPr>
              <w:t>1 – Recueillir des informations, notamment sur les secteurs à haut risque</w:t>
            </w:r>
          </w:p>
        </w:tc>
        <w:tc>
          <w:tcPr>
            <w:tcW w:w="967" w:type="pct"/>
            <w:vAlign w:val="center"/>
          </w:tcPr>
          <w:p w14:paraId="62025B1B" w14:textId="77777777" w:rsidR="00CE3F1E" w:rsidRPr="00B42BCE" w:rsidRDefault="00CE3F1E" w:rsidP="00775C53">
            <w:pPr>
              <w:spacing w:before="40" w:after="40"/>
              <w:jc w:val="center"/>
              <w:rPr>
                <w:rFonts w:asciiTheme="minorHAnsi" w:hAnsiTheme="minorHAnsi" w:cstheme="minorHAnsi"/>
                <w:sz w:val="22"/>
                <w:szCs w:val="22"/>
              </w:rPr>
            </w:pPr>
            <w:r w:rsidRPr="00B42BCE">
              <w:rPr>
                <w:rFonts w:asciiTheme="minorHAnsi" w:hAnsiTheme="minorHAnsi" w:cstheme="minorHAnsi"/>
                <w:sz w:val="22"/>
                <w:lang w:val="fr-FR" w:bidi="fr-FR"/>
              </w:rPr>
              <w:t>Oui</w:t>
            </w:r>
          </w:p>
        </w:tc>
        <w:tc>
          <w:tcPr>
            <w:tcW w:w="967" w:type="pct"/>
            <w:vAlign w:val="center"/>
          </w:tcPr>
          <w:p w14:paraId="0F6E11B9" w14:textId="77777777" w:rsidR="00CE3F1E" w:rsidRPr="00B42BCE" w:rsidRDefault="00CE3F1E" w:rsidP="00775C53">
            <w:pPr>
              <w:spacing w:before="40" w:after="40"/>
              <w:jc w:val="center"/>
              <w:rPr>
                <w:rFonts w:asciiTheme="minorHAnsi" w:hAnsiTheme="minorHAnsi" w:cstheme="minorHAnsi"/>
                <w:sz w:val="22"/>
                <w:szCs w:val="22"/>
              </w:rPr>
            </w:pPr>
            <w:r w:rsidRPr="00B42BCE">
              <w:rPr>
                <w:rFonts w:asciiTheme="minorHAnsi" w:hAnsiTheme="minorHAnsi" w:cstheme="minorHAnsi"/>
                <w:sz w:val="22"/>
                <w:lang w:val="fr-FR" w:bidi="fr-FR"/>
              </w:rPr>
              <w:t>Oui</w:t>
            </w:r>
          </w:p>
        </w:tc>
        <w:tc>
          <w:tcPr>
            <w:tcW w:w="966" w:type="pct"/>
            <w:vAlign w:val="center"/>
          </w:tcPr>
          <w:p w14:paraId="0CAAA3CD" w14:textId="77777777" w:rsidR="00CE3F1E" w:rsidRPr="00B42BCE" w:rsidRDefault="00CE3F1E" w:rsidP="00775C53">
            <w:pPr>
              <w:spacing w:before="40" w:after="40"/>
              <w:jc w:val="center"/>
              <w:rPr>
                <w:rFonts w:asciiTheme="minorHAnsi" w:hAnsiTheme="minorHAnsi" w:cstheme="minorHAnsi"/>
                <w:sz w:val="22"/>
                <w:szCs w:val="22"/>
              </w:rPr>
            </w:pPr>
            <w:r w:rsidRPr="00B42BCE">
              <w:rPr>
                <w:rFonts w:asciiTheme="minorHAnsi" w:hAnsiTheme="minorHAnsi" w:cstheme="minorHAnsi"/>
                <w:sz w:val="22"/>
                <w:lang w:val="fr-FR" w:bidi="fr-FR"/>
              </w:rPr>
              <w:t>Oui</w:t>
            </w:r>
          </w:p>
        </w:tc>
      </w:tr>
      <w:tr w:rsidR="00CE3F1E" w:rsidRPr="00B42BCE" w14:paraId="277FD8F3" w14:textId="77777777" w:rsidTr="00220F7D">
        <w:trPr>
          <w:trHeight w:val="361"/>
        </w:trPr>
        <w:tc>
          <w:tcPr>
            <w:tcW w:w="2099" w:type="pct"/>
            <w:shd w:val="clear" w:color="auto" w:fill="FBD4B4" w:themeFill="accent6" w:themeFillTint="66"/>
            <w:vAlign w:val="center"/>
          </w:tcPr>
          <w:p w14:paraId="76F04183" w14:textId="77777777" w:rsidR="00CE3F1E" w:rsidRPr="00B42BCE" w:rsidRDefault="00CE3F1E" w:rsidP="00775C53">
            <w:pPr>
              <w:spacing w:before="40" w:after="40"/>
              <w:rPr>
                <w:rFonts w:asciiTheme="minorHAnsi" w:hAnsiTheme="minorHAnsi" w:cstheme="minorHAnsi"/>
                <w:b/>
                <w:bCs/>
                <w:sz w:val="22"/>
                <w:szCs w:val="22"/>
              </w:rPr>
            </w:pPr>
            <w:r w:rsidRPr="00B42BCE">
              <w:rPr>
                <w:rFonts w:asciiTheme="minorHAnsi" w:hAnsiTheme="minorHAnsi" w:cstheme="minorHAnsi"/>
                <w:b/>
                <w:sz w:val="22"/>
                <w:lang w:val="fr-FR" w:bidi="fr-FR"/>
              </w:rPr>
              <w:t>2 – Critères d’exclusion</w:t>
            </w:r>
          </w:p>
        </w:tc>
        <w:tc>
          <w:tcPr>
            <w:tcW w:w="967" w:type="pct"/>
            <w:vAlign w:val="center"/>
          </w:tcPr>
          <w:p w14:paraId="7A0E3F63" w14:textId="77777777" w:rsidR="00CE3F1E" w:rsidRPr="00B42BCE" w:rsidRDefault="00CE3F1E" w:rsidP="00775C53">
            <w:pPr>
              <w:spacing w:before="40" w:after="40"/>
              <w:jc w:val="center"/>
              <w:rPr>
                <w:rFonts w:asciiTheme="minorHAnsi" w:hAnsiTheme="minorHAnsi" w:cstheme="minorHAnsi"/>
                <w:sz w:val="22"/>
                <w:szCs w:val="22"/>
              </w:rPr>
            </w:pPr>
            <w:r w:rsidRPr="00B42BCE">
              <w:rPr>
                <w:rFonts w:asciiTheme="minorHAnsi" w:hAnsiTheme="minorHAnsi" w:cstheme="minorHAnsi"/>
                <w:sz w:val="22"/>
                <w:lang w:val="fr-FR" w:bidi="fr-FR"/>
              </w:rPr>
              <w:t>Oui</w:t>
            </w:r>
          </w:p>
        </w:tc>
        <w:tc>
          <w:tcPr>
            <w:tcW w:w="967" w:type="pct"/>
            <w:vAlign w:val="center"/>
          </w:tcPr>
          <w:p w14:paraId="0FA2C276" w14:textId="77777777" w:rsidR="00CE3F1E" w:rsidRPr="00B42BCE" w:rsidRDefault="00CE3F1E" w:rsidP="00775C53">
            <w:pPr>
              <w:spacing w:before="40" w:after="40"/>
              <w:jc w:val="center"/>
              <w:rPr>
                <w:rFonts w:asciiTheme="minorHAnsi" w:hAnsiTheme="minorHAnsi" w:cstheme="minorHAnsi"/>
                <w:sz w:val="22"/>
                <w:szCs w:val="22"/>
              </w:rPr>
            </w:pPr>
            <w:r w:rsidRPr="00B42BCE">
              <w:rPr>
                <w:rFonts w:asciiTheme="minorHAnsi" w:hAnsiTheme="minorHAnsi" w:cstheme="minorHAnsi"/>
                <w:sz w:val="22"/>
                <w:lang w:val="fr-FR" w:bidi="fr-FR"/>
              </w:rPr>
              <w:t>Oui</w:t>
            </w:r>
          </w:p>
        </w:tc>
        <w:tc>
          <w:tcPr>
            <w:tcW w:w="966" w:type="pct"/>
            <w:vAlign w:val="center"/>
          </w:tcPr>
          <w:p w14:paraId="720AE854" w14:textId="77777777" w:rsidR="00CE3F1E" w:rsidRPr="00B42BCE" w:rsidRDefault="00CE3F1E" w:rsidP="00775C53">
            <w:pPr>
              <w:spacing w:before="40" w:after="40"/>
              <w:jc w:val="center"/>
              <w:rPr>
                <w:rFonts w:asciiTheme="minorHAnsi" w:hAnsiTheme="minorHAnsi" w:cstheme="minorHAnsi"/>
                <w:sz w:val="22"/>
                <w:szCs w:val="22"/>
              </w:rPr>
            </w:pPr>
            <w:r w:rsidRPr="00B42BCE">
              <w:rPr>
                <w:rFonts w:asciiTheme="minorHAnsi" w:hAnsiTheme="minorHAnsi" w:cstheme="minorHAnsi"/>
                <w:sz w:val="22"/>
                <w:lang w:val="fr-FR" w:bidi="fr-FR"/>
              </w:rPr>
              <w:t>Oui</w:t>
            </w:r>
          </w:p>
        </w:tc>
      </w:tr>
      <w:tr w:rsidR="00CE3F1E" w:rsidRPr="00B42BCE" w14:paraId="1268A813" w14:textId="77777777" w:rsidTr="00220F7D">
        <w:trPr>
          <w:trHeight w:val="361"/>
        </w:trPr>
        <w:tc>
          <w:tcPr>
            <w:tcW w:w="2099" w:type="pct"/>
            <w:shd w:val="clear" w:color="auto" w:fill="FBD4B4" w:themeFill="accent6" w:themeFillTint="66"/>
            <w:vAlign w:val="center"/>
          </w:tcPr>
          <w:p w14:paraId="6EB2B49F" w14:textId="77777777" w:rsidR="00CE3F1E" w:rsidRPr="00B42BCE" w:rsidRDefault="00CE3F1E" w:rsidP="00775C53">
            <w:pPr>
              <w:spacing w:before="40" w:after="40"/>
              <w:rPr>
                <w:rFonts w:asciiTheme="minorHAnsi" w:hAnsiTheme="minorHAnsi" w:cstheme="minorHAnsi"/>
                <w:b/>
                <w:bCs/>
                <w:sz w:val="22"/>
                <w:szCs w:val="22"/>
              </w:rPr>
            </w:pPr>
            <w:r w:rsidRPr="00B42BCE">
              <w:rPr>
                <w:rFonts w:asciiTheme="minorHAnsi" w:hAnsiTheme="minorHAnsi" w:cstheme="minorHAnsi"/>
                <w:b/>
                <w:sz w:val="22"/>
                <w:lang w:val="fr-FR" w:bidi="fr-FR"/>
              </w:rPr>
              <w:t>3 – Sujets de controverse</w:t>
            </w:r>
          </w:p>
        </w:tc>
        <w:tc>
          <w:tcPr>
            <w:tcW w:w="967" w:type="pct"/>
            <w:vAlign w:val="center"/>
          </w:tcPr>
          <w:p w14:paraId="58C82980" w14:textId="77777777" w:rsidR="00CE3F1E" w:rsidRPr="00B42BCE" w:rsidRDefault="00CE3F1E" w:rsidP="00775C53">
            <w:pPr>
              <w:spacing w:before="40" w:after="40"/>
              <w:jc w:val="center"/>
              <w:rPr>
                <w:rFonts w:asciiTheme="minorHAnsi" w:hAnsiTheme="minorHAnsi" w:cstheme="minorHAnsi"/>
                <w:sz w:val="22"/>
                <w:szCs w:val="22"/>
              </w:rPr>
            </w:pPr>
            <w:r w:rsidRPr="00B42BCE">
              <w:rPr>
                <w:rFonts w:asciiTheme="minorHAnsi" w:hAnsiTheme="minorHAnsi" w:cstheme="minorHAnsi"/>
                <w:sz w:val="22"/>
                <w:lang w:val="fr-FR" w:bidi="fr-FR"/>
              </w:rPr>
              <w:t>Oui</w:t>
            </w:r>
          </w:p>
        </w:tc>
        <w:tc>
          <w:tcPr>
            <w:tcW w:w="967" w:type="pct"/>
            <w:vAlign w:val="center"/>
          </w:tcPr>
          <w:p w14:paraId="11ED0984" w14:textId="77777777" w:rsidR="00CE3F1E" w:rsidRPr="00B42BCE" w:rsidRDefault="00CE3F1E" w:rsidP="00775C53">
            <w:pPr>
              <w:spacing w:before="40" w:after="40"/>
              <w:jc w:val="center"/>
              <w:rPr>
                <w:rFonts w:asciiTheme="minorHAnsi" w:hAnsiTheme="minorHAnsi" w:cstheme="minorHAnsi"/>
                <w:sz w:val="22"/>
                <w:szCs w:val="22"/>
              </w:rPr>
            </w:pPr>
            <w:r w:rsidRPr="00B42BCE">
              <w:rPr>
                <w:rFonts w:asciiTheme="minorHAnsi" w:hAnsiTheme="minorHAnsi" w:cstheme="minorHAnsi"/>
                <w:sz w:val="22"/>
                <w:lang w:val="fr-FR" w:bidi="fr-FR"/>
              </w:rPr>
              <w:t>Oui</w:t>
            </w:r>
          </w:p>
        </w:tc>
        <w:tc>
          <w:tcPr>
            <w:tcW w:w="966" w:type="pct"/>
            <w:vAlign w:val="center"/>
          </w:tcPr>
          <w:p w14:paraId="4D92C3A6" w14:textId="77777777" w:rsidR="00CE3F1E" w:rsidRPr="00B42BCE" w:rsidRDefault="00CE3F1E" w:rsidP="00775C53">
            <w:pPr>
              <w:spacing w:before="40" w:after="40"/>
              <w:jc w:val="center"/>
              <w:rPr>
                <w:rFonts w:asciiTheme="minorHAnsi" w:hAnsiTheme="minorHAnsi" w:cstheme="minorHAnsi"/>
                <w:sz w:val="22"/>
                <w:szCs w:val="22"/>
              </w:rPr>
            </w:pPr>
            <w:r w:rsidRPr="00B42BCE">
              <w:rPr>
                <w:rFonts w:asciiTheme="minorHAnsi" w:hAnsiTheme="minorHAnsi" w:cstheme="minorHAnsi"/>
                <w:sz w:val="22"/>
                <w:lang w:val="fr-FR" w:bidi="fr-FR"/>
              </w:rPr>
              <w:t>Oui</w:t>
            </w:r>
          </w:p>
        </w:tc>
      </w:tr>
      <w:tr w:rsidR="00CE3F1E" w:rsidRPr="00B42BCE" w14:paraId="492379A1" w14:textId="77777777" w:rsidTr="00220F7D">
        <w:trPr>
          <w:trHeight w:val="338"/>
        </w:trPr>
        <w:tc>
          <w:tcPr>
            <w:tcW w:w="2099" w:type="pct"/>
            <w:shd w:val="clear" w:color="auto" w:fill="FBD4B4" w:themeFill="accent6" w:themeFillTint="66"/>
            <w:vAlign w:val="center"/>
          </w:tcPr>
          <w:p w14:paraId="5404A28A" w14:textId="77777777" w:rsidR="00CE3F1E" w:rsidRPr="00B42BCE" w:rsidRDefault="00CE3F1E" w:rsidP="00775C53">
            <w:pPr>
              <w:spacing w:before="40" w:after="40"/>
              <w:rPr>
                <w:rFonts w:asciiTheme="minorHAnsi" w:hAnsiTheme="minorHAnsi" w:cstheme="minorHAnsi"/>
                <w:b/>
                <w:bCs/>
                <w:sz w:val="22"/>
                <w:szCs w:val="22"/>
                <w:lang w:val="fr-FR"/>
              </w:rPr>
            </w:pPr>
            <w:r w:rsidRPr="00B42BCE">
              <w:rPr>
                <w:rFonts w:asciiTheme="minorHAnsi" w:hAnsiTheme="minorHAnsi" w:cstheme="minorHAnsi"/>
                <w:b/>
                <w:sz w:val="22"/>
                <w:lang w:val="fr-FR" w:bidi="fr-FR"/>
              </w:rPr>
              <w:t>4(a) – Engagements pris en matière d’ESG</w:t>
            </w:r>
          </w:p>
        </w:tc>
        <w:tc>
          <w:tcPr>
            <w:tcW w:w="967" w:type="pct"/>
            <w:vAlign w:val="center"/>
          </w:tcPr>
          <w:p w14:paraId="50DC6678" w14:textId="77777777" w:rsidR="00CE3F1E" w:rsidRPr="00B42BCE" w:rsidRDefault="00CE3F1E" w:rsidP="00775C53">
            <w:pPr>
              <w:spacing w:before="40" w:after="40"/>
              <w:jc w:val="center"/>
              <w:rPr>
                <w:rFonts w:asciiTheme="minorHAnsi" w:hAnsiTheme="minorHAnsi" w:cstheme="minorHAnsi"/>
                <w:sz w:val="22"/>
                <w:szCs w:val="22"/>
              </w:rPr>
            </w:pPr>
            <w:r w:rsidRPr="00B42BCE">
              <w:rPr>
                <w:rFonts w:asciiTheme="minorHAnsi" w:hAnsiTheme="minorHAnsi" w:cstheme="minorHAnsi"/>
                <w:sz w:val="22"/>
                <w:lang w:val="fr-FR" w:bidi="fr-FR"/>
              </w:rPr>
              <w:t>Non</w:t>
            </w:r>
          </w:p>
        </w:tc>
        <w:tc>
          <w:tcPr>
            <w:tcW w:w="967" w:type="pct"/>
            <w:vAlign w:val="center"/>
          </w:tcPr>
          <w:p w14:paraId="3253D75F" w14:textId="77777777" w:rsidR="00CE3F1E" w:rsidRPr="00B42BCE" w:rsidRDefault="00CE3F1E" w:rsidP="00775C53">
            <w:pPr>
              <w:spacing w:before="40" w:after="40"/>
              <w:jc w:val="center"/>
              <w:rPr>
                <w:rFonts w:asciiTheme="minorHAnsi" w:hAnsiTheme="minorHAnsi" w:cstheme="minorHAnsi"/>
                <w:sz w:val="22"/>
                <w:szCs w:val="22"/>
              </w:rPr>
            </w:pPr>
            <w:r w:rsidRPr="00B42BCE">
              <w:rPr>
                <w:rFonts w:asciiTheme="minorHAnsi" w:hAnsiTheme="minorHAnsi" w:cstheme="minorHAnsi"/>
                <w:sz w:val="22"/>
                <w:lang w:val="fr-FR" w:bidi="fr-FR"/>
              </w:rPr>
              <w:t>Oui ou non</w:t>
            </w:r>
            <w:r w:rsidRPr="00B42BCE">
              <w:rPr>
                <w:rStyle w:val="FootnoteReference"/>
                <w:rFonts w:asciiTheme="minorHAnsi" w:hAnsiTheme="minorHAnsi" w:cstheme="minorHAnsi"/>
                <w:sz w:val="22"/>
                <w:lang w:val="fr-FR" w:bidi="fr-FR"/>
              </w:rPr>
              <w:footnoteReference w:id="19"/>
            </w:r>
          </w:p>
        </w:tc>
        <w:tc>
          <w:tcPr>
            <w:tcW w:w="966" w:type="pct"/>
            <w:vAlign w:val="center"/>
          </w:tcPr>
          <w:p w14:paraId="557A1FD1" w14:textId="77777777" w:rsidR="00CE3F1E" w:rsidRPr="00B42BCE" w:rsidRDefault="00CE3F1E" w:rsidP="00775C53">
            <w:pPr>
              <w:spacing w:before="40" w:after="40"/>
              <w:jc w:val="center"/>
              <w:rPr>
                <w:rFonts w:asciiTheme="minorHAnsi" w:hAnsiTheme="minorHAnsi" w:cstheme="minorHAnsi"/>
                <w:sz w:val="22"/>
                <w:szCs w:val="22"/>
              </w:rPr>
            </w:pPr>
            <w:r w:rsidRPr="00B42BCE">
              <w:rPr>
                <w:rFonts w:asciiTheme="minorHAnsi" w:hAnsiTheme="minorHAnsi" w:cstheme="minorHAnsi"/>
                <w:sz w:val="22"/>
                <w:lang w:val="fr-FR" w:bidi="fr-FR"/>
              </w:rPr>
              <w:t>Oui</w:t>
            </w:r>
          </w:p>
        </w:tc>
      </w:tr>
      <w:tr w:rsidR="00CE3F1E" w:rsidRPr="00B42BCE" w14:paraId="043229AD" w14:textId="77777777" w:rsidTr="00220F7D">
        <w:trPr>
          <w:trHeight w:val="338"/>
        </w:trPr>
        <w:tc>
          <w:tcPr>
            <w:tcW w:w="2099" w:type="pct"/>
            <w:shd w:val="clear" w:color="auto" w:fill="FBD4B4" w:themeFill="accent6" w:themeFillTint="66"/>
            <w:vAlign w:val="center"/>
          </w:tcPr>
          <w:p w14:paraId="70FDF41F" w14:textId="77777777" w:rsidR="00CE3F1E" w:rsidRPr="00B42BCE" w:rsidRDefault="00CE3F1E" w:rsidP="00775C53">
            <w:pPr>
              <w:spacing w:before="40" w:after="40"/>
              <w:rPr>
                <w:rFonts w:asciiTheme="minorHAnsi" w:hAnsiTheme="minorHAnsi" w:cstheme="minorHAnsi"/>
                <w:b/>
                <w:bCs/>
                <w:sz w:val="22"/>
                <w:szCs w:val="22"/>
                <w:lang w:val="fr-FR"/>
              </w:rPr>
            </w:pPr>
            <w:r w:rsidRPr="00B42BCE">
              <w:rPr>
                <w:rFonts w:asciiTheme="minorHAnsi" w:hAnsiTheme="minorHAnsi" w:cstheme="minorHAnsi"/>
                <w:b/>
                <w:sz w:val="22"/>
                <w:lang w:val="fr-FR" w:bidi="fr-FR"/>
              </w:rPr>
              <w:t>4(b) – Risques et avantages liés au partenariat</w:t>
            </w:r>
          </w:p>
        </w:tc>
        <w:tc>
          <w:tcPr>
            <w:tcW w:w="967" w:type="pct"/>
            <w:vAlign w:val="center"/>
          </w:tcPr>
          <w:p w14:paraId="598B32E9" w14:textId="77777777" w:rsidR="00CE3F1E" w:rsidRPr="00B42BCE" w:rsidRDefault="00CE3F1E" w:rsidP="00775C53">
            <w:pPr>
              <w:spacing w:before="40" w:after="40"/>
              <w:jc w:val="center"/>
              <w:rPr>
                <w:rFonts w:asciiTheme="minorHAnsi" w:hAnsiTheme="minorHAnsi" w:cstheme="minorHAnsi"/>
                <w:sz w:val="22"/>
                <w:szCs w:val="22"/>
              </w:rPr>
            </w:pPr>
            <w:r w:rsidRPr="00B42BCE">
              <w:rPr>
                <w:rFonts w:asciiTheme="minorHAnsi" w:hAnsiTheme="minorHAnsi" w:cstheme="minorHAnsi"/>
                <w:sz w:val="22"/>
                <w:lang w:val="fr-FR" w:bidi="fr-FR"/>
              </w:rPr>
              <w:t>Non</w:t>
            </w:r>
          </w:p>
        </w:tc>
        <w:tc>
          <w:tcPr>
            <w:tcW w:w="967" w:type="pct"/>
            <w:vAlign w:val="center"/>
          </w:tcPr>
          <w:p w14:paraId="4C2CF2FB" w14:textId="77777777" w:rsidR="00CE3F1E" w:rsidRPr="00B42BCE" w:rsidRDefault="00CE3F1E" w:rsidP="00775C53">
            <w:pPr>
              <w:spacing w:before="40" w:after="40"/>
              <w:jc w:val="center"/>
              <w:rPr>
                <w:rFonts w:asciiTheme="minorHAnsi" w:hAnsiTheme="minorHAnsi" w:cstheme="minorHAnsi"/>
                <w:sz w:val="22"/>
                <w:szCs w:val="22"/>
              </w:rPr>
            </w:pPr>
            <w:r w:rsidRPr="00B42BCE">
              <w:rPr>
                <w:rFonts w:asciiTheme="minorHAnsi" w:hAnsiTheme="minorHAnsi" w:cstheme="minorHAnsi"/>
                <w:sz w:val="22"/>
                <w:lang w:val="fr-FR" w:bidi="fr-FR"/>
              </w:rPr>
              <w:t>Oui ou non</w:t>
            </w:r>
            <w:r w:rsidRPr="00B42BCE">
              <w:rPr>
                <w:rStyle w:val="FootnoteReference"/>
                <w:rFonts w:asciiTheme="minorHAnsi" w:hAnsiTheme="minorHAnsi" w:cstheme="minorHAnsi"/>
                <w:sz w:val="22"/>
                <w:lang w:val="fr-FR" w:bidi="fr-FR"/>
              </w:rPr>
              <w:footnoteReference w:id="20"/>
            </w:r>
          </w:p>
        </w:tc>
        <w:tc>
          <w:tcPr>
            <w:tcW w:w="966" w:type="pct"/>
            <w:vAlign w:val="center"/>
          </w:tcPr>
          <w:p w14:paraId="737254F5" w14:textId="77777777" w:rsidR="00CE3F1E" w:rsidRPr="00B42BCE" w:rsidRDefault="00CE3F1E" w:rsidP="00775C53">
            <w:pPr>
              <w:spacing w:before="40" w:after="40"/>
              <w:jc w:val="center"/>
              <w:rPr>
                <w:rFonts w:asciiTheme="minorHAnsi" w:hAnsiTheme="minorHAnsi" w:cstheme="minorHAnsi"/>
                <w:sz w:val="22"/>
                <w:szCs w:val="22"/>
              </w:rPr>
            </w:pPr>
            <w:r w:rsidRPr="00B42BCE">
              <w:rPr>
                <w:rFonts w:asciiTheme="minorHAnsi" w:hAnsiTheme="minorHAnsi" w:cstheme="minorHAnsi"/>
                <w:sz w:val="22"/>
                <w:lang w:val="fr-FR" w:bidi="fr-FR"/>
              </w:rPr>
              <w:t>Oui</w:t>
            </w:r>
          </w:p>
        </w:tc>
      </w:tr>
    </w:tbl>
    <w:p w14:paraId="4CD745A1" w14:textId="77777777" w:rsidR="00815585" w:rsidRPr="00B42BCE" w:rsidRDefault="00815585" w:rsidP="00815585">
      <w:pPr>
        <w:pStyle w:val="Heading2"/>
        <w:tabs>
          <w:tab w:val="left" w:pos="1015"/>
        </w:tabs>
        <w:spacing w:before="81"/>
        <w:ind w:left="1005" w:firstLine="0"/>
        <w:rPr>
          <w:rFonts w:asciiTheme="minorHAnsi" w:hAnsiTheme="minorHAnsi" w:cstheme="minorHAnsi"/>
        </w:rPr>
      </w:pPr>
    </w:p>
    <w:p w14:paraId="24CC2D32" w14:textId="121F10E1" w:rsidR="00474239" w:rsidRPr="00B42BCE" w:rsidRDefault="005F2731">
      <w:pPr>
        <w:pStyle w:val="Heading2"/>
        <w:numPr>
          <w:ilvl w:val="1"/>
          <w:numId w:val="19"/>
        </w:numPr>
        <w:tabs>
          <w:tab w:val="left" w:pos="1015"/>
        </w:tabs>
        <w:spacing w:before="81"/>
        <w:rPr>
          <w:rFonts w:asciiTheme="minorHAnsi" w:hAnsiTheme="minorHAnsi" w:cstheme="minorHAnsi"/>
        </w:rPr>
      </w:pPr>
      <w:bookmarkStart w:id="13" w:name="_Toc160629988"/>
      <w:r w:rsidRPr="00B42BCE">
        <w:rPr>
          <w:rFonts w:asciiTheme="minorHAnsi" w:hAnsiTheme="minorHAnsi" w:cstheme="minorHAnsi"/>
          <w:lang w:bidi="fr-FR"/>
        </w:rPr>
        <w:t>Qui met en œuvre le processus de diligence raisonnable ?</w:t>
      </w:r>
      <w:bookmarkEnd w:id="13"/>
    </w:p>
    <w:p w14:paraId="24CC2D33" w14:textId="77777777" w:rsidR="00474239" w:rsidRPr="00B42BCE" w:rsidRDefault="005F2731">
      <w:pPr>
        <w:pStyle w:val="BodyText"/>
        <w:spacing w:before="147"/>
        <w:ind w:left="280" w:right="633"/>
        <w:jc w:val="both"/>
        <w:rPr>
          <w:rFonts w:asciiTheme="minorHAnsi" w:hAnsiTheme="minorHAnsi" w:cstheme="minorHAnsi"/>
        </w:rPr>
      </w:pPr>
      <w:r w:rsidRPr="00B42BCE">
        <w:rPr>
          <w:rFonts w:asciiTheme="minorHAnsi" w:hAnsiTheme="minorHAnsi" w:cstheme="minorHAnsi"/>
          <w:lang w:bidi="fr-FR"/>
        </w:rPr>
        <w:t>Pour soumettre un partenaire privé potentiel à une procédure de diligence raisonnable, il convient de respecter l’ensemble du processus et des étapes présentées dans la figure 1 ci-dessous, et d’utiliser l’outil d’évaluation des risques liés aux partenaires du secteur privé, mis au point par le PNUD. L’outil d’évaluation des risques et les lignes directrices correspondantes offrent des informations plus détaillées concernant la procédure à suivre.</w:t>
      </w:r>
    </w:p>
    <w:p w14:paraId="24CC2D34" w14:textId="77777777" w:rsidR="00474239" w:rsidRPr="00B42BCE" w:rsidRDefault="00474239">
      <w:pPr>
        <w:pStyle w:val="BodyText"/>
        <w:rPr>
          <w:rFonts w:asciiTheme="minorHAnsi" w:hAnsiTheme="minorHAnsi" w:cstheme="minorHAnsi"/>
        </w:rPr>
      </w:pPr>
    </w:p>
    <w:p w14:paraId="24CC2D35" w14:textId="7A05E420" w:rsidR="00474239" w:rsidRPr="00B42BCE" w:rsidRDefault="005F2731">
      <w:pPr>
        <w:pStyle w:val="BodyText"/>
        <w:ind w:left="280" w:right="637"/>
        <w:jc w:val="both"/>
        <w:rPr>
          <w:rFonts w:asciiTheme="minorHAnsi" w:hAnsiTheme="minorHAnsi" w:cstheme="minorHAnsi"/>
        </w:rPr>
      </w:pPr>
      <w:r w:rsidRPr="00B42BCE">
        <w:rPr>
          <w:rFonts w:asciiTheme="minorHAnsi" w:hAnsiTheme="minorHAnsi" w:cstheme="minorHAnsi"/>
          <w:lang w:bidi="fr-FR"/>
        </w:rPr>
        <w:t>Il appartient au gestionnaire de programme</w:t>
      </w:r>
      <w:r w:rsidR="004A27F9">
        <w:rPr>
          <w:rFonts w:asciiTheme="minorHAnsi" w:hAnsiTheme="minorHAnsi" w:cstheme="minorHAnsi"/>
          <w:lang w:bidi="fr-FR"/>
        </w:rPr>
        <w:t>/portefuille</w:t>
      </w:r>
      <w:r w:rsidRPr="00B42BCE">
        <w:rPr>
          <w:rFonts w:asciiTheme="minorHAnsi" w:hAnsiTheme="minorHAnsi" w:cstheme="minorHAnsi"/>
          <w:lang w:bidi="fr-FR"/>
        </w:rPr>
        <w:t xml:space="preserve">/au chef de projet de l’unité </w:t>
      </w:r>
      <w:r w:rsidR="007565E4">
        <w:rPr>
          <w:rFonts w:asciiTheme="minorHAnsi" w:hAnsiTheme="minorHAnsi" w:cstheme="minorHAnsi"/>
          <w:lang w:bidi="fr-FR"/>
        </w:rPr>
        <w:t xml:space="preserve">Initatrice </w:t>
      </w:r>
      <w:r w:rsidRPr="00B42BCE">
        <w:rPr>
          <w:rFonts w:asciiTheme="minorHAnsi" w:hAnsiTheme="minorHAnsi" w:cstheme="minorHAnsi"/>
          <w:lang w:bidi="fr-FR"/>
        </w:rPr>
        <w:t xml:space="preserve"> du partenariat de mettre en œuvre l’outil d’évaluation des risques.</w:t>
      </w:r>
    </w:p>
    <w:p w14:paraId="75B6A0A3" w14:textId="77777777" w:rsidR="00DD18F1" w:rsidRPr="00B42BCE" w:rsidRDefault="00DD18F1">
      <w:pPr>
        <w:pStyle w:val="BodyText"/>
        <w:ind w:left="280" w:right="637"/>
        <w:jc w:val="both"/>
        <w:rPr>
          <w:rFonts w:asciiTheme="minorHAnsi" w:hAnsiTheme="minorHAnsi" w:cstheme="minorHAnsi"/>
        </w:rPr>
      </w:pPr>
    </w:p>
    <w:p w14:paraId="1454CD8F" w14:textId="4DB5A006" w:rsidR="00DD18F1" w:rsidRPr="00B42BCE" w:rsidRDefault="00DD18F1" w:rsidP="008D7C63">
      <w:pPr>
        <w:pStyle w:val="BodyText"/>
        <w:ind w:left="280" w:right="639"/>
        <w:jc w:val="both"/>
        <w:rPr>
          <w:rFonts w:asciiTheme="minorHAnsi" w:hAnsiTheme="minorHAnsi" w:cstheme="minorHAnsi"/>
        </w:rPr>
      </w:pPr>
      <w:r w:rsidRPr="00B42BCE">
        <w:rPr>
          <w:rFonts w:asciiTheme="minorHAnsi" w:hAnsiTheme="minorHAnsi" w:cstheme="minorHAnsi"/>
          <w:lang w:bidi="fr-FR"/>
        </w:rPr>
        <w:t>Lorsqu’un partenaire potentiel a déjà été soumis à une procédure de vérification par un autre organisme des Nations Unies au cours des deux années précédentes, le PNUD pourra s’appuyer sur les résultats de cette évaluation et se contenter de mesures de diligence raisonnable complémentaires, portant sur des critères non traités.</w:t>
      </w:r>
    </w:p>
    <w:p w14:paraId="24CC2D36" w14:textId="77777777" w:rsidR="00474239" w:rsidRPr="00B42BCE" w:rsidRDefault="00474239">
      <w:pPr>
        <w:pStyle w:val="BodyText"/>
        <w:spacing w:before="2"/>
        <w:rPr>
          <w:rFonts w:asciiTheme="minorHAnsi" w:hAnsiTheme="minorHAnsi" w:cstheme="minorHAnsi"/>
        </w:rPr>
      </w:pPr>
    </w:p>
    <w:p w14:paraId="445376FE" w14:textId="40BDD004" w:rsidR="000076B7" w:rsidRPr="00B42BCE" w:rsidRDefault="000076B7">
      <w:pPr>
        <w:pStyle w:val="BodyText"/>
        <w:ind w:left="280" w:right="634"/>
        <w:jc w:val="both"/>
        <w:rPr>
          <w:rFonts w:asciiTheme="minorHAnsi" w:hAnsiTheme="minorHAnsi" w:cstheme="minorHAnsi"/>
        </w:rPr>
      </w:pPr>
      <w:r w:rsidRPr="00B42BCE">
        <w:rPr>
          <w:rFonts w:asciiTheme="minorHAnsi" w:hAnsiTheme="minorHAnsi" w:cstheme="minorHAnsi"/>
          <w:lang w:bidi="fr-FR"/>
        </w:rPr>
        <w:t xml:space="preserve">L’un des dispositifs d’assurance qualité décrits dans la section 4.5 ci-dessous pourra se charger de formuler des lignes directrices relatives à la procédure de diligence raisonnable. </w:t>
      </w:r>
    </w:p>
    <w:p w14:paraId="24CC2D3A" w14:textId="77777777" w:rsidR="00474239" w:rsidRPr="00B42BCE" w:rsidRDefault="00474239" w:rsidP="008D7C63">
      <w:pPr>
        <w:pStyle w:val="BodyText"/>
        <w:ind w:left="280" w:right="636"/>
        <w:jc w:val="both"/>
        <w:rPr>
          <w:rFonts w:asciiTheme="minorHAnsi" w:hAnsiTheme="minorHAnsi" w:cstheme="minorHAnsi"/>
        </w:rPr>
      </w:pPr>
    </w:p>
    <w:p w14:paraId="188396EF" w14:textId="7247644C" w:rsidR="00167985" w:rsidRPr="00B42BCE" w:rsidRDefault="00167985" w:rsidP="008D7C63">
      <w:pPr>
        <w:pStyle w:val="Heading2"/>
        <w:numPr>
          <w:ilvl w:val="1"/>
          <w:numId w:val="19"/>
        </w:numPr>
        <w:tabs>
          <w:tab w:val="left" w:pos="1015"/>
          <w:tab w:val="left" w:pos="9810"/>
        </w:tabs>
        <w:spacing w:before="1"/>
        <w:rPr>
          <w:rFonts w:asciiTheme="minorHAnsi" w:hAnsiTheme="minorHAnsi" w:cstheme="minorHAnsi"/>
        </w:rPr>
      </w:pPr>
      <w:bookmarkStart w:id="14" w:name="_Toc160629989"/>
      <w:r w:rsidRPr="00B42BCE">
        <w:rPr>
          <w:rFonts w:asciiTheme="minorHAnsi" w:hAnsiTheme="minorHAnsi" w:cstheme="minorHAnsi"/>
          <w:lang w:bidi="fr-FR"/>
        </w:rPr>
        <w:t>Niveaux de risque</w:t>
      </w:r>
      <w:bookmarkEnd w:id="14"/>
    </w:p>
    <w:p w14:paraId="0B420AFF" w14:textId="77777777" w:rsidR="00167985" w:rsidRPr="00B42BCE" w:rsidRDefault="00167985" w:rsidP="00167985">
      <w:pPr>
        <w:pStyle w:val="BodyText"/>
        <w:spacing w:before="11"/>
        <w:rPr>
          <w:rFonts w:asciiTheme="minorHAnsi" w:hAnsiTheme="minorHAnsi" w:cstheme="minorHAnsi"/>
        </w:rPr>
      </w:pPr>
    </w:p>
    <w:p w14:paraId="7FAC86A4" w14:textId="1CF5629E" w:rsidR="00167985" w:rsidRPr="00B42BCE" w:rsidRDefault="00A34C16" w:rsidP="00167985">
      <w:pPr>
        <w:pStyle w:val="BodyText"/>
        <w:ind w:left="280" w:right="637"/>
        <w:jc w:val="both"/>
        <w:rPr>
          <w:rFonts w:asciiTheme="minorHAnsi" w:hAnsiTheme="minorHAnsi" w:cstheme="minorHAnsi"/>
        </w:rPr>
      </w:pPr>
      <w:r w:rsidRPr="00B42BCE">
        <w:rPr>
          <w:rFonts w:asciiTheme="minorHAnsi" w:hAnsiTheme="minorHAnsi" w:cstheme="minorHAnsi"/>
          <w:lang w:bidi="fr-FR"/>
        </w:rPr>
        <w:t>Une fois menée à bien, la procédure de diligence raisonnable permettra d’identifier le niveau de risque associé au partenaire potentiel. Ce niveau de risque déterminera à son tour le niveau d’assurance qualité à laquelle le respect du principe de diligence raisonnable sera soumise, ainsi que l’instance décisionnaire qui actera ou non la poursuite du partenariat. La présente politique distingue quatre niveaux de risque, alignés sur la politique du PNUD en matière de gestion du risque institutionnel :</w:t>
      </w:r>
    </w:p>
    <w:p w14:paraId="18B62FA7" w14:textId="21EFD951" w:rsidR="00167985" w:rsidRPr="00B42BCE" w:rsidRDefault="4BA52721" w:rsidP="00C6409C">
      <w:pPr>
        <w:pStyle w:val="ListParagraph"/>
        <w:numPr>
          <w:ilvl w:val="0"/>
          <w:numId w:val="17"/>
        </w:numPr>
        <w:tabs>
          <w:tab w:val="left" w:pos="1001"/>
        </w:tabs>
        <w:spacing w:before="60"/>
        <w:ind w:right="634"/>
        <w:jc w:val="both"/>
        <w:rPr>
          <w:rFonts w:asciiTheme="minorHAnsi" w:hAnsiTheme="minorHAnsi" w:cstheme="minorHAnsi"/>
        </w:rPr>
      </w:pPr>
      <w:r w:rsidRPr="00B42BCE">
        <w:rPr>
          <w:rFonts w:asciiTheme="minorHAnsi" w:hAnsiTheme="minorHAnsi" w:cstheme="minorHAnsi"/>
          <w:b/>
          <w:lang w:bidi="fr-FR"/>
        </w:rPr>
        <w:t xml:space="preserve">Risque élevé : </w:t>
      </w:r>
      <w:r w:rsidRPr="00B42BCE">
        <w:rPr>
          <w:rFonts w:asciiTheme="minorHAnsi" w:hAnsiTheme="minorHAnsi" w:cstheme="minorHAnsi"/>
          <w:lang w:bidi="fr-FR"/>
        </w:rPr>
        <w:t>la collaboration avec les secteurs économiques ou les pratiques commerciales concerné</w:t>
      </w:r>
      <w:r w:rsidR="00582806" w:rsidRPr="00B42BCE">
        <w:rPr>
          <w:rFonts w:asciiTheme="minorHAnsi" w:hAnsiTheme="minorHAnsi" w:cstheme="minorHAnsi"/>
          <w:lang w:bidi="fr-FR"/>
        </w:rPr>
        <w:t>e</w:t>
      </w:r>
      <w:r w:rsidRPr="00B42BCE">
        <w:rPr>
          <w:rFonts w:asciiTheme="minorHAnsi" w:hAnsiTheme="minorHAnsi" w:cstheme="minorHAnsi"/>
          <w:lang w:bidi="fr-FR"/>
        </w:rPr>
        <w:t xml:space="preserve">s sont incompatibles avec la vision, la mission et les valeurs du PNUD, ou les entités privées du secteur affichent des valeurs contraires aux résolutions des Nations Unies ou sont présentes sur les listes d’inéligibilité des Nations Unies. Ce niveau de risque correspond à l’identification avérée de participation directe à des activités correspondant aux critères </w:t>
      </w:r>
      <w:r w:rsidRPr="00B42BCE">
        <w:rPr>
          <w:rFonts w:asciiTheme="minorHAnsi" w:hAnsiTheme="minorHAnsi" w:cstheme="minorHAnsi"/>
          <w:lang w:bidi="fr-FR"/>
        </w:rPr>
        <w:lastRenderedPageBreak/>
        <w:t>d’exclusion ou relevant des industries extractives</w:t>
      </w:r>
      <w:r w:rsidR="00167985" w:rsidRPr="00B42BCE">
        <w:rPr>
          <w:rStyle w:val="FootnoteReference"/>
          <w:rFonts w:asciiTheme="minorHAnsi" w:hAnsiTheme="minorHAnsi" w:cstheme="minorHAnsi"/>
          <w:lang w:bidi="fr-FR"/>
        </w:rPr>
        <w:footnoteReference w:id="21"/>
      </w:r>
      <w:r w:rsidRPr="00B42BCE">
        <w:rPr>
          <w:rFonts w:asciiTheme="minorHAnsi" w:hAnsiTheme="minorHAnsi" w:cstheme="minorHAnsi"/>
          <w:lang w:bidi="fr-FR"/>
        </w:rPr>
        <w:t xml:space="preserve">. </w:t>
      </w:r>
    </w:p>
    <w:p w14:paraId="204EC6B4" w14:textId="327DF316" w:rsidR="00167985" w:rsidRPr="00B42BCE" w:rsidRDefault="00D30CDB" w:rsidP="00CB0D14">
      <w:pPr>
        <w:pStyle w:val="ListParagraph"/>
        <w:numPr>
          <w:ilvl w:val="0"/>
          <w:numId w:val="17"/>
        </w:numPr>
        <w:tabs>
          <w:tab w:val="left" w:pos="1001"/>
        </w:tabs>
        <w:spacing w:before="60"/>
        <w:ind w:right="634"/>
        <w:jc w:val="both"/>
        <w:rPr>
          <w:rFonts w:asciiTheme="minorHAnsi" w:hAnsiTheme="minorHAnsi" w:cstheme="minorHAnsi"/>
        </w:rPr>
      </w:pPr>
      <w:r w:rsidRPr="00B42BCE">
        <w:rPr>
          <w:rFonts w:asciiTheme="minorHAnsi" w:hAnsiTheme="minorHAnsi" w:cstheme="minorHAnsi"/>
          <w:b/>
          <w:lang w:bidi="fr-FR"/>
        </w:rPr>
        <w:t xml:space="preserve">Risque significatif : </w:t>
      </w:r>
      <w:r w:rsidRPr="00B42BCE">
        <w:rPr>
          <w:rFonts w:asciiTheme="minorHAnsi" w:hAnsiTheme="minorHAnsi" w:cstheme="minorHAnsi"/>
          <w:lang w:bidi="fr-FR"/>
        </w:rPr>
        <w:t xml:space="preserve">aucun élément de preuve ne permet d’affirmer que les entités privées concernées participent </w:t>
      </w:r>
      <w:r w:rsidRPr="00B42BCE">
        <w:rPr>
          <w:rFonts w:asciiTheme="minorHAnsi" w:hAnsiTheme="minorHAnsi" w:cstheme="minorHAnsi"/>
          <w:b/>
          <w:i/>
          <w:u w:val="single"/>
          <w:lang w:bidi="fr-FR"/>
        </w:rPr>
        <w:t>directement</w:t>
      </w:r>
      <w:r w:rsidRPr="00B42BCE">
        <w:rPr>
          <w:rFonts w:asciiTheme="minorHAnsi" w:hAnsiTheme="minorHAnsi" w:cstheme="minorHAnsi"/>
          <w:lang w:bidi="fr-FR"/>
        </w:rPr>
        <w:t xml:space="preserve"> à des activités correspondant aux critères d’exclusion, mais il est avéré qu’elles sont sujettes à controverse et/ou participent à des activités relevant d’un secteur à haut risque. </w:t>
      </w:r>
    </w:p>
    <w:p w14:paraId="0929A13D" w14:textId="4BC8D587" w:rsidR="00167985" w:rsidRPr="00B42BCE" w:rsidRDefault="00167985" w:rsidP="00775C53">
      <w:pPr>
        <w:pStyle w:val="ListParagraph"/>
        <w:numPr>
          <w:ilvl w:val="0"/>
          <w:numId w:val="17"/>
        </w:numPr>
        <w:tabs>
          <w:tab w:val="left" w:pos="1001"/>
        </w:tabs>
        <w:spacing w:before="60"/>
        <w:ind w:right="634"/>
        <w:jc w:val="both"/>
        <w:rPr>
          <w:rFonts w:asciiTheme="minorHAnsi" w:hAnsiTheme="minorHAnsi" w:cstheme="minorHAnsi"/>
        </w:rPr>
      </w:pPr>
      <w:r w:rsidRPr="00B42BCE">
        <w:rPr>
          <w:rFonts w:asciiTheme="minorHAnsi" w:hAnsiTheme="minorHAnsi" w:cstheme="minorHAnsi"/>
          <w:b/>
          <w:lang w:bidi="fr-FR"/>
        </w:rPr>
        <w:t xml:space="preserve">Risque modéré : </w:t>
      </w:r>
      <w:r w:rsidRPr="00B42BCE">
        <w:rPr>
          <w:rFonts w:asciiTheme="minorHAnsi" w:hAnsiTheme="minorHAnsi" w:cstheme="minorHAnsi"/>
          <w:lang w:bidi="fr-FR"/>
        </w:rPr>
        <w:t>aucun élément de preuve ne permet d’affirmer que les entités privées concernées participent (directement ou indirectement) à des activités correspondant aux critères d’exclusion ou qu’elles sont sujettes à des controverses substantielles, mais il est avéré qu’elles entretiennent des liens avec un secteur à haut risque.</w:t>
      </w:r>
    </w:p>
    <w:p w14:paraId="1D1B5D54" w14:textId="418E532D" w:rsidR="00167985" w:rsidRPr="00B42BCE" w:rsidRDefault="00167985" w:rsidP="00775C53">
      <w:pPr>
        <w:pStyle w:val="ListParagraph"/>
        <w:numPr>
          <w:ilvl w:val="0"/>
          <w:numId w:val="17"/>
        </w:numPr>
        <w:tabs>
          <w:tab w:val="left" w:pos="1001"/>
        </w:tabs>
        <w:spacing w:before="60"/>
        <w:ind w:right="634"/>
        <w:jc w:val="both"/>
        <w:rPr>
          <w:rFonts w:asciiTheme="minorHAnsi" w:hAnsiTheme="minorHAnsi" w:cstheme="minorHAnsi"/>
        </w:rPr>
      </w:pPr>
      <w:r w:rsidRPr="00B42BCE">
        <w:rPr>
          <w:rFonts w:asciiTheme="minorHAnsi" w:hAnsiTheme="minorHAnsi" w:cstheme="minorHAnsi"/>
          <w:b/>
          <w:lang w:bidi="fr-FR"/>
        </w:rPr>
        <w:t xml:space="preserve">Risque faible : </w:t>
      </w:r>
      <w:r w:rsidRPr="00B42BCE">
        <w:rPr>
          <w:rFonts w:asciiTheme="minorHAnsi" w:hAnsiTheme="minorHAnsi" w:cstheme="minorHAnsi"/>
          <w:lang w:bidi="fr-FR"/>
        </w:rPr>
        <w:t>aucun élément de preuve ne permet d’affirmer que les partenaires potentiels participent à une quelconque activité correspondant aux critères d’exclusion, qu’elles sont sujettes à controverse ou qu’elles entretiennent des liens avec un secteur à haut risque.</w:t>
      </w:r>
    </w:p>
    <w:p w14:paraId="662CCB01" w14:textId="77777777" w:rsidR="000F537B" w:rsidRPr="00B42BCE" w:rsidRDefault="000F537B" w:rsidP="000F537B">
      <w:pPr>
        <w:pStyle w:val="ListParagraph"/>
        <w:tabs>
          <w:tab w:val="left" w:pos="1001"/>
        </w:tabs>
        <w:ind w:left="1000" w:right="897" w:firstLine="0"/>
        <w:jc w:val="both"/>
        <w:rPr>
          <w:rFonts w:asciiTheme="minorHAnsi" w:hAnsiTheme="minorHAnsi" w:cstheme="minorHAnsi"/>
        </w:rPr>
      </w:pPr>
    </w:p>
    <w:p w14:paraId="118E7310" w14:textId="77777777" w:rsidR="00A222ED" w:rsidRPr="00B42BCE" w:rsidRDefault="00A222ED" w:rsidP="000F537B">
      <w:pPr>
        <w:pStyle w:val="ListParagraph"/>
        <w:tabs>
          <w:tab w:val="left" w:pos="1001"/>
        </w:tabs>
        <w:ind w:left="1000" w:right="897" w:firstLine="0"/>
        <w:jc w:val="both"/>
        <w:rPr>
          <w:rFonts w:asciiTheme="minorHAnsi" w:hAnsiTheme="minorHAnsi" w:cstheme="minorHAnsi"/>
        </w:rPr>
      </w:pPr>
    </w:p>
    <w:p w14:paraId="0766FCB9" w14:textId="6996D89F" w:rsidR="00062F36" w:rsidRPr="00B42BCE" w:rsidRDefault="008D22F9" w:rsidP="00062F36">
      <w:pPr>
        <w:pStyle w:val="Heading2"/>
        <w:numPr>
          <w:ilvl w:val="1"/>
          <w:numId w:val="19"/>
        </w:numPr>
        <w:tabs>
          <w:tab w:val="left" w:pos="1015"/>
        </w:tabs>
        <w:spacing w:before="1"/>
        <w:rPr>
          <w:rFonts w:asciiTheme="minorHAnsi" w:hAnsiTheme="minorHAnsi" w:cstheme="minorHAnsi"/>
        </w:rPr>
      </w:pPr>
      <w:bookmarkStart w:id="15" w:name="_Toc160629990"/>
      <w:r w:rsidRPr="00B42BCE">
        <w:rPr>
          <w:rFonts w:asciiTheme="minorHAnsi" w:hAnsiTheme="minorHAnsi" w:cstheme="minorHAnsi"/>
          <w:lang w:bidi="fr-FR"/>
        </w:rPr>
        <w:t>Conseils et processus d’assurance qualité relatifs à la procédure de diligence raisonnable</w:t>
      </w:r>
      <w:bookmarkEnd w:id="15"/>
      <w:r w:rsidRPr="00B42BCE">
        <w:rPr>
          <w:rFonts w:asciiTheme="minorHAnsi" w:hAnsiTheme="minorHAnsi" w:cstheme="minorHAnsi"/>
          <w:lang w:bidi="fr-FR"/>
        </w:rPr>
        <w:t xml:space="preserve"> </w:t>
      </w:r>
    </w:p>
    <w:p w14:paraId="14FA0294" w14:textId="77777777" w:rsidR="00062F36" w:rsidRPr="00B42BCE" w:rsidRDefault="00062F36" w:rsidP="00062F36">
      <w:pPr>
        <w:pStyle w:val="BodyText"/>
        <w:ind w:left="280" w:right="636"/>
        <w:jc w:val="both"/>
        <w:rPr>
          <w:rFonts w:asciiTheme="minorHAnsi" w:hAnsiTheme="minorHAnsi" w:cstheme="minorHAnsi"/>
        </w:rPr>
      </w:pPr>
    </w:p>
    <w:p w14:paraId="5641922D" w14:textId="589C9B0E" w:rsidR="00062F36" w:rsidRPr="00B42BCE" w:rsidRDefault="00062F36" w:rsidP="00062F36">
      <w:pPr>
        <w:pStyle w:val="BodyText"/>
        <w:ind w:left="280" w:right="636"/>
        <w:jc w:val="both"/>
        <w:rPr>
          <w:rFonts w:asciiTheme="minorHAnsi" w:hAnsiTheme="minorHAnsi" w:cstheme="minorHAnsi"/>
        </w:rPr>
      </w:pPr>
      <w:r w:rsidRPr="00B42BCE">
        <w:rPr>
          <w:rFonts w:asciiTheme="minorHAnsi" w:hAnsiTheme="minorHAnsi" w:cstheme="minorHAnsi"/>
          <w:lang w:bidi="fr-FR"/>
        </w:rPr>
        <w:t xml:space="preserve">Afin de s’assurer que la procédure de diligence raisonnable est menée de manière systématique et satisfaisante, et que le risque d’aboutir à un partenariat inadéquat demeure conforme à la déclaration d’appétit pour le risque du PNUD, l’organisation soumet l’ensemble de la procédure à un dispositif d’assurance qualité dédié. La mise en œuvre de ce dispositif répond aux exigences du modèle des « trois lignes de </w:t>
      </w:r>
      <w:r w:rsidR="007565E4">
        <w:rPr>
          <w:rFonts w:asciiTheme="minorHAnsi" w:hAnsiTheme="minorHAnsi" w:cstheme="minorHAnsi"/>
          <w:lang w:bidi="fr-FR"/>
        </w:rPr>
        <w:t>défense</w:t>
      </w:r>
      <w:r w:rsidR="007565E4" w:rsidRPr="00B42BCE">
        <w:rPr>
          <w:rFonts w:asciiTheme="minorHAnsi" w:hAnsiTheme="minorHAnsi" w:cstheme="minorHAnsi"/>
          <w:lang w:bidi="fr-FR"/>
        </w:rPr>
        <w:t> </w:t>
      </w:r>
      <w:r w:rsidRPr="00B42BCE">
        <w:rPr>
          <w:rFonts w:asciiTheme="minorHAnsi" w:hAnsiTheme="minorHAnsi" w:cstheme="minorHAnsi"/>
          <w:lang w:bidi="fr-FR"/>
        </w:rPr>
        <w:t xml:space="preserve">» adopté par le PNUD. Selon ce modèle, la deuxième ligne de </w:t>
      </w:r>
      <w:r w:rsidR="007565E4">
        <w:rPr>
          <w:rFonts w:asciiTheme="minorHAnsi" w:hAnsiTheme="minorHAnsi" w:cstheme="minorHAnsi"/>
          <w:lang w:bidi="fr-FR"/>
        </w:rPr>
        <w:t>défense</w:t>
      </w:r>
      <w:r w:rsidR="007565E4" w:rsidRPr="00B42BCE">
        <w:rPr>
          <w:rFonts w:asciiTheme="minorHAnsi" w:hAnsiTheme="minorHAnsi" w:cstheme="minorHAnsi"/>
          <w:lang w:bidi="fr-FR"/>
        </w:rPr>
        <w:t xml:space="preserve"> </w:t>
      </w:r>
      <w:r w:rsidRPr="00B42BCE">
        <w:rPr>
          <w:rFonts w:asciiTheme="minorHAnsi" w:hAnsiTheme="minorHAnsi" w:cstheme="minorHAnsi"/>
          <w:lang w:bidi="fr-FR"/>
        </w:rPr>
        <w:t>remplit des fonctions internes d’appui et de supervision techniques, de manière à garantir la bonne application de la politique de diligence raisonnable du secteur privé et de l’outil d’évaluation des risques.</w:t>
      </w:r>
    </w:p>
    <w:p w14:paraId="15EB200A" w14:textId="6169A3C6" w:rsidR="00167985" w:rsidRPr="00B42BCE" w:rsidRDefault="00167985" w:rsidP="00167985">
      <w:pPr>
        <w:pStyle w:val="BodyText"/>
        <w:spacing w:before="147"/>
        <w:ind w:left="280" w:right="636"/>
        <w:jc w:val="both"/>
        <w:rPr>
          <w:rFonts w:asciiTheme="minorHAnsi" w:hAnsiTheme="minorHAnsi" w:cstheme="minorHAnsi"/>
        </w:rPr>
      </w:pPr>
      <w:r w:rsidRPr="00B42BCE">
        <w:rPr>
          <w:rFonts w:asciiTheme="minorHAnsi" w:hAnsiTheme="minorHAnsi" w:cstheme="minorHAnsi"/>
          <w:lang w:bidi="fr-FR"/>
        </w:rPr>
        <w:t>Le processus d’évaluation de la deuxième ligne répond à deux objectifs :</w:t>
      </w:r>
    </w:p>
    <w:p w14:paraId="7838E623" w14:textId="76E6F9DE" w:rsidR="00167985" w:rsidRPr="00B42BCE" w:rsidRDefault="00167985" w:rsidP="00C75534">
      <w:pPr>
        <w:pStyle w:val="BodyText"/>
        <w:numPr>
          <w:ilvl w:val="0"/>
          <w:numId w:val="23"/>
        </w:numPr>
        <w:spacing w:before="120"/>
        <w:ind w:right="636"/>
        <w:jc w:val="both"/>
        <w:rPr>
          <w:rFonts w:asciiTheme="minorHAnsi" w:hAnsiTheme="minorHAnsi" w:cstheme="minorHAnsi"/>
        </w:rPr>
      </w:pPr>
      <w:r w:rsidRPr="00B42BCE">
        <w:rPr>
          <w:rFonts w:asciiTheme="minorHAnsi" w:hAnsiTheme="minorHAnsi" w:cstheme="minorHAnsi"/>
          <w:lang w:bidi="fr-FR"/>
        </w:rPr>
        <w:t>Veiller au bon déroulement de la procédure de diligence raisonnable, notamment l’utilisation de l’outil d’évaluation des risques à des fins de collecte d’informations et de documentation</w:t>
      </w:r>
    </w:p>
    <w:p w14:paraId="2D9F169C" w14:textId="194BF4FA" w:rsidR="00167985" w:rsidRPr="00B42BCE" w:rsidRDefault="4BA52721" w:rsidP="00167985">
      <w:pPr>
        <w:pStyle w:val="BodyText"/>
        <w:numPr>
          <w:ilvl w:val="0"/>
          <w:numId w:val="23"/>
        </w:numPr>
        <w:spacing w:before="147"/>
        <w:ind w:right="636"/>
        <w:jc w:val="both"/>
        <w:rPr>
          <w:rFonts w:asciiTheme="minorHAnsi" w:hAnsiTheme="minorHAnsi" w:cstheme="minorHAnsi"/>
        </w:rPr>
      </w:pPr>
      <w:r w:rsidRPr="00B42BCE">
        <w:rPr>
          <w:rFonts w:asciiTheme="minorHAnsi" w:hAnsiTheme="minorHAnsi" w:cstheme="minorHAnsi"/>
          <w:lang w:bidi="fr-FR"/>
        </w:rPr>
        <w:t>Éclairer les décideurs à travers l’évaluation des risques et des avantages préalablement identifiés, et l’analyse de la pertinence des données recueillies par l’intermédiaire de l’outil d’évaluation des risques</w:t>
      </w:r>
      <w:r w:rsidR="00167985" w:rsidRPr="00B42BCE">
        <w:rPr>
          <w:rStyle w:val="FootnoteReference"/>
          <w:rFonts w:asciiTheme="minorHAnsi" w:hAnsiTheme="minorHAnsi" w:cstheme="minorHAnsi"/>
          <w:lang w:bidi="fr-FR"/>
        </w:rPr>
        <w:footnoteReference w:id="22"/>
      </w:r>
      <w:r w:rsidRPr="00B42BCE">
        <w:rPr>
          <w:rFonts w:asciiTheme="minorHAnsi" w:hAnsiTheme="minorHAnsi" w:cstheme="minorHAnsi"/>
          <w:lang w:bidi="fr-FR"/>
        </w:rPr>
        <w:t>.</w:t>
      </w:r>
    </w:p>
    <w:p w14:paraId="3FBFC687" w14:textId="42FF4CFE" w:rsidR="00220F7D" w:rsidRDefault="00C03DE6" w:rsidP="007D1939">
      <w:pPr>
        <w:pStyle w:val="BodyText"/>
        <w:spacing w:before="147"/>
        <w:ind w:left="280" w:right="636"/>
        <w:jc w:val="both"/>
        <w:rPr>
          <w:rFonts w:asciiTheme="minorHAnsi" w:hAnsiTheme="minorHAnsi" w:cstheme="minorHAnsi"/>
          <w:lang w:bidi="fr-FR"/>
        </w:rPr>
      </w:pPr>
      <w:r w:rsidRPr="00B42BCE">
        <w:rPr>
          <w:rFonts w:asciiTheme="minorHAnsi" w:hAnsiTheme="minorHAnsi" w:cstheme="minorHAnsi"/>
          <w:lang w:bidi="fr-FR"/>
        </w:rPr>
        <w:t>Le tableau 6 indique quels sont les acteurs responsables de ce processus de conseil et d’assurance qualité – leur identité dépend des niveaux de risque présentés dans la section 4.4. Des coordonnateurs et des comités dédiés à ces activités de conseil sont présents au niveau des bureaux de pays, des bureaux régionaux et du siège.</w:t>
      </w:r>
    </w:p>
    <w:p w14:paraId="57398AFB" w14:textId="77777777" w:rsidR="00220F7D" w:rsidRDefault="00220F7D">
      <w:pPr>
        <w:rPr>
          <w:rFonts w:asciiTheme="minorHAnsi" w:hAnsiTheme="minorHAnsi" w:cstheme="minorHAnsi"/>
          <w:lang w:bidi="fr-FR"/>
        </w:rPr>
      </w:pPr>
      <w:r>
        <w:rPr>
          <w:rFonts w:asciiTheme="minorHAnsi" w:hAnsiTheme="minorHAnsi" w:cstheme="minorHAnsi"/>
          <w:lang w:bidi="fr-FR"/>
        </w:rPr>
        <w:br w:type="page"/>
      </w:r>
    </w:p>
    <w:p w14:paraId="446A20A6" w14:textId="003F8778" w:rsidR="00C03DE6" w:rsidRPr="00B42BCE" w:rsidRDefault="00C03DE6" w:rsidP="00C03DE6">
      <w:pPr>
        <w:spacing w:before="80"/>
        <w:ind w:left="280"/>
        <w:rPr>
          <w:rFonts w:asciiTheme="minorHAnsi" w:hAnsiTheme="minorHAnsi" w:cstheme="minorHAnsi"/>
          <w:b/>
        </w:rPr>
      </w:pPr>
      <w:r w:rsidRPr="00B42BCE">
        <w:rPr>
          <w:rFonts w:asciiTheme="minorHAnsi" w:hAnsiTheme="minorHAnsi" w:cstheme="minorHAnsi"/>
          <w:b/>
          <w:lang w:bidi="fr-FR"/>
        </w:rPr>
        <w:lastRenderedPageBreak/>
        <w:t>TABLEAU 6 : Répartition des responsabilités en matière de conseil et d’assurance qualité</w:t>
      </w:r>
    </w:p>
    <w:p w14:paraId="70BD8151" w14:textId="77777777" w:rsidR="00C03DE6" w:rsidRPr="00B42BCE" w:rsidRDefault="00C03DE6" w:rsidP="00062F36">
      <w:pPr>
        <w:rPr>
          <w:rFonts w:asciiTheme="minorHAnsi" w:hAnsiTheme="minorHAnsi" w:cstheme="minorHAnsi"/>
        </w:rPr>
      </w:pPr>
    </w:p>
    <w:tbl>
      <w:tblPr>
        <w:tblStyle w:val="TableGrid"/>
        <w:tblW w:w="452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256"/>
        <w:gridCol w:w="2256"/>
        <w:gridCol w:w="2323"/>
      </w:tblGrid>
      <w:tr w:rsidR="00C6409C" w:rsidRPr="00B42BCE" w14:paraId="52E1AD61" w14:textId="77777777" w:rsidTr="00220F7D">
        <w:trPr>
          <w:trHeight w:val="188"/>
        </w:trPr>
        <w:tc>
          <w:tcPr>
            <w:tcW w:w="1201" w:type="pct"/>
            <w:vMerge w:val="restart"/>
            <w:shd w:val="clear" w:color="auto" w:fill="FBD4B4" w:themeFill="accent6" w:themeFillTint="66"/>
            <w:vAlign w:val="center"/>
          </w:tcPr>
          <w:p w14:paraId="4B19EEA9" w14:textId="0AF54B4B" w:rsidR="00C6409C" w:rsidRPr="00B42BCE" w:rsidRDefault="00C6409C" w:rsidP="00C6409C">
            <w:pPr>
              <w:spacing w:before="40" w:after="40"/>
              <w:rPr>
                <w:rFonts w:asciiTheme="minorHAnsi" w:eastAsia="Calibri" w:hAnsiTheme="minorHAnsi" w:cstheme="minorHAnsi"/>
                <w:b/>
                <w:bCs/>
                <w:kern w:val="16"/>
                <w:sz w:val="22"/>
                <w:szCs w:val="22"/>
                <w:lang w:bidi="ar-SA"/>
              </w:rPr>
            </w:pPr>
            <w:r w:rsidRPr="00B42BCE">
              <w:rPr>
                <w:rFonts w:asciiTheme="minorHAnsi" w:hAnsiTheme="minorHAnsi" w:cstheme="minorHAnsi"/>
                <w:b/>
                <w:color w:val="auto"/>
                <w:kern w:val="16"/>
                <w:sz w:val="22"/>
                <w:lang w:val="fr-FR" w:bidi="fr-FR"/>
              </w:rPr>
              <w:t xml:space="preserve">Unité </w:t>
            </w:r>
            <w:r w:rsidR="007565E4">
              <w:rPr>
                <w:rFonts w:asciiTheme="minorHAnsi" w:hAnsiTheme="minorHAnsi" w:cstheme="minorHAnsi"/>
                <w:b/>
                <w:color w:val="auto"/>
                <w:kern w:val="16"/>
                <w:sz w:val="22"/>
                <w:lang w:val="fr-FR" w:bidi="fr-FR"/>
              </w:rPr>
              <w:t xml:space="preserve">Initiatrice </w:t>
            </w:r>
            <w:r w:rsidRPr="00B42BCE">
              <w:rPr>
                <w:rFonts w:asciiTheme="minorHAnsi" w:hAnsiTheme="minorHAnsi" w:cstheme="minorHAnsi"/>
                <w:b/>
                <w:color w:val="auto"/>
                <w:kern w:val="16"/>
                <w:sz w:val="22"/>
                <w:lang w:val="fr-FR" w:bidi="fr-FR"/>
              </w:rPr>
              <w:t xml:space="preserve"> du partenariat</w:t>
            </w:r>
          </w:p>
        </w:tc>
        <w:tc>
          <w:tcPr>
            <w:tcW w:w="3799" w:type="pct"/>
            <w:gridSpan w:val="3"/>
            <w:shd w:val="clear" w:color="auto" w:fill="BDD6EE"/>
            <w:vAlign w:val="center"/>
          </w:tcPr>
          <w:p w14:paraId="3CE5B1C5" w14:textId="14DD273E" w:rsidR="00C6409C" w:rsidRPr="00B42BCE" w:rsidRDefault="00C6409C" w:rsidP="00C6409C">
            <w:pPr>
              <w:spacing w:before="40" w:after="40"/>
              <w:jc w:val="center"/>
              <w:rPr>
                <w:rFonts w:asciiTheme="minorHAnsi" w:eastAsia="Calibri" w:hAnsiTheme="minorHAnsi" w:cstheme="minorHAnsi"/>
                <w:b/>
                <w:bCs/>
                <w:kern w:val="16"/>
                <w:sz w:val="22"/>
                <w:szCs w:val="22"/>
                <w:lang w:val="fr-FR" w:bidi="ar-SA"/>
              </w:rPr>
            </w:pPr>
            <w:r w:rsidRPr="00B42BCE">
              <w:rPr>
                <w:rFonts w:asciiTheme="minorHAnsi" w:hAnsiTheme="minorHAnsi" w:cstheme="minorHAnsi"/>
                <w:b/>
                <w:color w:val="auto"/>
                <w:kern w:val="16"/>
                <w:sz w:val="22"/>
                <w:lang w:val="fr-FR" w:bidi="fr-FR"/>
              </w:rPr>
              <w:t>Responsables de l’assurance qualité/des conseils en matière de gestion des risques, en fonction du niveau de risque</w:t>
            </w:r>
            <w:r w:rsidRPr="00B42BCE">
              <w:rPr>
                <w:rFonts w:asciiTheme="minorHAnsi" w:hAnsiTheme="minorHAnsi" w:cstheme="minorHAnsi"/>
                <w:b/>
                <w:color w:val="auto"/>
                <w:kern w:val="16"/>
                <w:sz w:val="22"/>
                <w:vertAlign w:val="superscript"/>
                <w:lang w:val="fr-FR" w:bidi="fr-FR"/>
              </w:rPr>
              <w:footnoteReference w:id="23"/>
            </w:r>
          </w:p>
        </w:tc>
      </w:tr>
      <w:tr w:rsidR="00C6409C" w:rsidRPr="00B42BCE" w14:paraId="017096D4" w14:textId="77777777" w:rsidTr="00220F7D">
        <w:trPr>
          <w:trHeight w:val="338"/>
        </w:trPr>
        <w:tc>
          <w:tcPr>
            <w:tcW w:w="1201" w:type="pct"/>
            <w:vMerge/>
            <w:shd w:val="clear" w:color="auto" w:fill="FBD4B4" w:themeFill="accent6" w:themeFillTint="66"/>
            <w:vAlign w:val="center"/>
          </w:tcPr>
          <w:p w14:paraId="3F89B26A" w14:textId="1F2717F0" w:rsidR="00C6409C" w:rsidRPr="00B42BCE" w:rsidRDefault="00C6409C" w:rsidP="00C6409C">
            <w:pPr>
              <w:spacing w:before="40" w:after="40"/>
              <w:rPr>
                <w:rFonts w:asciiTheme="minorHAnsi" w:eastAsia="Calibri" w:hAnsiTheme="minorHAnsi" w:cstheme="minorHAnsi"/>
                <w:b/>
                <w:bCs/>
                <w:color w:val="000000"/>
                <w:kern w:val="16"/>
                <w:sz w:val="22"/>
                <w:szCs w:val="22"/>
                <w:lang w:val="fr-FR" w:bidi="ar-SA"/>
              </w:rPr>
            </w:pPr>
          </w:p>
        </w:tc>
        <w:tc>
          <w:tcPr>
            <w:tcW w:w="1254" w:type="pct"/>
            <w:shd w:val="clear" w:color="auto" w:fill="BDD6EE"/>
            <w:vAlign w:val="center"/>
          </w:tcPr>
          <w:p w14:paraId="208E7376" w14:textId="52735A8C" w:rsidR="00C6409C" w:rsidRPr="00B42BCE" w:rsidRDefault="00C6409C" w:rsidP="00C6409C">
            <w:pPr>
              <w:spacing w:before="40" w:after="40"/>
              <w:jc w:val="center"/>
              <w:rPr>
                <w:rFonts w:asciiTheme="minorHAnsi" w:eastAsia="Calibri" w:hAnsiTheme="minorHAnsi" w:cstheme="minorHAnsi"/>
                <w:b/>
                <w:bCs/>
                <w:color w:val="000000"/>
                <w:kern w:val="16"/>
                <w:sz w:val="22"/>
                <w:szCs w:val="22"/>
                <w:lang w:bidi="ar-SA"/>
              </w:rPr>
            </w:pPr>
            <w:r w:rsidRPr="00B42BCE">
              <w:rPr>
                <w:rFonts w:asciiTheme="minorHAnsi" w:hAnsiTheme="minorHAnsi" w:cstheme="minorHAnsi"/>
                <w:b/>
                <w:sz w:val="22"/>
                <w:lang w:val="fr-FR" w:bidi="fr-FR"/>
              </w:rPr>
              <w:t xml:space="preserve">Risque faible </w:t>
            </w:r>
          </w:p>
        </w:tc>
        <w:tc>
          <w:tcPr>
            <w:tcW w:w="1254" w:type="pct"/>
            <w:shd w:val="clear" w:color="auto" w:fill="BDD6EE"/>
            <w:vAlign w:val="center"/>
          </w:tcPr>
          <w:p w14:paraId="13F03F60" w14:textId="77777777" w:rsidR="00C6409C" w:rsidRPr="00B42BCE" w:rsidRDefault="00C6409C" w:rsidP="00C6409C">
            <w:pPr>
              <w:spacing w:before="40" w:after="40"/>
              <w:jc w:val="center"/>
              <w:rPr>
                <w:rFonts w:asciiTheme="minorHAnsi" w:eastAsia="Calibri" w:hAnsiTheme="minorHAnsi" w:cstheme="minorHAnsi"/>
                <w:b/>
                <w:bCs/>
                <w:color w:val="000000"/>
                <w:kern w:val="16"/>
                <w:sz w:val="22"/>
                <w:szCs w:val="22"/>
                <w:lang w:bidi="ar-SA"/>
              </w:rPr>
            </w:pPr>
            <w:r w:rsidRPr="00B42BCE">
              <w:rPr>
                <w:rFonts w:asciiTheme="minorHAnsi" w:hAnsiTheme="minorHAnsi" w:cstheme="minorHAnsi"/>
                <w:b/>
                <w:kern w:val="16"/>
                <w:sz w:val="22"/>
                <w:lang w:val="fr-FR" w:bidi="fr-FR"/>
              </w:rPr>
              <w:t>Risque modéré à significatif</w:t>
            </w:r>
          </w:p>
        </w:tc>
        <w:tc>
          <w:tcPr>
            <w:tcW w:w="1291" w:type="pct"/>
            <w:shd w:val="clear" w:color="auto" w:fill="BDD6EE"/>
            <w:vAlign w:val="center"/>
          </w:tcPr>
          <w:p w14:paraId="02BC009F" w14:textId="5DA8CCE8" w:rsidR="00C6409C" w:rsidRPr="00B42BCE" w:rsidRDefault="00C6409C" w:rsidP="00C6409C">
            <w:pPr>
              <w:spacing w:before="40" w:after="40"/>
              <w:jc w:val="center"/>
              <w:rPr>
                <w:rFonts w:asciiTheme="minorHAnsi" w:eastAsia="Calibri" w:hAnsiTheme="minorHAnsi" w:cstheme="minorHAnsi"/>
                <w:b/>
                <w:bCs/>
                <w:color w:val="000000"/>
                <w:kern w:val="16"/>
                <w:sz w:val="22"/>
                <w:szCs w:val="22"/>
                <w:lang w:bidi="ar-SA"/>
              </w:rPr>
            </w:pPr>
            <w:r w:rsidRPr="00B42BCE">
              <w:rPr>
                <w:rFonts w:asciiTheme="minorHAnsi" w:hAnsiTheme="minorHAnsi" w:cstheme="minorHAnsi"/>
                <w:b/>
                <w:kern w:val="16"/>
                <w:sz w:val="22"/>
                <w:lang w:val="fr-FR" w:bidi="fr-FR"/>
              </w:rPr>
              <w:t>Risque élevé</w:t>
            </w:r>
          </w:p>
        </w:tc>
      </w:tr>
      <w:tr w:rsidR="00C6409C" w:rsidRPr="00B42BCE" w14:paraId="3AE6DDAF" w14:textId="77777777" w:rsidTr="00220F7D">
        <w:trPr>
          <w:trHeight w:val="449"/>
        </w:trPr>
        <w:tc>
          <w:tcPr>
            <w:tcW w:w="1201" w:type="pct"/>
            <w:shd w:val="clear" w:color="auto" w:fill="FBD4B4" w:themeFill="accent6" w:themeFillTint="66"/>
            <w:vAlign w:val="center"/>
          </w:tcPr>
          <w:p w14:paraId="5756E5EF" w14:textId="06D7B4B6" w:rsidR="00C6409C" w:rsidRPr="00B42BCE" w:rsidRDefault="00C6409C" w:rsidP="00C6409C">
            <w:pPr>
              <w:spacing w:before="40" w:after="40"/>
              <w:rPr>
                <w:rFonts w:asciiTheme="minorHAnsi" w:eastAsia="Calibri" w:hAnsiTheme="minorHAnsi" w:cstheme="minorHAnsi"/>
                <w:b/>
                <w:bCs/>
                <w:color w:val="000000"/>
                <w:kern w:val="16"/>
                <w:sz w:val="22"/>
                <w:szCs w:val="22"/>
                <w:lang w:val="fr-FR" w:bidi="ar-SA"/>
              </w:rPr>
            </w:pPr>
            <w:r w:rsidRPr="00B42BCE">
              <w:rPr>
                <w:rFonts w:asciiTheme="minorHAnsi" w:hAnsiTheme="minorHAnsi" w:cstheme="minorHAnsi"/>
                <w:b/>
                <w:kern w:val="16"/>
                <w:sz w:val="22"/>
                <w:lang w:val="fr-FR" w:bidi="fr-FR"/>
              </w:rPr>
              <w:t>Assurance qualité/conseils en matière de gestion des risques au niveau du bureau de pays</w:t>
            </w:r>
          </w:p>
        </w:tc>
        <w:tc>
          <w:tcPr>
            <w:tcW w:w="1254" w:type="pct"/>
            <w:shd w:val="clear" w:color="auto" w:fill="auto"/>
            <w:vAlign w:val="center"/>
          </w:tcPr>
          <w:p w14:paraId="3BBFE506" w14:textId="77777777" w:rsidR="00C6409C" w:rsidRPr="00B42BCE" w:rsidRDefault="00C6409C" w:rsidP="00C6409C">
            <w:pPr>
              <w:spacing w:before="40" w:after="40"/>
              <w:jc w:val="center"/>
              <w:rPr>
                <w:rFonts w:asciiTheme="minorHAnsi" w:hAnsiTheme="minorHAnsi" w:cstheme="minorHAnsi"/>
                <w:sz w:val="22"/>
                <w:szCs w:val="22"/>
                <w:lang w:val="fr-FR"/>
              </w:rPr>
            </w:pPr>
            <w:r w:rsidRPr="00B42BCE">
              <w:rPr>
                <w:rFonts w:asciiTheme="minorHAnsi" w:hAnsiTheme="minorHAnsi" w:cstheme="minorHAnsi"/>
                <w:color w:val="auto"/>
                <w:sz w:val="22"/>
                <w:lang w:val="fr-FR" w:bidi="fr-FR"/>
              </w:rPr>
              <w:t>Coordonnateur de la diligence raisonnable du secteur privé au niveau du bureau de pays</w:t>
            </w:r>
          </w:p>
        </w:tc>
        <w:tc>
          <w:tcPr>
            <w:tcW w:w="1254" w:type="pct"/>
            <w:shd w:val="clear" w:color="auto" w:fill="auto"/>
            <w:vAlign w:val="center"/>
          </w:tcPr>
          <w:p w14:paraId="4BC1F0CB" w14:textId="77777777" w:rsidR="00C6409C" w:rsidRPr="00B42BCE" w:rsidRDefault="00C6409C" w:rsidP="00C6409C">
            <w:pPr>
              <w:spacing w:before="40" w:after="40"/>
              <w:jc w:val="center"/>
              <w:rPr>
                <w:rFonts w:asciiTheme="minorHAnsi" w:hAnsiTheme="minorHAnsi" w:cstheme="minorHAnsi"/>
                <w:sz w:val="22"/>
                <w:szCs w:val="22"/>
                <w:lang w:val="fr-FR"/>
              </w:rPr>
            </w:pPr>
            <w:r w:rsidRPr="00B42BCE">
              <w:rPr>
                <w:rFonts w:asciiTheme="minorHAnsi" w:hAnsiTheme="minorHAnsi" w:cstheme="minorHAnsi"/>
                <w:color w:val="auto"/>
                <w:sz w:val="22"/>
                <w:lang w:val="fr-FR" w:bidi="fr-FR"/>
              </w:rPr>
              <w:t>Comité sur la diligence raisonnable du secteur privé au niveau du bureau de pays</w:t>
            </w:r>
          </w:p>
        </w:tc>
        <w:tc>
          <w:tcPr>
            <w:tcW w:w="1291" w:type="pct"/>
            <w:shd w:val="clear" w:color="auto" w:fill="auto"/>
            <w:vAlign w:val="center"/>
          </w:tcPr>
          <w:p w14:paraId="6A3F7EE0" w14:textId="77777777" w:rsidR="00C6409C" w:rsidRPr="00B42BCE" w:rsidRDefault="00C6409C" w:rsidP="00C6409C">
            <w:pPr>
              <w:spacing w:before="40" w:after="40"/>
              <w:jc w:val="center"/>
              <w:rPr>
                <w:rFonts w:asciiTheme="minorHAnsi" w:hAnsiTheme="minorHAnsi" w:cstheme="minorHAnsi"/>
                <w:sz w:val="22"/>
                <w:szCs w:val="22"/>
                <w:lang w:val="fr-FR"/>
              </w:rPr>
            </w:pPr>
            <w:r w:rsidRPr="00B42BCE">
              <w:rPr>
                <w:rFonts w:asciiTheme="minorHAnsi" w:hAnsiTheme="minorHAnsi" w:cstheme="minorHAnsi"/>
                <w:color w:val="auto"/>
                <w:sz w:val="22"/>
                <w:lang w:val="fr-FR" w:bidi="fr-FR"/>
              </w:rPr>
              <w:t>Comité régional sur la diligence raisonnable du secteur privé</w:t>
            </w:r>
          </w:p>
        </w:tc>
      </w:tr>
      <w:tr w:rsidR="00C6409C" w:rsidRPr="00B42BCE" w14:paraId="5A7E35B7" w14:textId="77777777" w:rsidTr="00220F7D">
        <w:trPr>
          <w:trHeight w:val="338"/>
        </w:trPr>
        <w:tc>
          <w:tcPr>
            <w:tcW w:w="1201" w:type="pct"/>
            <w:shd w:val="clear" w:color="auto" w:fill="FBD4B4" w:themeFill="accent6" w:themeFillTint="66"/>
            <w:vAlign w:val="center"/>
          </w:tcPr>
          <w:p w14:paraId="2E7CE817" w14:textId="14DE6B62" w:rsidR="00C6409C" w:rsidRPr="00B42BCE" w:rsidRDefault="00C6409C" w:rsidP="00C6409C">
            <w:pPr>
              <w:spacing w:before="40" w:after="40"/>
              <w:rPr>
                <w:rFonts w:asciiTheme="minorHAnsi" w:eastAsia="Calibri" w:hAnsiTheme="minorHAnsi" w:cstheme="minorHAnsi"/>
                <w:b/>
                <w:bCs/>
                <w:color w:val="000000"/>
                <w:kern w:val="16"/>
                <w:sz w:val="22"/>
                <w:szCs w:val="22"/>
                <w:lang w:val="fr-FR" w:bidi="ar-SA"/>
              </w:rPr>
            </w:pPr>
            <w:r w:rsidRPr="00B42BCE">
              <w:rPr>
                <w:rFonts w:asciiTheme="minorHAnsi" w:hAnsiTheme="minorHAnsi" w:cstheme="minorHAnsi"/>
                <w:b/>
                <w:kern w:val="16"/>
                <w:sz w:val="22"/>
                <w:lang w:val="fr-FR" w:bidi="fr-FR"/>
              </w:rPr>
              <w:t xml:space="preserve">Assurance qualité/conseils en matière de gestion des risques au niveau du bureau régional </w:t>
            </w:r>
          </w:p>
        </w:tc>
        <w:tc>
          <w:tcPr>
            <w:tcW w:w="1254" w:type="pct"/>
            <w:shd w:val="clear" w:color="auto" w:fill="auto"/>
            <w:vAlign w:val="center"/>
          </w:tcPr>
          <w:p w14:paraId="08E090AD" w14:textId="77777777" w:rsidR="00C6409C" w:rsidRPr="00B42BCE" w:rsidRDefault="00C6409C" w:rsidP="00C6409C">
            <w:pPr>
              <w:spacing w:before="40" w:after="40"/>
              <w:jc w:val="center"/>
              <w:rPr>
                <w:rFonts w:asciiTheme="minorHAnsi" w:hAnsiTheme="minorHAnsi" w:cstheme="minorHAnsi"/>
                <w:sz w:val="22"/>
                <w:szCs w:val="22"/>
                <w:lang w:val="fr-FR"/>
              </w:rPr>
            </w:pPr>
            <w:r w:rsidRPr="00B42BCE">
              <w:rPr>
                <w:rFonts w:asciiTheme="minorHAnsi" w:hAnsiTheme="minorHAnsi" w:cstheme="minorHAnsi"/>
                <w:color w:val="auto"/>
                <w:sz w:val="22"/>
                <w:lang w:val="fr-FR" w:bidi="fr-FR"/>
              </w:rPr>
              <w:t>Coordonnateur de la diligence raisonnable du secteur privé au niveau du bureau régional</w:t>
            </w:r>
          </w:p>
        </w:tc>
        <w:tc>
          <w:tcPr>
            <w:tcW w:w="1254" w:type="pct"/>
            <w:shd w:val="clear" w:color="auto" w:fill="auto"/>
            <w:vAlign w:val="center"/>
          </w:tcPr>
          <w:p w14:paraId="2A1AF9EA" w14:textId="2FC9D313" w:rsidR="00C6409C" w:rsidRPr="00B42BCE" w:rsidRDefault="00C6409C" w:rsidP="00C6409C">
            <w:pPr>
              <w:spacing w:before="40" w:after="40"/>
              <w:jc w:val="center"/>
              <w:rPr>
                <w:rFonts w:asciiTheme="minorHAnsi" w:hAnsiTheme="minorHAnsi" w:cstheme="minorHAnsi"/>
                <w:sz w:val="22"/>
                <w:szCs w:val="22"/>
                <w:lang w:val="fr-FR"/>
              </w:rPr>
            </w:pPr>
            <w:r w:rsidRPr="00B42BCE">
              <w:rPr>
                <w:rFonts w:asciiTheme="minorHAnsi" w:hAnsiTheme="minorHAnsi" w:cstheme="minorHAnsi"/>
                <w:color w:val="auto"/>
                <w:sz w:val="22"/>
                <w:lang w:val="fr-FR" w:bidi="fr-FR"/>
              </w:rPr>
              <w:t>Comité régional sur la diligence raisonnable du secteur privé</w:t>
            </w:r>
          </w:p>
        </w:tc>
        <w:tc>
          <w:tcPr>
            <w:tcW w:w="1291" w:type="pct"/>
            <w:shd w:val="clear" w:color="auto" w:fill="auto"/>
            <w:vAlign w:val="center"/>
          </w:tcPr>
          <w:p w14:paraId="67F26145" w14:textId="7F56429A" w:rsidR="00C6409C" w:rsidRPr="00B42BCE" w:rsidRDefault="00C6409C" w:rsidP="00C6409C">
            <w:pPr>
              <w:spacing w:before="40" w:after="40"/>
              <w:jc w:val="center"/>
              <w:rPr>
                <w:rFonts w:asciiTheme="minorHAnsi" w:hAnsiTheme="minorHAnsi" w:cstheme="minorHAnsi"/>
                <w:sz w:val="22"/>
                <w:szCs w:val="22"/>
                <w:lang w:val="fr-FR"/>
              </w:rPr>
            </w:pPr>
            <w:r w:rsidRPr="00B42BCE">
              <w:rPr>
                <w:rFonts w:asciiTheme="minorHAnsi" w:hAnsiTheme="minorHAnsi" w:cstheme="minorHAnsi"/>
                <w:color w:val="auto"/>
                <w:sz w:val="22"/>
                <w:lang w:val="fr-FR" w:bidi="fr-FR"/>
              </w:rPr>
              <w:t xml:space="preserve">Comité </w:t>
            </w:r>
            <w:r w:rsidR="007565E4" w:rsidRPr="00B42BCE">
              <w:rPr>
                <w:rFonts w:asciiTheme="minorHAnsi" w:hAnsiTheme="minorHAnsi" w:cstheme="minorHAnsi"/>
                <w:color w:val="auto"/>
                <w:sz w:val="22"/>
                <w:lang w:val="fr-FR" w:bidi="fr-FR"/>
              </w:rPr>
              <w:t>inter bureaux</w:t>
            </w:r>
            <w:r w:rsidRPr="00B42BCE">
              <w:rPr>
                <w:rFonts w:asciiTheme="minorHAnsi" w:hAnsiTheme="minorHAnsi" w:cstheme="minorHAnsi"/>
                <w:color w:val="auto"/>
                <w:sz w:val="22"/>
                <w:lang w:val="fr-FR" w:bidi="fr-FR"/>
              </w:rPr>
              <w:t xml:space="preserve"> sur la diligence raisonnable du secteur privé au niveau du siège</w:t>
            </w:r>
          </w:p>
        </w:tc>
      </w:tr>
      <w:tr w:rsidR="00C6409C" w:rsidRPr="00B42BCE" w14:paraId="19C48615" w14:textId="77777777" w:rsidTr="00220F7D">
        <w:trPr>
          <w:trHeight w:val="338"/>
        </w:trPr>
        <w:tc>
          <w:tcPr>
            <w:tcW w:w="1201" w:type="pct"/>
            <w:shd w:val="clear" w:color="auto" w:fill="FBD4B4" w:themeFill="accent6" w:themeFillTint="66"/>
            <w:vAlign w:val="center"/>
          </w:tcPr>
          <w:p w14:paraId="5305DF2D" w14:textId="7BA6F235" w:rsidR="00C6409C" w:rsidRPr="00B42BCE" w:rsidRDefault="00C6409C" w:rsidP="00C6409C">
            <w:pPr>
              <w:spacing w:before="40" w:after="40"/>
              <w:rPr>
                <w:rFonts w:asciiTheme="minorHAnsi" w:eastAsia="Calibri" w:hAnsiTheme="minorHAnsi" w:cstheme="minorHAnsi"/>
                <w:b/>
                <w:bCs/>
                <w:color w:val="000000"/>
                <w:kern w:val="16"/>
                <w:sz w:val="22"/>
                <w:szCs w:val="22"/>
                <w:lang w:val="fr-FR" w:bidi="ar-SA"/>
              </w:rPr>
            </w:pPr>
            <w:r w:rsidRPr="00B42BCE">
              <w:rPr>
                <w:rFonts w:asciiTheme="minorHAnsi" w:hAnsiTheme="minorHAnsi" w:cstheme="minorHAnsi"/>
                <w:b/>
                <w:kern w:val="16"/>
                <w:sz w:val="22"/>
                <w:lang w:val="fr-FR" w:bidi="fr-FR"/>
              </w:rPr>
              <w:t>Assurance qualité/conseils en matière de gestion des risques au niveau du bureau central</w:t>
            </w:r>
          </w:p>
        </w:tc>
        <w:tc>
          <w:tcPr>
            <w:tcW w:w="1254" w:type="pct"/>
            <w:shd w:val="clear" w:color="auto" w:fill="auto"/>
            <w:vAlign w:val="center"/>
          </w:tcPr>
          <w:p w14:paraId="234F96B1" w14:textId="70DD9483" w:rsidR="00C6409C" w:rsidRPr="00B42BCE" w:rsidRDefault="00C6409C" w:rsidP="00C6409C">
            <w:pPr>
              <w:spacing w:before="40" w:after="40"/>
              <w:jc w:val="center"/>
              <w:rPr>
                <w:rFonts w:asciiTheme="minorHAnsi" w:hAnsiTheme="minorHAnsi" w:cstheme="minorHAnsi"/>
                <w:sz w:val="22"/>
                <w:szCs w:val="22"/>
                <w:lang w:val="fr-FR"/>
              </w:rPr>
            </w:pPr>
            <w:r w:rsidRPr="00B42BCE">
              <w:rPr>
                <w:rFonts w:asciiTheme="minorHAnsi" w:hAnsiTheme="minorHAnsi" w:cstheme="minorHAnsi"/>
                <w:color w:val="auto"/>
                <w:sz w:val="22"/>
                <w:lang w:val="fr-FR" w:bidi="fr-FR"/>
              </w:rPr>
              <w:t>Coordonnateur de la diligence raisonnable du secteur privé au niveau des bureaux centraux</w:t>
            </w:r>
          </w:p>
        </w:tc>
        <w:tc>
          <w:tcPr>
            <w:tcW w:w="1254" w:type="pct"/>
            <w:shd w:val="clear" w:color="auto" w:fill="auto"/>
            <w:vAlign w:val="center"/>
          </w:tcPr>
          <w:p w14:paraId="3F54D9DF" w14:textId="77777777" w:rsidR="00C6409C" w:rsidRPr="00B42BCE" w:rsidRDefault="00C6409C" w:rsidP="00C6409C">
            <w:pPr>
              <w:spacing w:before="40" w:after="40"/>
              <w:jc w:val="center"/>
              <w:rPr>
                <w:rFonts w:asciiTheme="minorHAnsi" w:hAnsiTheme="minorHAnsi" w:cstheme="minorHAnsi"/>
                <w:sz w:val="22"/>
                <w:szCs w:val="22"/>
                <w:lang w:val="fr-FR"/>
              </w:rPr>
            </w:pPr>
            <w:r w:rsidRPr="00B42BCE">
              <w:rPr>
                <w:rFonts w:asciiTheme="minorHAnsi" w:hAnsiTheme="minorHAnsi" w:cstheme="minorHAnsi"/>
                <w:color w:val="auto"/>
                <w:sz w:val="22"/>
                <w:lang w:val="fr-FR" w:bidi="fr-FR"/>
              </w:rPr>
              <w:t>Comité interbureaux sur la diligence raisonnable du secteur privé au niveau du siège</w:t>
            </w:r>
          </w:p>
        </w:tc>
        <w:tc>
          <w:tcPr>
            <w:tcW w:w="1291" w:type="pct"/>
            <w:shd w:val="clear" w:color="auto" w:fill="auto"/>
            <w:vAlign w:val="center"/>
          </w:tcPr>
          <w:p w14:paraId="3537041F" w14:textId="77777777" w:rsidR="00C6409C" w:rsidRPr="00B42BCE" w:rsidRDefault="00C6409C" w:rsidP="00C6409C">
            <w:pPr>
              <w:spacing w:before="40" w:after="40"/>
              <w:jc w:val="center"/>
              <w:rPr>
                <w:rFonts w:asciiTheme="minorHAnsi" w:hAnsiTheme="minorHAnsi" w:cstheme="minorHAnsi"/>
                <w:sz w:val="22"/>
                <w:szCs w:val="22"/>
                <w:lang w:val="fr-FR"/>
              </w:rPr>
            </w:pPr>
            <w:r w:rsidRPr="00B42BCE">
              <w:rPr>
                <w:rFonts w:asciiTheme="minorHAnsi" w:hAnsiTheme="minorHAnsi" w:cstheme="minorHAnsi"/>
                <w:color w:val="auto"/>
                <w:sz w:val="22"/>
                <w:lang w:val="fr-FR" w:bidi="fr-FR"/>
              </w:rPr>
              <w:t>Comité interbureaux sur la diligence raisonnable du secteur privé au niveau du siège</w:t>
            </w:r>
          </w:p>
        </w:tc>
      </w:tr>
    </w:tbl>
    <w:p w14:paraId="413D0F3B" w14:textId="0C61E44C" w:rsidR="000F537B" w:rsidRPr="00B42BCE" w:rsidRDefault="009F569B" w:rsidP="00B93DE9">
      <w:pPr>
        <w:pStyle w:val="BodyText"/>
        <w:tabs>
          <w:tab w:val="left" w:pos="7733"/>
        </w:tabs>
        <w:spacing w:before="147"/>
        <w:ind w:right="636"/>
        <w:jc w:val="both"/>
        <w:rPr>
          <w:rFonts w:asciiTheme="minorHAnsi" w:hAnsiTheme="minorHAnsi" w:cstheme="minorHAnsi"/>
        </w:rPr>
      </w:pPr>
      <w:r w:rsidRPr="00B42BCE">
        <w:rPr>
          <w:rFonts w:asciiTheme="minorHAnsi" w:hAnsiTheme="minorHAnsi" w:cstheme="minorHAnsi"/>
          <w:lang w:bidi="fr-FR"/>
        </w:rPr>
        <w:tab/>
      </w:r>
    </w:p>
    <w:p w14:paraId="24CC2D3B" w14:textId="18B35845" w:rsidR="00474239" w:rsidRPr="00B42BCE" w:rsidRDefault="005F2731">
      <w:pPr>
        <w:pStyle w:val="Heading2"/>
        <w:numPr>
          <w:ilvl w:val="1"/>
          <w:numId w:val="19"/>
        </w:numPr>
        <w:tabs>
          <w:tab w:val="left" w:pos="1015"/>
        </w:tabs>
        <w:rPr>
          <w:rFonts w:asciiTheme="minorHAnsi" w:hAnsiTheme="minorHAnsi" w:cstheme="minorHAnsi"/>
        </w:rPr>
      </w:pPr>
      <w:bookmarkStart w:id="16" w:name="_Toc160629991"/>
      <w:r w:rsidRPr="00B42BCE">
        <w:rPr>
          <w:rFonts w:asciiTheme="minorHAnsi" w:hAnsiTheme="minorHAnsi" w:cstheme="minorHAnsi"/>
          <w:lang w:bidi="fr-FR"/>
        </w:rPr>
        <w:t>La prise de décision</w:t>
      </w:r>
      <w:bookmarkEnd w:id="16"/>
    </w:p>
    <w:p w14:paraId="24CC2D3C" w14:textId="2F734382" w:rsidR="00474239" w:rsidRPr="00B42BCE" w:rsidRDefault="005F2731">
      <w:pPr>
        <w:pStyle w:val="BodyText"/>
        <w:spacing w:before="147"/>
        <w:ind w:left="280" w:right="636"/>
        <w:jc w:val="both"/>
        <w:rPr>
          <w:rFonts w:asciiTheme="minorHAnsi" w:hAnsiTheme="minorHAnsi" w:cstheme="minorHAnsi"/>
        </w:rPr>
      </w:pPr>
      <w:r w:rsidRPr="00B42BCE">
        <w:rPr>
          <w:rFonts w:asciiTheme="minorHAnsi" w:hAnsiTheme="minorHAnsi" w:cstheme="minorHAnsi"/>
          <w:lang w:bidi="fr-FR"/>
        </w:rPr>
        <w:t>La décision relative à la poursuite d’une collaboration avec un partenaire sera prise à l’issue de la procédure de diligence raisonnable et, si nécessaire, d’une analyse des risques et des avantages associés au partenariat concerné. L’analyse des risques et des avantages permet de vérifier que l’équilibre entre les risques et les avantages attendus demeure conforme à la tolérance au risque du PNUD. De manière générale, lorsqu’un partenariat présente des avantages qui l’emportent largement sur les risques, le PNUD peut choisir d’accroître sa tolérance au risque.</w:t>
      </w:r>
    </w:p>
    <w:p w14:paraId="24CC2D3D" w14:textId="77777777" w:rsidR="00474239" w:rsidRPr="00B42BCE" w:rsidRDefault="00474239">
      <w:pPr>
        <w:pStyle w:val="BodyText"/>
        <w:spacing w:before="10"/>
        <w:rPr>
          <w:rFonts w:asciiTheme="minorHAnsi" w:hAnsiTheme="minorHAnsi" w:cstheme="minorHAnsi"/>
        </w:rPr>
      </w:pPr>
    </w:p>
    <w:p w14:paraId="24CC2D3E" w14:textId="601B1DFD" w:rsidR="00474239" w:rsidRPr="00B42BCE" w:rsidRDefault="005F2731">
      <w:pPr>
        <w:pStyle w:val="BodyText"/>
        <w:ind w:left="280" w:right="639"/>
        <w:jc w:val="both"/>
        <w:rPr>
          <w:rFonts w:asciiTheme="minorHAnsi" w:hAnsiTheme="minorHAnsi" w:cstheme="minorHAnsi"/>
        </w:rPr>
      </w:pPr>
      <w:r w:rsidRPr="00B42BCE">
        <w:rPr>
          <w:rFonts w:asciiTheme="minorHAnsi" w:hAnsiTheme="minorHAnsi" w:cstheme="minorHAnsi"/>
          <w:lang w:bidi="fr-FR"/>
        </w:rPr>
        <w:t>Il est essentiel d’opérer une distinction nette entre, d’une part, le personnel directement impliqué dans l’établissement d’une relation de partenariat et dans la formulation d’une recommandation relative à une éventuelle collaboration, et d’autre part, le personnel responsable de la décision finale. De même que pour les responsabilités en matière d’assurance qualité, il importe que le choix de l’instance décisionnaire soit aligné sur le niveau de risque et conforme à la politique de gestion du risque institutionnel.</w:t>
      </w:r>
    </w:p>
    <w:p w14:paraId="5102FBAE" w14:textId="77777777" w:rsidR="008D22F9" w:rsidRPr="00B42BCE" w:rsidRDefault="008D22F9">
      <w:pPr>
        <w:pStyle w:val="BodyText"/>
        <w:ind w:left="280" w:right="639"/>
        <w:jc w:val="both"/>
        <w:rPr>
          <w:rFonts w:asciiTheme="minorHAnsi" w:hAnsiTheme="minorHAnsi" w:cstheme="minorHAnsi"/>
        </w:rPr>
      </w:pPr>
    </w:p>
    <w:p w14:paraId="0B5A5465" w14:textId="2A9BE3C7" w:rsidR="008D22F9" w:rsidRPr="00B42BCE" w:rsidRDefault="008D22F9">
      <w:pPr>
        <w:pStyle w:val="BodyText"/>
        <w:ind w:left="280" w:right="639"/>
        <w:jc w:val="both"/>
        <w:rPr>
          <w:rFonts w:asciiTheme="minorHAnsi" w:hAnsiTheme="minorHAnsi" w:cstheme="minorHAnsi"/>
        </w:rPr>
      </w:pPr>
      <w:r w:rsidRPr="00B42BCE">
        <w:rPr>
          <w:rFonts w:asciiTheme="minorHAnsi" w:hAnsiTheme="minorHAnsi" w:cstheme="minorHAnsi"/>
          <w:lang w:bidi="fr-FR"/>
        </w:rPr>
        <w:t xml:space="preserve">Le tableau 7 indique les différents acteurs responsables de la prise de décision au sein de l’organisme, en fonction du niveau de risque identifié. </w:t>
      </w:r>
    </w:p>
    <w:p w14:paraId="5E24A340" w14:textId="68BD0EE4" w:rsidR="008D22F9" w:rsidRPr="00B42BCE" w:rsidRDefault="008D22F9">
      <w:pPr>
        <w:pStyle w:val="BodyText"/>
        <w:ind w:left="280" w:right="639"/>
        <w:jc w:val="both"/>
        <w:rPr>
          <w:rFonts w:asciiTheme="minorHAnsi" w:hAnsiTheme="minorHAnsi" w:cstheme="minorHAnsi"/>
        </w:rPr>
      </w:pPr>
    </w:p>
    <w:p w14:paraId="346C91C5" w14:textId="77777777" w:rsidR="00220F7D" w:rsidRDefault="00220F7D">
      <w:pPr>
        <w:rPr>
          <w:rFonts w:asciiTheme="minorHAnsi" w:hAnsiTheme="minorHAnsi" w:cstheme="minorHAnsi"/>
          <w:b/>
          <w:lang w:bidi="fr-FR"/>
        </w:rPr>
      </w:pPr>
      <w:r>
        <w:rPr>
          <w:rFonts w:asciiTheme="minorHAnsi" w:hAnsiTheme="minorHAnsi" w:cstheme="minorHAnsi"/>
          <w:b/>
          <w:lang w:bidi="fr-FR"/>
        </w:rPr>
        <w:br w:type="page"/>
      </w:r>
    </w:p>
    <w:p w14:paraId="2DDE76B4" w14:textId="59F20311" w:rsidR="007D1939" w:rsidRPr="00B42BCE" w:rsidRDefault="007D1939" w:rsidP="007D1939">
      <w:pPr>
        <w:spacing w:before="80"/>
        <w:ind w:left="280"/>
        <w:rPr>
          <w:rFonts w:asciiTheme="minorHAnsi" w:hAnsiTheme="minorHAnsi" w:cstheme="minorHAnsi"/>
          <w:b/>
        </w:rPr>
      </w:pPr>
      <w:r w:rsidRPr="00B42BCE">
        <w:rPr>
          <w:rFonts w:asciiTheme="minorHAnsi" w:hAnsiTheme="minorHAnsi" w:cstheme="minorHAnsi"/>
          <w:b/>
          <w:lang w:bidi="fr-FR"/>
        </w:rPr>
        <w:lastRenderedPageBreak/>
        <w:t>TABLEAU 7 : Répartition des responsabilités en matière de prise de décision</w:t>
      </w:r>
    </w:p>
    <w:p w14:paraId="37F11FC3" w14:textId="77777777" w:rsidR="007D1939" w:rsidRPr="00B42BCE" w:rsidRDefault="007D1939">
      <w:pPr>
        <w:pStyle w:val="BodyText"/>
        <w:ind w:left="280" w:right="639"/>
        <w:jc w:val="both"/>
        <w:rPr>
          <w:rFonts w:asciiTheme="minorHAnsi" w:hAnsiTheme="minorHAnsi" w:cstheme="minorHAnsi"/>
        </w:rPr>
      </w:pPr>
    </w:p>
    <w:tbl>
      <w:tblPr>
        <w:tblStyle w:val="TableGrid"/>
        <w:tblW w:w="452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736"/>
        <w:gridCol w:w="2484"/>
        <w:gridCol w:w="2340"/>
      </w:tblGrid>
      <w:tr w:rsidR="0046210B" w:rsidRPr="00B42BCE" w14:paraId="3F40D880" w14:textId="77777777" w:rsidTr="00880C31">
        <w:trPr>
          <w:trHeight w:val="361"/>
          <w:tblHeader/>
        </w:trPr>
        <w:tc>
          <w:tcPr>
            <w:tcW w:w="800" w:type="pct"/>
            <w:shd w:val="clear" w:color="auto" w:fill="FBD4B4" w:themeFill="accent6" w:themeFillTint="66"/>
          </w:tcPr>
          <w:p w14:paraId="66149C16" w14:textId="3C39A9BB" w:rsidR="0046210B" w:rsidRPr="00B42BCE" w:rsidRDefault="0046210B" w:rsidP="00C6409C">
            <w:pPr>
              <w:spacing w:before="40" w:after="40"/>
              <w:ind w:right="-109"/>
              <w:rPr>
                <w:rFonts w:asciiTheme="minorHAnsi" w:hAnsiTheme="minorHAnsi" w:cstheme="minorHAnsi"/>
                <w:b/>
                <w:bCs/>
                <w:sz w:val="22"/>
                <w:szCs w:val="22"/>
              </w:rPr>
            </w:pPr>
            <w:r w:rsidRPr="00B42BCE">
              <w:rPr>
                <w:rFonts w:asciiTheme="minorHAnsi" w:hAnsiTheme="minorHAnsi" w:cstheme="minorHAnsi"/>
                <w:b/>
                <w:sz w:val="22"/>
                <w:lang w:val="fr-FR" w:bidi="fr-FR"/>
              </w:rPr>
              <w:t>Niveau de risque</w:t>
            </w:r>
          </w:p>
        </w:tc>
        <w:tc>
          <w:tcPr>
            <w:tcW w:w="1520" w:type="pct"/>
            <w:shd w:val="clear" w:color="auto" w:fill="B6DDE8" w:themeFill="accent5" w:themeFillTint="66"/>
          </w:tcPr>
          <w:p w14:paraId="01B0739C" w14:textId="180EAD1F" w:rsidR="0046210B" w:rsidRPr="00B42BCE" w:rsidRDefault="007D4069" w:rsidP="00C6409C">
            <w:pPr>
              <w:spacing w:before="40" w:after="40"/>
              <w:jc w:val="center"/>
              <w:rPr>
                <w:rFonts w:asciiTheme="minorHAnsi" w:hAnsiTheme="minorHAnsi" w:cstheme="minorHAnsi"/>
                <w:b/>
                <w:bCs/>
                <w:sz w:val="22"/>
                <w:szCs w:val="22"/>
                <w:lang w:val="fr-FR"/>
              </w:rPr>
            </w:pPr>
            <w:r w:rsidRPr="00B42BCE">
              <w:rPr>
                <w:rFonts w:asciiTheme="minorHAnsi" w:hAnsiTheme="minorHAnsi" w:cstheme="minorHAnsi"/>
                <w:b/>
                <w:sz w:val="22"/>
                <w:lang w:val="fr-FR" w:bidi="fr-FR"/>
              </w:rPr>
              <w:t>Présentation du niveau de risque</w:t>
            </w:r>
          </w:p>
        </w:tc>
        <w:tc>
          <w:tcPr>
            <w:tcW w:w="1380" w:type="pct"/>
            <w:shd w:val="clear" w:color="auto" w:fill="B6DDE8" w:themeFill="accent5" w:themeFillTint="66"/>
          </w:tcPr>
          <w:p w14:paraId="3FB4EB9B" w14:textId="3F5074BD" w:rsidR="0046210B" w:rsidRPr="00B42BCE" w:rsidRDefault="0046210B" w:rsidP="00C6409C">
            <w:pPr>
              <w:spacing w:before="40" w:after="40"/>
              <w:jc w:val="center"/>
              <w:rPr>
                <w:rFonts w:asciiTheme="minorHAnsi" w:hAnsiTheme="minorHAnsi" w:cstheme="minorHAnsi"/>
                <w:b/>
                <w:bCs/>
                <w:sz w:val="22"/>
                <w:szCs w:val="22"/>
              </w:rPr>
            </w:pPr>
            <w:r w:rsidRPr="00B42BCE">
              <w:rPr>
                <w:rFonts w:asciiTheme="minorHAnsi" w:hAnsiTheme="minorHAnsi" w:cstheme="minorHAnsi"/>
                <w:b/>
                <w:sz w:val="22"/>
                <w:lang w:val="fr-FR" w:bidi="fr-FR"/>
              </w:rPr>
              <w:t>Instance décisionnaire</w:t>
            </w:r>
          </w:p>
        </w:tc>
        <w:tc>
          <w:tcPr>
            <w:tcW w:w="1300" w:type="pct"/>
            <w:shd w:val="clear" w:color="auto" w:fill="B6DDE8" w:themeFill="accent5" w:themeFillTint="66"/>
          </w:tcPr>
          <w:p w14:paraId="1ABF7D91" w14:textId="0C9B53A6" w:rsidR="0046210B" w:rsidRPr="00B42BCE" w:rsidRDefault="0046210B" w:rsidP="00C6409C">
            <w:pPr>
              <w:spacing w:before="40" w:after="40"/>
              <w:jc w:val="center"/>
              <w:rPr>
                <w:rFonts w:asciiTheme="minorHAnsi" w:hAnsiTheme="minorHAnsi" w:cstheme="minorHAnsi"/>
                <w:b/>
                <w:bCs/>
                <w:sz w:val="22"/>
                <w:szCs w:val="22"/>
              </w:rPr>
            </w:pPr>
            <w:r w:rsidRPr="00B42BCE">
              <w:rPr>
                <w:rFonts w:asciiTheme="minorHAnsi" w:hAnsiTheme="minorHAnsi" w:cstheme="minorHAnsi"/>
                <w:b/>
                <w:sz w:val="22"/>
                <w:lang w:val="fr-FR" w:bidi="fr-FR"/>
              </w:rPr>
              <w:t>Remarques explicatives</w:t>
            </w:r>
          </w:p>
        </w:tc>
      </w:tr>
      <w:tr w:rsidR="0046210B" w:rsidRPr="00B42BCE" w14:paraId="0AB03DD7" w14:textId="77777777" w:rsidTr="00880C31">
        <w:trPr>
          <w:trHeight w:val="944"/>
        </w:trPr>
        <w:tc>
          <w:tcPr>
            <w:tcW w:w="800" w:type="pct"/>
            <w:shd w:val="clear" w:color="auto" w:fill="FBD4B4" w:themeFill="accent6" w:themeFillTint="66"/>
          </w:tcPr>
          <w:p w14:paraId="35BE8283" w14:textId="77777777" w:rsidR="0046210B" w:rsidRPr="00B42BCE" w:rsidRDefault="0046210B" w:rsidP="00C6409C">
            <w:pPr>
              <w:spacing w:before="40" w:after="40"/>
              <w:rPr>
                <w:rFonts w:asciiTheme="minorHAnsi" w:hAnsiTheme="minorHAnsi" w:cstheme="minorHAnsi"/>
                <w:b/>
                <w:bCs/>
                <w:sz w:val="22"/>
                <w:szCs w:val="22"/>
                <w:u w:val="single"/>
              </w:rPr>
            </w:pPr>
            <w:r w:rsidRPr="00B42BCE">
              <w:rPr>
                <w:rFonts w:asciiTheme="minorHAnsi" w:hAnsiTheme="minorHAnsi" w:cstheme="minorHAnsi"/>
                <w:b/>
                <w:sz w:val="22"/>
                <w:u w:val="single"/>
                <w:lang w:val="fr-FR" w:bidi="fr-FR"/>
              </w:rPr>
              <w:t>Risque faible</w:t>
            </w:r>
          </w:p>
          <w:p w14:paraId="68A1B786" w14:textId="77777777" w:rsidR="0046210B" w:rsidRPr="00B42BCE" w:rsidRDefault="0046210B" w:rsidP="00C6409C">
            <w:pPr>
              <w:spacing w:before="40" w:after="40"/>
              <w:rPr>
                <w:rFonts w:asciiTheme="minorHAnsi" w:hAnsiTheme="minorHAnsi" w:cstheme="minorHAnsi"/>
                <w:b/>
                <w:bCs/>
                <w:sz w:val="22"/>
                <w:szCs w:val="22"/>
                <w:u w:val="single"/>
              </w:rPr>
            </w:pPr>
          </w:p>
        </w:tc>
        <w:tc>
          <w:tcPr>
            <w:tcW w:w="1520" w:type="pct"/>
          </w:tcPr>
          <w:p w14:paraId="3962FDCA" w14:textId="50FC7ACD" w:rsidR="0046210B" w:rsidRPr="00B42BCE" w:rsidRDefault="0046210B" w:rsidP="00C6409C">
            <w:pPr>
              <w:spacing w:before="40" w:after="40"/>
              <w:rPr>
                <w:rFonts w:asciiTheme="minorHAnsi" w:hAnsiTheme="minorHAnsi" w:cstheme="minorHAnsi"/>
                <w:sz w:val="22"/>
                <w:szCs w:val="22"/>
                <w:lang w:val="fr-FR"/>
              </w:rPr>
            </w:pPr>
            <w:r w:rsidRPr="00B42BCE">
              <w:rPr>
                <w:rFonts w:asciiTheme="minorHAnsi" w:hAnsiTheme="minorHAnsi" w:cstheme="minorHAnsi"/>
                <w:sz w:val="22"/>
                <w:lang w:val="fr-FR" w:bidi="fr-FR"/>
              </w:rPr>
              <w:t>Aucun élément de preuve ne permet d’affirmer que les partenaires potentiels participent à une quelconque activité correspondant aux critères d’exclusion, qu’elles sont sujettes à controverse ou qu’elles entretiennent des liens avec un secteur à haut risque</w:t>
            </w:r>
          </w:p>
        </w:tc>
        <w:tc>
          <w:tcPr>
            <w:tcW w:w="1380" w:type="pct"/>
          </w:tcPr>
          <w:p w14:paraId="1F0A8B04" w14:textId="694FE722" w:rsidR="0046210B" w:rsidRPr="00B42BCE" w:rsidRDefault="0046210B" w:rsidP="00C6409C">
            <w:pPr>
              <w:spacing w:before="40" w:after="40"/>
              <w:rPr>
                <w:rFonts w:asciiTheme="minorHAnsi" w:hAnsiTheme="minorHAnsi" w:cstheme="minorHAnsi"/>
                <w:sz w:val="22"/>
                <w:szCs w:val="22"/>
                <w:lang w:val="fr-FR"/>
              </w:rPr>
            </w:pPr>
            <w:r w:rsidRPr="00B42BCE">
              <w:rPr>
                <w:rFonts w:asciiTheme="minorHAnsi" w:hAnsiTheme="minorHAnsi" w:cstheme="minorHAnsi"/>
                <w:sz w:val="22"/>
                <w:lang w:val="fr-FR" w:bidi="fr-FR"/>
              </w:rPr>
              <w:t>Représentant résident au niveau national</w:t>
            </w:r>
          </w:p>
          <w:p w14:paraId="7283CB2D" w14:textId="2B45FD4A" w:rsidR="0046210B" w:rsidRPr="00B42BCE" w:rsidRDefault="0046210B" w:rsidP="00C6409C">
            <w:pPr>
              <w:spacing w:before="40" w:after="40"/>
              <w:rPr>
                <w:rFonts w:asciiTheme="minorHAnsi" w:hAnsiTheme="minorHAnsi" w:cstheme="minorHAnsi"/>
                <w:sz w:val="22"/>
                <w:szCs w:val="22"/>
                <w:lang w:val="fr-FR"/>
              </w:rPr>
            </w:pPr>
            <w:r w:rsidRPr="00B42BCE">
              <w:rPr>
                <w:rFonts w:asciiTheme="minorHAnsi" w:hAnsiTheme="minorHAnsi" w:cstheme="minorHAnsi"/>
                <w:sz w:val="22"/>
                <w:lang w:val="fr-FR" w:bidi="fr-FR"/>
              </w:rPr>
              <w:t xml:space="preserve">Directeurs de bureau aux niveaux régional et </w:t>
            </w:r>
            <w:r w:rsidR="00832DA2">
              <w:rPr>
                <w:rFonts w:asciiTheme="minorHAnsi" w:hAnsiTheme="minorHAnsi" w:cstheme="minorHAnsi"/>
                <w:sz w:val="22"/>
                <w:lang w:val="fr-FR" w:bidi="fr-FR"/>
              </w:rPr>
              <w:t>global</w:t>
            </w:r>
          </w:p>
        </w:tc>
        <w:tc>
          <w:tcPr>
            <w:tcW w:w="1300" w:type="pct"/>
          </w:tcPr>
          <w:p w14:paraId="45167C6D" w14:textId="3712D6BA" w:rsidR="0046210B" w:rsidRPr="00B42BCE" w:rsidRDefault="0046210B" w:rsidP="00C6409C">
            <w:pPr>
              <w:spacing w:before="40" w:after="40"/>
              <w:rPr>
                <w:rFonts w:asciiTheme="minorHAnsi" w:hAnsiTheme="minorHAnsi" w:cstheme="minorHAnsi"/>
                <w:sz w:val="22"/>
                <w:szCs w:val="22"/>
                <w:lang w:val="fr-FR"/>
              </w:rPr>
            </w:pPr>
            <w:r w:rsidRPr="00B42BCE">
              <w:rPr>
                <w:rFonts w:asciiTheme="minorHAnsi" w:hAnsiTheme="minorHAnsi" w:cstheme="minorHAnsi"/>
                <w:sz w:val="22"/>
                <w:lang w:val="fr-FR" w:bidi="fr-FR"/>
              </w:rPr>
              <w:t xml:space="preserve">La décision est prise au niveau de l’unité </w:t>
            </w:r>
            <w:r w:rsidR="007565E4">
              <w:rPr>
                <w:rFonts w:asciiTheme="minorHAnsi" w:hAnsiTheme="minorHAnsi" w:cstheme="minorHAnsi"/>
                <w:sz w:val="22"/>
                <w:lang w:val="fr-FR" w:bidi="fr-FR"/>
              </w:rPr>
              <w:t xml:space="preserve">Initatrice </w:t>
            </w:r>
            <w:r w:rsidRPr="00B42BCE">
              <w:rPr>
                <w:rFonts w:asciiTheme="minorHAnsi" w:hAnsiTheme="minorHAnsi" w:cstheme="minorHAnsi"/>
                <w:sz w:val="22"/>
                <w:lang w:val="fr-FR" w:bidi="fr-FR"/>
              </w:rPr>
              <w:t xml:space="preserve"> du partenariat</w:t>
            </w:r>
          </w:p>
        </w:tc>
      </w:tr>
      <w:tr w:rsidR="0046210B" w:rsidRPr="00B42BCE" w14:paraId="3C39D0F2" w14:textId="77777777" w:rsidTr="00880C31">
        <w:trPr>
          <w:trHeight w:val="1169"/>
        </w:trPr>
        <w:tc>
          <w:tcPr>
            <w:tcW w:w="800" w:type="pct"/>
            <w:shd w:val="clear" w:color="auto" w:fill="FBD4B4" w:themeFill="accent6" w:themeFillTint="66"/>
          </w:tcPr>
          <w:p w14:paraId="26410539" w14:textId="77777777" w:rsidR="0046210B" w:rsidRPr="00B42BCE" w:rsidRDefault="0046210B" w:rsidP="00C6409C">
            <w:pPr>
              <w:spacing w:before="40" w:after="40"/>
              <w:rPr>
                <w:rFonts w:asciiTheme="minorHAnsi" w:hAnsiTheme="minorHAnsi" w:cstheme="minorHAnsi"/>
                <w:b/>
                <w:bCs/>
                <w:sz w:val="22"/>
                <w:szCs w:val="22"/>
                <w:u w:val="single"/>
              </w:rPr>
            </w:pPr>
            <w:r w:rsidRPr="00B42BCE">
              <w:rPr>
                <w:rFonts w:asciiTheme="minorHAnsi" w:hAnsiTheme="minorHAnsi" w:cstheme="minorHAnsi"/>
                <w:b/>
                <w:sz w:val="22"/>
                <w:u w:val="single"/>
                <w:lang w:val="fr-FR" w:bidi="fr-FR"/>
              </w:rPr>
              <w:t>Risque modéré</w:t>
            </w:r>
          </w:p>
        </w:tc>
        <w:tc>
          <w:tcPr>
            <w:tcW w:w="1520" w:type="pct"/>
          </w:tcPr>
          <w:p w14:paraId="4368CC15" w14:textId="0BE5C9B2" w:rsidR="0046210B" w:rsidRPr="00B42BCE" w:rsidRDefault="007D4069" w:rsidP="00C6409C">
            <w:pPr>
              <w:spacing w:before="40" w:after="40"/>
              <w:rPr>
                <w:rFonts w:asciiTheme="minorHAnsi" w:hAnsiTheme="minorHAnsi" w:cstheme="minorHAnsi"/>
                <w:sz w:val="22"/>
                <w:szCs w:val="22"/>
                <w:lang w:val="fr-FR"/>
              </w:rPr>
            </w:pPr>
            <w:r w:rsidRPr="00B42BCE">
              <w:rPr>
                <w:rFonts w:asciiTheme="minorHAnsi" w:hAnsiTheme="minorHAnsi" w:cstheme="minorHAnsi"/>
                <w:sz w:val="22"/>
                <w:lang w:val="fr-FR" w:bidi="fr-FR"/>
              </w:rPr>
              <w:t>Aucun élément de preuve ne permet d’affirmer que les partenaires potentiels participent (directement ou indirectement) à des activités correspondant aux critères d’exclusion ou qu’elles sont sujettes à controverse, mais il est avéré qu’ils entretiennent des liens avec un secteur à haut risque.</w:t>
            </w:r>
          </w:p>
        </w:tc>
        <w:tc>
          <w:tcPr>
            <w:tcW w:w="1380" w:type="pct"/>
          </w:tcPr>
          <w:p w14:paraId="27722450" w14:textId="68C4650D" w:rsidR="0046210B" w:rsidRPr="00B42BCE" w:rsidRDefault="0046210B" w:rsidP="00C6409C">
            <w:pPr>
              <w:spacing w:before="40" w:after="40"/>
              <w:rPr>
                <w:rFonts w:asciiTheme="minorHAnsi" w:hAnsiTheme="minorHAnsi" w:cstheme="minorHAnsi"/>
                <w:sz w:val="22"/>
                <w:szCs w:val="22"/>
                <w:lang w:val="fr-FR"/>
              </w:rPr>
            </w:pPr>
            <w:r w:rsidRPr="00B42BCE">
              <w:rPr>
                <w:rFonts w:asciiTheme="minorHAnsi" w:hAnsiTheme="minorHAnsi" w:cstheme="minorHAnsi"/>
                <w:sz w:val="22"/>
                <w:lang w:val="fr-FR" w:bidi="fr-FR"/>
              </w:rPr>
              <w:t xml:space="preserve">Directeurs de bureau aux niveaux national, régional et </w:t>
            </w:r>
            <w:r w:rsidR="00832DA2">
              <w:rPr>
                <w:rFonts w:asciiTheme="minorHAnsi" w:hAnsiTheme="minorHAnsi" w:cstheme="minorHAnsi"/>
                <w:sz w:val="22"/>
                <w:lang w:val="fr-FR" w:bidi="fr-FR"/>
              </w:rPr>
              <w:t>global</w:t>
            </w:r>
          </w:p>
        </w:tc>
        <w:tc>
          <w:tcPr>
            <w:tcW w:w="1300" w:type="pct"/>
          </w:tcPr>
          <w:p w14:paraId="60E7EB46" w14:textId="2C4F5431" w:rsidR="0046210B" w:rsidRPr="00B42BCE" w:rsidRDefault="0046210B" w:rsidP="00C6409C">
            <w:pPr>
              <w:spacing w:before="40" w:after="40"/>
              <w:rPr>
                <w:rFonts w:asciiTheme="minorHAnsi" w:hAnsiTheme="minorHAnsi" w:cstheme="minorHAnsi"/>
                <w:sz w:val="22"/>
                <w:szCs w:val="22"/>
                <w:lang w:val="fr-FR"/>
              </w:rPr>
            </w:pPr>
            <w:r w:rsidRPr="00B42BCE">
              <w:rPr>
                <w:rFonts w:asciiTheme="minorHAnsi" w:hAnsiTheme="minorHAnsi" w:cstheme="minorHAnsi"/>
                <w:sz w:val="22"/>
                <w:lang w:val="fr-FR" w:bidi="fr-FR"/>
              </w:rPr>
              <w:t>Lorsque le projet de partenariat est initié au niveau d’un bureau de pays et que le partenaire potentiel exerce des activités relevant d’un secteur à haut risque, la décision est confiée au directeur du bureau régional concerné. Dans tous les cas, les résultats de l’outil d’évaluation des risques sont communiqués au comité des risques pour information.</w:t>
            </w:r>
          </w:p>
        </w:tc>
      </w:tr>
      <w:tr w:rsidR="0046210B" w:rsidRPr="00B42BCE" w14:paraId="16BF6994" w14:textId="77777777" w:rsidTr="00880C31">
        <w:trPr>
          <w:trHeight w:val="935"/>
        </w:trPr>
        <w:tc>
          <w:tcPr>
            <w:tcW w:w="800" w:type="pct"/>
            <w:shd w:val="clear" w:color="auto" w:fill="FBD4B4" w:themeFill="accent6" w:themeFillTint="66"/>
          </w:tcPr>
          <w:p w14:paraId="111198B4" w14:textId="77777777" w:rsidR="0046210B" w:rsidRPr="00B42BCE" w:rsidRDefault="0046210B" w:rsidP="00C6409C">
            <w:pPr>
              <w:spacing w:before="40" w:after="40"/>
              <w:rPr>
                <w:rFonts w:asciiTheme="minorHAnsi" w:hAnsiTheme="minorHAnsi" w:cstheme="minorHAnsi"/>
                <w:b/>
                <w:bCs/>
                <w:sz w:val="22"/>
                <w:szCs w:val="22"/>
                <w:u w:val="single"/>
              </w:rPr>
            </w:pPr>
            <w:r w:rsidRPr="00B42BCE">
              <w:rPr>
                <w:rFonts w:asciiTheme="minorHAnsi" w:hAnsiTheme="minorHAnsi" w:cstheme="minorHAnsi"/>
                <w:b/>
                <w:sz w:val="22"/>
                <w:u w:val="single"/>
                <w:lang w:val="fr-FR" w:bidi="fr-FR"/>
              </w:rPr>
              <w:t>Risque significatif</w:t>
            </w:r>
          </w:p>
        </w:tc>
        <w:tc>
          <w:tcPr>
            <w:tcW w:w="1520" w:type="pct"/>
          </w:tcPr>
          <w:p w14:paraId="4F7BBE77" w14:textId="74E95718" w:rsidR="0046210B" w:rsidRPr="00B42BCE" w:rsidRDefault="0046210B" w:rsidP="00C6409C">
            <w:pPr>
              <w:spacing w:before="40" w:after="40"/>
              <w:rPr>
                <w:rFonts w:asciiTheme="minorHAnsi" w:hAnsiTheme="minorHAnsi" w:cstheme="minorHAnsi"/>
                <w:sz w:val="22"/>
                <w:szCs w:val="22"/>
                <w:lang w:val="fr-FR"/>
              </w:rPr>
            </w:pPr>
            <w:r w:rsidRPr="00B42BCE">
              <w:rPr>
                <w:rFonts w:asciiTheme="minorHAnsi" w:hAnsiTheme="minorHAnsi" w:cstheme="minorHAnsi"/>
                <w:sz w:val="22"/>
                <w:lang w:val="fr-FR" w:bidi="fr-FR"/>
              </w:rPr>
              <w:t>Aucun élément de preuve ne permet d’affirmer que les partenaires potentiels participent directement à des activités correspondant aux critères d’exclusion, mais il est avéré qu’ils sont sujets à controverse et/ou participent à des activités relevant d’un secteur à haut risque.</w:t>
            </w:r>
          </w:p>
        </w:tc>
        <w:tc>
          <w:tcPr>
            <w:tcW w:w="1380" w:type="pct"/>
          </w:tcPr>
          <w:p w14:paraId="6B1BDB20" w14:textId="266A1A32" w:rsidR="0046210B" w:rsidRPr="00B42BCE" w:rsidRDefault="0046210B" w:rsidP="00C6409C">
            <w:pPr>
              <w:spacing w:before="40" w:after="40"/>
              <w:rPr>
                <w:rFonts w:asciiTheme="minorHAnsi" w:hAnsiTheme="minorHAnsi" w:cstheme="minorHAnsi"/>
                <w:sz w:val="22"/>
                <w:szCs w:val="22"/>
              </w:rPr>
            </w:pPr>
            <w:r w:rsidRPr="00B42BCE">
              <w:rPr>
                <w:rFonts w:asciiTheme="minorHAnsi" w:hAnsiTheme="minorHAnsi" w:cstheme="minorHAnsi"/>
                <w:sz w:val="22"/>
                <w:lang w:val="fr-FR" w:bidi="fr-FR"/>
              </w:rPr>
              <w:t xml:space="preserve">Directeurs de bureau </w:t>
            </w:r>
          </w:p>
          <w:p w14:paraId="26B23B22" w14:textId="77777777" w:rsidR="0046210B" w:rsidRPr="00B42BCE" w:rsidRDefault="0046210B" w:rsidP="00C6409C">
            <w:pPr>
              <w:spacing w:before="40" w:after="40"/>
              <w:rPr>
                <w:rFonts w:asciiTheme="minorHAnsi" w:hAnsiTheme="minorHAnsi" w:cstheme="minorHAnsi"/>
                <w:sz w:val="22"/>
                <w:szCs w:val="22"/>
              </w:rPr>
            </w:pPr>
          </w:p>
        </w:tc>
        <w:tc>
          <w:tcPr>
            <w:tcW w:w="1300" w:type="pct"/>
          </w:tcPr>
          <w:p w14:paraId="1E935F65" w14:textId="13860AB5" w:rsidR="0046210B" w:rsidRPr="00B42BCE" w:rsidRDefault="0046210B" w:rsidP="00C6409C">
            <w:pPr>
              <w:spacing w:before="40" w:after="40"/>
              <w:rPr>
                <w:rFonts w:asciiTheme="minorHAnsi" w:hAnsiTheme="minorHAnsi" w:cstheme="minorHAnsi"/>
                <w:sz w:val="22"/>
                <w:szCs w:val="22"/>
                <w:lang w:val="fr-FR"/>
              </w:rPr>
            </w:pPr>
            <w:r w:rsidRPr="00B42BCE">
              <w:rPr>
                <w:rFonts w:asciiTheme="minorHAnsi" w:hAnsiTheme="minorHAnsi" w:cstheme="minorHAnsi"/>
                <w:sz w:val="22"/>
                <w:lang w:val="fr-FR" w:bidi="fr-FR"/>
              </w:rPr>
              <w:t>Lorsque le projet de partenariat est initié au niveau d’un bureau de pays et que le partenaire potentiel exerce des activités relevant d’un secteur à haut risque, la décision est confiée au directeur du bureau régional concerné. Dans tous les cas, les résultats de l’outil d’évaluation des risques sont communiqués au comité des risques pour information.</w:t>
            </w:r>
          </w:p>
        </w:tc>
      </w:tr>
      <w:tr w:rsidR="0046210B" w:rsidRPr="00B42BCE" w14:paraId="1DE4A59E" w14:textId="77777777" w:rsidTr="00880C31">
        <w:trPr>
          <w:trHeight w:val="361"/>
        </w:trPr>
        <w:tc>
          <w:tcPr>
            <w:tcW w:w="800" w:type="pct"/>
            <w:shd w:val="clear" w:color="auto" w:fill="FBD4B4" w:themeFill="accent6" w:themeFillTint="66"/>
          </w:tcPr>
          <w:p w14:paraId="48421BF8" w14:textId="77777777" w:rsidR="0046210B" w:rsidRPr="00B42BCE" w:rsidRDefault="0046210B" w:rsidP="00C6409C">
            <w:pPr>
              <w:spacing w:before="40" w:after="40"/>
              <w:rPr>
                <w:rFonts w:asciiTheme="minorHAnsi" w:hAnsiTheme="minorHAnsi" w:cstheme="minorHAnsi"/>
                <w:b/>
                <w:bCs/>
                <w:sz w:val="22"/>
                <w:szCs w:val="22"/>
                <w:u w:val="single"/>
              </w:rPr>
            </w:pPr>
            <w:r w:rsidRPr="00B42BCE">
              <w:rPr>
                <w:rFonts w:asciiTheme="minorHAnsi" w:hAnsiTheme="minorHAnsi" w:cstheme="minorHAnsi"/>
                <w:b/>
                <w:sz w:val="22"/>
                <w:u w:val="single"/>
                <w:lang w:val="fr-FR" w:bidi="fr-FR"/>
              </w:rPr>
              <w:t>Risque élevé</w:t>
            </w:r>
          </w:p>
        </w:tc>
        <w:tc>
          <w:tcPr>
            <w:tcW w:w="1520" w:type="pct"/>
          </w:tcPr>
          <w:p w14:paraId="078C3180" w14:textId="562F5B32" w:rsidR="0046210B" w:rsidRPr="00B42BCE" w:rsidRDefault="6ABADEC7" w:rsidP="00C6409C">
            <w:pPr>
              <w:spacing w:before="40" w:after="40"/>
              <w:rPr>
                <w:rFonts w:asciiTheme="minorHAnsi" w:hAnsiTheme="minorHAnsi" w:cstheme="minorHAnsi"/>
                <w:sz w:val="22"/>
                <w:szCs w:val="22"/>
                <w:lang w:val="fr-FR"/>
              </w:rPr>
            </w:pPr>
            <w:r w:rsidRPr="00B42BCE">
              <w:rPr>
                <w:rFonts w:asciiTheme="minorHAnsi" w:hAnsiTheme="minorHAnsi" w:cstheme="minorHAnsi"/>
                <w:sz w:val="22"/>
                <w:lang w:val="fr-FR" w:bidi="fr-FR"/>
              </w:rPr>
              <w:t xml:space="preserve">Les partenaires potentiels participent à des activités correspondant aux critères </w:t>
            </w:r>
            <w:r w:rsidRPr="00B42BCE">
              <w:rPr>
                <w:rFonts w:asciiTheme="minorHAnsi" w:hAnsiTheme="minorHAnsi" w:cstheme="minorHAnsi"/>
                <w:sz w:val="22"/>
                <w:lang w:val="fr-FR" w:bidi="fr-FR"/>
              </w:rPr>
              <w:lastRenderedPageBreak/>
              <w:t>d’exclusion ou il existe des preuves directes de leur participation à des activités relevant des industries extractives</w:t>
            </w:r>
            <w:r w:rsidR="0046210B" w:rsidRPr="00B42BCE">
              <w:rPr>
                <w:rStyle w:val="FootnoteReference"/>
                <w:rFonts w:asciiTheme="minorHAnsi" w:hAnsiTheme="minorHAnsi" w:cstheme="minorHAnsi"/>
                <w:sz w:val="22"/>
                <w:lang w:val="fr-FR" w:bidi="fr-FR"/>
              </w:rPr>
              <w:footnoteReference w:id="24"/>
            </w:r>
            <w:r w:rsidRPr="00B42BCE">
              <w:rPr>
                <w:rFonts w:asciiTheme="minorHAnsi" w:hAnsiTheme="minorHAnsi" w:cstheme="minorHAnsi"/>
                <w:sz w:val="22"/>
                <w:lang w:val="fr-FR" w:bidi="fr-FR"/>
              </w:rPr>
              <w:t>.</w:t>
            </w:r>
          </w:p>
        </w:tc>
        <w:tc>
          <w:tcPr>
            <w:tcW w:w="1380" w:type="pct"/>
          </w:tcPr>
          <w:p w14:paraId="2B37E4B1" w14:textId="5946ADF3" w:rsidR="0046210B" w:rsidRPr="00B42BCE" w:rsidRDefault="0046210B" w:rsidP="00C6409C">
            <w:pPr>
              <w:spacing w:before="40" w:after="40"/>
              <w:rPr>
                <w:rFonts w:asciiTheme="minorHAnsi" w:hAnsiTheme="minorHAnsi" w:cstheme="minorHAnsi"/>
                <w:sz w:val="22"/>
                <w:szCs w:val="22"/>
              </w:rPr>
            </w:pPr>
            <w:r w:rsidRPr="00B42BCE">
              <w:rPr>
                <w:rFonts w:asciiTheme="minorHAnsi" w:hAnsiTheme="minorHAnsi" w:cstheme="minorHAnsi"/>
                <w:sz w:val="22"/>
                <w:lang w:val="fr-FR" w:bidi="fr-FR"/>
              </w:rPr>
              <w:lastRenderedPageBreak/>
              <w:t>Comité des risques institutionnels</w:t>
            </w:r>
          </w:p>
        </w:tc>
        <w:tc>
          <w:tcPr>
            <w:tcW w:w="1300" w:type="pct"/>
          </w:tcPr>
          <w:p w14:paraId="1A4D2DD9" w14:textId="02821B9A" w:rsidR="0046210B" w:rsidRPr="00B42BCE" w:rsidRDefault="16840C13" w:rsidP="00C6409C">
            <w:pPr>
              <w:spacing w:before="40" w:after="40"/>
              <w:rPr>
                <w:rFonts w:asciiTheme="minorHAnsi" w:hAnsiTheme="minorHAnsi" w:cstheme="minorHAnsi"/>
                <w:sz w:val="22"/>
                <w:szCs w:val="22"/>
                <w:lang w:val="fr-FR"/>
              </w:rPr>
            </w:pPr>
            <w:r w:rsidRPr="00B42BCE">
              <w:rPr>
                <w:rFonts w:asciiTheme="minorHAnsi" w:hAnsiTheme="minorHAnsi" w:cstheme="minorHAnsi"/>
                <w:sz w:val="22"/>
                <w:lang w:val="fr-FR" w:bidi="fr-FR"/>
              </w:rPr>
              <w:t xml:space="preserve">Dans tous les cas de participation directe à des activités </w:t>
            </w:r>
            <w:r w:rsidRPr="00B42BCE">
              <w:rPr>
                <w:rFonts w:asciiTheme="minorHAnsi" w:hAnsiTheme="minorHAnsi" w:cstheme="minorHAnsi"/>
                <w:sz w:val="22"/>
                <w:lang w:val="fr-FR" w:bidi="fr-FR"/>
              </w:rPr>
              <w:lastRenderedPageBreak/>
              <w:t>correspondant aux critères d’exclusion et/ou relevant des industries extractives</w:t>
            </w:r>
            <w:r w:rsidR="0046210B" w:rsidRPr="00B42BCE">
              <w:rPr>
                <w:rStyle w:val="FootnoteReference"/>
                <w:rFonts w:asciiTheme="minorHAnsi" w:hAnsiTheme="minorHAnsi" w:cstheme="minorHAnsi"/>
                <w:sz w:val="22"/>
                <w:lang w:val="fr-FR" w:bidi="fr-FR"/>
              </w:rPr>
              <w:footnoteReference w:id="25"/>
            </w:r>
            <w:r w:rsidRPr="00B42BCE">
              <w:rPr>
                <w:rFonts w:asciiTheme="minorHAnsi" w:hAnsiTheme="minorHAnsi" w:cstheme="minorHAnsi"/>
                <w:sz w:val="22"/>
                <w:lang w:val="fr-FR" w:bidi="fr-FR"/>
              </w:rPr>
              <w:t>.</w:t>
            </w:r>
          </w:p>
        </w:tc>
      </w:tr>
    </w:tbl>
    <w:p w14:paraId="6818BCCF" w14:textId="77777777" w:rsidR="008D22F9" w:rsidRPr="00B42BCE" w:rsidRDefault="008D22F9">
      <w:pPr>
        <w:pStyle w:val="BodyText"/>
        <w:ind w:left="280" w:right="639"/>
        <w:jc w:val="both"/>
        <w:rPr>
          <w:rFonts w:asciiTheme="minorHAnsi" w:hAnsiTheme="minorHAnsi" w:cstheme="minorHAnsi"/>
        </w:rPr>
      </w:pPr>
    </w:p>
    <w:p w14:paraId="54CBD62C" w14:textId="2E6592B0" w:rsidR="009A538D" w:rsidRPr="00B42BCE" w:rsidRDefault="005F2731">
      <w:pPr>
        <w:pStyle w:val="BodyText"/>
        <w:ind w:left="280" w:right="634"/>
        <w:jc w:val="both"/>
        <w:rPr>
          <w:rFonts w:asciiTheme="minorHAnsi" w:hAnsiTheme="minorHAnsi" w:cstheme="minorHAnsi"/>
        </w:rPr>
      </w:pPr>
      <w:r w:rsidRPr="00B42BCE">
        <w:rPr>
          <w:rFonts w:asciiTheme="minorHAnsi" w:hAnsiTheme="minorHAnsi" w:cstheme="minorHAnsi"/>
          <w:lang w:bidi="fr-FR"/>
        </w:rPr>
        <w:t xml:space="preserve">Dans le cas d’un partenariat avec une entité privée directement impliquée dans des activités correspondant aux critères d’exclusion et/ou relevant des industries extractives, la décision est systématiquement confiée au comité des risques institutionnels. Lorsque le partenaire potentiel exerce des activités relevant d’un secteur à haut risque (voir la liste des secteurs à haut risque p. 6, à l’exception des industries extractives), le comité des risques institutionnels est systématiquement informé du projet de partenariat. </w:t>
      </w:r>
    </w:p>
    <w:p w14:paraId="6C0B94A2" w14:textId="77777777" w:rsidR="009A538D" w:rsidRPr="00B42BCE" w:rsidRDefault="009A538D">
      <w:pPr>
        <w:pStyle w:val="BodyText"/>
        <w:ind w:left="280" w:right="634"/>
        <w:jc w:val="both"/>
        <w:rPr>
          <w:rFonts w:asciiTheme="minorHAnsi" w:hAnsiTheme="minorHAnsi" w:cstheme="minorHAnsi"/>
        </w:rPr>
      </w:pPr>
    </w:p>
    <w:p w14:paraId="52B54D98" w14:textId="18CEF355" w:rsidR="005A7342" w:rsidRPr="00B42BCE" w:rsidRDefault="005F2731">
      <w:pPr>
        <w:pStyle w:val="BodyText"/>
        <w:ind w:left="280" w:right="639"/>
        <w:jc w:val="both"/>
        <w:rPr>
          <w:rFonts w:asciiTheme="minorHAnsi" w:hAnsiTheme="minorHAnsi" w:cstheme="minorHAnsi"/>
          <w:highlight w:val="yellow"/>
        </w:rPr>
      </w:pPr>
      <w:r w:rsidRPr="00B42BCE">
        <w:rPr>
          <w:rFonts w:asciiTheme="minorHAnsi" w:hAnsiTheme="minorHAnsi" w:cstheme="minorHAnsi"/>
          <w:lang w:bidi="fr-FR"/>
        </w:rPr>
        <w:t xml:space="preserve">Tous les partenaires potentiels devront fournir une </w:t>
      </w:r>
      <w:hyperlink r:id="rId18" w:history="1">
        <w:r w:rsidR="00AD5F69" w:rsidRPr="00B42BCE">
          <w:rPr>
            <w:rStyle w:val="Hyperlink"/>
            <w:rFonts w:asciiTheme="minorHAnsi" w:hAnsiTheme="minorHAnsi" w:cstheme="minorHAnsi"/>
            <w:lang w:bidi="fr-FR"/>
          </w:rPr>
          <w:t>auto-certification de lutte contre le blanchiment d’argent et le financement du terrorisme</w:t>
        </w:r>
      </w:hyperlink>
      <w:r w:rsidR="00A92A97">
        <w:rPr>
          <w:rStyle w:val="Hyperlink"/>
          <w:rFonts w:asciiTheme="minorHAnsi" w:hAnsiTheme="minorHAnsi" w:cstheme="minorHAnsi"/>
          <w:lang w:bidi="fr-FR"/>
        </w:rPr>
        <w:t xml:space="preserve"> (en anglais)</w:t>
      </w:r>
      <w:r w:rsidRPr="00B42BCE">
        <w:rPr>
          <w:rFonts w:asciiTheme="minorHAnsi" w:hAnsiTheme="minorHAnsi" w:cstheme="minorHAnsi"/>
          <w:lang w:bidi="fr-FR"/>
        </w:rPr>
        <w:t xml:space="preserve">, en vertu de laquelle chaque entité attestera : que les informations fournies sont exhaustives et exactes ; qu’elle ne fait l’objet d’aucune sanction ; qu’elle est prête à se conformer aux lois et réglementations en vigueur en matière de lutte contre le blanchiment d’argent et le financement du terrorisme ; qu’elle s’engage à informer le PNUD dans les meilleurs délais en cas de violation des termes de la certification. </w:t>
      </w:r>
    </w:p>
    <w:p w14:paraId="24CC2D4E" w14:textId="44D64367" w:rsidR="00474239" w:rsidRPr="00B42BCE" w:rsidRDefault="005F2731" w:rsidP="00D13A23">
      <w:pPr>
        <w:pStyle w:val="Heading2"/>
        <w:numPr>
          <w:ilvl w:val="1"/>
          <w:numId w:val="19"/>
        </w:numPr>
        <w:tabs>
          <w:tab w:val="left" w:pos="1015"/>
          <w:tab w:val="left" w:pos="7095"/>
        </w:tabs>
        <w:spacing w:before="182" w:line="364" w:lineRule="exact"/>
        <w:rPr>
          <w:rFonts w:asciiTheme="minorHAnsi" w:hAnsiTheme="minorHAnsi" w:cstheme="minorHAnsi"/>
        </w:rPr>
      </w:pPr>
      <w:bookmarkStart w:id="17" w:name="_Toc160629992"/>
      <w:r w:rsidRPr="00B42BCE">
        <w:rPr>
          <w:rFonts w:asciiTheme="minorHAnsi" w:hAnsiTheme="minorHAnsi" w:cstheme="minorHAnsi"/>
          <w:lang w:bidi="fr-FR"/>
        </w:rPr>
        <w:t>Suivi des partenariats, gestion des risques et établissement de rapports</w:t>
      </w:r>
      <w:bookmarkEnd w:id="17"/>
      <w:r w:rsidRPr="00B42BCE">
        <w:rPr>
          <w:rFonts w:asciiTheme="minorHAnsi" w:hAnsiTheme="minorHAnsi" w:cstheme="minorHAnsi"/>
          <w:lang w:bidi="fr-FR"/>
        </w:rPr>
        <w:tab/>
      </w:r>
    </w:p>
    <w:p w14:paraId="6147CAF3" w14:textId="51658880" w:rsidR="006E0247" w:rsidRPr="00B42BCE" w:rsidRDefault="006E0247" w:rsidP="006E0247">
      <w:pPr>
        <w:pStyle w:val="BodyText"/>
        <w:ind w:left="280" w:right="639"/>
        <w:jc w:val="both"/>
        <w:rPr>
          <w:rFonts w:asciiTheme="minorHAnsi" w:hAnsiTheme="minorHAnsi" w:cstheme="minorHAnsi"/>
        </w:rPr>
      </w:pPr>
      <w:r w:rsidRPr="00B42BCE">
        <w:rPr>
          <w:rFonts w:asciiTheme="minorHAnsi" w:hAnsiTheme="minorHAnsi" w:cstheme="minorHAnsi"/>
          <w:lang w:bidi="fr-FR"/>
        </w:rPr>
        <w:t xml:space="preserve">La fréquence du suivi des partenariats est également déterminée par le niveau de risque. L’unité </w:t>
      </w:r>
      <w:r w:rsidR="007565E4">
        <w:rPr>
          <w:rFonts w:asciiTheme="minorHAnsi" w:hAnsiTheme="minorHAnsi" w:cstheme="minorHAnsi"/>
          <w:lang w:bidi="fr-FR"/>
        </w:rPr>
        <w:t xml:space="preserve">Initatrice </w:t>
      </w:r>
      <w:r w:rsidRPr="00B42BCE">
        <w:rPr>
          <w:rFonts w:asciiTheme="minorHAnsi" w:hAnsiTheme="minorHAnsi" w:cstheme="minorHAnsi"/>
          <w:lang w:bidi="fr-FR"/>
        </w:rPr>
        <w:t xml:space="preserve"> du partenariat/le responsable des partenariats procède à un suivi en fonction des critères suivants :</w:t>
      </w:r>
    </w:p>
    <w:p w14:paraId="1A41AA3D" w14:textId="77777777" w:rsidR="006E0247" w:rsidRPr="00B42BCE" w:rsidRDefault="006E0247" w:rsidP="006E0247">
      <w:pPr>
        <w:rPr>
          <w:rStyle w:val="cf01"/>
          <w:rFonts w:asciiTheme="minorHAnsi" w:hAnsiTheme="minorHAnsi" w:cstheme="minorHAnsi"/>
          <w:sz w:val="22"/>
          <w:szCs w:val="22"/>
        </w:rPr>
      </w:pPr>
    </w:p>
    <w:tbl>
      <w:tblPr>
        <w:tblStyle w:val="TableGrid"/>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1790"/>
        <w:gridCol w:w="3060"/>
        <w:gridCol w:w="1890"/>
      </w:tblGrid>
      <w:tr w:rsidR="006E0247" w:rsidRPr="00B42BCE" w14:paraId="767D26A1" w14:textId="77777777" w:rsidTr="00220F7D">
        <w:trPr>
          <w:trHeight w:val="338"/>
        </w:trPr>
        <w:tc>
          <w:tcPr>
            <w:tcW w:w="2246" w:type="dxa"/>
            <w:shd w:val="clear" w:color="auto" w:fill="FBD4B4" w:themeFill="accent6" w:themeFillTint="66"/>
            <w:vAlign w:val="center"/>
          </w:tcPr>
          <w:p w14:paraId="642CB775" w14:textId="77777777" w:rsidR="006E0247" w:rsidRPr="00B42BCE" w:rsidRDefault="006E0247" w:rsidP="00F745B3">
            <w:pPr>
              <w:rPr>
                <w:rFonts w:asciiTheme="minorHAnsi" w:hAnsiTheme="minorHAnsi" w:cstheme="minorHAnsi"/>
                <w:b/>
                <w:bCs/>
                <w:sz w:val="22"/>
                <w:szCs w:val="22"/>
                <w:lang w:val="fr-FR"/>
              </w:rPr>
            </w:pPr>
            <w:r w:rsidRPr="00B42BCE">
              <w:rPr>
                <w:rFonts w:asciiTheme="minorHAnsi" w:hAnsiTheme="minorHAnsi" w:cstheme="minorHAnsi"/>
                <w:b/>
                <w:sz w:val="22"/>
                <w:lang w:val="fr-FR" w:bidi="fr-FR"/>
              </w:rPr>
              <w:t>Fréquence du suivi en fonction du niveau de risque</w:t>
            </w:r>
          </w:p>
        </w:tc>
        <w:tc>
          <w:tcPr>
            <w:tcW w:w="1790" w:type="dxa"/>
            <w:shd w:val="clear" w:color="auto" w:fill="DBE5F1" w:themeFill="accent1" w:themeFillTint="33"/>
            <w:vAlign w:val="center"/>
          </w:tcPr>
          <w:p w14:paraId="2286E06B" w14:textId="0FD873D7" w:rsidR="006E0247" w:rsidRPr="00B42BCE" w:rsidRDefault="006E0247" w:rsidP="00983380">
            <w:pPr>
              <w:jc w:val="center"/>
              <w:rPr>
                <w:rFonts w:asciiTheme="minorHAnsi" w:hAnsiTheme="minorHAnsi" w:cstheme="minorHAnsi"/>
                <w:b/>
                <w:bCs/>
                <w:sz w:val="22"/>
                <w:szCs w:val="22"/>
              </w:rPr>
            </w:pPr>
            <w:r w:rsidRPr="00B42BCE">
              <w:rPr>
                <w:rFonts w:asciiTheme="minorHAnsi" w:hAnsiTheme="minorHAnsi" w:cstheme="minorHAnsi"/>
                <w:b/>
                <w:sz w:val="22"/>
                <w:lang w:val="fr-FR" w:bidi="fr-FR"/>
              </w:rPr>
              <w:t>Risque faible</w:t>
            </w:r>
          </w:p>
        </w:tc>
        <w:tc>
          <w:tcPr>
            <w:tcW w:w="3060" w:type="dxa"/>
            <w:shd w:val="clear" w:color="auto" w:fill="DBE5F1" w:themeFill="accent1" w:themeFillTint="33"/>
            <w:vAlign w:val="center"/>
          </w:tcPr>
          <w:p w14:paraId="2B5C2557" w14:textId="77777777" w:rsidR="006E0247" w:rsidRPr="00B42BCE" w:rsidRDefault="006E0247" w:rsidP="00983380">
            <w:pPr>
              <w:jc w:val="center"/>
              <w:rPr>
                <w:rFonts w:asciiTheme="minorHAnsi" w:hAnsiTheme="minorHAnsi" w:cstheme="minorHAnsi"/>
                <w:b/>
                <w:bCs/>
                <w:sz w:val="22"/>
                <w:szCs w:val="22"/>
              </w:rPr>
            </w:pPr>
            <w:r w:rsidRPr="00B42BCE">
              <w:rPr>
                <w:rFonts w:asciiTheme="minorHAnsi" w:hAnsiTheme="minorHAnsi" w:cstheme="minorHAnsi"/>
                <w:b/>
                <w:sz w:val="22"/>
                <w:lang w:val="fr-FR" w:bidi="fr-FR"/>
              </w:rPr>
              <w:t>Risque modéré à significatif</w:t>
            </w:r>
          </w:p>
        </w:tc>
        <w:tc>
          <w:tcPr>
            <w:tcW w:w="1890" w:type="dxa"/>
            <w:shd w:val="clear" w:color="auto" w:fill="DBE5F1" w:themeFill="accent1" w:themeFillTint="33"/>
            <w:vAlign w:val="center"/>
          </w:tcPr>
          <w:p w14:paraId="0911447D" w14:textId="7DE0C456" w:rsidR="006E0247" w:rsidRPr="00B42BCE" w:rsidRDefault="006E0247" w:rsidP="00983380">
            <w:pPr>
              <w:jc w:val="center"/>
              <w:rPr>
                <w:rFonts w:asciiTheme="minorHAnsi" w:hAnsiTheme="minorHAnsi" w:cstheme="minorHAnsi"/>
                <w:b/>
                <w:bCs/>
                <w:sz w:val="22"/>
                <w:szCs w:val="22"/>
              </w:rPr>
            </w:pPr>
            <w:r w:rsidRPr="00B42BCE">
              <w:rPr>
                <w:rFonts w:asciiTheme="minorHAnsi" w:hAnsiTheme="minorHAnsi" w:cstheme="minorHAnsi"/>
                <w:b/>
                <w:sz w:val="22"/>
                <w:lang w:val="fr-FR" w:bidi="fr-FR"/>
              </w:rPr>
              <w:t>Risque élevé</w:t>
            </w:r>
          </w:p>
        </w:tc>
      </w:tr>
      <w:tr w:rsidR="006E0247" w:rsidRPr="00B42BCE" w14:paraId="7217068D" w14:textId="77777777" w:rsidTr="00220F7D">
        <w:trPr>
          <w:trHeight w:val="338"/>
        </w:trPr>
        <w:tc>
          <w:tcPr>
            <w:tcW w:w="2246" w:type="dxa"/>
            <w:shd w:val="clear" w:color="auto" w:fill="FBD4B4" w:themeFill="accent6" w:themeFillTint="66"/>
            <w:vAlign w:val="center"/>
          </w:tcPr>
          <w:p w14:paraId="3A3FE9AC" w14:textId="77777777" w:rsidR="006E0247" w:rsidRPr="00B42BCE" w:rsidRDefault="006E0247" w:rsidP="00F745B3">
            <w:pPr>
              <w:rPr>
                <w:rFonts w:asciiTheme="minorHAnsi" w:hAnsiTheme="minorHAnsi" w:cstheme="minorHAnsi"/>
                <w:b/>
                <w:bCs/>
                <w:sz w:val="22"/>
                <w:szCs w:val="22"/>
              </w:rPr>
            </w:pPr>
            <w:r w:rsidRPr="00B42BCE">
              <w:rPr>
                <w:rFonts w:asciiTheme="minorHAnsi" w:hAnsiTheme="minorHAnsi" w:cstheme="minorHAnsi"/>
                <w:b/>
                <w:sz w:val="22"/>
                <w:lang w:val="fr-FR" w:bidi="fr-FR"/>
              </w:rPr>
              <w:t>Fréquence</w:t>
            </w:r>
          </w:p>
        </w:tc>
        <w:tc>
          <w:tcPr>
            <w:tcW w:w="1790" w:type="dxa"/>
            <w:vAlign w:val="center"/>
          </w:tcPr>
          <w:p w14:paraId="40F436A3" w14:textId="77777777" w:rsidR="006E0247" w:rsidRPr="00B42BCE" w:rsidRDefault="006E0247" w:rsidP="00983380">
            <w:pPr>
              <w:jc w:val="center"/>
              <w:rPr>
                <w:rFonts w:asciiTheme="minorHAnsi" w:hAnsiTheme="minorHAnsi" w:cstheme="minorHAnsi"/>
                <w:b/>
                <w:bCs/>
                <w:sz w:val="22"/>
                <w:szCs w:val="22"/>
              </w:rPr>
            </w:pPr>
            <w:r w:rsidRPr="00B42BCE">
              <w:rPr>
                <w:rFonts w:asciiTheme="minorHAnsi" w:hAnsiTheme="minorHAnsi" w:cstheme="minorHAnsi"/>
                <w:b/>
                <w:sz w:val="22"/>
                <w:lang w:val="fr-FR" w:bidi="fr-FR"/>
              </w:rPr>
              <w:t>Annuelle</w:t>
            </w:r>
          </w:p>
        </w:tc>
        <w:tc>
          <w:tcPr>
            <w:tcW w:w="3060" w:type="dxa"/>
            <w:vAlign w:val="center"/>
          </w:tcPr>
          <w:p w14:paraId="73E0EC2B" w14:textId="77777777" w:rsidR="006E0247" w:rsidRPr="00B42BCE" w:rsidRDefault="006E0247" w:rsidP="00983380">
            <w:pPr>
              <w:jc w:val="center"/>
              <w:rPr>
                <w:rFonts w:asciiTheme="minorHAnsi" w:hAnsiTheme="minorHAnsi" w:cstheme="minorHAnsi"/>
                <w:b/>
                <w:bCs/>
                <w:sz w:val="22"/>
                <w:szCs w:val="22"/>
              </w:rPr>
            </w:pPr>
            <w:r w:rsidRPr="00B42BCE">
              <w:rPr>
                <w:rFonts w:asciiTheme="minorHAnsi" w:hAnsiTheme="minorHAnsi" w:cstheme="minorHAnsi"/>
                <w:b/>
                <w:sz w:val="22"/>
                <w:lang w:val="fr-FR" w:bidi="fr-FR"/>
              </w:rPr>
              <w:t>Semestrielle</w:t>
            </w:r>
          </w:p>
        </w:tc>
        <w:tc>
          <w:tcPr>
            <w:tcW w:w="1890" w:type="dxa"/>
            <w:vAlign w:val="center"/>
          </w:tcPr>
          <w:p w14:paraId="16D12F7A" w14:textId="77777777" w:rsidR="006E0247" w:rsidRPr="00B42BCE" w:rsidRDefault="006E0247" w:rsidP="00983380">
            <w:pPr>
              <w:jc w:val="center"/>
              <w:rPr>
                <w:rFonts w:asciiTheme="minorHAnsi" w:hAnsiTheme="minorHAnsi" w:cstheme="minorHAnsi"/>
                <w:b/>
                <w:bCs/>
                <w:sz w:val="22"/>
                <w:szCs w:val="22"/>
              </w:rPr>
            </w:pPr>
            <w:r w:rsidRPr="00B42BCE">
              <w:rPr>
                <w:rFonts w:asciiTheme="minorHAnsi" w:hAnsiTheme="minorHAnsi" w:cstheme="minorHAnsi"/>
                <w:b/>
                <w:sz w:val="22"/>
                <w:lang w:val="fr-FR" w:bidi="fr-FR"/>
              </w:rPr>
              <w:t>Trimestrielle</w:t>
            </w:r>
          </w:p>
        </w:tc>
      </w:tr>
    </w:tbl>
    <w:p w14:paraId="78634801" w14:textId="77777777" w:rsidR="006E0247" w:rsidRPr="00B42BCE" w:rsidRDefault="006E0247" w:rsidP="006E0247">
      <w:pPr>
        <w:kinsoku w:val="0"/>
        <w:rPr>
          <w:rStyle w:val="cf01"/>
          <w:rFonts w:asciiTheme="minorHAnsi" w:hAnsiTheme="minorHAnsi" w:cstheme="minorHAnsi"/>
          <w:sz w:val="22"/>
          <w:szCs w:val="22"/>
        </w:rPr>
      </w:pPr>
    </w:p>
    <w:p w14:paraId="66307EAC" w14:textId="5AD84188" w:rsidR="006E0247" w:rsidRPr="00B42BCE" w:rsidRDefault="006E0247" w:rsidP="001F6E77">
      <w:pPr>
        <w:pStyle w:val="Heading2"/>
        <w:numPr>
          <w:ilvl w:val="1"/>
          <w:numId w:val="19"/>
        </w:numPr>
        <w:tabs>
          <w:tab w:val="left" w:pos="1015"/>
          <w:tab w:val="left" w:pos="7095"/>
        </w:tabs>
        <w:spacing w:before="182" w:line="364" w:lineRule="exact"/>
        <w:rPr>
          <w:rFonts w:asciiTheme="minorHAnsi" w:hAnsiTheme="minorHAnsi" w:cstheme="minorHAnsi"/>
        </w:rPr>
      </w:pPr>
      <w:bookmarkStart w:id="18" w:name="_Toc160629993"/>
      <w:r w:rsidRPr="00B42BCE">
        <w:rPr>
          <w:rFonts w:asciiTheme="minorHAnsi" w:hAnsiTheme="minorHAnsi" w:cstheme="minorHAnsi"/>
          <w:lang w:bidi="fr-FR"/>
        </w:rPr>
        <w:t>Processus de vérification ponctuelle de la diligence raisonnable</w:t>
      </w:r>
      <w:bookmarkEnd w:id="18"/>
    </w:p>
    <w:p w14:paraId="4A8B0B0F" w14:textId="0ECFD6FA" w:rsidR="002453AF" w:rsidRPr="00B42BCE" w:rsidRDefault="00FF66FE" w:rsidP="002453AF">
      <w:pPr>
        <w:pStyle w:val="BodyText"/>
        <w:ind w:left="280" w:right="639"/>
        <w:jc w:val="both"/>
        <w:rPr>
          <w:rFonts w:asciiTheme="minorHAnsi" w:hAnsiTheme="minorHAnsi" w:cstheme="minorHAnsi"/>
        </w:rPr>
      </w:pPr>
      <w:r w:rsidRPr="00B42BCE">
        <w:rPr>
          <w:rFonts w:asciiTheme="minorHAnsi" w:hAnsiTheme="minorHAnsi" w:cstheme="minorHAnsi"/>
          <w:lang w:bidi="fr-FR"/>
        </w:rPr>
        <w:t xml:space="preserve">Tous les deux ans, les procédures de diligence raisonnable sont soumises à des vérifications ponctuelles, dans le cadre de la « troisième ligne de maîtrise » du PNUD. Ces vérifications permettront de confirmer que le processus de diligence raisonnable a été mené dans le respect de la politique et des lignes directrices correspondantes, et que les mécanismes d’évaluation et de traitement des risques liés au partenaire font l’objet d’un suivi opérationnel. Lorsque la procédure de diligence raisonnable est mise en œuvre par un bureau de pays, le bureau régional correspondant est responsable du processus de vérification ponctuelle. Le groupe sur l’efficacité </w:t>
      </w:r>
      <w:r w:rsidR="00BB5426">
        <w:rPr>
          <w:rFonts w:asciiTheme="minorHAnsi" w:hAnsiTheme="minorHAnsi" w:cstheme="minorHAnsi"/>
          <w:lang w:bidi="fr-FR"/>
        </w:rPr>
        <w:t xml:space="preserve">de BPPS </w:t>
      </w:r>
      <w:r w:rsidRPr="00B42BCE">
        <w:rPr>
          <w:rFonts w:asciiTheme="minorHAnsi" w:hAnsiTheme="minorHAnsi" w:cstheme="minorHAnsi"/>
          <w:lang w:bidi="fr-FR"/>
        </w:rPr>
        <w:t>procédera également à une évaluation indépendante destinée à s’assurer que les bureaux régionaux et centra</w:t>
      </w:r>
      <w:r w:rsidR="00BB5426">
        <w:rPr>
          <w:rFonts w:asciiTheme="minorHAnsi" w:hAnsiTheme="minorHAnsi" w:cstheme="minorHAnsi"/>
          <w:lang w:bidi="fr-FR"/>
        </w:rPr>
        <w:t>ux</w:t>
      </w:r>
      <w:r w:rsidRPr="00B42BCE">
        <w:rPr>
          <w:rFonts w:asciiTheme="minorHAnsi" w:hAnsiTheme="minorHAnsi" w:cstheme="minorHAnsi"/>
          <w:lang w:bidi="fr-FR"/>
        </w:rPr>
        <w:t xml:space="preserve"> respectent la politique de diligence raisonnable.</w:t>
      </w:r>
    </w:p>
    <w:p w14:paraId="0C1F05A1" w14:textId="7E593EA3" w:rsidR="000F537B" w:rsidRPr="00B42BCE" w:rsidRDefault="000F537B" w:rsidP="000F537B">
      <w:pPr>
        <w:pStyle w:val="Heading2"/>
        <w:numPr>
          <w:ilvl w:val="1"/>
          <w:numId w:val="19"/>
        </w:numPr>
        <w:tabs>
          <w:tab w:val="left" w:pos="1015"/>
          <w:tab w:val="left" w:pos="7095"/>
        </w:tabs>
        <w:spacing w:before="182" w:line="364" w:lineRule="exact"/>
        <w:rPr>
          <w:rFonts w:asciiTheme="minorHAnsi" w:hAnsiTheme="minorHAnsi" w:cstheme="minorHAnsi"/>
        </w:rPr>
      </w:pPr>
      <w:bookmarkStart w:id="19" w:name="_Toc160629994"/>
      <w:r w:rsidRPr="00B42BCE">
        <w:rPr>
          <w:rFonts w:asciiTheme="minorHAnsi" w:hAnsiTheme="minorHAnsi" w:cstheme="minorHAnsi"/>
          <w:lang w:bidi="fr-FR"/>
        </w:rPr>
        <w:t>Situations de crise</w:t>
      </w:r>
      <w:bookmarkEnd w:id="19"/>
    </w:p>
    <w:p w14:paraId="7AA068A7" w14:textId="5676ED04" w:rsidR="00E547E8" w:rsidRPr="00B42BCE" w:rsidRDefault="000F537B" w:rsidP="00220F7D">
      <w:pPr>
        <w:pStyle w:val="BodyText"/>
        <w:ind w:left="280" w:right="639"/>
        <w:jc w:val="both"/>
        <w:rPr>
          <w:rFonts w:asciiTheme="minorHAnsi" w:hAnsiTheme="minorHAnsi" w:cstheme="minorHAnsi"/>
        </w:rPr>
      </w:pPr>
      <w:r w:rsidRPr="00B42BCE">
        <w:rPr>
          <w:rFonts w:asciiTheme="minorHAnsi" w:hAnsiTheme="minorHAnsi" w:cstheme="minorHAnsi"/>
          <w:lang w:bidi="fr-FR"/>
        </w:rPr>
        <w:t>Dans les situations de crise, le comité des crises</w:t>
      </w:r>
      <w:r w:rsidR="00641639">
        <w:rPr>
          <w:rFonts w:asciiTheme="minorHAnsi" w:hAnsiTheme="minorHAnsi" w:cstheme="minorHAnsi"/>
          <w:lang w:bidi="fr-FR"/>
        </w:rPr>
        <w:t xml:space="preserve"> ou le Directeur de Bureau concerné</w:t>
      </w:r>
      <w:r w:rsidRPr="00B42BCE">
        <w:rPr>
          <w:rFonts w:asciiTheme="minorHAnsi" w:hAnsiTheme="minorHAnsi" w:cstheme="minorHAnsi"/>
          <w:lang w:bidi="fr-FR"/>
        </w:rPr>
        <w:t xml:space="preserve"> </w:t>
      </w:r>
      <w:r w:rsidR="00641639">
        <w:rPr>
          <w:rFonts w:asciiTheme="minorHAnsi" w:hAnsiTheme="minorHAnsi" w:cstheme="minorHAnsi"/>
          <w:lang w:bidi="fr-FR"/>
        </w:rPr>
        <w:t xml:space="preserve">peut être </w:t>
      </w:r>
      <w:r w:rsidRPr="00B42BCE">
        <w:rPr>
          <w:rFonts w:asciiTheme="minorHAnsi" w:hAnsiTheme="minorHAnsi" w:cstheme="minorHAnsi"/>
          <w:lang w:bidi="fr-FR"/>
        </w:rPr>
        <w:t xml:space="preserve"> responsable de l’assurance qualité relative à la procédure de diligence raisonnable, et de la prise de décision concernant la poursuite des partenariats avec les entités du secteur privé. Les exigences en matière de suivi restent les mêmes qu’en temps normal.</w:t>
      </w:r>
    </w:p>
    <w:p w14:paraId="24CC2D52" w14:textId="5024FADD" w:rsidR="005A7342" w:rsidRPr="00B42BCE" w:rsidRDefault="005A7342">
      <w:pPr>
        <w:spacing w:line="264" w:lineRule="auto"/>
        <w:jc w:val="both"/>
        <w:rPr>
          <w:rFonts w:asciiTheme="minorHAnsi" w:hAnsiTheme="minorHAnsi" w:cstheme="minorHAnsi"/>
        </w:rPr>
        <w:sectPr w:rsidR="005A7342" w:rsidRPr="00B42BCE" w:rsidSect="00EE2173">
          <w:footerReference w:type="default" r:id="rId19"/>
          <w:pgSz w:w="11910" w:h="16840"/>
          <w:pgMar w:top="1170" w:right="800" w:bottom="630" w:left="1160" w:header="450" w:footer="445" w:gutter="0"/>
          <w:cols w:space="720"/>
        </w:sectPr>
      </w:pPr>
    </w:p>
    <w:p w14:paraId="24CC2D53" w14:textId="4889740B" w:rsidR="00474239" w:rsidRPr="00B42BCE" w:rsidRDefault="00474239">
      <w:pPr>
        <w:pStyle w:val="BodyText"/>
        <w:rPr>
          <w:rFonts w:asciiTheme="minorHAnsi" w:hAnsiTheme="minorHAnsi" w:cstheme="minorHAnsi"/>
        </w:rPr>
      </w:pPr>
    </w:p>
    <w:p w14:paraId="24CC2D54" w14:textId="5DDECBB8" w:rsidR="00474239" w:rsidRPr="00B42BCE" w:rsidRDefault="00EE56C9" w:rsidP="00EE56C9">
      <w:pPr>
        <w:spacing w:before="80"/>
        <w:ind w:left="280"/>
        <w:rPr>
          <w:rFonts w:asciiTheme="minorHAnsi" w:hAnsiTheme="minorHAnsi" w:cstheme="minorHAnsi"/>
          <w:b/>
        </w:rPr>
      </w:pPr>
      <w:r w:rsidRPr="00B42BCE">
        <w:rPr>
          <w:rFonts w:asciiTheme="minorHAnsi" w:hAnsiTheme="minorHAnsi" w:cstheme="minorHAnsi"/>
          <w:b/>
          <w:lang w:bidi="fr-FR"/>
        </w:rPr>
        <w:t>FIGURE 1 : Politique de diligence raisonnable du PNUD</w:t>
      </w:r>
    </w:p>
    <w:p w14:paraId="24CC2D55" w14:textId="16EA8DDB" w:rsidR="00474239" w:rsidRPr="00B42BCE" w:rsidRDefault="00474239">
      <w:pPr>
        <w:pStyle w:val="BodyText"/>
        <w:spacing w:before="10"/>
        <w:rPr>
          <w:rFonts w:asciiTheme="minorHAnsi" w:hAnsiTheme="minorHAnsi" w:cstheme="minorHAnsi"/>
          <w:b/>
        </w:rPr>
      </w:pPr>
    </w:p>
    <w:p w14:paraId="5FB20DB6" w14:textId="77777777" w:rsidR="00474239" w:rsidRPr="00B42BCE" w:rsidRDefault="00474239">
      <w:pPr>
        <w:rPr>
          <w:rFonts w:asciiTheme="minorHAnsi" w:hAnsiTheme="minorHAnsi" w:cstheme="minorHAnsi"/>
        </w:rPr>
      </w:pPr>
    </w:p>
    <w:p w14:paraId="24CC2D56" w14:textId="281B0E18" w:rsidR="0072299D" w:rsidRPr="00B42BCE" w:rsidRDefault="0072299D">
      <w:pPr>
        <w:rPr>
          <w:rFonts w:asciiTheme="minorHAnsi" w:hAnsiTheme="minorHAnsi" w:cstheme="minorHAnsi"/>
        </w:rPr>
        <w:sectPr w:rsidR="0072299D" w:rsidRPr="00B42BCE" w:rsidSect="00EE2173">
          <w:footerReference w:type="default" r:id="rId20"/>
          <w:pgSz w:w="16840" w:h="11910" w:orient="landscape"/>
          <w:pgMar w:top="1350" w:right="720" w:bottom="1440" w:left="1340" w:header="360" w:footer="380" w:gutter="0"/>
          <w:cols w:space="720"/>
        </w:sectPr>
      </w:pPr>
      <w:r w:rsidRPr="00B42BCE">
        <w:rPr>
          <w:rStyle w:val="ui-provider"/>
          <w:rFonts w:asciiTheme="minorHAnsi" w:hAnsiTheme="minorHAnsi" w:cstheme="minorHAnsi"/>
          <w:lang w:bidi="fr-FR"/>
        </w:rPr>
        <w:t>[Cette figure sera mise au point et ajoutée au présent document en temps voulu]</w:t>
      </w:r>
    </w:p>
    <w:p w14:paraId="24CC2D57" w14:textId="77777777" w:rsidR="00474239" w:rsidRPr="00B42BCE" w:rsidRDefault="005F2731">
      <w:pPr>
        <w:pStyle w:val="Heading1"/>
        <w:spacing w:before="80"/>
        <w:ind w:left="460" w:firstLine="0"/>
        <w:rPr>
          <w:rFonts w:asciiTheme="minorHAnsi" w:hAnsiTheme="minorHAnsi" w:cstheme="minorHAnsi"/>
          <w:sz w:val="22"/>
          <w:szCs w:val="22"/>
        </w:rPr>
      </w:pPr>
      <w:bookmarkStart w:id="20" w:name="_Toc160629995"/>
      <w:r w:rsidRPr="00B42BCE">
        <w:rPr>
          <w:rFonts w:asciiTheme="minorHAnsi" w:hAnsiTheme="minorHAnsi" w:cstheme="minorHAnsi"/>
          <w:color w:val="365F91"/>
          <w:sz w:val="22"/>
          <w:lang w:bidi="fr-FR"/>
        </w:rPr>
        <w:lastRenderedPageBreak/>
        <w:t>Annexe 1 : Les principes directeurs et les différents types de partenariats avec le secteur privé</w:t>
      </w:r>
      <w:bookmarkEnd w:id="20"/>
    </w:p>
    <w:p w14:paraId="24CC2D58" w14:textId="77777777" w:rsidR="00474239" w:rsidRPr="00B42BCE" w:rsidRDefault="005F2731">
      <w:pPr>
        <w:pStyle w:val="Heading2"/>
        <w:numPr>
          <w:ilvl w:val="1"/>
          <w:numId w:val="16"/>
        </w:numPr>
        <w:tabs>
          <w:tab w:val="left" w:pos="821"/>
        </w:tabs>
        <w:spacing w:before="243"/>
        <w:ind w:hanging="361"/>
        <w:rPr>
          <w:rFonts w:asciiTheme="minorHAnsi" w:hAnsiTheme="minorHAnsi" w:cstheme="minorHAnsi"/>
        </w:rPr>
      </w:pPr>
      <w:bookmarkStart w:id="21" w:name="_Toc160629996"/>
      <w:r w:rsidRPr="00B42BCE">
        <w:rPr>
          <w:rFonts w:asciiTheme="minorHAnsi" w:hAnsiTheme="minorHAnsi" w:cstheme="minorHAnsi"/>
          <w:lang w:bidi="fr-FR"/>
        </w:rPr>
        <w:t>Définition d’un partenariat</w:t>
      </w:r>
      <w:bookmarkEnd w:id="21"/>
    </w:p>
    <w:p w14:paraId="24CC2D59" w14:textId="74EBC2DE" w:rsidR="00474239" w:rsidRPr="00B42BCE" w:rsidRDefault="005F2731">
      <w:pPr>
        <w:pStyle w:val="BodyText"/>
        <w:spacing w:before="112"/>
        <w:ind w:left="100" w:right="133"/>
        <w:jc w:val="both"/>
        <w:rPr>
          <w:rFonts w:asciiTheme="minorHAnsi" w:hAnsiTheme="minorHAnsi" w:cstheme="minorHAnsi"/>
        </w:rPr>
      </w:pPr>
      <w:r w:rsidRPr="00B42BCE">
        <w:rPr>
          <w:rFonts w:asciiTheme="minorHAnsi" w:hAnsiTheme="minorHAnsi" w:cstheme="minorHAnsi"/>
          <w:lang w:bidi="fr-FR"/>
        </w:rPr>
        <w:t>Le PNUD définit le partenariat comme « un accord ou dispositif volontaire de collaboration entre le PNUD et le secteur privé, et d’autres entités le cas échéant, qui décident d’œuvrer ensemble à la réalisation d’un objectif commun ou d’entreprendre une activité spécifique, de partager les risques et leurs responsabilités, ressources et avantages respectifs. Rien dans un tel partenariat ne doit être considéré comme faisant d’une partie un agent de l’autre partie ou créant un partenariat juridique ou une entreprise commune entre les parties. Aucune des parties n’a le pouvoir de contraindre l’autre partie à une orientation spécifique sans son consentement, de passer un contrat au nom de l’autre partie ou de faire assumer une responsabilité à l’autre partie de quelque manière que ce soit »</w:t>
      </w:r>
      <w:r w:rsidR="0089617F" w:rsidRPr="00B42BCE">
        <w:rPr>
          <w:rStyle w:val="FootnoteReference"/>
          <w:rFonts w:asciiTheme="minorHAnsi" w:hAnsiTheme="minorHAnsi" w:cstheme="minorHAnsi"/>
          <w:lang w:bidi="fr-FR"/>
        </w:rPr>
        <w:footnoteReference w:id="26"/>
      </w:r>
      <w:r w:rsidRPr="00B42BCE">
        <w:rPr>
          <w:rFonts w:asciiTheme="minorHAnsi" w:hAnsiTheme="minorHAnsi" w:cstheme="minorHAnsi"/>
          <w:lang w:bidi="fr-FR"/>
        </w:rPr>
        <w:t>.</w:t>
      </w:r>
    </w:p>
    <w:p w14:paraId="24CC2D5A" w14:textId="77777777" w:rsidR="00474239" w:rsidRPr="00B42BCE" w:rsidRDefault="00474239">
      <w:pPr>
        <w:pStyle w:val="BodyText"/>
        <w:rPr>
          <w:rFonts w:asciiTheme="minorHAnsi" w:hAnsiTheme="minorHAnsi" w:cstheme="minorHAnsi"/>
        </w:rPr>
      </w:pPr>
    </w:p>
    <w:p w14:paraId="24CC2D5B" w14:textId="77777777" w:rsidR="00474239" w:rsidRPr="00B42BCE" w:rsidRDefault="005F2731">
      <w:pPr>
        <w:pStyle w:val="Heading2"/>
        <w:numPr>
          <w:ilvl w:val="1"/>
          <w:numId w:val="16"/>
        </w:numPr>
        <w:tabs>
          <w:tab w:val="left" w:pos="821"/>
        </w:tabs>
        <w:ind w:hanging="361"/>
        <w:rPr>
          <w:rFonts w:asciiTheme="minorHAnsi" w:hAnsiTheme="minorHAnsi" w:cstheme="minorHAnsi"/>
        </w:rPr>
      </w:pPr>
      <w:bookmarkStart w:id="22" w:name="_Toc160629997"/>
      <w:r w:rsidRPr="00B42BCE">
        <w:rPr>
          <w:rFonts w:asciiTheme="minorHAnsi" w:hAnsiTheme="minorHAnsi" w:cstheme="minorHAnsi"/>
          <w:lang w:bidi="fr-FR"/>
        </w:rPr>
        <w:t>Principes directeurs en matière de partenariats</w:t>
      </w:r>
      <w:bookmarkEnd w:id="22"/>
    </w:p>
    <w:p w14:paraId="24CC2D5C" w14:textId="77777777" w:rsidR="00474239" w:rsidRPr="00B42BCE" w:rsidRDefault="005F2731" w:rsidP="008057D5">
      <w:pPr>
        <w:pStyle w:val="BodyText"/>
        <w:spacing w:before="147" w:after="120"/>
        <w:ind w:left="100" w:right="136"/>
        <w:jc w:val="both"/>
        <w:rPr>
          <w:rFonts w:asciiTheme="minorHAnsi" w:hAnsiTheme="minorHAnsi" w:cstheme="minorHAnsi"/>
        </w:rPr>
      </w:pPr>
      <w:r w:rsidRPr="00B42BCE">
        <w:rPr>
          <w:rFonts w:asciiTheme="minorHAnsi" w:hAnsiTheme="minorHAnsi" w:cstheme="minorHAnsi"/>
          <w:lang w:bidi="fr-FR"/>
        </w:rPr>
        <w:t>Quelle que soit la nature de la collaboration ou du partenariat envisagé entre le PNUD et le secteur privé (voir les différents types de collaboration présentés dans l’annexe 1), les principes ci-dessous doivent s’appliquer.</w:t>
      </w:r>
    </w:p>
    <w:p w14:paraId="24CC2D5E" w14:textId="77777777" w:rsidR="00474239" w:rsidRPr="00B42BCE" w:rsidRDefault="00474239">
      <w:pPr>
        <w:pStyle w:val="BodyText"/>
        <w:spacing w:before="3"/>
        <w:rPr>
          <w:rFonts w:asciiTheme="minorHAnsi" w:hAnsiTheme="minorHAnsi" w:cstheme="minorHAnsi"/>
        </w:rPr>
      </w:pPr>
    </w:p>
    <w:p w14:paraId="24CC2D5F" w14:textId="77777777" w:rsidR="00474239" w:rsidRPr="00B42BCE" w:rsidRDefault="005F2731" w:rsidP="008057D5">
      <w:pPr>
        <w:spacing w:after="120"/>
        <w:ind w:left="100"/>
        <w:jc w:val="both"/>
        <w:rPr>
          <w:rFonts w:asciiTheme="minorHAnsi" w:hAnsiTheme="minorHAnsi" w:cstheme="minorHAnsi"/>
          <w:b/>
        </w:rPr>
      </w:pPr>
      <w:r w:rsidRPr="00B42BCE">
        <w:rPr>
          <w:rFonts w:asciiTheme="minorHAnsi" w:hAnsiTheme="minorHAnsi" w:cstheme="minorHAnsi"/>
          <w:b/>
          <w:lang w:bidi="fr-FR"/>
        </w:rPr>
        <w:t>TABLEAU 1 : Principes directeurs en matière de partenariats</w:t>
      </w:r>
    </w:p>
    <w:tbl>
      <w:tblPr>
        <w:tblW w:w="906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660"/>
      </w:tblGrid>
      <w:tr w:rsidR="00474239" w:rsidRPr="00B42BCE" w14:paraId="24CC2D63" w14:textId="77777777" w:rsidTr="008057D5">
        <w:trPr>
          <w:trHeight w:val="491"/>
          <w:tblHeader/>
        </w:trPr>
        <w:tc>
          <w:tcPr>
            <w:tcW w:w="2405" w:type="dxa"/>
            <w:shd w:val="clear" w:color="auto" w:fill="8DB3E2" w:themeFill="text2" w:themeFillTint="66"/>
          </w:tcPr>
          <w:p w14:paraId="24CC2D61" w14:textId="77777777" w:rsidR="00474239" w:rsidRPr="00B42BCE" w:rsidRDefault="005F2731" w:rsidP="008057D5">
            <w:pPr>
              <w:pStyle w:val="TableParagraph"/>
              <w:spacing w:before="60" w:after="60"/>
              <w:ind w:left="107"/>
              <w:rPr>
                <w:rFonts w:asciiTheme="minorHAnsi" w:hAnsiTheme="minorHAnsi" w:cstheme="minorHAnsi"/>
                <w:b/>
              </w:rPr>
            </w:pPr>
            <w:r w:rsidRPr="00B42BCE">
              <w:rPr>
                <w:rFonts w:asciiTheme="minorHAnsi" w:hAnsiTheme="minorHAnsi" w:cstheme="minorHAnsi"/>
                <w:b/>
                <w:lang w:bidi="fr-FR"/>
              </w:rPr>
              <w:t>Principes</w:t>
            </w:r>
          </w:p>
        </w:tc>
        <w:tc>
          <w:tcPr>
            <w:tcW w:w="6660" w:type="dxa"/>
            <w:shd w:val="clear" w:color="auto" w:fill="8DB3E2" w:themeFill="text2" w:themeFillTint="66"/>
          </w:tcPr>
          <w:p w14:paraId="24CC2D62" w14:textId="77777777" w:rsidR="00474239" w:rsidRPr="00B42BCE" w:rsidRDefault="005F2731" w:rsidP="008057D5">
            <w:pPr>
              <w:pStyle w:val="TableParagraph"/>
              <w:spacing w:before="60" w:after="60"/>
              <w:ind w:left="107"/>
              <w:rPr>
                <w:rFonts w:asciiTheme="minorHAnsi" w:hAnsiTheme="minorHAnsi" w:cstheme="minorHAnsi"/>
                <w:b/>
              </w:rPr>
            </w:pPr>
            <w:r w:rsidRPr="00B42BCE">
              <w:rPr>
                <w:rFonts w:asciiTheme="minorHAnsi" w:hAnsiTheme="minorHAnsi" w:cstheme="minorHAnsi"/>
                <w:b/>
                <w:lang w:bidi="fr-FR"/>
              </w:rPr>
              <w:t>Description</w:t>
            </w:r>
          </w:p>
        </w:tc>
      </w:tr>
      <w:tr w:rsidR="00474239" w:rsidRPr="00B42BCE" w14:paraId="24CC2D67" w14:textId="77777777" w:rsidTr="008057D5">
        <w:trPr>
          <w:trHeight w:val="2224"/>
        </w:trPr>
        <w:tc>
          <w:tcPr>
            <w:tcW w:w="2405" w:type="dxa"/>
          </w:tcPr>
          <w:p w14:paraId="24CC2D64" w14:textId="77777777" w:rsidR="00474239" w:rsidRPr="00B42BCE" w:rsidRDefault="005F2731" w:rsidP="008057D5">
            <w:pPr>
              <w:pStyle w:val="TableParagraph"/>
              <w:spacing w:before="60" w:after="60"/>
              <w:ind w:left="107"/>
              <w:rPr>
                <w:rFonts w:asciiTheme="minorHAnsi" w:hAnsiTheme="minorHAnsi" w:cstheme="minorHAnsi"/>
                <w:b/>
              </w:rPr>
            </w:pPr>
            <w:r w:rsidRPr="00B42BCE">
              <w:rPr>
                <w:rFonts w:asciiTheme="minorHAnsi" w:hAnsiTheme="minorHAnsi" w:cstheme="minorHAnsi"/>
                <w:b/>
                <w:lang w:bidi="fr-FR"/>
              </w:rPr>
              <w:t>Faire progresser les objectifs du PNUD</w:t>
            </w:r>
          </w:p>
        </w:tc>
        <w:tc>
          <w:tcPr>
            <w:tcW w:w="6660" w:type="dxa"/>
          </w:tcPr>
          <w:p w14:paraId="24CC2D65" w14:textId="77777777" w:rsidR="00474239" w:rsidRPr="00B42BCE" w:rsidRDefault="005F2731" w:rsidP="008057D5">
            <w:pPr>
              <w:pStyle w:val="TableParagraph"/>
              <w:spacing w:before="60" w:after="60"/>
              <w:ind w:left="107" w:right="97"/>
              <w:jc w:val="both"/>
              <w:rPr>
                <w:rFonts w:asciiTheme="minorHAnsi" w:hAnsiTheme="minorHAnsi" w:cstheme="minorHAnsi"/>
              </w:rPr>
            </w:pPr>
            <w:r w:rsidRPr="00B42BCE">
              <w:rPr>
                <w:rFonts w:asciiTheme="minorHAnsi" w:hAnsiTheme="minorHAnsi" w:cstheme="minorHAnsi"/>
                <w:lang w:bidi="fr-FR"/>
              </w:rPr>
              <w:t>Le choix des partenaires doit être axé sur la réalisation des objectifs du PNUD, sans pour autant nier la nécessité, pour l’ensemble des parties concernées, de trouver des avantages à une éventuelle collaboration. Il convient de définir clairement l’objectif du partenariat, ainsi que sa valeur ajoutée (complémentarité des parties concernées) au regard des priorités stratégiques du PNUD.</w:t>
            </w:r>
          </w:p>
          <w:p w14:paraId="24CC2D66" w14:textId="24F10FDE" w:rsidR="00474239" w:rsidRPr="00B42BCE" w:rsidRDefault="005F2731" w:rsidP="008057D5">
            <w:pPr>
              <w:pStyle w:val="TableParagraph"/>
              <w:spacing w:before="60" w:after="60"/>
              <w:ind w:left="107" w:right="103"/>
              <w:jc w:val="both"/>
              <w:rPr>
                <w:rFonts w:asciiTheme="minorHAnsi" w:hAnsiTheme="minorHAnsi" w:cstheme="minorHAnsi"/>
              </w:rPr>
            </w:pPr>
            <w:r w:rsidRPr="00B42BCE">
              <w:rPr>
                <w:rFonts w:asciiTheme="minorHAnsi" w:hAnsiTheme="minorHAnsi" w:cstheme="minorHAnsi"/>
                <w:lang w:bidi="fr-FR"/>
              </w:rPr>
              <w:t xml:space="preserve">Dans sa collaboration avec le secteur privé, le PNUD s’efforce de privilégier les domaines </w:t>
            </w:r>
            <w:r w:rsidR="007211BE">
              <w:rPr>
                <w:rFonts w:asciiTheme="minorHAnsi" w:hAnsiTheme="minorHAnsi" w:cstheme="minorHAnsi"/>
                <w:lang w:bidi="fr-FR"/>
              </w:rPr>
              <w:t xml:space="preserve">de </w:t>
            </w:r>
            <w:r w:rsidRPr="00B42BCE">
              <w:rPr>
                <w:rFonts w:asciiTheme="minorHAnsi" w:hAnsiTheme="minorHAnsi" w:cstheme="minorHAnsi"/>
                <w:lang w:bidi="fr-FR"/>
              </w:rPr>
              <w:t>coopération qui revêtent une importance immédiate ou significative au regard des intérêts fondamentaux des partenaires privés. Il entend ainsi favoriser les partenariats durables et optimiser leurs retombées en matière de développement.</w:t>
            </w:r>
          </w:p>
        </w:tc>
      </w:tr>
      <w:tr w:rsidR="00474239" w:rsidRPr="00B42BCE" w14:paraId="24CC2D6A" w14:textId="77777777" w:rsidTr="008057D5">
        <w:trPr>
          <w:trHeight w:val="649"/>
        </w:trPr>
        <w:tc>
          <w:tcPr>
            <w:tcW w:w="2405" w:type="dxa"/>
          </w:tcPr>
          <w:p w14:paraId="24CC2D68" w14:textId="77777777" w:rsidR="00474239" w:rsidRPr="00B42BCE" w:rsidRDefault="005F2731" w:rsidP="008057D5">
            <w:pPr>
              <w:pStyle w:val="TableParagraph"/>
              <w:spacing w:before="60" w:after="60"/>
              <w:ind w:left="107"/>
              <w:rPr>
                <w:rFonts w:asciiTheme="minorHAnsi" w:hAnsiTheme="minorHAnsi" w:cstheme="minorHAnsi"/>
                <w:b/>
              </w:rPr>
            </w:pPr>
            <w:r w:rsidRPr="00B42BCE">
              <w:rPr>
                <w:rFonts w:asciiTheme="minorHAnsi" w:hAnsiTheme="minorHAnsi" w:cstheme="minorHAnsi"/>
                <w:b/>
                <w:lang w:bidi="fr-FR"/>
              </w:rPr>
              <w:t>Conserver l’intégrité, l’indépendance et l’impartialité de l’organisme</w:t>
            </w:r>
          </w:p>
        </w:tc>
        <w:tc>
          <w:tcPr>
            <w:tcW w:w="6660" w:type="dxa"/>
          </w:tcPr>
          <w:p w14:paraId="24CC2D69" w14:textId="5B9E4AC3" w:rsidR="00474239" w:rsidRPr="00B42BCE" w:rsidRDefault="005F2731" w:rsidP="008057D5">
            <w:pPr>
              <w:pStyle w:val="TableParagraph"/>
              <w:spacing w:before="60" w:after="60"/>
              <w:ind w:left="107" w:right="102"/>
              <w:jc w:val="both"/>
              <w:rPr>
                <w:rFonts w:asciiTheme="minorHAnsi" w:hAnsiTheme="minorHAnsi" w:cstheme="minorHAnsi"/>
              </w:rPr>
            </w:pPr>
            <w:r w:rsidRPr="00B42BCE">
              <w:rPr>
                <w:rFonts w:asciiTheme="minorHAnsi" w:hAnsiTheme="minorHAnsi" w:cstheme="minorHAnsi"/>
                <w:lang w:bidi="fr-FR"/>
              </w:rPr>
              <w:t>Les partenariats avec le secteur privé doivent permettre au PNUD de conserver son intégrité, son indépendance et son impartialité.</w:t>
            </w:r>
          </w:p>
        </w:tc>
      </w:tr>
      <w:tr w:rsidR="00474239" w:rsidRPr="00B42BCE" w14:paraId="24CC2D6D" w14:textId="77777777" w:rsidTr="008057D5">
        <w:trPr>
          <w:trHeight w:val="1711"/>
        </w:trPr>
        <w:tc>
          <w:tcPr>
            <w:tcW w:w="2405" w:type="dxa"/>
          </w:tcPr>
          <w:p w14:paraId="24CC2D6B" w14:textId="77777777" w:rsidR="00474239" w:rsidRPr="00B42BCE" w:rsidRDefault="005F2731" w:rsidP="008057D5">
            <w:pPr>
              <w:pStyle w:val="TableParagraph"/>
              <w:spacing w:before="60" w:after="60"/>
              <w:ind w:left="107"/>
              <w:rPr>
                <w:rFonts w:asciiTheme="minorHAnsi" w:hAnsiTheme="minorHAnsi" w:cstheme="minorHAnsi"/>
                <w:b/>
              </w:rPr>
            </w:pPr>
            <w:r w:rsidRPr="00B42BCE">
              <w:rPr>
                <w:rFonts w:asciiTheme="minorHAnsi" w:hAnsiTheme="minorHAnsi" w:cstheme="minorHAnsi"/>
                <w:b/>
                <w:lang w:bidi="fr-FR"/>
              </w:rPr>
              <w:t>Garantir la transparence</w:t>
            </w:r>
          </w:p>
        </w:tc>
        <w:tc>
          <w:tcPr>
            <w:tcW w:w="6660" w:type="dxa"/>
          </w:tcPr>
          <w:p w14:paraId="24CC2D6C" w14:textId="77777777" w:rsidR="00474239" w:rsidRPr="00B42BCE" w:rsidRDefault="005F2731" w:rsidP="008057D5">
            <w:pPr>
              <w:pStyle w:val="TableParagraph"/>
              <w:spacing w:before="60" w:after="60"/>
              <w:ind w:left="107" w:right="99"/>
              <w:jc w:val="both"/>
              <w:rPr>
                <w:rFonts w:asciiTheme="minorHAnsi" w:hAnsiTheme="minorHAnsi" w:cstheme="minorHAnsi"/>
              </w:rPr>
            </w:pPr>
            <w:r w:rsidRPr="00B42BCE">
              <w:rPr>
                <w:rFonts w:asciiTheme="minorHAnsi" w:hAnsiTheme="minorHAnsi" w:cstheme="minorHAnsi"/>
                <w:lang w:bidi="fr-FR"/>
              </w:rPr>
              <w:t>En tant qu’organisme public, le PNUD doit veiller à ce que sa coopération avec le secteur privé demeure transparente et que le grand public ait accès à des informations concernant l’objectif et la portée de ce type de collaboration. Pour cela, il convient notamment de mettre en place des structures de gouvernance responsables et transparentes, ainsi que des cibles mesurables et un cadre de suivi et d’examen solide. Toutes les informations pertinentes au sujet des partenariats doivent être accessibles sur le site Internet du PNUD.</w:t>
            </w:r>
          </w:p>
        </w:tc>
      </w:tr>
      <w:tr w:rsidR="00474239" w:rsidRPr="00B42BCE" w14:paraId="24CC2D71" w14:textId="77777777" w:rsidTr="008057D5">
        <w:trPr>
          <w:trHeight w:val="880"/>
        </w:trPr>
        <w:tc>
          <w:tcPr>
            <w:tcW w:w="2405" w:type="dxa"/>
          </w:tcPr>
          <w:p w14:paraId="24CC2D6E" w14:textId="77777777" w:rsidR="00474239" w:rsidRPr="00B42BCE" w:rsidRDefault="005F2731" w:rsidP="008057D5">
            <w:pPr>
              <w:pStyle w:val="TableParagraph"/>
              <w:spacing w:before="60" w:after="60"/>
              <w:ind w:left="107"/>
              <w:rPr>
                <w:rFonts w:asciiTheme="minorHAnsi" w:hAnsiTheme="minorHAnsi" w:cstheme="minorHAnsi"/>
                <w:b/>
              </w:rPr>
            </w:pPr>
            <w:r w:rsidRPr="00B42BCE">
              <w:rPr>
                <w:rFonts w:asciiTheme="minorHAnsi" w:hAnsiTheme="minorHAnsi" w:cstheme="minorHAnsi"/>
                <w:b/>
                <w:lang w:bidi="fr-FR"/>
              </w:rPr>
              <w:lastRenderedPageBreak/>
              <w:t>Non-exclusivité et avantages indus</w:t>
            </w:r>
          </w:p>
        </w:tc>
        <w:tc>
          <w:tcPr>
            <w:tcW w:w="6660" w:type="dxa"/>
          </w:tcPr>
          <w:p w14:paraId="24CC2D70" w14:textId="670F001B" w:rsidR="00474239" w:rsidRPr="00B42BCE" w:rsidRDefault="0013545C" w:rsidP="00BB6E91">
            <w:pPr>
              <w:pStyle w:val="TableParagraph"/>
              <w:spacing w:before="60" w:after="60"/>
              <w:ind w:left="107" w:right="99"/>
              <w:jc w:val="both"/>
              <w:rPr>
                <w:rFonts w:asciiTheme="minorHAnsi" w:hAnsiTheme="minorHAnsi" w:cstheme="minorHAnsi"/>
              </w:rPr>
            </w:pPr>
            <w:r w:rsidRPr="00B42BCE">
              <w:rPr>
                <w:rFonts w:asciiTheme="minorHAnsi" w:hAnsiTheme="minorHAnsi" w:cstheme="minorHAnsi"/>
                <w:lang w:bidi="fr-FR"/>
              </w:rPr>
              <w:t>Afin d’éviter tout effet indésirable, tel que des distorsions de marché ou l’exclusion d’autres acteurs économiques, le PNUD n’accorde jamais d’exclusivité, d’avantage indu ou de caution implicite aux organisations, aux produits ou aux services du secteur privé. Chaque entité privée a la possibilité, au même titre que les autres, de proposer au PNUD un accord de partenariat, de même que le PNUD peut coopérer avec le partenaire privé de son choix, même si celui-ci est en concurrence avec un autre partenaire de l’organisme.</w:t>
            </w:r>
          </w:p>
        </w:tc>
      </w:tr>
      <w:tr w:rsidR="00474239" w:rsidRPr="00B42BCE" w14:paraId="24CC2D7C" w14:textId="77777777" w:rsidTr="008057D5">
        <w:trPr>
          <w:trHeight w:val="997"/>
        </w:trPr>
        <w:tc>
          <w:tcPr>
            <w:tcW w:w="2405" w:type="dxa"/>
          </w:tcPr>
          <w:p w14:paraId="24CC2D7A" w14:textId="77777777" w:rsidR="00474239" w:rsidRPr="00B42BCE" w:rsidRDefault="005F2731" w:rsidP="008057D5">
            <w:pPr>
              <w:pStyle w:val="TableParagraph"/>
              <w:spacing w:before="60" w:after="60" w:line="251" w:lineRule="exact"/>
              <w:ind w:left="107"/>
              <w:rPr>
                <w:rFonts w:asciiTheme="minorHAnsi" w:hAnsiTheme="minorHAnsi" w:cstheme="minorHAnsi"/>
                <w:b/>
              </w:rPr>
            </w:pPr>
            <w:r w:rsidRPr="00B42BCE">
              <w:rPr>
                <w:rFonts w:asciiTheme="minorHAnsi" w:hAnsiTheme="minorHAnsi" w:cstheme="minorHAnsi"/>
                <w:b/>
                <w:lang w:bidi="fr-FR"/>
              </w:rPr>
              <w:t>Rapport coût-efficacité</w:t>
            </w:r>
          </w:p>
        </w:tc>
        <w:tc>
          <w:tcPr>
            <w:tcW w:w="6660" w:type="dxa"/>
          </w:tcPr>
          <w:p w14:paraId="24CC2D7B" w14:textId="459BCAC4" w:rsidR="00474239" w:rsidRPr="00B42BCE" w:rsidRDefault="005F2731" w:rsidP="008057D5">
            <w:pPr>
              <w:pStyle w:val="TableParagraph"/>
              <w:spacing w:before="60" w:after="60"/>
              <w:ind w:left="107" w:right="99"/>
              <w:jc w:val="both"/>
              <w:rPr>
                <w:rFonts w:asciiTheme="minorHAnsi" w:hAnsiTheme="minorHAnsi" w:cstheme="minorHAnsi"/>
              </w:rPr>
            </w:pPr>
            <w:r w:rsidRPr="00B42BCE">
              <w:rPr>
                <w:rFonts w:asciiTheme="minorHAnsi" w:hAnsiTheme="minorHAnsi" w:cstheme="minorHAnsi"/>
                <w:lang w:bidi="fr-FR"/>
              </w:rPr>
              <w:t>Il convient de veiller à ce que les partenariats ne fassent pas peser une charge administrative et financière excessive sur le PNUD et sur les partenaires potentiels, c’est-à-dire à ce qu’elles soi</w:t>
            </w:r>
            <w:r w:rsidR="00582806" w:rsidRPr="00B42BCE">
              <w:rPr>
                <w:rFonts w:asciiTheme="minorHAnsi" w:hAnsiTheme="minorHAnsi" w:cstheme="minorHAnsi"/>
                <w:lang w:bidi="fr-FR"/>
              </w:rPr>
              <w:t>en</w:t>
            </w:r>
            <w:r w:rsidRPr="00B42BCE">
              <w:rPr>
                <w:rFonts w:asciiTheme="minorHAnsi" w:hAnsiTheme="minorHAnsi" w:cstheme="minorHAnsi"/>
                <w:lang w:bidi="fr-FR"/>
              </w:rPr>
              <w:t>t, en principe, répartie</w:t>
            </w:r>
            <w:r w:rsidR="00582806" w:rsidRPr="00B42BCE">
              <w:rPr>
                <w:rFonts w:asciiTheme="minorHAnsi" w:hAnsiTheme="minorHAnsi" w:cstheme="minorHAnsi"/>
                <w:lang w:bidi="fr-FR"/>
              </w:rPr>
              <w:t>s</w:t>
            </w:r>
            <w:r w:rsidRPr="00B42BCE">
              <w:rPr>
                <w:rFonts w:asciiTheme="minorHAnsi" w:hAnsiTheme="minorHAnsi" w:cstheme="minorHAnsi"/>
                <w:lang w:bidi="fr-FR"/>
              </w:rPr>
              <w:t xml:space="preserve"> équitablement entre les différentes parties.</w:t>
            </w:r>
          </w:p>
        </w:tc>
      </w:tr>
      <w:tr w:rsidR="00474239" w:rsidRPr="00B42BCE" w14:paraId="24CC2D81" w14:textId="77777777" w:rsidTr="00B37718">
        <w:trPr>
          <w:trHeight w:val="2449"/>
        </w:trPr>
        <w:tc>
          <w:tcPr>
            <w:tcW w:w="2405" w:type="dxa"/>
          </w:tcPr>
          <w:p w14:paraId="24CC2D7D" w14:textId="77777777" w:rsidR="00474239" w:rsidRPr="00B42BCE" w:rsidRDefault="005F2731" w:rsidP="00B37718">
            <w:pPr>
              <w:pStyle w:val="TableParagraph"/>
              <w:spacing w:before="60" w:after="60"/>
              <w:ind w:left="107" w:right="87"/>
              <w:rPr>
                <w:rFonts w:asciiTheme="minorHAnsi" w:hAnsiTheme="minorHAnsi" w:cstheme="minorHAnsi"/>
                <w:b/>
              </w:rPr>
            </w:pPr>
            <w:r w:rsidRPr="00B42BCE">
              <w:rPr>
                <w:rFonts w:asciiTheme="minorHAnsi" w:hAnsiTheme="minorHAnsi" w:cstheme="minorHAnsi"/>
                <w:b/>
                <w:lang w:bidi="fr-FR"/>
              </w:rPr>
              <w:t>Répartition claire des rôles et des responsabilités, et partage des risques et des avantages</w:t>
            </w:r>
          </w:p>
        </w:tc>
        <w:tc>
          <w:tcPr>
            <w:tcW w:w="6660" w:type="dxa"/>
          </w:tcPr>
          <w:p w14:paraId="24CC2D7E" w14:textId="77777777" w:rsidR="00474239" w:rsidRPr="00B42BCE" w:rsidRDefault="005F2731" w:rsidP="008057D5">
            <w:pPr>
              <w:pStyle w:val="TableParagraph"/>
              <w:spacing w:before="60" w:after="60"/>
              <w:ind w:left="107" w:right="98"/>
              <w:jc w:val="both"/>
              <w:rPr>
                <w:rFonts w:asciiTheme="minorHAnsi" w:hAnsiTheme="minorHAnsi" w:cstheme="minorHAnsi"/>
              </w:rPr>
            </w:pPr>
            <w:r w:rsidRPr="00B42BCE">
              <w:rPr>
                <w:rFonts w:asciiTheme="minorHAnsi" w:hAnsiTheme="minorHAnsi" w:cstheme="minorHAnsi"/>
                <w:lang w:bidi="fr-FR"/>
              </w:rPr>
              <w:t>Quelle que soit la nature de la collaboration envisagée par le PNUD avec une entité du secteur privé, il est essentiel de définir clairement les avantages attendus par chacune des deux parties et de se mettre d’accord sur un partage des risques.</w:t>
            </w:r>
          </w:p>
          <w:p w14:paraId="24CC2D7F" w14:textId="77777777" w:rsidR="00474239" w:rsidRPr="00B42BCE" w:rsidRDefault="005F2731" w:rsidP="008057D5">
            <w:pPr>
              <w:pStyle w:val="TableParagraph"/>
              <w:spacing w:before="60" w:after="60"/>
              <w:ind w:left="107" w:right="102"/>
              <w:jc w:val="both"/>
              <w:rPr>
                <w:rFonts w:asciiTheme="minorHAnsi" w:hAnsiTheme="minorHAnsi" w:cstheme="minorHAnsi"/>
              </w:rPr>
            </w:pPr>
            <w:r w:rsidRPr="00B42BCE">
              <w:rPr>
                <w:rFonts w:asciiTheme="minorHAnsi" w:hAnsiTheme="minorHAnsi" w:cstheme="minorHAnsi"/>
                <w:lang w:bidi="fr-FR"/>
              </w:rPr>
              <w:t>Lorsqu’un partenariat a des conséquences financières pour le PNUD, un accord écrit et officiel doit être signé entre l’organisme et le partenaire privé concerné.</w:t>
            </w:r>
          </w:p>
          <w:p w14:paraId="24CC2D80" w14:textId="77777777" w:rsidR="00474239" w:rsidRPr="00B42BCE" w:rsidRDefault="005F2731" w:rsidP="008057D5">
            <w:pPr>
              <w:pStyle w:val="TableParagraph"/>
              <w:spacing w:before="60" w:after="60"/>
              <w:ind w:left="107" w:right="101"/>
              <w:jc w:val="both"/>
              <w:rPr>
                <w:rFonts w:asciiTheme="minorHAnsi" w:hAnsiTheme="minorHAnsi" w:cstheme="minorHAnsi"/>
              </w:rPr>
            </w:pPr>
            <w:r w:rsidRPr="00B42BCE">
              <w:rPr>
                <w:rFonts w:asciiTheme="minorHAnsi" w:hAnsiTheme="minorHAnsi" w:cstheme="minorHAnsi"/>
                <w:lang w:bidi="fr-FR"/>
              </w:rPr>
              <w:t>Afin de garantir une gestion saine du partenariat, les rôles et responsabilités doivent être clairement définis et répartis entre les partenaires. Cette définition et cette répartition seront intégrées à l’accord de partenariat.</w:t>
            </w:r>
          </w:p>
        </w:tc>
      </w:tr>
    </w:tbl>
    <w:p w14:paraId="24CC2D82" w14:textId="77777777" w:rsidR="00474239" w:rsidRPr="00B42BCE" w:rsidRDefault="00474239">
      <w:pPr>
        <w:pStyle w:val="BodyText"/>
        <w:rPr>
          <w:rFonts w:asciiTheme="minorHAnsi" w:hAnsiTheme="minorHAnsi" w:cstheme="minorHAnsi"/>
        </w:rPr>
      </w:pPr>
    </w:p>
    <w:p w14:paraId="24CC2D83" w14:textId="77777777" w:rsidR="00474239" w:rsidRPr="00B42BCE" w:rsidRDefault="00474239">
      <w:pPr>
        <w:pStyle w:val="BodyText"/>
        <w:spacing w:before="5"/>
        <w:rPr>
          <w:rFonts w:asciiTheme="minorHAnsi" w:hAnsiTheme="minorHAnsi" w:cstheme="minorHAnsi"/>
        </w:rPr>
      </w:pPr>
    </w:p>
    <w:p w14:paraId="24CC2D84" w14:textId="77777777" w:rsidR="00474239" w:rsidRPr="00B42BCE" w:rsidRDefault="005F2731">
      <w:pPr>
        <w:pStyle w:val="Heading2"/>
        <w:numPr>
          <w:ilvl w:val="1"/>
          <w:numId w:val="16"/>
        </w:numPr>
        <w:tabs>
          <w:tab w:val="left" w:pos="821"/>
        </w:tabs>
        <w:spacing w:before="101"/>
        <w:ind w:hanging="361"/>
        <w:rPr>
          <w:rFonts w:asciiTheme="minorHAnsi" w:hAnsiTheme="minorHAnsi" w:cstheme="minorHAnsi"/>
        </w:rPr>
      </w:pPr>
      <w:bookmarkStart w:id="23" w:name="_Toc160629998"/>
      <w:r w:rsidRPr="00B42BCE">
        <w:rPr>
          <w:rFonts w:asciiTheme="minorHAnsi" w:hAnsiTheme="minorHAnsi" w:cstheme="minorHAnsi"/>
          <w:lang w:bidi="fr-FR"/>
        </w:rPr>
        <w:t>Types de collaboration</w:t>
      </w:r>
      <w:bookmarkEnd w:id="23"/>
    </w:p>
    <w:p w14:paraId="24CC2D85" w14:textId="77777777" w:rsidR="00474239" w:rsidRPr="00B42BCE" w:rsidRDefault="005F2731">
      <w:pPr>
        <w:pStyle w:val="BodyText"/>
        <w:spacing w:before="148"/>
        <w:ind w:left="100" w:right="133"/>
        <w:jc w:val="both"/>
        <w:rPr>
          <w:rFonts w:asciiTheme="minorHAnsi" w:hAnsiTheme="minorHAnsi" w:cstheme="minorHAnsi"/>
        </w:rPr>
      </w:pPr>
      <w:r w:rsidRPr="00B42BCE">
        <w:rPr>
          <w:rFonts w:asciiTheme="minorHAnsi" w:hAnsiTheme="minorHAnsi" w:cstheme="minorHAnsi"/>
          <w:lang w:bidi="fr-FR"/>
        </w:rPr>
        <w:t>Le PNUD reconnaît la nécessité de mettre en place de nouvelles modalités de collaboration avec le secteur privé et encourage la conclusion d’accords de partenariat innovants et adaptatifs, conçus pour tirer parti des atouts du secteur privé au regard des objectifs de développement, et pour favoriser l’obtention de résultats efficaces et durables dans ce domaine.</w:t>
      </w:r>
    </w:p>
    <w:p w14:paraId="24CC2D86" w14:textId="77777777" w:rsidR="00474239" w:rsidRPr="00B42BCE" w:rsidRDefault="00474239">
      <w:pPr>
        <w:pStyle w:val="BodyText"/>
        <w:spacing w:before="1"/>
        <w:rPr>
          <w:rFonts w:asciiTheme="minorHAnsi" w:hAnsiTheme="minorHAnsi" w:cstheme="minorHAnsi"/>
        </w:rPr>
      </w:pPr>
    </w:p>
    <w:p w14:paraId="24CC2D87" w14:textId="72B91BA8" w:rsidR="00474239" w:rsidRPr="00B42BCE" w:rsidRDefault="005F2731">
      <w:pPr>
        <w:pStyle w:val="BodyText"/>
        <w:ind w:left="100" w:right="141"/>
        <w:jc w:val="both"/>
        <w:rPr>
          <w:rFonts w:asciiTheme="minorHAnsi" w:hAnsiTheme="minorHAnsi" w:cstheme="minorHAnsi"/>
        </w:rPr>
      </w:pPr>
      <w:r w:rsidRPr="00B42BCE">
        <w:rPr>
          <w:rFonts w:asciiTheme="minorHAnsi" w:hAnsiTheme="minorHAnsi" w:cstheme="minorHAnsi"/>
          <w:lang w:bidi="fr-FR"/>
        </w:rPr>
        <w:t xml:space="preserve">Lorsqu’un partenariat </w:t>
      </w:r>
      <w:r w:rsidR="001A0E14" w:rsidRPr="00B42BCE">
        <w:rPr>
          <w:rFonts w:asciiTheme="minorHAnsi" w:hAnsiTheme="minorHAnsi" w:cstheme="minorHAnsi"/>
          <w:lang w:bidi="fr-FR"/>
        </w:rPr>
        <w:t>entraîne</w:t>
      </w:r>
      <w:r w:rsidRPr="00B42BCE">
        <w:rPr>
          <w:rFonts w:asciiTheme="minorHAnsi" w:hAnsiTheme="minorHAnsi" w:cstheme="minorHAnsi"/>
          <w:lang w:bidi="fr-FR"/>
        </w:rPr>
        <w:t xml:space="preserve"> des conséquences financières pour le PNUD, un accord écrit et officiel doit être signé entre </w:t>
      </w:r>
      <w:r w:rsidR="001A0E14" w:rsidRPr="00B42BCE">
        <w:rPr>
          <w:rFonts w:asciiTheme="minorHAnsi" w:hAnsiTheme="minorHAnsi" w:cstheme="minorHAnsi"/>
          <w:lang w:bidi="fr-FR"/>
        </w:rPr>
        <w:t>l</w:t>
      </w:r>
      <w:r w:rsidR="001A0E14">
        <w:rPr>
          <w:rFonts w:asciiTheme="minorHAnsi" w:hAnsiTheme="minorHAnsi" w:cstheme="minorHAnsi"/>
          <w:lang w:bidi="fr-FR"/>
        </w:rPr>
        <w:t>e PNUD</w:t>
      </w:r>
      <w:r w:rsidR="001A0E14" w:rsidRPr="00B42BCE">
        <w:rPr>
          <w:rFonts w:asciiTheme="minorHAnsi" w:hAnsiTheme="minorHAnsi" w:cstheme="minorHAnsi"/>
          <w:lang w:bidi="fr-FR"/>
        </w:rPr>
        <w:t xml:space="preserve"> </w:t>
      </w:r>
      <w:r w:rsidRPr="00B42BCE">
        <w:rPr>
          <w:rFonts w:asciiTheme="minorHAnsi" w:hAnsiTheme="minorHAnsi" w:cstheme="minorHAnsi"/>
          <w:lang w:bidi="fr-FR"/>
        </w:rPr>
        <w:t>et le partenaire privé concerné.</w:t>
      </w:r>
    </w:p>
    <w:p w14:paraId="24CC2D88" w14:textId="77777777" w:rsidR="00474239" w:rsidRPr="00B42BCE" w:rsidRDefault="00474239">
      <w:pPr>
        <w:pStyle w:val="BodyText"/>
        <w:spacing w:before="11"/>
        <w:rPr>
          <w:rFonts w:asciiTheme="minorHAnsi" w:hAnsiTheme="minorHAnsi" w:cstheme="minorHAnsi"/>
        </w:rPr>
      </w:pPr>
    </w:p>
    <w:p w14:paraId="24CC2D89" w14:textId="77777777" w:rsidR="00474239" w:rsidRPr="00B42BCE" w:rsidRDefault="005F2731">
      <w:pPr>
        <w:pStyle w:val="BodyText"/>
        <w:ind w:left="100" w:right="143"/>
        <w:jc w:val="both"/>
        <w:rPr>
          <w:rFonts w:asciiTheme="minorHAnsi" w:hAnsiTheme="minorHAnsi" w:cstheme="minorHAnsi"/>
        </w:rPr>
      </w:pPr>
      <w:r w:rsidRPr="00B42BCE">
        <w:rPr>
          <w:rFonts w:asciiTheme="minorHAnsi" w:hAnsiTheme="minorHAnsi" w:cstheme="minorHAnsi"/>
          <w:lang w:bidi="fr-FR"/>
        </w:rPr>
        <w:t>Le tableau ci-dessous propose des exemples des différents types de collaboration possibles. Il convient de noter que certains partenariats sont susceptibles de correspondre à plusieurs types de collaboration à la fois.</w:t>
      </w:r>
    </w:p>
    <w:p w14:paraId="24CC2D8A" w14:textId="77777777" w:rsidR="00474239" w:rsidRPr="00B42BCE" w:rsidRDefault="00474239">
      <w:pPr>
        <w:pStyle w:val="BodyText"/>
        <w:spacing w:before="10"/>
        <w:rPr>
          <w:rFonts w:asciiTheme="minorHAnsi" w:hAnsiTheme="minorHAnsi" w:cstheme="minorHAnsi"/>
        </w:rPr>
      </w:pPr>
    </w:p>
    <w:p w14:paraId="24CC2D8B" w14:textId="04BEA3F6" w:rsidR="00474239" w:rsidRPr="00B42BCE" w:rsidRDefault="005F2731">
      <w:pPr>
        <w:pStyle w:val="BodyText"/>
        <w:spacing w:before="1"/>
        <w:ind w:left="100"/>
        <w:jc w:val="both"/>
        <w:rPr>
          <w:rFonts w:asciiTheme="minorHAnsi" w:hAnsiTheme="minorHAnsi" w:cstheme="minorHAnsi"/>
        </w:rPr>
      </w:pPr>
      <w:r w:rsidRPr="00B42BCE">
        <w:rPr>
          <w:rFonts w:asciiTheme="minorHAnsi" w:hAnsiTheme="minorHAnsi" w:cstheme="minorHAnsi"/>
          <w:lang w:bidi="fr-FR"/>
        </w:rPr>
        <w:t>L’annexe 2 propose des exemples plus détaillés de ces différents types de collaboration.</w:t>
      </w:r>
    </w:p>
    <w:p w14:paraId="24CC2D8C" w14:textId="77777777" w:rsidR="00474239" w:rsidRPr="00B42BCE" w:rsidRDefault="00474239">
      <w:pPr>
        <w:jc w:val="both"/>
        <w:rPr>
          <w:rFonts w:asciiTheme="minorHAnsi" w:hAnsiTheme="minorHAnsi" w:cstheme="minorHAnsi"/>
        </w:rPr>
        <w:sectPr w:rsidR="00474239" w:rsidRPr="00B42BCE" w:rsidSect="00EE2173">
          <w:footerReference w:type="default" r:id="rId21"/>
          <w:pgSz w:w="11910" w:h="16840"/>
          <w:pgMar w:top="1420" w:right="1300" w:bottom="990" w:left="1340" w:header="540" w:footer="985" w:gutter="0"/>
          <w:cols w:space="720"/>
        </w:sectPr>
      </w:pPr>
    </w:p>
    <w:p w14:paraId="24CC2D8D" w14:textId="4366E029" w:rsidR="00474239" w:rsidRPr="00B42BCE" w:rsidRDefault="005F2731">
      <w:pPr>
        <w:spacing w:before="80"/>
        <w:ind w:left="100"/>
        <w:rPr>
          <w:rFonts w:asciiTheme="minorHAnsi" w:hAnsiTheme="minorHAnsi" w:cstheme="minorHAnsi"/>
          <w:b/>
        </w:rPr>
      </w:pPr>
      <w:r w:rsidRPr="00B42BCE">
        <w:rPr>
          <w:rFonts w:asciiTheme="minorHAnsi" w:hAnsiTheme="minorHAnsi" w:cstheme="minorHAnsi"/>
          <w:b/>
          <w:lang w:bidi="fr-FR"/>
        </w:rPr>
        <w:lastRenderedPageBreak/>
        <w:t>TABLEAU 2 : Types de collaboration</w:t>
      </w:r>
    </w:p>
    <w:p w14:paraId="38F97D8C" w14:textId="77777777" w:rsidR="00AC60AE" w:rsidRPr="00B42BCE" w:rsidRDefault="00AC60AE">
      <w:pPr>
        <w:spacing w:before="80"/>
        <w:ind w:left="100"/>
        <w:rPr>
          <w:rFonts w:asciiTheme="minorHAnsi" w:hAnsiTheme="minorHAnsi" w:cstheme="minorHAnsi"/>
          <w:b/>
        </w:rPr>
      </w:pPr>
    </w:p>
    <w:tbl>
      <w:tblPr>
        <w:tblW w:w="0" w:type="auto"/>
        <w:tblInd w:w="13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2110"/>
        <w:gridCol w:w="3318"/>
        <w:gridCol w:w="3644"/>
      </w:tblGrid>
      <w:tr w:rsidR="00474239" w:rsidRPr="00B42BCE" w14:paraId="24CC2D91" w14:textId="77777777" w:rsidTr="00220F7D">
        <w:trPr>
          <w:trHeight w:val="494"/>
          <w:tblHeader/>
        </w:trPr>
        <w:tc>
          <w:tcPr>
            <w:tcW w:w="2110" w:type="dxa"/>
            <w:shd w:val="clear" w:color="auto" w:fill="8DB3E1"/>
            <w:vAlign w:val="center"/>
          </w:tcPr>
          <w:p w14:paraId="24CC2D8E" w14:textId="77777777" w:rsidR="00474239" w:rsidRPr="00B42BCE" w:rsidRDefault="005F2731" w:rsidP="00220F7D">
            <w:pPr>
              <w:pStyle w:val="TableParagraph"/>
              <w:tabs>
                <w:tab w:val="left" w:pos="1870"/>
              </w:tabs>
              <w:spacing w:before="120" w:after="120"/>
              <w:ind w:left="243" w:right="233"/>
              <w:jc w:val="center"/>
              <w:rPr>
                <w:rFonts w:asciiTheme="minorHAnsi" w:hAnsiTheme="minorHAnsi" w:cstheme="minorHAnsi"/>
                <w:b/>
              </w:rPr>
            </w:pPr>
            <w:r w:rsidRPr="00B42BCE">
              <w:rPr>
                <w:rFonts w:asciiTheme="minorHAnsi" w:hAnsiTheme="minorHAnsi" w:cstheme="minorHAnsi"/>
                <w:b/>
                <w:lang w:bidi="fr-FR"/>
              </w:rPr>
              <w:t>Type de partenaire</w:t>
            </w:r>
          </w:p>
        </w:tc>
        <w:tc>
          <w:tcPr>
            <w:tcW w:w="3318" w:type="dxa"/>
            <w:shd w:val="clear" w:color="auto" w:fill="8DB3E1"/>
            <w:vAlign w:val="center"/>
          </w:tcPr>
          <w:p w14:paraId="24CC2D8F" w14:textId="77777777" w:rsidR="00474239" w:rsidRPr="00B42BCE" w:rsidRDefault="005F2731" w:rsidP="00B37718">
            <w:pPr>
              <w:pStyle w:val="TableParagraph"/>
              <w:spacing w:before="120" w:after="120"/>
              <w:ind w:left="1252" w:right="1245"/>
              <w:jc w:val="center"/>
              <w:rPr>
                <w:rFonts w:asciiTheme="minorHAnsi" w:hAnsiTheme="minorHAnsi" w:cstheme="minorHAnsi"/>
                <w:b/>
              </w:rPr>
            </w:pPr>
            <w:r w:rsidRPr="00B42BCE">
              <w:rPr>
                <w:rFonts w:asciiTheme="minorHAnsi" w:hAnsiTheme="minorHAnsi" w:cstheme="minorHAnsi"/>
                <w:b/>
                <w:lang w:bidi="fr-FR"/>
              </w:rPr>
              <w:t>Objectif</w:t>
            </w:r>
          </w:p>
        </w:tc>
        <w:tc>
          <w:tcPr>
            <w:tcW w:w="3644" w:type="dxa"/>
            <w:shd w:val="clear" w:color="auto" w:fill="8DB3E1"/>
            <w:vAlign w:val="center"/>
          </w:tcPr>
          <w:p w14:paraId="24CC2D90" w14:textId="4715C53F" w:rsidR="00474239" w:rsidRPr="00B42BCE" w:rsidRDefault="005F2731" w:rsidP="00483CDF">
            <w:pPr>
              <w:pStyle w:val="TableParagraph"/>
              <w:spacing w:before="120" w:after="120"/>
              <w:ind w:left="135" w:right="129"/>
              <w:jc w:val="center"/>
              <w:rPr>
                <w:rFonts w:asciiTheme="minorHAnsi" w:hAnsiTheme="minorHAnsi" w:cstheme="minorHAnsi"/>
                <w:b/>
              </w:rPr>
            </w:pPr>
            <w:r w:rsidRPr="00B42BCE">
              <w:rPr>
                <w:rFonts w:asciiTheme="minorHAnsi" w:hAnsiTheme="minorHAnsi" w:cstheme="minorHAnsi"/>
                <w:b/>
                <w:lang w:bidi="fr-FR"/>
              </w:rPr>
              <w:t>Instruments du PNUD à faire signer au partenaire privé</w:t>
            </w:r>
          </w:p>
        </w:tc>
      </w:tr>
      <w:tr w:rsidR="00474239" w:rsidRPr="00B42BCE" w14:paraId="24CC2D95" w14:textId="77777777" w:rsidTr="00220F7D">
        <w:trPr>
          <w:trHeight w:val="1504"/>
        </w:trPr>
        <w:tc>
          <w:tcPr>
            <w:tcW w:w="2110" w:type="dxa"/>
            <w:shd w:val="clear" w:color="auto" w:fill="DBE4F0"/>
          </w:tcPr>
          <w:p w14:paraId="24CC2D92" w14:textId="77777777" w:rsidR="00474239" w:rsidRPr="00B42BCE" w:rsidRDefault="005F2731" w:rsidP="00220F7D">
            <w:pPr>
              <w:pStyle w:val="TableParagraph"/>
              <w:tabs>
                <w:tab w:val="left" w:pos="1870"/>
              </w:tabs>
              <w:spacing w:before="120" w:after="120"/>
              <w:ind w:left="243" w:right="86"/>
              <w:jc w:val="center"/>
              <w:rPr>
                <w:rFonts w:asciiTheme="minorHAnsi" w:hAnsiTheme="minorHAnsi" w:cstheme="minorHAnsi"/>
              </w:rPr>
            </w:pPr>
            <w:r w:rsidRPr="00B42BCE">
              <w:rPr>
                <w:rFonts w:asciiTheme="minorHAnsi" w:hAnsiTheme="minorHAnsi" w:cstheme="minorHAnsi"/>
                <w:lang w:bidi="fr-FR"/>
              </w:rPr>
              <w:t>Activités de plaidoyer et dialogue stratégique</w:t>
            </w:r>
          </w:p>
        </w:tc>
        <w:tc>
          <w:tcPr>
            <w:tcW w:w="3318" w:type="dxa"/>
          </w:tcPr>
          <w:p w14:paraId="24CC2D93" w14:textId="77777777" w:rsidR="00474239" w:rsidRPr="00B42BCE" w:rsidRDefault="005F2731" w:rsidP="00B37718">
            <w:pPr>
              <w:pStyle w:val="TableParagraph"/>
              <w:spacing w:before="120" w:after="120"/>
              <w:ind w:left="107" w:right="104"/>
              <w:rPr>
                <w:rFonts w:asciiTheme="minorHAnsi" w:hAnsiTheme="minorHAnsi" w:cstheme="minorHAnsi"/>
              </w:rPr>
            </w:pPr>
            <w:r w:rsidRPr="00B42BCE">
              <w:rPr>
                <w:rFonts w:asciiTheme="minorHAnsi" w:hAnsiTheme="minorHAnsi" w:cstheme="minorHAnsi"/>
                <w:lang w:bidi="fr-FR"/>
              </w:rPr>
              <w:t>Influencer le secteur privé et l’encourager à faire évoluer les activités commerciales en promouvant des approches plus responsables et plus durables.</w:t>
            </w:r>
          </w:p>
        </w:tc>
        <w:tc>
          <w:tcPr>
            <w:tcW w:w="3644" w:type="dxa"/>
          </w:tcPr>
          <w:p w14:paraId="3D51D528" w14:textId="293CDBE1" w:rsidR="00474239" w:rsidRPr="00B42BCE" w:rsidRDefault="00566B39"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Mémorandum d’accord</w:t>
            </w:r>
          </w:p>
          <w:p w14:paraId="24CC2D94" w14:textId="521107B4" w:rsidR="00A945EF" w:rsidRPr="00B42BCE" w:rsidRDefault="00A945EF"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Échange de lettres (à caractère financier ou non financier)</w:t>
            </w:r>
          </w:p>
        </w:tc>
      </w:tr>
      <w:tr w:rsidR="00474239" w:rsidRPr="00B42BCE" w14:paraId="24CC2D9C" w14:textId="77777777" w:rsidTr="00220F7D">
        <w:trPr>
          <w:trHeight w:val="1329"/>
        </w:trPr>
        <w:tc>
          <w:tcPr>
            <w:tcW w:w="2110" w:type="dxa"/>
            <w:shd w:val="clear" w:color="auto" w:fill="DBE4F0"/>
          </w:tcPr>
          <w:p w14:paraId="24CC2D96" w14:textId="77777777" w:rsidR="00474239" w:rsidRPr="00B42BCE" w:rsidRDefault="005F2731" w:rsidP="00220F7D">
            <w:pPr>
              <w:pStyle w:val="TableParagraph"/>
              <w:tabs>
                <w:tab w:val="left" w:pos="1870"/>
              </w:tabs>
              <w:spacing w:before="120" w:after="120"/>
              <w:ind w:left="243" w:right="484"/>
              <w:jc w:val="center"/>
              <w:rPr>
                <w:rFonts w:asciiTheme="minorHAnsi" w:hAnsiTheme="minorHAnsi" w:cstheme="minorHAnsi"/>
              </w:rPr>
            </w:pPr>
            <w:r w:rsidRPr="00B42BCE">
              <w:rPr>
                <w:rFonts w:asciiTheme="minorHAnsi" w:hAnsiTheme="minorHAnsi" w:cstheme="minorHAnsi"/>
                <w:lang w:bidi="fr-FR"/>
              </w:rPr>
              <w:t>Mobilisation de ressources</w:t>
            </w:r>
          </w:p>
        </w:tc>
        <w:tc>
          <w:tcPr>
            <w:tcW w:w="3318" w:type="dxa"/>
          </w:tcPr>
          <w:p w14:paraId="24CC2D97" w14:textId="4266E1DC" w:rsidR="00474239" w:rsidRPr="00B42BCE" w:rsidRDefault="005F2731" w:rsidP="00B37718">
            <w:pPr>
              <w:pStyle w:val="TableParagraph"/>
              <w:spacing w:before="120" w:after="120"/>
              <w:ind w:left="107" w:right="297"/>
              <w:rPr>
                <w:rFonts w:asciiTheme="minorHAnsi" w:hAnsiTheme="minorHAnsi" w:cstheme="minorHAnsi"/>
              </w:rPr>
            </w:pPr>
            <w:r w:rsidRPr="00B42BCE">
              <w:rPr>
                <w:rFonts w:asciiTheme="minorHAnsi" w:hAnsiTheme="minorHAnsi" w:cstheme="minorHAnsi"/>
                <w:lang w:bidi="fr-FR"/>
              </w:rPr>
              <w:t>Mobiliser les ressources financières et en nature du secteur privé au service des programmes</w:t>
            </w:r>
            <w:r w:rsidR="004A27F9">
              <w:rPr>
                <w:rFonts w:asciiTheme="minorHAnsi" w:hAnsiTheme="minorHAnsi" w:cstheme="minorHAnsi"/>
                <w:lang w:bidi="fr-FR"/>
              </w:rPr>
              <w:t>, des portefeuilles</w:t>
            </w:r>
            <w:r w:rsidRPr="00B42BCE">
              <w:rPr>
                <w:rFonts w:asciiTheme="minorHAnsi" w:hAnsiTheme="minorHAnsi" w:cstheme="minorHAnsi"/>
                <w:lang w:bidi="fr-FR"/>
              </w:rPr>
              <w:t>et des projets du PNUD</w:t>
            </w:r>
          </w:p>
        </w:tc>
        <w:tc>
          <w:tcPr>
            <w:tcW w:w="3644" w:type="dxa"/>
          </w:tcPr>
          <w:p w14:paraId="2C3BC321" w14:textId="77777777" w:rsidR="00566B39" w:rsidRPr="00B42BCE" w:rsidRDefault="00566B39"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Accords de financement (montant égal ou supérieur à 100 000 dollars des États-Unis)</w:t>
            </w:r>
          </w:p>
          <w:p w14:paraId="0BB99EDC" w14:textId="77777777" w:rsidR="00566B39" w:rsidRPr="00B42BCE" w:rsidRDefault="00566B39"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Accord à titre gracieux</w:t>
            </w:r>
          </w:p>
          <w:p w14:paraId="6B10178A" w14:textId="77777777" w:rsidR="00566B39" w:rsidRPr="00B42BCE" w:rsidRDefault="00566B39"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Accord de contribution (accord à titre gracieux + accord de financement)</w:t>
            </w:r>
          </w:p>
          <w:p w14:paraId="6363FD1F" w14:textId="77777777" w:rsidR="00566B39" w:rsidRPr="00B42BCE" w:rsidRDefault="00566B39"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Accord de contribution financière limitée (moins de 100 000 dollars des États-Unis)</w:t>
            </w:r>
          </w:p>
          <w:p w14:paraId="0DF26EFF" w14:textId="77777777" w:rsidR="00566B39" w:rsidRPr="00B42BCE" w:rsidRDefault="00566B39"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Échange de lettres (contribution de moins de 100 000 dollars des États-Unis)</w:t>
            </w:r>
          </w:p>
          <w:p w14:paraId="2898F339" w14:textId="139FACB9" w:rsidR="00566B39" w:rsidRPr="00B42BCE" w:rsidRDefault="00C95F83"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Financement parallèle</w:t>
            </w:r>
          </w:p>
          <w:p w14:paraId="05190111" w14:textId="18ED364A" w:rsidR="00A945EF" w:rsidRPr="00B42BCE" w:rsidRDefault="00566B39"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Accord relatif aux services de développement</w:t>
            </w:r>
          </w:p>
          <w:p w14:paraId="24CC2D9B" w14:textId="7049F7AB" w:rsidR="00474239" w:rsidRPr="00B42BCE" w:rsidRDefault="00C95F83"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 xml:space="preserve">Accord de prêt non remboursable </w:t>
            </w:r>
          </w:p>
        </w:tc>
      </w:tr>
      <w:tr w:rsidR="00566B39" w:rsidRPr="00B42BCE" w14:paraId="24CC2DA1" w14:textId="77777777" w:rsidTr="00220F7D">
        <w:trPr>
          <w:trHeight w:val="1505"/>
        </w:trPr>
        <w:tc>
          <w:tcPr>
            <w:tcW w:w="2110" w:type="dxa"/>
            <w:shd w:val="clear" w:color="auto" w:fill="DBE4F0"/>
          </w:tcPr>
          <w:p w14:paraId="24CC2D9D" w14:textId="60AF3F4C" w:rsidR="00566B39" w:rsidRPr="00B42BCE" w:rsidRDefault="00566B39" w:rsidP="00220F7D">
            <w:pPr>
              <w:pStyle w:val="TableParagraph"/>
              <w:tabs>
                <w:tab w:val="left" w:pos="1870"/>
              </w:tabs>
              <w:spacing w:before="120" w:after="120"/>
              <w:ind w:left="243" w:right="233"/>
              <w:jc w:val="center"/>
              <w:rPr>
                <w:rFonts w:asciiTheme="minorHAnsi" w:hAnsiTheme="minorHAnsi" w:cstheme="minorHAnsi"/>
              </w:rPr>
            </w:pPr>
            <w:r w:rsidRPr="00B42BCE">
              <w:rPr>
                <w:rFonts w:asciiTheme="minorHAnsi" w:hAnsiTheme="minorHAnsi" w:cstheme="minorHAnsi"/>
                <w:lang w:bidi="fr-FR"/>
              </w:rPr>
              <w:t>Défis de l’innovation (concours avec remise de prix)</w:t>
            </w:r>
          </w:p>
        </w:tc>
        <w:tc>
          <w:tcPr>
            <w:tcW w:w="3318" w:type="dxa"/>
          </w:tcPr>
          <w:p w14:paraId="24CC2D9E" w14:textId="3E1C4144" w:rsidR="00566B39" w:rsidRPr="00B42BCE" w:rsidRDefault="00566B39" w:rsidP="00B37718">
            <w:pPr>
              <w:pStyle w:val="TableParagraph"/>
              <w:spacing w:before="120" w:after="120"/>
              <w:ind w:left="107" w:right="119"/>
              <w:rPr>
                <w:rFonts w:asciiTheme="minorHAnsi" w:hAnsiTheme="minorHAnsi" w:cstheme="minorHAnsi"/>
              </w:rPr>
            </w:pPr>
            <w:r w:rsidRPr="00B42BCE">
              <w:rPr>
                <w:rFonts w:asciiTheme="minorHAnsi" w:hAnsiTheme="minorHAnsi" w:cstheme="minorHAnsi"/>
                <w:lang w:bidi="fr-FR"/>
              </w:rPr>
              <w:t>Les défis de l’innovation sont des concours avec remise de prix organisés par les différentes unités opérationnelles (bureaux de pays) pour favoriser l’émergence d’idées et de solutions innovantes, susceptibles de répondre aux problèmes de développement que les processus d’appels d’offre traditionnels ne sont pas en mesure de résoudre.</w:t>
            </w:r>
          </w:p>
        </w:tc>
        <w:tc>
          <w:tcPr>
            <w:tcW w:w="3644" w:type="dxa"/>
          </w:tcPr>
          <w:p w14:paraId="24CC2DA0" w14:textId="2560AC3C" w:rsidR="00566B39" w:rsidRPr="00B42BCE" w:rsidRDefault="00566B39"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Accord de mise en œuvre d’un défi de l’innovation</w:t>
            </w:r>
          </w:p>
        </w:tc>
      </w:tr>
      <w:tr w:rsidR="00566B39" w:rsidRPr="00B42BCE" w14:paraId="24CC2DA8" w14:textId="77777777" w:rsidTr="00220F7D">
        <w:trPr>
          <w:trHeight w:val="1504"/>
        </w:trPr>
        <w:tc>
          <w:tcPr>
            <w:tcW w:w="2110" w:type="dxa"/>
            <w:shd w:val="clear" w:color="auto" w:fill="DBE4F0"/>
          </w:tcPr>
          <w:p w14:paraId="24CC2DA2" w14:textId="77777777" w:rsidR="00566B39" w:rsidRPr="00B42BCE" w:rsidRDefault="00566B39" w:rsidP="00220F7D">
            <w:pPr>
              <w:pStyle w:val="TableParagraph"/>
              <w:tabs>
                <w:tab w:val="left" w:pos="1870"/>
              </w:tabs>
              <w:spacing w:before="120" w:after="120"/>
              <w:ind w:left="243" w:right="233"/>
              <w:jc w:val="center"/>
              <w:rPr>
                <w:rFonts w:asciiTheme="minorHAnsi" w:hAnsiTheme="minorHAnsi" w:cstheme="minorHAnsi"/>
              </w:rPr>
            </w:pPr>
            <w:r w:rsidRPr="00B42BCE">
              <w:rPr>
                <w:rFonts w:asciiTheme="minorHAnsi" w:hAnsiTheme="minorHAnsi" w:cstheme="minorHAnsi"/>
                <w:lang w:bidi="fr-FR"/>
              </w:rPr>
              <w:t xml:space="preserve">Activités principales au service d’un développement inclusif des </w:t>
            </w:r>
            <w:r w:rsidRPr="00B42BCE">
              <w:rPr>
                <w:rFonts w:asciiTheme="minorHAnsi" w:hAnsiTheme="minorHAnsi" w:cstheme="minorHAnsi"/>
                <w:lang w:bidi="fr-FR"/>
              </w:rPr>
              <w:lastRenderedPageBreak/>
              <w:t>marchés</w:t>
            </w:r>
          </w:p>
        </w:tc>
        <w:tc>
          <w:tcPr>
            <w:tcW w:w="3318" w:type="dxa"/>
          </w:tcPr>
          <w:p w14:paraId="24CC2DA3" w14:textId="77777777" w:rsidR="00566B39" w:rsidRPr="00B42BCE" w:rsidRDefault="00566B39" w:rsidP="00B37718">
            <w:pPr>
              <w:pStyle w:val="TableParagraph"/>
              <w:spacing w:before="120" w:after="120"/>
              <w:ind w:left="107" w:right="310"/>
              <w:rPr>
                <w:rFonts w:asciiTheme="minorHAnsi" w:hAnsiTheme="minorHAnsi" w:cstheme="minorHAnsi"/>
              </w:rPr>
            </w:pPr>
            <w:r w:rsidRPr="00B42BCE">
              <w:rPr>
                <w:rFonts w:asciiTheme="minorHAnsi" w:hAnsiTheme="minorHAnsi" w:cstheme="minorHAnsi"/>
                <w:lang w:bidi="fr-FR"/>
              </w:rPr>
              <w:lastRenderedPageBreak/>
              <w:t xml:space="preserve">Tirer profit des atouts liés aux activités principales du secteur privé (expertise, services, technologies, etc.) pour mettre en œuvre ou promouvoir des </w:t>
            </w:r>
            <w:r w:rsidRPr="00B42BCE">
              <w:rPr>
                <w:rFonts w:asciiTheme="minorHAnsi" w:hAnsiTheme="minorHAnsi" w:cstheme="minorHAnsi"/>
                <w:lang w:bidi="fr-FR"/>
              </w:rPr>
              <w:lastRenderedPageBreak/>
              <w:t>modèles économiques inclusifs.</w:t>
            </w:r>
          </w:p>
        </w:tc>
        <w:tc>
          <w:tcPr>
            <w:tcW w:w="3644" w:type="dxa"/>
          </w:tcPr>
          <w:p w14:paraId="67CA2DFD" w14:textId="77777777" w:rsidR="00566B39" w:rsidRPr="00B42BCE" w:rsidRDefault="00566B39"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lastRenderedPageBreak/>
              <w:t>Mémorandum d’accord</w:t>
            </w:r>
          </w:p>
          <w:p w14:paraId="525322D1" w14:textId="77777777" w:rsidR="00566B39" w:rsidRPr="00B42BCE" w:rsidRDefault="00566B39"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Assistance technique</w:t>
            </w:r>
          </w:p>
          <w:p w14:paraId="5A6B98F2" w14:textId="77777777" w:rsidR="00566B39" w:rsidRPr="00B42BCE" w:rsidRDefault="00566B39"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 xml:space="preserve">Accords de financement (montant égal ou supérieur à </w:t>
            </w:r>
            <w:r w:rsidRPr="00B42BCE">
              <w:rPr>
                <w:rFonts w:asciiTheme="minorHAnsi" w:hAnsiTheme="minorHAnsi" w:cstheme="minorHAnsi"/>
                <w:lang w:bidi="fr-FR"/>
              </w:rPr>
              <w:lastRenderedPageBreak/>
              <w:t>100 000 dollars des États-Unis)</w:t>
            </w:r>
          </w:p>
          <w:p w14:paraId="6CD760C4" w14:textId="77777777" w:rsidR="00566B39" w:rsidRPr="00B42BCE" w:rsidRDefault="00566B39"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Accord à titre gracieux</w:t>
            </w:r>
          </w:p>
          <w:p w14:paraId="1DA82BC7" w14:textId="77777777" w:rsidR="00566B39" w:rsidRPr="00B42BCE" w:rsidRDefault="00566B39"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Accord de contribution (accord à titre gracieux + accord de financement)</w:t>
            </w:r>
          </w:p>
          <w:p w14:paraId="57A42C69" w14:textId="77777777" w:rsidR="00566B39" w:rsidRPr="00B42BCE" w:rsidRDefault="00566B39"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Accord de contribution financière limitée (moins de 100 000 dollars des États-Unis)</w:t>
            </w:r>
          </w:p>
          <w:p w14:paraId="24CC2DA7" w14:textId="158110DB" w:rsidR="00566B39" w:rsidRPr="00B42BCE" w:rsidRDefault="00566B39"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Échange de lettres (contribution de moins de 100 000 dollars des États-Unis)</w:t>
            </w:r>
          </w:p>
        </w:tc>
      </w:tr>
      <w:tr w:rsidR="00566B39" w:rsidRPr="00B42BCE" w14:paraId="24CC2DAE" w14:textId="77777777" w:rsidTr="00220F7D">
        <w:trPr>
          <w:trHeight w:val="1759"/>
        </w:trPr>
        <w:tc>
          <w:tcPr>
            <w:tcW w:w="2110" w:type="dxa"/>
            <w:shd w:val="clear" w:color="auto" w:fill="DBE4F0"/>
          </w:tcPr>
          <w:p w14:paraId="24CC2DA9" w14:textId="77777777" w:rsidR="00566B39" w:rsidRPr="00B42BCE" w:rsidRDefault="00566B39" w:rsidP="00220F7D">
            <w:pPr>
              <w:pStyle w:val="TableParagraph"/>
              <w:tabs>
                <w:tab w:val="left" w:pos="1870"/>
              </w:tabs>
              <w:spacing w:before="120" w:after="120"/>
              <w:ind w:left="243" w:right="263"/>
              <w:jc w:val="center"/>
              <w:rPr>
                <w:rFonts w:asciiTheme="minorHAnsi" w:hAnsiTheme="minorHAnsi" w:cstheme="minorHAnsi"/>
              </w:rPr>
            </w:pPr>
            <w:r w:rsidRPr="00B42BCE">
              <w:rPr>
                <w:rFonts w:asciiTheme="minorHAnsi" w:hAnsiTheme="minorHAnsi" w:cstheme="minorHAnsi"/>
                <w:lang w:bidi="fr-FR"/>
              </w:rPr>
              <w:lastRenderedPageBreak/>
              <w:t>Partenariats vecteurs de changements systémiques</w:t>
            </w:r>
          </w:p>
        </w:tc>
        <w:tc>
          <w:tcPr>
            <w:tcW w:w="3318" w:type="dxa"/>
          </w:tcPr>
          <w:p w14:paraId="24CC2DAA" w14:textId="77777777" w:rsidR="00566B39" w:rsidRPr="00B42BCE" w:rsidRDefault="00566B39" w:rsidP="00B37718">
            <w:pPr>
              <w:pStyle w:val="TableParagraph"/>
              <w:spacing w:before="120" w:after="120"/>
              <w:ind w:left="107" w:right="487"/>
              <w:rPr>
                <w:rFonts w:asciiTheme="minorHAnsi" w:hAnsiTheme="minorHAnsi" w:cstheme="minorHAnsi"/>
              </w:rPr>
            </w:pPr>
            <w:r w:rsidRPr="00B42BCE">
              <w:rPr>
                <w:rFonts w:asciiTheme="minorHAnsi" w:hAnsiTheme="minorHAnsi" w:cstheme="minorHAnsi"/>
                <w:lang w:bidi="fr-FR"/>
              </w:rPr>
              <w:t>Ces partenariats multipartites et pluridimensionnels visent à mettre à profit les principales compétences de chaque partenaire et sont conçus pour apporter une solution à grande échelle à un problème systémique donné.</w:t>
            </w:r>
          </w:p>
        </w:tc>
        <w:tc>
          <w:tcPr>
            <w:tcW w:w="3644" w:type="dxa"/>
          </w:tcPr>
          <w:p w14:paraId="431E2C69" w14:textId="77777777" w:rsidR="00566B39" w:rsidRPr="00B42BCE" w:rsidRDefault="00566B39"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Mémorandum d’accord</w:t>
            </w:r>
          </w:p>
          <w:p w14:paraId="779A8E16" w14:textId="77777777" w:rsidR="00566B39" w:rsidRPr="00B42BCE" w:rsidRDefault="00566B39"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Accords de partage des coûts</w:t>
            </w:r>
          </w:p>
          <w:p w14:paraId="24CC2DAD" w14:textId="431DFDFB" w:rsidR="00566B39" w:rsidRPr="00B42BCE" w:rsidRDefault="00566B39"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Déclaration d’intention</w:t>
            </w:r>
          </w:p>
        </w:tc>
      </w:tr>
      <w:tr w:rsidR="00566B39" w:rsidRPr="00B42BCE" w14:paraId="05CE217A" w14:textId="77777777" w:rsidTr="00220F7D">
        <w:trPr>
          <w:trHeight w:val="1759"/>
        </w:trPr>
        <w:tc>
          <w:tcPr>
            <w:tcW w:w="2110" w:type="dxa"/>
            <w:shd w:val="clear" w:color="auto" w:fill="DBE4F0"/>
          </w:tcPr>
          <w:p w14:paraId="382792C9" w14:textId="6BA0CC53" w:rsidR="00566B39" w:rsidRPr="00B42BCE" w:rsidRDefault="00566B39" w:rsidP="00220F7D">
            <w:pPr>
              <w:pStyle w:val="TableParagraph"/>
              <w:tabs>
                <w:tab w:val="left" w:pos="1870"/>
              </w:tabs>
              <w:spacing w:before="120" w:after="120"/>
              <w:ind w:left="243" w:right="263"/>
              <w:jc w:val="center"/>
              <w:rPr>
                <w:rFonts w:asciiTheme="minorHAnsi" w:hAnsiTheme="minorHAnsi" w:cstheme="minorHAnsi"/>
              </w:rPr>
            </w:pPr>
            <w:r w:rsidRPr="00B42BCE">
              <w:rPr>
                <w:rFonts w:asciiTheme="minorHAnsi" w:hAnsiTheme="minorHAnsi" w:cstheme="minorHAnsi"/>
                <w:lang w:bidi="fr-FR"/>
              </w:rPr>
              <w:t>Partie responsable</w:t>
            </w:r>
          </w:p>
        </w:tc>
        <w:tc>
          <w:tcPr>
            <w:tcW w:w="3318" w:type="dxa"/>
          </w:tcPr>
          <w:p w14:paraId="61370B2D" w14:textId="12CB8517" w:rsidR="00566B39" w:rsidRPr="00B42BCE" w:rsidRDefault="00566B39" w:rsidP="00B37718">
            <w:pPr>
              <w:pStyle w:val="TableParagraph"/>
              <w:spacing w:before="120" w:after="120"/>
              <w:ind w:left="107" w:right="487"/>
              <w:rPr>
                <w:rFonts w:asciiTheme="minorHAnsi" w:hAnsiTheme="minorHAnsi" w:cstheme="minorHAnsi"/>
              </w:rPr>
            </w:pPr>
            <w:r w:rsidRPr="00B42BCE">
              <w:rPr>
                <w:rFonts w:asciiTheme="minorHAnsi" w:hAnsiTheme="minorHAnsi" w:cstheme="minorHAnsi"/>
                <w:lang w:bidi="fr-FR"/>
              </w:rPr>
              <w:t>Les paiements basés sur la performance désignent un type d’accord passé entre le PNUD et une partie responsable pour l’obtention d’un financement sur la base de résultats mesurables et vérifiés en matière de développement. Aucune avance de fonds n’est accordée et le paiement n’est enclenché qu’après vérification des résultats obtenus. Cette approche présente l’avantage d’inciter plus fortement les parties responsables à obtenir des résultats.</w:t>
            </w:r>
          </w:p>
        </w:tc>
        <w:tc>
          <w:tcPr>
            <w:tcW w:w="3644" w:type="dxa"/>
          </w:tcPr>
          <w:p w14:paraId="61BB12BE" w14:textId="77777777" w:rsidR="00566B39" w:rsidRPr="00B42BCE" w:rsidRDefault="6899F39D"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Accord entre les parties responsables</w:t>
            </w:r>
            <w:r w:rsidR="00566B39" w:rsidRPr="00B42BCE">
              <w:rPr>
                <w:rStyle w:val="FootnoteReference"/>
                <w:rFonts w:asciiTheme="minorHAnsi" w:hAnsiTheme="minorHAnsi" w:cstheme="minorHAnsi"/>
                <w:lang w:bidi="fr-FR"/>
              </w:rPr>
              <w:footnoteReference w:id="27"/>
            </w:r>
          </w:p>
          <w:p w14:paraId="17B4953E" w14:textId="60CADD4F" w:rsidR="00566B39" w:rsidRPr="00B42BCE" w:rsidRDefault="00566B39" w:rsidP="00483CDF">
            <w:pPr>
              <w:pStyle w:val="TableParagraph"/>
              <w:numPr>
                <w:ilvl w:val="0"/>
                <w:numId w:val="30"/>
              </w:numPr>
              <w:spacing w:before="120" w:after="120"/>
              <w:ind w:left="383" w:right="129" w:hanging="270"/>
              <w:rPr>
                <w:rFonts w:asciiTheme="minorHAnsi" w:hAnsiTheme="minorHAnsi" w:cstheme="minorHAnsi"/>
              </w:rPr>
            </w:pPr>
            <w:r w:rsidRPr="00B42BCE">
              <w:rPr>
                <w:rFonts w:asciiTheme="minorHAnsi" w:hAnsiTheme="minorHAnsi" w:cstheme="minorHAnsi"/>
                <w:lang w:bidi="fr-FR"/>
              </w:rPr>
              <w:t>Accord de paiement basé sur la performance</w:t>
            </w:r>
          </w:p>
        </w:tc>
      </w:tr>
      <w:tr w:rsidR="00566B39" w:rsidRPr="00B42BCE" w14:paraId="5671D217" w14:textId="77777777" w:rsidTr="00220F7D">
        <w:trPr>
          <w:trHeight w:val="1759"/>
        </w:trPr>
        <w:tc>
          <w:tcPr>
            <w:tcW w:w="2110" w:type="dxa"/>
            <w:shd w:val="clear" w:color="auto" w:fill="DBE4F0"/>
          </w:tcPr>
          <w:p w14:paraId="1E747F6B" w14:textId="49B49ABD" w:rsidR="00566B39" w:rsidRPr="00B42BCE" w:rsidRDefault="00566B39" w:rsidP="00220F7D">
            <w:pPr>
              <w:pStyle w:val="TableParagraph"/>
              <w:tabs>
                <w:tab w:val="left" w:pos="1870"/>
              </w:tabs>
              <w:spacing w:before="120" w:after="120"/>
              <w:ind w:left="243" w:right="263"/>
              <w:jc w:val="center"/>
              <w:rPr>
                <w:rFonts w:asciiTheme="minorHAnsi" w:hAnsiTheme="minorHAnsi" w:cstheme="minorHAnsi"/>
              </w:rPr>
            </w:pPr>
            <w:r w:rsidRPr="00B42BCE">
              <w:rPr>
                <w:rFonts w:asciiTheme="minorHAnsi" w:hAnsiTheme="minorHAnsi" w:cstheme="minorHAnsi"/>
                <w:lang w:bidi="fr-FR"/>
              </w:rPr>
              <w:lastRenderedPageBreak/>
              <w:t>Financement participatif</w:t>
            </w:r>
          </w:p>
        </w:tc>
        <w:tc>
          <w:tcPr>
            <w:tcW w:w="3318" w:type="dxa"/>
          </w:tcPr>
          <w:p w14:paraId="7648E2A4" w14:textId="55AD6140" w:rsidR="00566B39" w:rsidRPr="00B42BCE" w:rsidRDefault="00F966C7" w:rsidP="00B37718">
            <w:pPr>
              <w:pStyle w:val="TableParagraph"/>
              <w:spacing w:before="120" w:after="120"/>
              <w:ind w:left="107" w:right="487"/>
              <w:rPr>
                <w:rFonts w:asciiTheme="minorHAnsi" w:hAnsiTheme="minorHAnsi" w:cstheme="minorHAnsi"/>
              </w:rPr>
            </w:pPr>
            <w:r w:rsidRPr="00B42BCE">
              <w:rPr>
                <w:rFonts w:asciiTheme="minorHAnsi" w:hAnsiTheme="minorHAnsi" w:cstheme="minorHAnsi"/>
                <w:lang w:bidi="fr-FR"/>
              </w:rPr>
              <w:t>Plateforme Classy</w:t>
            </w:r>
          </w:p>
        </w:tc>
        <w:tc>
          <w:tcPr>
            <w:tcW w:w="3644" w:type="dxa"/>
          </w:tcPr>
          <w:p w14:paraId="652BA550" w14:textId="31DB1C32" w:rsidR="00566B39" w:rsidRPr="00B42BCE" w:rsidRDefault="00FD5440" w:rsidP="00483CDF">
            <w:pPr>
              <w:pStyle w:val="TableParagraph"/>
              <w:tabs>
                <w:tab w:val="left" w:pos="283"/>
              </w:tabs>
              <w:spacing w:before="120" w:after="120"/>
              <w:ind w:left="282" w:right="129"/>
              <w:rPr>
                <w:rFonts w:asciiTheme="minorHAnsi" w:hAnsiTheme="minorHAnsi" w:cstheme="minorHAnsi"/>
              </w:rPr>
            </w:pPr>
            <w:r w:rsidRPr="00B42BCE">
              <w:rPr>
                <w:rFonts w:asciiTheme="minorHAnsi" w:hAnsiTheme="minorHAnsi" w:cstheme="minorHAnsi"/>
                <w:lang w:bidi="fr-FR"/>
              </w:rPr>
              <w:t>Aucun accord signé</w:t>
            </w:r>
          </w:p>
        </w:tc>
      </w:tr>
    </w:tbl>
    <w:p w14:paraId="24CC2DB1" w14:textId="4CDAEF70" w:rsidR="00055397" w:rsidRPr="00B42BCE" w:rsidRDefault="005F2731" w:rsidP="00901D78">
      <w:pPr>
        <w:pStyle w:val="BodyText"/>
        <w:spacing w:before="1"/>
        <w:ind w:left="100"/>
        <w:rPr>
          <w:rFonts w:asciiTheme="minorHAnsi" w:hAnsiTheme="minorHAnsi" w:cstheme="minorHAnsi"/>
        </w:rPr>
        <w:sectPr w:rsidR="00055397" w:rsidRPr="00B42BCE" w:rsidSect="00EE2173">
          <w:pgSz w:w="11910" w:h="16840"/>
          <w:pgMar w:top="1340" w:right="1300" w:bottom="1440" w:left="1340" w:header="450" w:footer="1250" w:gutter="0"/>
          <w:cols w:space="720"/>
        </w:sectPr>
      </w:pPr>
      <w:r w:rsidRPr="00B42BCE">
        <w:rPr>
          <w:rFonts w:asciiTheme="minorHAnsi" w:hAnsiTheme="minorHAnsi" w:cstheme="minorHAnsi"/>
          <w:lang w:bidi="fr-FR"/>
        </w:rPr>
        <w:t>Pour en savoir plus, veuillez consulter l’annexe 2 : les différents types de collaboration avec le secteur privé.</w:t>
      </w:r>
      <w:r w:rsidR="00055397" w:rsidRPr="00B42BCE">
        <w:rPr>
          <w:rFonts w:asciiTheme="minorHAnsi" w:hAnsiTheme="minorHAnsi" w:cstheme="minorHAnsi"/>
          <w:lang w:bidi="fr-FR"/>
        </w:rPr>
        <w:tab/>
      </w:r>
    </w:p>
    <w:p w14:paraId="24CC2DB2" w14:textId="77777777" w:rsidR="00474239" w:rsidRPr="00B42BCE" w:rsidRDefault="005F2731">
      <w:pPr>
        <w:pStyle w:val="Heading1"/>
        <w:spacing w:before="82"/>
        <w:ind w:left="460" w:firstLine="0"/>
        <w:rPr>
          <w:rFonts w:asciiTheme="minorHAnsi" w:hAnsiTheme="minorHAnsi" w:cstheme="minorHAnsi"/>
          <w:sz w:val="22"/>
          <w:szCs w:val="22"/>
        </w:rPr>
      </w:pPr>
      <w:bookmarkStart w:id="24" w:name="_Toc160629999"/>
      <w:r w:rsidRPr="00B42BCE">
        <w:rPr>
          <w:rFonts w:asciiTheme="minorHAnsi" w:hAnsiTheme="minorHAnsi" w:cstheme="minorHAnsi"/>
          <w:color w:val="365F91"/>
          <w:sz w:val="22"/>
          <w:lang w:bidi="fr-FR"/>
        </w:rPr>
        <w:lastRenderedPageBreak/>
        <w:t>Annexe 2 : les différents types de collaboration avec le secteur privé</w:t>
      </w:r>
      <w:bookmarkEnd w:id="24"/>
    </w:p>
    <w:p w14:paraId="24CC2DB3" w14:textId="77777777" w:rsidR="00474239" w:rsidRPr="00B42BCE" w:rsidRDefault="00474239">
      <w:pPr>
        <w:pStyle w:val="BodyText"/>
        <w:rPr>
          <w:rFonts w:asciiTheme="minorHAnsi" w:hAnsiTheme="minorHAnsi" w:cstheme="minorHAnsi"/>
          <w:b/>
        </w:rPr>
      </w:pPr>
    </w:p>
    <w:p w14:paraId="24CC2DB4" w14:textId="19A0FC7E" w:rsidR="00474239" w:rsidRPr="00B42BCE" w:rsidRDefault="00880C31">
      <w:pPr>
        <w:pStyle w:val="Heading2"/>
        <w:numPr>
          <w:ilvl w:val="0"/>
          <w:numId w:val="1"/>
        </w:numPr>
        <w:tabs>
          <w:tab w:val="left" w:pos="372"/>
        </w:tabs>
        <w:rPr>
          <w:rFonts w:asciiTheme="minorHAnsi" w:hAnsiTheme="minorHAnsi" w:cstheme="minorHAnsi"/>
        </w:rPr>
      </w:pPr>
      <w:bookmarkStart w:id="25" w:name="_Toc160630000"/>
      <w:r w:rsidRPr="00B42BCE">
        <w:rPr>
          <w:rFonts w:asciiTheme="minorHAnsi" w:hAnsiTheme="minorHAnsi" w:cstheme="minorHAnsi"/>
          <w:noProof/>
          <w:lang w:bidi="fr-FR"/>
        </w:rPr>
        <mc:AlternateContent>
          <mc:Choice Requires="wpg">
            <w:drawing>
              <wp:anchor distT="0" distB="0" distL="114300" distR="114300" simplePos="0" relativeHeight="251658245" behindDoc="0" locked="0" layoutInCell="1" allowOverlap="1" wp14:anchorId="24CC2E48" wp14:editId="59C0CD39">
                <wp:simplePos x="0" y="0"/>
                <wp:positionH relativeFrom="page">
                  <wp:posOffset>3487479</wp:posOffset>
                </wp:positionH>
                <wp:positionV relativeFrom="paragraph">
                  <wp:posOffset>166340</wp:posOffset>
                </wp:positionV>
                <wp:extent cx="3244998" cy="4348716"/>
                <wp:effectExtent l="0" t="0" r="0" b="1397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4998" cy="4348716"/>
                          <a:chOff x="5611" y="84"/>
                          <a:chExt cx="4877" cy="4981"/>
                        </a:xfrm>
                      </wpg:grpSpPr>
                      <pic:pic xmlns:pic="http://schemas.openxmlformats.org/drawingml/2006/picture">
                        <pic:nvPicPr>
                          <pic:cNvPr id="35"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611" y="84"/>
                            <a:ext cx="4877" cy="49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671" y="113"/>
                            <a:ext cx="4712" cy="4810"/>
                          </a:xfrm>
                          <a:prstGeom prst="rect">
                            <a:avLst/>
                          </a:prstGeom>
                          <a:noFill/>
                          <a:extLst>
                            <a:ext uri="{909E8E84-426E-40DD-AFC4-6F175D3DCCD1}">
                              <a14:hiddenFill xmlns:a14="http://schemas.microsoft.com/office/drawing/2010/main">
                                <a:solidFill>
                                  <a:srgbClr val="FFFFFF"/>
                                </a:solidFill>
                              </a14:hiddenFill>
                            </a:ext>
                          </a:extLst>
                        </pic:spPr>
                      </pic:pic>
                      <wps:wsp>
                        <wps:cNvPr id="37" name="Text Box 21"/>
                        <wps:cNvSpPr txBox="1">
                          <a:spLocks noChangeArrowheads="1"/>
                        </wps:cNvSpPr>
                        <wps:spPr bwMode="auto">
                          <a:xfrm>
                            <a:off x="5671" y="84"/>
                            <a:ext cx="4712" cy="4981"/>
                          </a:xfrm>
                          <a:prstGeom prst="rect">
                            <a:avLst/>
                          </a:prstGeom>
                          <a:noFill/>
                          <a:ln w="9144">
                            <a:solidFill>
                              <a:srgbClr val="497DBA"/>
                            </a:solidFill>
                            <a:miter lim="800000"/>
                            <a:headEnd/>
                            <a:tailEnd/>
                          </a:ln>
                          <a:extLst>
                            <a:ext uri="{909E8E84-426E-40DD-AFC4-6F175D3DCCD1}">
                              <a14:hiddenFill xmlns:a14="http://schemas.microsoft.com/office/drawing/2010/main">
                                <a:solidFill>
                                  <a:srgbClr val="FFFFFF"/>
                                </a:solidFill>
                              </a14:hiddenFill>
                            </a:ext>
                          </a:extLst>
                        </wps:spPr>
                        <wps:txbx>
                          <w:txbxContent>
                            <w:p w14:paraId="24CC2E79" w14:textId="77777777" w:rsidR="00474239" w:rsidRPr="00220F7D" w:rsidRDefault="005F2731">
                              <w:pPr>
                                <w:spacing w:before="191"/>
                                <w:ind w:left="142"/>
                                <w:jc w:val="both"/>
                                <w:rPr>
                                  <w:rFonts w:asciiTheme="minorHAnsi" w:hAnsiTheme="minorHAnsi" w:cstheme="minorHAnsi"/>
                                  <w:b/>
                                </w:rPr>
                              </w:pPr>
                              <w:r w:rsidRPr="00220F7D">
                                <w:rPr>
                                  <w:rFonts w:asciiTheme="minorHAnsi" w:hAnsiTheme="minorHAnsi" w:cstheme="minorHAnsi"/>
                                  <w:b/>
                                  <w:u w:val="thick"/>
                                  <w:lang w:bidi="fr-FR"/>
                                </w:rPr>
                                <w:t>Étude de cas – activités de plaidoyer et le dialogue stratégique</w:t>
                              </w:r>
                            </w:p>
                            <w:p w14:paraId="24CC2E7A" w14:textId="77777777" w:rsidR="00474239" w:rsidRPr="00220F7D" w:rsidRDefault="005F2731">
                              <w:pPr>
                                <w:spacing w:before="114"/>
                                <w:ind w:left="142" w:right="138"/>
                                <w:jc w:val="both"/>
                                <w:rPr>
                                  <w:rFonts w:asciiTheme="minorHAnsi" w:hAnsiTheme="minorHAnsi" w:cstheme="minorHAnsi"/>
                                </w:rPr>
                              </w:pPr>
                              <w:r w:rsidRPr="00220F7D">
                                <w:rPr>
                                  <w:rFonts w:asciiTheme="minorHAnsi" w:hAnsiTheme="minorHAnsi" w:cstheme="minorHAnsi"/>
                                  <w:lang w:bidi="fr-FR"/>
                                </w:rPr>
                                <w:t>En Afrique, le PNUD a créé l’</w:t>
                              </w:r>
                              <w:r w:rsidRPr="00220F7D">
                                <w:rPr>
                                  <w:rFonts w:asciiTheme="minorHAnsi" w:hAnsiTheme="minorHAnsi" w:cstheme="minorHAnsi"/>
                                  <w:b/>
                                  <w:lang w:bidi="fr-FR"/>
                                </w:rPr>
                                <w:t>Initiative africaine pour les marchés inclusifs (AFIM)</w:t>
                              </w:r>
                              <w:r w:rsidRPr="00220F7D">
                                <w:rPr>
                                  <w:rFonts w:asciiTheme="minorHAnsi" w:hAnsiTheme="minorHAnsi" w:cstheme="minorHAnsi"/>
                                  <w:lang w:bidi="fr-FR"/>
                                </w:rPr>
                                <w:t>, qui favorise le dialogue et la collaboration entre les secteurs public et privé sur des enjeux prioritaires tels que les chaînes de valeur agroalimentaires. L’AFIM est une plateforme qui permet de coordonner les activités de croissance inclusives entre les Nations Unies, les gouvernements, les communautés économiques régionales et le secteur privé. À travers l’organisation d’ateliers et la mise en œuvre d’interventions ciblées, l’AFIM encourage le partage de connaissances, l’accès au financement et la diffusion de bonnes pratiques en matière de développement inclusif des marchés, tout en mettant l’accent sur la création d’opportunités à destination des populations à faible revenu et des groupes marginalisés.</w:t>
                              </w:r>
                            </w:p>
                            <w:p w14:paraId="24CC2E7B" w14:textId="77777777" w:rsidR="00474239" w:rsidRPr="00220F7D" w:rsidRDefault="005F2731">
                              <w:pPr>
                                <w:spacing w:before="120"/>
                                <w:ind w:left="142" w:right="138"/>
                                <w:jc w:val="both"/>
                                <w:rPr>
                                  <w:rFonts w:asciiTheme="minorHAnsi" w:hAnsiTheme="minorHAnsi" w:cstheme="minorHAnsi"/>
                                </w:rPr>
                              </w:pPr>
                              <w:r w:rsidRPr="00220F7D">
                                <w:rPr>
                                  <w:rFonts w:asciiTheme="minorHAnsi" w:hAnsiTheme="minorHAnsi" w:cstheme="minorHAnsi"/>
                                  <w:lang w:bidi="fr-FR"/>
                                </w:rPr>
                                <w:t xml:space="preserve">En 2011, l’initiative a permis l’adoption de la </w:t>
                              </w:r>
                              <w:hyperlink r:id="rId24">
                                <w:r w:rsidRPr="00220F7D">
                                  <w:rPr>
                                    <w:rFonts w:asciiTheme="minorHAnsi" w:hAnsiTheme="minorHAnsi" w:cstheme="minorHAnsi"/>
                                    <w:color w:val="6C8AA9"/>
                                    <w:u w:val="single" w:color="6C8AA9"/>
                                    <w:lang w:bidi="fr-FR"/>
                                  </w:rPr>
                                  <w:t>Déclaration</w:t>
                                </w:r>
                              </w:hyperlink>
                              <w:r w:rsidRPr="00220F7D">
                                <w:rPr>
                                  <w:rFonts w:asciiTheme="minorHAnsi" w:hAnsiTheme="minorHAnsi" w:cstheme="minorHAnsi"/>
                                  <w:color w:val="6C8AA9"/>
                                  <w:lang w:bidi="fr-FR"/>
                                </w:rPr>
                                <w:t xml:space="preserve"> </w:t>
                              </w:r>
                              <w:hyperlink r:id="rId25">
                                <w:r w:rsidRPr="00220F7D">
                                  <w:rPr>
                                    <w:rFonts w:asciiTheme="minorHAnsi" w:hAnsiTheme="minorHAnsi" w:cstheme="minorHAnsi"/>
                                    <w:color w:val="6C8AA9"/>
                                    <w:u w:val="single" w:color="6C8AA9"/>
                                    <w:lang w:bidi="fr-FR"/>
                                  </w:rPr>
                                  <w:t>de Johannesburg</w:t>
                                </w:r>
                              </w:hyperlink>
                              <w:r w:rsidRPr="00220F7D">
                                <w:rPr>
                                  <w:rFonts w:asciiTheme="minorHAnsi" w:hAnsiTheme="minorHAnsi" w:cstheme="minorHAnsi"/>
                                  <w:lang w:bidi="fr-FR"/>
                                </w:rPr>
                                <w:t>, première déclaration conjointe des secteurs privé et public relative à l’agrobusiness, à l’alimentation et à la nutrition.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C2E48" id="Group 34" o:spid="_x0000_s1026" style="position:absolute;left:0;text-align:left;margin-left:274.6pt;margin-top:13.1pt;width:255.5pt;height:342.4pt;z-index:251658245;mso-position-horizontal-relative:page" coordorigin="5611,84" coordsize="4877,4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5611;top:84;width:4877;height:4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">
                  <v:imagedata r:id="rId26" o:title=""/>
                </v:shape>
                <v:shape id="Picture 22" o:spid="_x0000_s1028" type="#_x0000_t75" style="position:absolute;left:5671;top:113;width:4712;height:4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">
                  <v:imagedata r:id="rId27" o:title=""/>
                </v:shape>
                <v:shapetype id="_x0000_t202" coordsize="21600,21600" o:spt="202" path="m,l,21600r21600,l21600,xe">
                  <v:stroke joinstyle="miter"/>
                  <v:path gradientshapeok="t" o:connecttype="rect"/>
                </v:shapetype>
                <v:shape id="Text Box 21" o:spid="_x0000_s1029" type="#_x0000_t202" style="position:absolute;left:5671;top:84;width:4712;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" filled="f" strokecolor="#497dba" strokeweight=".72pt">
                  <v:textbox inset="0,0,0,0">
                    <w:txbxContent>
                      <w:p w14:paraId="24CC2E79" w14:textId="77777777" w:rsidR="00474239" w:rsidRPr="00220F7D" w:rsidRDefault="005F2731">
                        <w:pPr>
                          <w:spacing w:before="191"/>
                          <w:ind w:left="142"/>
                          <w:jc w:val="both"/>
                          <w:rPr>
                            <w:rFonts w:asciiTheme="minorHAnsi" w:hAnsiTheme="minorHAnsi" w:cstheme="minorHAnsi"/>
                            <w:b/>
                          </w:rPr>
                        </w:pPr>
                        <w:r w:rsidRPr="00220F7D">
                          <w:rPr>
                            <w:rFonts w:asciiTheme="minorHAnsi" w:hAnsiTheme="minorHAnsi" w:cstheme="minorHAnsi"/>
                            <w:b/>
                            <w:u w:val="thick"/>
                            <w:lang w:bidi="fr-FR"/>
                          </w:rPr>
                          <w:t>Étude de cas – activités de plaidoyer et le dialogue stratégique</w:t>
                        </w:r>
                      </w:p>
                      <w:p w14:paraId="24CC2E7A" w14:textId="77777777" w:rsidR="00474239" w:rsidRPr="00220F7D" w:rsidRDefault="005F2731">
                        <w:pPr>
                          <w:spacing w:before="114"/>
                          <w:ind w:left="142" w:right="138"/>
                          <w:jc w:val="both"/>
                          <w:rPr>
                            <w:rFonts w:asciiTheme="minorHAnsi" w:hAnsiTheme="minorHAnsi" w:cstheme="minorHAnsi"/>
                          </w:rPr>
                        </w:pPr>
                        <w:r w:rsidRPr="00220F7D">
                          <w:rPr>
                            <w:rFonts w:asciiTheme="minorHAnsi" w:hAnsiTheme="minorHAnsi" w:cstheme="minorHAnsi"/>
                            <w:lang w:bidi="fr-FR"/>
                          </w:rPr>
                          <w:t>En Afrique, le PNUD a créé l’</w:t>
                        </w:r>
                        <w:r w:rsidRPr="00220F7D">
                          <w:rPr>
                            <w:rFonts w:asciiTheme="minorHAnsi" w:hAnsiTheme="minorHAnsi" w:cstheme="minorHAnsi"/>
                            <w:b/>
                            <w:lang w:bidi="fr-FR"/>
                          </w:rPr>
                          <w:t>Initiative africaine pour les marchés inclusifs (AFIM)</w:t>
                        </w:r>
                        <w:r w:rsidRPr="00220F7D">
                          <w:rPr>
                            <w:rFonts w:asciiTheme="minorHAnsi" w:hAnsiTheme="minorHAnsi" w:cstheme="minorHAnsi"/>
                            <w:lang w:bidi="fr-FR"/>
                          </w:rPr>
                          <w:t>, qui favorise le dialogue et la collaboration entre les secteurs public et privé sur des enjeux prioritaires tels que les chaînes de valeur agroalimentaires. L’AFIM est une plateforme qui permet de coordonner les activités de croissance inclusives entre les Nations Unies, les gouvernements, les communautés économiques régionales et le secteur privé. À travers l’organisation d’ateliers et la mise en œuvre d’interventions ciblées, l’AFIM encourage le partage de connaissances, l’accès au financement et la diffusion de bonnes pratiques en matière de développement inclusif des marchés, tout en mettant l’accent sur la création d’opportunités à destination des populations à faible revenu et des groupes marginalisés.</w:t>
                        </w:r>
                      </w:p>
                      <w:p w14:paraId="24CC2E7B" w14:textId="77777777" w:rsidR="00474239" w:rsidRPr="00220F7D" w:rsidRDefault="005F2731">
                        <w:pPr>
                          <w:spacing w:before="120"/>
                          <w:ind w:left="142" w:right="138"/>
                          <w:jc w:val="both"/>
                          <w:rPr>
                            <w:rFonts w:asciiTheme="minorHAnsi" w:hAnsiTheme="minorHAnsi" w:cstheme="minorHAnsi"/>
                          </w:rPr>
                        </w:pPr>
                        <w:r w:rsidRPr="00220F7D">
                          <w:rPr>
                            <w:rFonts w:asciiTheme="minorHAnsi" w:hAnsiTheme="minorHAnsi" w:cstheme="minorHAnsi"/>
                            <w:lang w:bidi="fr-FR"/>
                          </w:rPr>
                          <w:t xml:space="preserve">En 2011, l’initiative a permis l’adoption de la </w:t>
                        </w:r>
                        <w:hyperlink r:id="rId28">
                          <w:r w:rsidRPr="00220F7D">
                            <w:rPr>
                              <w:rFonts w:asciiTheme="minorHAnsi" w:hAnsiTheme="minorHAnsi" w:cstheme="minorHAnsi"/>
                              <w:color w:val="6C8AA9"/>
                              <w:u w:val="single" w:color="6C8AA9"/>
                              <w:lang w:bidi="fr-FR"/>
                            </w:rPr>
                            <w:t>Déclaration</w:t>
                          </w:r>
                        </w:hyperlink>
                        <w:r w:rsidRPr="00220F7D">
                          <w:rPr>
                            <w:rFonts w:asciiTheme="minorHAnsi" w:hAnsiTheme="minorHAnsi" w:cstheme="minorHAnsi"/>
                            <w:color w:val="6C8AA9"/>
                            <w:lang w:bidi="fr-FR"/>
                          </w:rPr>
                          <w:t xml:space="preserve"> </w:t>
                        </w:r>
                        <w:hyperlink r:id="rId29">
                          <w:r w:rsidRPr="00220F7D">
                            <w:rPr>
                              <w:rFonts w:asciiTheme="minorHAnsi" w:hAnsiTheme="minorHAnsi" w:cstheme="minorHAnsi"/>
                              <w:color w:val="6C8AA9"/>
                              <w:u w:val="single" w:color="6C8AA9"/>
                              <w:lang w:bidi="fr-FR"/>
                            </w:rPr>
                            <w:t>de Johannesburg</w:t>
                          </w:r>
                        </w:hyperlink>
                        <w:r w:rsidRPr="00220F7D">
                          <w:rPr>
                            <w:rFonts w:asciiTheme="minorHAnsi" w:hAnsiTheme="minorHAnsi" w:cstheme="minorHAnsi"/>
                            <w:lang w:bidi="fr-FR"/>
                          </w:rPr>
                          <w:t>, première déclaration conjointe des secteurs privé et public relative à l’agrobusiness, à l’alimentation et à la nutrition.</w:t>
                        </w:r>
                      </w:p>
                    </w:txbxContent>
                  </v:textbox>
                </v:shape>
                <w10:wrap anchorx="page"/>
              </v:group>
            </w:pict>
          </mc:Fallback>
        </mc:AlternateContent>
      </w:r>
      <w:r w:rsidR="005F2731" w:rsidRPr="00B42BCE">
        <w:rPr>
          <w:rFonts w:asciiTheme="minorHAnsi" w:hAnsiTheme="minorHAnsi" w:cstheme="minorHAnsi"/>
          <w:spacing w:val="3"/>
          <w:lang w:bidi="fr-FR"/>
        </w:rPr>
        <w:t>Activités de plaidoyer et dialogue stratégique</w:t>
      </w:r>
      <w:bookmarkEnd w:id="25"/>
    </w:p>
    <w:p w14:paraId="24CC2DB5" w14:textId="308C8397" w:rsidR="00474239" w:rsidRPr="00B42BCE" w:rsidRDefault="005F2731">
      <w:pPr>
        <w:pStyle w:val="BodyText"/>
        <w:spacing w:before="115"/>
        <w:ind w:left="100" w:right="5201"/>
        <w:jc w:val="both"/>
        <w:rPr>
          <w:rFonts w:asciiTheme="minorHAnsi" w:hAnsiTheme="minorHAnsi" w:cstheme="minorHAnsi"/>
        </w:rPr>
      </w:pPr>
      <w:r w:rsidRPr="00B42BCE">
        <w:rPr>
          <w:rFonts w:asciiTheme="minorHAnsi" w:hAnsiTheme="minorHAnsi" w:cstheme="minorHAnsi"/>
          <w:lang w:bidi="fr-FR"/>
        </w:rPr>
        <w:t xml:space="preserve">À travers ses activités de </w:t>
      </w:r>
      <w:r w:rsidRPr="00B42BCE">
        <w:rPr>
          <w:rFonts w:asciiTheme="minorHAnsi" w:hAnsiTheme="minorHAnsi" w:cstheme="minorHAnsi"/>
          <w:b/>
          <w:lang w:bidi="fr-FR"/>
        </w:rPr>
        <w:t>plaidoyer</w:t>
      </w:r>
      <w:r w:rsidRPr="00B42BCE">
        <w:rPr>
          <w:rFonts w:asciiTheme="minorHAnsi" w:hAnsiTheme="minorHAnsi" w:cstheme="minorHAnsi"/>
          <w:lang w:bidi="fr-FR"/>
        </w:rPr>
        <w:t xml:space="preserve"> et de </w:t>
      </w:r>
      <w:r w:rsidRPr="00B42BCE">
        <w:rPr>
          <w:rFonts w:asciiTheme="minorHAnsi" w:hAnsiTheme="minorHAnsi" w:cstheme="minorHAnsi"/>
          <w:b/>
          <w:lang w:bidi="fr-FR"/>
        </w:rPr>
        <w:t>sensibilisation</w:t>
      </w:r>
      <w:r w:rsidRPr="00B42BCE">
        <w:rPr>
          <w:rFonts w:asciiTheme="minorHAnsi" w:hAnsiTheme="minorHAnsi" w:cstheme="minorHAnsi"/>
          <w:lang w:bidi="fr-FR"/>
        </w:rPr>
        <w:t>, le PNUD s’efforce d’influencer le secteur privé en l’encourageant à adopter des approches plus durables et plus responsables, et à mettre au point des modèles économiques susceptibles de contribuer à la lutte contre la pauvreté.</w:t>
      </w:r>
    </w:p>
    <w:p w14:paraId="24CC2DB6" w14:textId="77777777" w:rsidR="00474239" w:rsidRPr="00B42BCE" w:rsidRDefault="00474239">
      <w:pPr>
        <w:pStyle w:val="BodyText"/>
        <w:spacing w:before="10"/>
        <w:rPr>
          <w:rFonts w:asciiTheme="minorHAnsi" w:hAnsiTheme="minorHAnsi" w:cstheme="minorHAnsi"/>
        </w:rPr>
      </w:pPr>
    </w:p>
    <w:p w14:paraId="24CC2DB7" w14:textId="20A4D748" w:rsidR="00474239" w:rsidRPr="00B42BCE" w:rsidRDefault="005F2731">
      <w:pPr>
        <w:pStyle w:val="BodyText"/>
        <w:ind w:left="100" w:right="5203"/>
        <w:jc w:val="both"/>
        <w:rPr>
          <w:rFonts w:asciiTheme="minorHAnsi" w:hAnsiTheme="minorHAnsi" w:cstheme="minorHAnsi"/>
        </w:rPr>
      </w:pPr>
      <w:r w:rsidRPr="00B42BCE">
        <w:rPr>
          <w:rFonts w:asciiTheme="minorHAnsi" w:hAnsiTheme="minorHAnsi" w:cstheme="minorHAnsi"/>
          <w:lang w:bidi="fr-FR"/>
        </w:rPr>
        <w:t>Le PNUD reconnaît également le rôle que joue le secteur privé dans l’élaboration des politiques, la prise de décision et la collaboration avec les grand</w:t>
      </w:r>
      <w:r w:rsidR="00582806" w:rsidRPr="00B42BCE">
        <w:rPr>
          <w:rFonts w:asciiTheme="minorHAnsi" w:hAnsiTheme="minorHAnsi" w:cstheme="minorHAnsi"/>
          <w:lang w:bidi="fr-FR"/>
        </w:rPr>
        <w:t>s</w:t>
      </w:r>
      <w:r w:rsidRPr="00B42BCE">
        <w:rPr>
          <w:rFonts w:asciiTheme="minorHAnsi" w:hAnsiTheme="minorHAnsi" w:cstheme="minorHAnsi"/>
          <w:lang w:bidi="fr-FR"/>
        </w:rPr>
        <w:t xml:space="preserve"> dirigeants en vue de créer de nouvelles opportunités et d’améliorer la vie des populations les plus pauvres à travers le monde.</w:t>
      </w:r>
    </w:p>
    <w:p w14:paraId="24CC2DB8" w14:textId="77777777" w:rsidR="00474239" w:rsidRPr="00B42BCE" w:rsidRDefault="00474239">
      <w:pPr>
        <w:pStyle w:val="BodyText"/>
        <w:spacing w:before="1"/>
        <w:rPr>
          <w:rFonts w:asciiTheme="minorHAnsi" w:hAnsiTheme="minorHAnsi" w:cstheme="minorHAnsi"/>
        </w:rPr>
      </w:pPr>
    </w:p>
    <w:p w14:paraId="24CC2DB9" w14:textId="77777777" w:rsidR="00474239" w:rsidRPr="00B42BCE" w:rsidRDefault="005F2731">
      <w:pPr>
        <w:pStyle w:val="BodyText"/>
        <w:ind w:left="100" w:right="5200"/>
        <w:jc w:val="both"/>
        <w:rPr>
          <w:rFonts w:asciiTheme="minorHAnsi" w:hAnsiTheme="minorHAnsi" w:cstheme="minorHAnsi"/>
        </w:rPr>
      </w:pPr>
      <w:r w:rsidRPr="00B42BCE">
        <w:rPr>
          <w:rFonts w:asciiTheme="minorHAnsi" w:hAnsiTheme="minorHAnsi" w:cstheme="minorHAnsi"/>
          <w:lang w:bidi="fr-FR"/>
        </w:rPr>
        <w:t>Dans ce type de partenariat, le PNUD servira principalement de coordinateur et d’intermédiaire pour l’établissement d’un dialogue et de mécanismes de coopération public-privé.</w:t>
      </w:r>
    </w:p>
    <w:p w14:paraId="24CC2DBA" w14:textId="77777777" w:rsidR="00474239" w:rsidRPr="00B42BCE" w:rsidRDefault="00474239">
      <w:pPr>
        <w:pStyle w:val="BodyText"/>
        <w:rPr>
          <w:rFonts w:asciiTheme="minorHAnsi" w:hAnsiTheme="minorHAnsi" w:cstheme="minorHAnsi"/>
        </w:rPr>
      </w:pPr>
    </w:p>
    <w:p w14:paraId="24CC2DBB" w14:textId="77777777" w:rsidR="00474239" w:rsidRPr="00B42BCE" w:rsidRDefault="005F2731">
      <w:pPr>
        <w:pStyle w:val="BodyText"/>
        <w:spacing w:before="1" w:line="252" w:lineRule="exact"/>
        <w:ind w:left="100"/>
        <w:jc w:val="both"/>
        <w:rPr>
          <w:rFonts w:asciiTheme="minorHAnsi" w:hAnsiTheme="minorHAnsi" w:cstheme="minorHAnsi"/>
        </w:rPr>
      </w:pPr>
      <w:r w:rsidRPr="00B42BCE">
        <w:rPr>
          <w:rFonts w:asciiTheme="minorHAnsi" w:hAnsiTheme="minorHAnsi" w:cstheme="minorHAnsi"/>
          <w:lang w:bidi="fr-FR"/>
        </w:rPr>
        <w:t>À cette fin, le PNUD peut :</w:t>
      </w:r>
    </w:p>
    <w:p w14:paraId="24CC2DBC" w14:textId="77777777" w:rsidR="00474239" w:rsidRPr="00B42BCE" w:rsidRDefault="005F2731">
      <w:pPr>
        <w:pStyle w:val="ListParagraph"/>
        <w:numPr>
          <w:ilvl w:val="1"/>
          <w:numId w:val="1"/>
        </w:numPr>
        <w:tabs>
          <w:tab w:val="left" w:pos="821"/>
        </w:tabs>
        <w:spacing w:line="268" w:lineRule="exact"/>
        <w:ind w:hanging="361"/>
        <w:jc w:val="both"/>
        <w:rPr>
          <w:rFonts w:asciiTheme="minorHAnsi" w:hAnsiTheme="minorHAnsi" w:cstheme="minorHAnsi"/>
        </w:rPr>
      </w:pPr>
      <w:r w:rsidRPr="00B42BCE">
        <w:rPr>
          <w:rFonts w:asciiTheme="minorHAnsi" w:hAnsiTheme="minorHAnsi" w:cstheme="minorHAnsi"/>
          <w:lang w:bidi="fr-FR"/>
        </w:rPr>
        <w:t xml:space="preserve">mettre en place des </w:t>
      </w:r>
      <w:r w:rsidRPr="00B42BCE">
        <w:rPr>
          <w:rFonts w:asciiTheme="minorHAnsi" w:hAnsiTheme="minorHAnsi" w:cstheme="minorHAnsi"/>
          <w:b/>
          <w:lang w:bidi="fr-FR"/>
        </w:rPr>
        <w:t>discussions</w:t>
      </w:r>
      <w:r w:rsidRPr="00B42BCE">
        <w:rPr>
          <w:rFonts w:asciiTheme="minorHAnsi" w:hAnsiTheme="minorHAnsi" w:cstheme="minorHAnsi"/>
          <w:lang w:bidi="fr-FR"/>
        </w:rPr>
        <w:t xml:space="preserve"> et</w:t>
      </w:r>
    </w:p>
    <w:p w14:paraId="24CC2DBD" w14:textId="77777777" w:rsidR="00474239" w:rsidRPr="00B42BCE" w:rsidRDefault="005F2731">
      <w:pPr>
        <w:pStyle w:val="BodyText"/>
        <w:ind w:left="820" w:right="134"/>
        <w:jc w:val="both"/>
        <w:rPr>
          <w:rFonts w:asciiTheme="minorHAnsi" w:hAnsiTheme="minorHAnsi" w:cstheme="minorHAnsi"/>
        </w:rPr>
      </w:pPr>
      <w:r w:rsidRPr="00B42BCE">
        <w:rPr>
          <w:rFonts w:asciiTheme="minorHAnsi" w:hAnsiTheme="minorHAnsi" w:cstheme="minorHAnsi"/>
          <w:lang w:bidi="fr-FR"/>
        </w:rPr>
        <w:t>des</w:t>
      </w:r>
      <w:r w:rsidRPr="00B42BCE">
        <w:rPr>
          <w:rFonts w:asciiTheme="minorHAnsi" w:hAnsiTheme="minorHAnsi" w:cstheme="minorHAnsi"/>
          <w:b/>
          <w:lang w:bidi="fr-FR"/>
        </w:rPr>
        <w:t xml:space="preserve"> plateformes collaboratives </w:t>
      </w:r>
      <w:r w:rsidRPr="00B42BCE">
        <w:rPr>
          <w:rFonts w:asciiTheme="minorHAnsi" w:hAnsiTheme="minorHAnsi" w:cstheme="minorHAnsi"/>
          <w:lang w:bidi="fr-FR"/>
        </w:rPr>
        <w:t>public-privé qui permettront de stimuler l’émergence de solutions et d’investissements privés durables, et de renforcer la durabilité et l’inclusivité des marchés ;</w:t>
      </w:r>
    </w:p>
    <w:p w14:paraId="24CC2DBE" w14:textId="6A8F5D6B" w:rsidR="00474239" w:rsidRPr="00B42BCE" w:rsidRDefault="005F2731">
      <w:pPr>
        <w:pStyle w:val="ListParagraph"/>
        <w:numPr>
          <w:ilvl w:val="1"/>
          <w:numId w:val="1"/>
        </w:numPr>
        <w:tabs>
          <w:tab w:val="left" w:pos="821"/>
        </w:tabs>
        <w:ind w:right="139"/>
        <w:jc w:val="both"/>
        <w:rPr>
          <w:rFonts w:asciiTheme="minorHAnsi" w:hAnsiTheme="minorHAnsi" w:cstheme="minorHAnsi"/>
        </w:rPr>
      </w:pPr>
      <w:r w:rsidRPr="00B42BCE">
        <w:rPr>
          <w:rFonts w:asciiTheme="minorHAnsi" w:hAnsiTheme="minorHAnsi" w:cstheme="minorHAnsi"/>
          <w:lang w:bidi="fr-FR"/>
        </w:rPr>
        <w:t xml:space="preserve">soutenir la mise en œuvre de </w:t>
      </w:r>
      <w:r w:rsidRPr="00B42BCE">
        <w:rPr>
          <w:rFonts w:asciiTheme="minorHAnsi" w:hAnsiTheme="minorHAnsi" w:cstheme="minorHAnsi"/>
          <w:b/>
          <w:lang w:bidi="fr-FR"/>
        </w:rPr>
        <w:t>campagnes ciblées</w:t>
      </w:r>
      <w:r w:rsidRPr="00B42BCE">
        <w:rPr>
          <w:rFonts w:asciiTheme="minorHAnsi" w:hAnsiTheme="minorHAnsi" w:cstheme="minorHAnsi"/>
          <w:lang w:bidi="fr-FR"/>
        </w:rPr>
        <w:t>, visant à sensibiliser le grand public et consacrées à des enjeux spécifiques et cruciaux pour le développement humain durable, les ODD et le cadre d’action qui leur succédera après 2015 ;</w:t>
      </w:r>
    </w:p>
    <w:p w14:paraId="24CC2DBF" w14:textId="393A0EC7" w:rsidR="00474239" w:rsidRPr="00B42BCE" w:rsidRDefault="005F2731">
      <w:pPr>
        <w:pStyle w:val="ListParagraph"/>
        <w:numPr>
          <w:ilvl w:val="1"/>
          <w:numId w:val="1"/>
        </w:numPr>
        <w:tabs>
          <w:tab w:val="left" w:pos="821"/>
        </w:tabs>
        <w:ind w:right="136"/>
        <w:jc w:val="both"/>
        <w:rPr>
          <w:rFonts w:asciiTheme="minorHAnsi" w:hAnsiTheme="minorHAnsi" w:cstheme="minorHAnsi"/>
        </w:rPr>
      </w:pPr>
      <w:r w:rsidRPr="00B42BCE">
        <w:rPr>
          <w:rFonts w:asciiTheme="minorHAnsi" w:hAnsiTheme="minorHAnsi" w:cstheme="minorHAnsi"/>
          <w:lang w:bidi="fr-FR"/>
        </w:rPr>
        <w:t xml:space="preserve">conseiller les gouvernements de manière à favoriser l’adoption de </w:t>
      </w:r>
      <w:r w:rsidRPr="00B42BCE">
        <w:rPr>
          <w:rFonts w:asciiTheme="minorHAnsi" w:hAnsiTheme="minorHAnsi" w:cstheme="minorHAnsi"/>
          <w:b/>
          <w:lang w:bidi="fr-FR"/>
        </w:rPr>
        <w:t>réglementations et de stratégies plus appropriées</w:t>
      </w:r>
      <w:r w:rsidRPr="00B42BCE">
        <w:rPr>
          <w:rFonts w:asciiTheme="minorHAnsi" w:hAnsiTheme="minorHAnsi" w:cstheme="minorHAnsi"/>
          <w:lang w:bidi="fr-FR"/>
        </w:rPr>
        <w:t>, l’inclusion des ODD dans les plans nationaux de développement, la transparence et la prise en compte du secteur privé, à travers l’inclusion d’acteurs privés dans le dialogue social ;</w:t>
      </w:r>
    </w:p>
    <w:p w14:paraId="24CC2DC0" w14:textId="77777777" w:rsidR="00474239" w:rsidRPr="00B42BCE" w:rsidRDefault="005F2731">
      <w:pPr>
        <w:pStyle w:val="ListParagraph"/>
        <w:numPr>
          <w:ilvl w:val="1"/>
          <w:numId w:val="1"/>
        </w:numPr>
        <w:tabs>
          <w:tab w:val="left" w:pos="821"/>
        </w:tabs>
        <w:ind w:right="135"/>
        <w:jc w:val="both"/>
        <w:rPr>
          <w:rFonts w:asciiTheme="minorHAnsi" w:hAnsiTheme="minorHAnsi" w:cstheme="minorHAnsi"/>
        </w:rPr>
      </w:pPr>
      <w:r w:rsidRPr="00B42BCE">
        <w:rPr>
          <w:rFonts w:asciiTheme="minorHAnsi" w:hAnsiTheme="minorHAnsi" w:cstheme="minorHAnsi"/>
          <w:lang w:bidi="fr-FR"/>
        </w:rPr>
        <w:t xml:space="preserve">jouer un rôle déterminant dans la </w:t>
      </w:r>
      <w:r w:rsidRPr="00B42BCE">
        <w:rPr>
          <w:rFonts w:asciiTheme="minorHAnsi" w:hAnsiTheme="minorHAnsi" w:cstheme="minorHAnsi"/>
          <w:b/>
          <w:lang w:bidi="fr-FR"/>
        </w:rPr>
        <w:t>mise en œuvre de travaux de recherche pertinents</w:t>
      </w:r>
      <w:r w:rsidRPr="00B42BCE">
        <w:rPr>
          <w:rFonts w:asciiTheme="minorHAnsi" w:hAnsiTheme="minorHAnsi" w:cstheme="minorHAnsi"/>
          <w:lang w:bidi="fr-FR"/>
        </w:rPr>
        <w:t xml:space="preserve"> concernant le développement du secteur privé et la collaboration avec celui-ci, l’élaboration de rapports et d’outils pratiques aux échelles mondiale, régionale et nationale, la coordination des solutions, etc. ;</w:t>
      </w:r>
    </w:p>
    <w:p w14:paraId="24CC2DC1" w14:textId="77777777" w:rsidR="00474239" w:rsidRPr="00B42BCE" w:rsidRDefault="005F2731">
      <w:pPr>
        <w:pStyle w:val="ListParagraph"/>
        <w:numPr>
          <w:ilvl w:val="1"/>
          <w:numId w:val="1"/>
        </w:numPr>
        <w:tabs>
          <w:tab w:val="left" w:pos="821"/>
        </w:tabs>
        <w:spacing w:line="269" w:lineRule="exact"/>
        <w:ind w:hanging="361"/>
        <w:jc w:val="both"/>
        <w:rPr>
          <w:rFonts w:asciiTheme="minorHAnsi" w:hAnsiTheme="minorHAnsi" w:cstheme="minorHAnsi"/>
        </w:rPr>
      </w:pPr>
      <w:r w:rsidRPr="00B42BCE">
        <w:rPr>
          <w:rFonts w:asciiTheme="minorHAnsi" w:hAnsiTheme="minorHAnsi" w:cstheme="minorHAnsi"/>
          <w:lang w:bidi="fr-FR"/>
        </w:rPr>
        <w:t xml:space="preserve">promouvoir la </w:t>
      </w:r>
      <w:r w:rsidRPr="00B42BCE">
        <w:rPr>
          <w:rFonts w:asciiTheme="minorHAnsi" w:hAnsiTheme="minorHAnsi" w:cstheme="minorHAnsi"/>
          <w:b/>
          <w:lang w:bidi="fr-FR"/>
        </w:rPr>
        <w:t>constitution de réseaux</w:t>
      </w:r>
      <w:r w:rsidRPr="00B42BCE">
        <w:rPr>
          <w:rFonts w:asciiTheme="minorHAnsi" w:hAnsiTheme="minorHAnsi" w:cstheme="minorHAnsi"/>
          <w:lang w:bidi="fr-FR"/>
        </w:rPr>
        <w:t xml:space="preserve"> et le partage des connaissances aux niveaux local, régional et mondial.</w:t>
      </w:r>
    </w:p>
    <w:p w14:paraId="24CC2DC2" w14:textId="77777777" w:rsidR="00474239" w:rsidRPr="00B42BCE" w:rsidRDefault="00474239">
      <w:pPr>
        <w:pStyle w:val="BodyText"/>
        <w:spacing w:before="3"/>
        <w:rPr>
          <w:rFonts w:asciiTheme="minorHAnsi" w:hAnsiTheme="minorHAnsi" w:cstheme="minorHAnsi"/>
        </w:rPr>
      </w:pPr>
    </w:p>
    <w:p w14:paraId="24CC2DC3" w14:textId="77777777" w:rsidR="00474239" w:rsidRPr="00B42BCE" w:rsidRDefault="005F2731" w:rsidP="00C226E3">
      <w:pPr>
        <w:pStyle w:val="Heading2"/>
        <w:numPr>
          <w:ilvl w:val="0"/>
          <w:numId w:val="1"/>
        </w:numPr>
        <w:tabs>
          <w:tab w:val="left" w:pos="372"/>
        </w:tabs>
        <w:rPr>
          <w:rFonts w:asciiTheme="minorHAnsi" w:hAnsiTheme="minorHAnsi" w:cstheme="minorHAnsi"/>
          <w:b w:val="0"/>
        </w:rPr>
      </w:pPr>
      <w:bookmarkStart w:id="26" w:name="_Toc160630001"/>
      <w:r w:rsidRPr="00B42BCE">
        <w:rPr>
          <w:rFonts w:asciiTheme="minorHAnsi" w:hAnsiTheme="minorHAnsi" w:cstheme="minorHAnsi"/>
          <w:spacing w:val="3"/>
          <w:lang w:bidi="fr-FR"/>
        </w:rPr>
        <w:t>Mobilisation de ressources</w:t>
      </w:r>
      <w:bookmarkEnd w:id="26"/>
    </w:p>
    <w:p w14:paraId="24CC2DC4" w14:textId="3CDE2A57" w:rsidR="00474239" w:rsidRPr="00B42BCE" w:rsidRDefault="005F2731">
      <w:pPr>
        <w:pStyle w:val="BodyText"/>
        <w:spacing w:before="115"/>
        <w:ind w:left="100" w:right="137"/>
        <w:jc w:val="both"/>
        <w:rPr>
          <w:rFonts w:asciiTheme="minorHAnsi" w:hAnsiTheme="minorHAnsi" w:cstheme="minorHAnsi"/>
        </w:rPr>
      </w:pPr>
      <w:r w:rsidRPr="00B42BCE">
        <w:rPr>
          <w:rFonts w:asciiTheme="minorHAnsi" w:hAnsiTheme="minorHAnsi" w:cstheme="minorHAnsi"/>
          <w:lang w:bidi="fr-FR"/>
        </w:rPr>
        <w:t xml:space="preserve">Ce type de partenariat vise à </w:t>
      </w:r>
      <w:r w:rsidRPr="00B42BCE">
        <w:rPr>
          <w:rFonts w:asciiTheme="minorHAnsi" w:hAnsiTheme="minorHAnsi" w:cstheme="minorHAnsi"/>
          <w:b/>
          <w:lang w:bidi="fr-FR"/>
        </w:rPr>
        <w:t>mobiliser les ressources financières et en nature</w:t>
      </w:r>
      <w:r w:rsidRPr="00B42BCE">
        <w:rPr>
          <w:rFonts w:asciiTheme="minorHAnsi" w:hAnsiTheme="minorHAnsi" w:cstheme="minorHAnsi"/>
          <w:lang w:bidi="fr-FR"/>
        </w:rPr>
        <w:t xml:space="preserve"> du secteur privé au service des programmes</w:t>
      </w:r>
      <w:r w:rsidR="004A27F9">
        <w:rPr>
          <w:rFonts w:asciiTheme="minorHAnsi" w:hAnsiTheme="minorHAnsi" w:cstheme="minorHAnsi"/>
          <w:lang w:bidi="fr-FR"/>
        </w:rPr>
        <w:t xml:space="preserve">, des portefeuille </w:t>
      </w:r>
      <w:r w:rsidRPr="00B42BCE">
        <w:rPr>
          <w:rFonts w:asciiTheme="minorHAnsi" w:hAnsiTheme="minorHAnsi" w:cstheme="minorHAnsi"/>
          <w:lang w:bidi="fr-FR"/>
        </w:rPr>
        <w:t>et des projets du PNUD, ainsi que des autres types de partenariats mentionnés dans la présente politique. Le secteur privé peut fournir les ressources suivantes :</w:t>
      </w:r>
    </w:p>
    <w:p w14:paraId="24CC2DC5" w14:textId="320B2B71" w:rsidR="00474239" w:rsidRPr="00B42BCE" w:rsidRDefault="005F2731">
      <w:pPr>
        <w:pStyle w:val="ListParagraph"/>
        <w:numPr>
          <w:ilvl w:val="1"/>
          <w:numId w:val="1"/>
        </w:numPr>
        <w:tabs>
          <w:tab w:val="left" w:pos="953"/>
        </w:tabs>
        <w:spacing w:line="267" w:lineRule="exact"/>
        <w:ind w:left="952" w:hanging="426"/>
        <w:jc w:val="both"/>
        <w:rPr>
          <w:rFonts w:asciiTheme="minorHAnsi" w:hAnsiTheme="minorHAnsi" w:cstheme="minorHAnsi"/>
        </w:rPr>
      </w:pPr>
      <w:r w:rsidRPr="00B42BCE">
        <w:rPr>
          <w:rFonts w:asciiTheme="minorHAnsi" w:hAnsiTheme="minorHAnsi" w:cstheme="minorHAnsi"/>
          <w:b/>
          <w:lang w:bidi="fr-FR"/>
        </w:rPr>
        <w:lastRenderedPageBreak/>
        <w:t xml:space="preserve">Ressources financières : </w:t>
      </w:r>
      <w:r w:rsidRPr="00B42BCE">
        <w:rPr>
          <w:rFonts w:asciiTheme="minorHAnsi" w:hAnsiTheme="minorHAnsi" w:cstheme="minorHAnsi"/>
          <w:lang w:bidi="fr-FR"/>
        </w:rPr>
        <w:t>dons en espèces, financement ou cofinancement d’un projet</w:t>
      </w:r>
      <w:r w:rsidR="00974123">
        <w:rPr>
          <w:rFonts w:asciiTheme="minorHAnsi" w:hAnsiTheme="minorHAnsi" w:cstheme="minorHAnsi"/>
          <w:lang w:bidi="fr-FR"/>
        </w:rPr>
        <w:t>/portefuille</w:t>
      </w:r>
      <w:r w:rsidRPr="00B42BCE">
        <w:rPr>
          <w:rFonts w:asciiTheme="minorHAnsi" w:hAnsiTheme="minorHAnsi" w:cstheme="minorHAnsi"/>
          <w:lang w:bidi="fr-FR"/>
        </w:rPr>
        <w:t>spécifique du PNUD.</w:t>
      </w:r>
    </w:p>
    <w:p w14:paraId="24CC2DC6" w14:textId="77777777" w:rsidR="00474239" w:rsidRPr="00B42BCE" w:rsidRDefault="005F2731">
      <w:pPr>
        <w:pStyle w:val="ListParagraph"/>
        <w:numPr>
          <w:ilvl w:val="1"/>
          <w:numId w:val="1"/>
        </w:numPr>
        <w:tabs>
          <w:tab w:val="left" w:pos="953"/>
        </w:tabs>
        <w:spacing w:line="269" w:lineRule="exact"/>
        <w:ind w:left="952" w:hanging="426"/>
        <w:jc w:val="both"/>
        <w:rPr>
          <w:rFonts w:asciiTheme="minorHAnsi" w:hAnsiTheme="minorHAnsi" w:cstheme="minorHAnsi"/>
        </w:rPr>
      </w:pPr>
      <w:r w:rsidRPr="00B42BCE">
        <w:rPr>
          <w:rFonts w:asciiTheme="minorHAnsi" w:hAnsiTheme="minorHAnsi" w:cstheme="minorHAnsi"/>
          <w:b/>
          <w:lang w:bidi="fr-FR"/>
        </w:rPr>
        <w:t>Contributions en nature :</w:t>
      </w:r>
    </w:p>
    <w:p w14:paraId="24CC2DC7" w14:textId="20A70AC7" w:rsidR="00474239" w:rsidRPr="00B42BCE" w:rsidRDefault="005F2731">
      <w:pPr>
        <w:pStyle w:val="BodyText"/>
        <w:spacing w:before="1"/>
        <w:ind w:left="1247" w:right="137"/>
        <w:jc w:val="both"/>
        <w:rPr>
          <w:rFonts w:asciiTheme="minorHAnsi" w:hAnsiTheme="minorHAnsi" w:cstheme="minorHAnsi"/>
        </w:rPr>
      </w:pPr>
      <w:r w:rsidRPr="00B42BCE">
        <w:rPr>
          <w:rFonts w:asciiTheme="minorHAnsi" w:hAnsiTheme="minorHAnsi" w:cstheme="minorHAnsi"/>
          <w:i/>
          <w:lang w:bidi="fr-FR"/>
        </w:rPr>
        <w:t>Services fournis à titre gracieux </w:t>
      </w:r>
      <w:r w:rsidRPr="00B42BCE">
        <w:rPr>
          <w:rFonts w:asciiTheme="minorHAnsi" w:hAnsiTheme="minorHAnsi" w:cstheme="minorHAnsi"/>
          <w:lang w:bidi="fr-FR"/>
        </w:rPr>
        <w:t>: le personnel d’une entité privée fait don de son temps et de son expertise professionnelle au service des projets</w:t>
      </w:r>
      <w:r w:rsidR="00974123">
        <w:rPr>
          <w:rFonts w:asciiTheme="minorHAnsi" w:hAnsiTheme="minorHAnsi" w:cstheme="minorHAnsi"/>
          <w:lang w:bidi="fr-FR"/>
        </w:rPr>
        <w:t>, des portefeuilles</w:t>
      </w:r>
      <w:r w:rsidRPr="00B42BCE">
        <w:rPr>
          <w:rFonts w:asciiTheme="minorHAnsi" w:hAnsiTheme="minorHAnsi" w:cstheme="minorHAnsi"/>
          <w:lang w:bidi="fr-FR"/>
        </w:rPr>
        <w:t xml:space="preserve"> et des programmes du PNUD.</w:t>
      </w:r>
    </w:p>
    <w:p w14:paraId="24CC2DC8" w14:textId="7994FC60" w:rsidR="00474239" w:rsidRPr="00B42BCE" w:rsidRDefault="005F2731">
      <w:pPr>
        <w:pStyle w:val="BodyText"/>
        <w:spacing w:before="1"/>
        <w:ind w:left="1247" w:right="136"/>
        <w:jc w:val="both"/>
        <w:rPr>
          <w:rFonts w:asciiTheme="minorHAnsi" w:hAnsiTheme="minorHAnsi" w:cstheme="minorHAnsi"/>
          <w:lang w:bidi="fr-FR"/>
        </w:rPr>
      </w:pPr>
      <w:r w:rsidRPr="00B42BCE">
        <w:rPr>
          <w:rFonts w:asciiTheme="minorHAnsi" w:hAnsiTheme="minorHAnsi" w:cstheme="minorHAnsi"/>
          <w:i/>
          <w:lang w:bidi="fr-FR"/>
        </w:rPr>
        <w:t>Produits fournis à titre gracieux </w:t>
      </w:r>
      <w:r w:rsidRPr="00B42BCE">
        <w:rPr>
          <w:rFonts w:asciiTheme="minorHAnsi" w:hAnsiTheme="minorHAnsi" w:cstheme="minorHAnsi"/>
          <w:lang w:bidi="fr-FR"/>
        </w:rPr>
        <w:t>: une entité privée fait don de produits qui permettront de renforcer les projets</w:t>
      </w:r>
      <w:r w:rsidR="00974123">
        <w:rPr>
          <w:rFonts w:asciiTheme="minorHAnsi" w:hAnsiTheme="minorHAnsi" w:cstheme="minorHAnsi"/>
          <w:lang w:bidi="fr-FR"/>
        </w:rPr>
        <w:t>/portefuille</w:t>
      </w:r>
      <w:r w:rsidRPr="00B42BCE">
        <w:rPr>
          <w:rFonts w:asciiTheme="minorHAnsi" w:hAnsiTheme="minorHAnsi" w:cstheme="minorHAnsi"/>
          <w:lang w:bidi="fr-FR"/>
        </w:rPr>
        <w:t xml:space="preserve"> du PNUD en éliminant les coûts prévus pour leur utilisation.</w:t>
      </w:r>
    </w:p>
    <w:p w14:paraId="29771495" w14:textId="77777777" w:rsidR="00901D78" w:rsidRPr="00B42BCE" w:rsidRDefault="00901D78">
      <w:pPr>
        <w:pStyle w:val="BodyText"/>
        <w:spacing w:before="1"/>
        <w:ind w:left="1247" w:right="136"/>
        <w:jc w:val="both"/>
        <w:rPr>
          <w:rFonts w:asciiTheme="minorHAnsi" w:hAnsiTheme="minorHAnsi" w:cstheme="minorHAnsi"/>
        </w:rPr>
      </w:pPr>
    </w:p>
    <w:p w14:paraId="24CC2DCA" w14:textId="09DA6895" w:rsidR="00474239" w:rsidRPr="00B42BCE" w:rsidRDefault="00880C31">
      <w:pPr>
        <w:pStyle w:val="BodyText"/>
        <w:spacing w:before="75"/>
        <w:ind w:left="100" w:right="5268"/>
        <w:jc w:val="both"/>
        <w:rPr>
          <w:rFonts w:asciiTheme="minorHAnsi" w:hAnsiTheme="minorHAnsi" w:cstheme="minorHAnsi"/>
        </w:rPr>
      </w:pPr>
      <w:r w:rsidRPr="00B42BCE">
        <w:rPr>
          <w:rFonts w:asciiTheme="minorHAnsi" w:hAnsiTheme="minorHAnsi" w:cstheme="minorHAnsi"/>
          <w:noProof/>
          <w:lang w:bidi="fr-FR"/>
        </w:rPr>
        <mc:AlternateContent>
          <mc:Choice Requires="wpg">
            <w:drawing>
              <wp:anchor distT="0" distB="0" distL="114300" distR="114300" simplePos="0" relativeHeight="251658247" behindDoc="0" locked="0" layoutInCell="1" allowOverlap="1" wp14:anchorId="24CC2E49" wp14:editId="57655F71">
                <wp:simplePos x="0" y="0"/>
                <wp:positionH relativeFrom="page">
                  <wp:posOffset>3519170</wp:posOffset>
                </wp:positionH>
                <wp:positionV relativeFrom="paragraph">
                  <wp:posOffset>352484</wp:posOffset>
                </wp:positionV>
                <wp:extent cx="3093720" cy="3265919"/>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3265919"/>
                          <a:chOff x="5546" y="112"/>
                          <a:chExt cx="4872" cy="4925"/>
                        </a:xfrm>
                      </wpg:grpSpPr>
                      <pic:pic xmlns:pic="http://schemas.openxmlformats.org/drawingml/2006/picture">
                        <pic:nvPicPr>
                          <pic:cNvPr id="31"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546" y="112"/>
                            <a:ext cx="4872" cy="49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606" y="141"/>
                            <a:ext cx="4752" cy="4805"/>
                          </a:xfrm>
                          <a:prstGeom prst="rect">
                            <a:avLst/>
                          </a:prstGeom>
                          <a:noFill/>
                          <a:extLst>
                            <a:ext uri="{909E8E84-426E-40DD-AFC4-6F175D3DCCD1}">
                              <a14:hiddenFill xmlns:a14="http://schemas.microsoft.com/office/drawing/2010/main">
                                <a:solidFill>
                                  <a:srgbClr val="FFFFFF"/>
                                </a:solidFill>
                              </a14:hiddenFill>
                            </a:ext>
                          </a:extLst>
                        </pic:spPr>
                      </pic:pic>
                      <wps:wsp>
                        <wps:cNvPr id="33" name="Text Box 17"/>
                        <wps:cNvSpPr txBox="1">
                          <a:spLocks noChangeArrowheads="1"/>
                        </wps:cNvSpPr>
                        <wps:spPr bwMode="auto">
                          <a:xfrm>
                            <a:off x="5606" y="141"/>
                            <a:ext cx="4752" cy="4805"/>
                          </a:xfrm>
                          <a:prstGeom prst="rect">
                            <a:avLst/>
                          </a:prstGeom>
                          <a:noFill/>
                          <a:ln w="9144">
                            <a:solidFill>
                              <a:srgbClr val="497DBA"/>
                            </a:solidFill>
                            <a:miter lim="800000"/>
                            <a:headEnd/>
                            <a:tailEnd/>
                          </a:ln>
                          <a:extLst>
                            <a:ext uri="{909E8E84-426E-40DD-AFC4-6F175D3DCCD1}">
                              <a14:hiddenFill xmlns:a14="http://schemas.microsoft.com/office/drawing/2010/main">
                                <a:solidFill>
                                  <a:srgbClr val="FFFFFF"/>
                                </a:solidFill>
                              </a14:hiddenFill>
                            </a:ext>
                          </a:extLst>
                        </wps:spPr>
                        <wps:txbx>
                          <w:txbxContent>
                            <w:p w14:paraId="24CC2E7C" w14:textId="77777777" w:rsidR="00474239" w:rsidRPr="00220F7D" w:rsidRDefault="005F2731">
                              <w:pPr>
                                <w:spacing w:before="191"/>
                                <w:ind w:left="145"/>
                                <w:jc w:val="both"/>
                                <w:rPr>
                                  <w:rFonts w:asciiTheme="minorHAnsi" w:hAnsiTheme="minorHAnsi" w:cstheme="minorHAnsi"/>
                                  <w:b/>
                                </w:rPr>
                              </w:pPr>
                              <w:r w:rsidRPr="00220F7D">
                                <w:rPr>
                                  <w:rFonts w:asciiTheme="minorHAnsi" w:hAnsiTheme="minorHAnsi" w:cstheme="minorHAnsi"/>
                                  <w:b/>
                                  <w:u w:val="thick"/>
                                  <w:lang w:bidi="fr-FR"/>
                                </w:rPr>
                                <w:t>Étude de cas – mobilisation des ressources</w:t>
                              </w:r>
                            </w:p>
                            <w:p w14:paraId="24CC2E7D" w14:textId="77777777" w:rsidR="00474239" w:rsidRPr="00220F7D" w:rsidRDefault="005F2731">
                              <w:pPr>
                                <w:spacing w:before="114"/>
                                <w:ind w:left="145" w:right="139"/>
                                <w:jc w:val="both"/>
                                <w:rPr>
                                  <w:rFonts w:asciiTheme="minorHAnsi" w:hAnsiTheme="minorHAnsi" w:cstheme="minorHAnsi"/>
                                </w:rPr>
                              </w:pPr>
                              <w:r w:rsidRPr="00220F7D">
                                <w:rPr>
                                  <w:rFonts w:asciiTheme="minorHAnsi" w:hAnsiTheme="minorHAnsi" w:cstheme="minorHAnsi"/>
                                  <w:lang w:bidi="fr-FR"/>
                                </w:rPr>
                                <w:t xml:space="preserve">Lancé en 2006, le </w:t>
                              </w:r>
                              <w:r w:rsidRPr="00220F7D">
                                <w:rPr>
                                  <w:rFonts w:asciiTheme="minorHAnsi" w:hAnsiTheme="minorHAnsi" w:cstheme="minorHAnsi"/>
                                  <w:b/>
                                  <w:lang w:bidi="fr-FR"/>
                                </w:rPr>
                                <w:t>projet « Chaque goutte compte »</w:t>
                              </w:r>
                              <w:r w:rsidRPr="00220F7D">
                                <w:rPr>
                                  <w:rFonts w:asciiTheme="minorHAnsi" w:hAnsiTheme="minorHAnsi" w:cstheme="minorHAnsi"/>
                                  <w:lang w:bidi="fr-FR"/>
                                </w:rPr>
                                <w:t xml:space="preserve"> est le fruit d’un partenariat initié par le PNUD avec la contribution financière de Coca-Cola, dans la région Europe et Communauté des États indépendants. L’initiative vise à renforcer l’accès à l’eau potable, à favoriser l’utilisation de technologies industrielles respectueuses de l’environnement et à promouvoir une gestion responsable des ressources en eau, à travers la mise en œuvre d’activités de communication et de sensibilisation.</w:t>
                              </w:r>
                            </w:p>
                            <w:p w14:paraId="24CC2E7E" w14:textId="77777777" w:rsidR="00474239" w:rsidRPr="00220F7D" w:rsidRDefault="005F2731">
                              <w:pPr>
                                <w:spacing w:before="122" w:line="242" w:lineRule="auto"/>
                                <w:ind w:left="145" w:right="141"/>
                                <w:jc w:val="both"/>
                                <w:rPr>
                                  <w:rFonts w:asciiTheme="minorHAnsi" w:hAnsiTheme="minorHAnsi" w:cstheme="minorHAnsi"/>
                                </w:rPr>
                              </w:pPr>
                              <w:r w:rsidRPr="00220F7D">
                                <w:rPr>
                                  <w:rFonts w:asciiTheme="minorHAnsi" w:hAnsiTheme="minorHAnsi" w:cstheme="minorHAnsi"/>
                                  <w:lang w:bidi="fr-FR"/>
                                </w:rPr>
                                <w:t>L’objectif général du projet consiste à la fois à offrir un meilleur accès à l’eau potable aux communautés et à mettre en place des initiatives favorisant une utilisation durable des ressources en eau à des fins industrielles et domestiques.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C2E49" id="Group 30" o:spid="_x0000_s1030" style="position:absolute;left:0;text-align:left;margin-left:277.1pt;margin-top:27.75pt;width:243.6pt;height:257.15pt;z-index:251658247;mso-position-horizontal-relative:page" coordorigin="5546,112" coordsize="4872,4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">
                <v:shape id="Picture 19" o:spid="_x0000_s1031" type="#_x0000_t75" style="position:absolute;left:5546;top:112;width:4872;height:4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">
                  <v:imagedata r:id="rId32" o:title=""/>
                </v:shape>
                <v:shape id="Picture 18" o:spid="_x0000_s1032" type="#_x0000_t75" style="position:absolute;left:5606;top:141;width:4752;height:4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">
                  <v:imagedata r:id="rId33" o:title=""/>
                </v:shape>
                <v:shape id="Text Box 17" o:spid="_x0000_s1033" type="#_x0000_t202" style="position:absolute;left:5606;top:141;width:4752;height: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" filled="f" strokecolor="#497dba" strokeweight=".72pt">
                  <v:textbox inset="0,0,0,0">
                    <w:txbxContent>
                      <w:p w14:paraId="24CC2E7C" w14:textId="77777777" w:rsidR="00474239" w:rsidRPr="00220F7D" w:rsidRDefault="005F2731">
                        <w:pPr>
                          <w:spacing w:before="191"/>
                          <w:ind w:left="145"/>
                          <w:jc w:val="both"/>
                          <w:rPr>
                            <w:rFonts w:asciiTheme="minorHAnsi" w:hAnsiTheme="minorHAnsi" w:cstheme="minorHAnsi"/>
                            <w:b/>
                          </w:rPr>
                        </w:pPr>
                        <w:r w:rsidRPr="00220F7D">
                          <w:rPr>
                            <w:rFonts w:asciiTheme="minorHAnsi" w:hAnsiTheme="minorHAnsi" w:cstheme="minorHAnsi"/>
                            <w:b/>
                            <w:u w:val="thick"/>
                            <w:lang w:bidi="fr-FR"/>
                          </w:rPr>
                          <w:t>Étude de cas – mobilisation des ressources</w:t>
                        </w:r>
                      </w:p>
                      <w:p w14:paraId="24CC2E7D" w14:textId="77777777" w:rsidR="00474239" w:rsidRPr="00220F7D" w:rsidRDefault="005F2731">
                        <w:pPr>
                          <w:spacing w:before="114"/>
                          <w:ind w:left="145" w:right="139"/>
                          <w:jc w:val="both"/>
                          <w:rPr>
                            <w:rFonts w:asciiTheme="minorHAnsi" w:hAnsiTheme="minorHAnsi" w:cstheme="minorHAnsi"/>
                          </w:rPr>
                        </w:pPr>
                        <w:r w:rsidRPr="00220F7D">
                          <w:rPr>
                            <w:rFonts w:asciiTheme="minorHAnsi" w:hAnsiTheme="minorHAnsi" w:cstheme="minorHAnsi"/>
                            <w:lang w:bidi="fr-FR"/>
                          </w:rPr>
                          <w:t xml:space="preserve">Lancé en 2006, le </w:t>
                        </w:r>
                        <w:r w:rsidRPr="00220F7D">
                          <w:rPr>
                            <w:rFonts w:asciiTheme="minorHAnsi" w:hAnsiTheme="minorHAnsi" w:cstheme="minorHAnsi"/>
                            <w:b/>
                            <w:lang w:bidi="fr-FR"/>
                          </w:rPr>
                          <w:t>projet « Chaque goutte compte »</w:t>
                        </w:r>
                        <w:r w:rsidRPr="00220F7D">
                          <w:rPr>
                            <w:rFonts w:asciiTheme="minorHAnsi" w:hAnsiTheme="minorHAnsi" w:cstheme="minorHAnsi"/>
                            <w:lang w:bidi="fr-FR"/>
                          </w:rPr>
                          <w:t xml:space="preserve"> est le fruit d’un partenariat initié par le PNUD avec la contribution financière de Coca-Cola, dans la région Europe et Communauté des États indépendants. L’initiative vise à renforcer l’accès à l’eau potable, à favoriser l’utilisation de technologies industrielles respectueuses de l’environnement et à promouvoir une gestion responsable des ressources en eau, à travers la mise en œuvre d’activités de communication et de sensibilisation.</w:t>
                        </w:r>
                      </w:p>
                      <w:p w14:paraId="24CC2E7E" w14:textId="77777777" w:rsidR="00474239" w:rsidRPr="00220F7D" w:rsidRDefault="005F2731">
                        <w:pPr>
                          <w:spacing w:before="122" w:line="242" w:lineRule="auto"/>
                          <w:ind w:left="145" w:right="141"/>
                          <w:jc w:val="both"/>
                          <w:rPr>
                            <w:rFonts w:asciiTheme="minorHAnsi" w:hAnsiTheme="minorHAnsi" w:cstheme="minorHAnsi"/>
                          </w:rPr>
                        </w:pPr>
                        <w:r w:rsidRPr="00220F7D">
                          <w:rPr>
                            <w:rFonts w:asciiTheme="minorHAnsi" w:hAnsiTheme="minorHAnsi" w:cstheme="minorHAnsi"/>
                            <w:lang w:bidi="fr-FR"/>
                          </w:rPr>
                          <w:t>L’objectif général du projet consiste à la fois à offrir un meilleur accès à l’eau potable aux communautés et à mettre en place des initiatives favorisant une utilisation durable des ressources en eau à des fins industrielles et domestiques.</w:t>
                        </w:r>
                      </w:p>
                    </w:txbxContent>
                  </v:textbox>
                </v:shape>
                <w10:wrap anchorx="page"/>
              </v:group>
            </w:pict>
          </mc:Fallback>
        </mc:AlternateContent>
      </w:r>
      <w:r w:rsidR="005F2731" w:rsidRPr="00B42BCE">
        <w:rPr>
          <w:rFonts w:asciiTheme="minorHAnsi" w:hAnsiTheme="minorHAnsi" w:cstheme="minorHAnsi"/>
          <w:lang w:bidi="fr-FR"/>
        </w:rPr>
        <w:t>Pour en savoir plus sur les critères à prendre en compte avant d’accepter une contribution à titre gracieux, veuillez consulter les POPP relatives au secteur privé.</w:t>
      </w:r>
    </w:p>
    <w:p w14:paraId="24CC2DCB" w14:textId="0E666918" w:rsidR="00474239" w:rsidRPr="00B42BCE" w:rsidRDefault="00474239">
      <w:pPr>
        <w:pStyle w:val="BodyText"/>
        <w:rPr>
          <w:rFonts w:asciiTheme="minorHAnsi" w:hAnsiTheme="minorHAnsi" w:cstheme="minorHAnsi"/>
        </w:rPr>
      </w:pPr>
    </w:p>
    <w:p w14:paraId="24CC2DCC" w14:textId="26B0F5CB" w:rsidR="00474239" w:rsidRPr="00B42BCE" w:rsidRDefault="005F2731">
      <w:pPr>
        <w:pStyle w:val="BodyText"/>
        <w:ind w:left="100" w:right="5266"/>
        <w:jc w:val="both"/>
        <w:rPr>
          <w:rFonts w:asciiTheme="minorHAnsi" w:hAnsiTheme="minorHAnsi" w:cstheme="minorHAnsi"/>
        </w:rPr>
      </w:pPr>
      <w:r w:rsidRPr="00B42BCE">
        <w:rPr>
          <w:rFonts w:asciiTheme="minorHAnsi" w:hAnsiTheme="minorHAnsi" w:cstheme="minorHAnsi"/>
          <w:lang w:bidi="fr-FR"/>
        </w:rPr>
        <w:t>Il existe deux modèles de mobilisation des ressources du secteur privé : la philanthropie traditionnelle et la philanthropie sociale d’entreprise. Les modèles fondés sur la philanthropie traditionnelle se concentrent principalement sur l’obtention d’avantages sociaux et se soucient peu, voire pas du tout, de la question des profits, de la rentabilité financière et du lien avec les activités principales de l’entreprise concernée. Dans le cadre de la philanthropie sociale d’entreprise, au contraire, les entreprises donatrices choisissent des activités de charité (dons, programmes de bénévolat, etc.) ayant trait à un enjeu social ou à une cause qui sert leurs intérêts commerciaux. Il s’agit alors d’aligner les objectifs sociaux sur les objectifs économiques.</w:t>
      </w:r>
    </w:p>
    <w:p w14:paraId="24CC2DCD" w14:textId="4B0339B4" w:rsidR="00474239" w:rsidRPr="00B42BCE" w:rsidRDefault="00474239">
      <w:pPr>
        <w:pStyle w:val="BodyText"/>
        <w:spacing w:before="5"/>
        <w:rPr>
          <w:rFonts w:asciiTheme="minorHAnsi" w:hAnsiTheme="minorHAnsi" w:cstheme="minorHAnsi"/>
        </w:rPr>
      </w:pPr>
    </w:p>
    <w:p w14:paraId="24CC2DCE" w14:textId="3EB0D87D" w:rsidR="00474239" w:rsidRPr="00B42BCE" w:rsidRDefault="005F2731" w:rsidP="00C226E3">
      <w:pPr>
        <w:pStyle w:val="Heading2"/>
        <w:numPr>
          <w:ilvl w:val="0"/>
          <w:numId w:val="1"/>
        </w:numPr>
        <w:tabs>
          <w:tab w:val="left" w:pos="372"/>
        </w:tabs>
        <w:rPr>
          <w:rFonts w:asciiTheme="minorHAnsi" w:hAnsiTheme="minorHAnsi" w:cstheme="minorHAnsi"/>
          <w:b w:val="0"/>
        </w:rPr>
      </w:pPr>
      <w:bookmarkStart w:id="27" w:name="_Toc160630002"/>
      <w:r w:rsidRPr="00B42BCE">
        <w:rPr>
          <w:rFonts w:asciiTheme="minorHAnsi" w:hAnsiTheme="minorHAnsi" w:cstheme="minorHAnsi"/>
          <w:spacing w:val="9"/>
          <w:lang w:bidi="fr-FR"/>
        </w:rPr>
        <w:t>Innovation</w:t>
      </w:r>
      <w:bookmarkEnd w:id="27"/>
    </w:p>
    <w:p w14:paraId="24CC2DD0" w14:textId="3E1BC7AE" w:rsidR="00474239" w:rsidRPr="00B42BCE" w:rsidRDefault="005F2731" w:rsidP="00880C31">
      <w:pPr>
        <w:pStyle w:val="BodyText"/>
        <w:ind w:left="100" w:right="339"/>
        <w:jc w:val="both"/>
        <w:rPr>
          <w:rFonts w:asciiTheme="minorHAnsi" w:hAnsiTheme="minorHAnsi" w:cstheme="minorHAnsi"/>
        </w:rPr>
      </w:pPr>
      <w:r w:rsidRPr="00B42BCE">
        <w:rPr>
          <w:rFonts w:asciiTheme="minorHAnsi" w:hAnsiTheme="minorHAnsi" w:cstheme="minorHAnsi"/>
          <w:lang w:bidi="fr-FR"/>
        </w:rPr>
        <w:t xml:space="preserve">Les partenariats axés sur l’innovation s’efforcent de mettre au point et de déployer des </w:t>
      </w:r>
      <w:r w:rsidRPr="00B42BCE">
        <w:rPr>
          <w:rFonts w:asciiTheme="minorHAnsi" w:hAnsiTheme="minorHAnsi" w:cstheme="minorHAnsi"/>
          <w:b/>
          <w:lang w:bidi="fr-FR"/>
        </w:rPr>
        <w:t>solutions innovantes</w:t>
      </w:r>
      <w:r w:rsidRPr="00B42BCE">
        <w:rPr>
          <w:rFonts w:asciiTheme="minorHAnsi" w:hAnsiTheme="minorHAnsi" w:cstheme="minorHAnsi"/>
          <w:lang w:bidi="fr-FR"/>
        </w:rPr>
        <w:t xml:space="preserve"> au service des objectifs du PNUD en matière de développement durable et inclusif. Dans le cadre d’un tel partenariat, les entreprises et autres acteurs concernés réfléchissent ensemble à des produits, à des services</w:t>
      </w:r>
      <w:r w:rsidR="00582806" w:rsidRPr="00B42BCE">
        <w:rPr>
          <w:rFonts w:asciiTheme="minorHAnsi" w:hAnsiTheme="minorHAnsi" w:cstheme="minorHAnsi"/>
          <w:lang w:bidi="fr-FR"/>
        </w:rPr>
        <w:t xml:space="preserve"> </w:t>
      </w:r>
      <w:r w:rsidRPr="00B42BCE">
        <w:rPr>
          <w:rFonts w:asciiTheme="minorHAnsi" w:hAnsiTheme="minorHAnsi" w:cstheme="minorHAnsi"/>
          <w:lang w:bidi="fr-FR"/>
        </w:rPr>
        <w:t>et à des processus innovants, en se concentrant notamment sur les populations pauvres, de manière à pouvoir fournir aux communautés les plus défavorisées des biens, des services et des modèles essentiels.</w:t>
      </w:r>
    </w:p>
    <w:p w14:paraId="24CC2DD1" w14:textId="2B6AD4C0" w:rsidR="00474239" w:rsidRPr="00B42BCE" w:rsidRDefault="00474239">
      <w:pPr>
        <w:pStyle w:val="BodyText"/>
        <w:spacing w:before="9"/>
        <w:rPr>
          <w:rFonts w:asciiTheme="minorHAnsi" w:hAnsiTheme="minorHAnsi" w:cstheme="minorHAnsi"/>
        </w:rPr>
      </w:pPr>
    </w:p>
    <w:p w14:paraId="24CC2DD2" w14:textId="2E04763C" w:rsidR="00474239" w:rsidRPr="00B42BCE" w:rsidRDefault="005F2731" w:rsidP="00880C31">
      <w:pPr>
        <w:pStyle w:val="BodyText"/>
        <w:ind w:left="100" w:right="339"/>
        <w:jc w:val="both"/>
        <w:rPr>
          <w:rFonts w:asciiTheme="minorHAnsi" w:hAnsiTheme="minorHAnsi" w:cstheme="minorHAnsi"/>
        </w:rPr>
      </w:pPr>
      <w:r w:rsidRPr="00B42BCE">
        <w:rPr>
          <w:rFonts w:asciiTheme="minorHAnsi" w:hAnsiTheme="minorHAnsi" w:cstheme="minorHAnsi"/>
          <w:lang w:bidi="fr-FR"/>
        </w:rPr>
        <w:t>À travers ce type de partenariat, le PNUD s’efforce de coordonner les initiatives et de</w:t>
      </w:r>
      <w:r w:rsidR="00880C31">
        <w:rPr>
          <w:rFonts w:asciiTheme="minorHAnsi" w:hAnsiTheme="minorHAnsi" w:cstheme="minorHAnsi"/>
          <w:lang w:bidi="fr-FR"/>
        </w:rPr>
        <w:t xml:space="preserve"> </w:t>
      </w:r>
      <w:r w:rsidRPr="00B42BCE">
        <w:rPr>
          <w:rFonts w:asciiTheme="minorHAnsi" w:hAnsiTheme="minorHAnsi" w:cstheme="minorHAnsi"/>
          <w:lang w:bidi="fr-FR"/>
        </w:rPr>
        <w:t xml:space="preserve">promouvoir la collaboration entre les principaux acteurs du secteur privé, du milieu universitaire et de la société civile, afin d’envisager et d’élaborer de nouvelles solutions pour autonomiser les populations défavorisées et surmonter les difficultés locales. Les produits, les services et les processus innovants mis au point dans le cadre de ces partenariats doivent répondre aux besoins des utilisateurs et s’adapter au contexte local. Ils doivent à la fois tirer parti des expériences passées, témoigner de </w:t>
      </w:r>
      <w:r w:rsidRPr="00B42BCE">
        <w:rPr>
          <w:rFonts w:asciiTheme="minorHAnsi" w:hAnsiTheme="minorHAnsi" w:cstheme="minorHAnsi"/>
          <w:lang w:bidi="fr-FR"/>
        </w:rPr>
        <w:lastRenderedPageBreak/>
        <w:t>leur capacité à améliorer les conditions de vie des populations défavorisées, créer un environnement plus favorable au changement et être viables et reproductibles à long terme.</w:t>
      </w:r>
    </w:p>
    <w:p w14:paraId="24CC2DD3" w14:textId="530B524A" w:rsidR="00474239" w:rsidRPr="00B42BCE" w:rsidRDefault="00474239" w:rsidP="00220F7D">
      <w:pPr>
        <w:pStyle w:val="BodyText"/>
        <w:spacing w:before="1"/>
        <w:ind w:right="198"/>
        <w:rPr>
          <w:rFonts w:asciiTheme="minorHAnsi" w:hAnsiTheme="minorHAnsi" w:cstheme="minorHAnsi"/>
        </w:rPr>
      </w:pPr>
    </w:p>
    <w:p w14:paraId="24CC2DD5" w14:textId="6DD22876" w:rsidR="00474239" w:rsidRPr="00B42BCE" w:rsidRDefault="00880C31" w:rsidP="00880C31">
      <w:pPr>
        <w:pStyle w:val="BodyText"/>
        <w:tabs>
          <w:tab w:val="left" w:pos="4395"/>
        </w:tabs>
        <w:ind w:left="100" w:right="4875"/>
        <w:jc w:val="both"/>
        <w:rPr>
          <w:rFonts w:asciiTheme="minorHAnsi" w:hAnsiTheme="minorHAnsi" w:cstheme="minorHAnsi"/>
        </w:rPr>
      </w:pPr>
      <w:r w:rsidRPr="00B42BCE">
        <w:rPr>
          <w:rFonts w:asciiTheme="minorHAnsi" w:hAnsiTheme="minorHAnsi" w:cstheme="minorHAnsi"/>
          <w:noProof/>
          <w:lang w:bidi="fr-FR"/>
        </w:rPr>
        <mc:AlternateContent>
          <mc:Choice Requires="wpg">
            <w:drawing>
              <wp:anchor distT="0" distB="0" distL="114300" distR="114300" simplePos="0" relativeHeight="251658246" behindDoc="0" locked="0" layoutInCell="1" allowOverlap="1" wp14:anchorId="24CC2E4A" wp14:editId="5C35E48B">
                <wp:simplePos x="0" y="0"/>
                <wp:positionH relativeFrom="page">
                  <wp:posOffset>3696970</wp:posOffset>
                </wp:positionH>
                <wp:positionV relativeFrom="paragraph">
                  <wp:posOffset>459651</wp:posOffset>
                </wp:positionV>
                <wp:extent cx="3093720" cy="4433570"/>
                <wp:effectExtent l="0" t="0" r="0" b="508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4433570"/>
                          <a:chOff x="5546" y="29"/>
                          <a:chExt cx="4872" cy="5897"/>
                        </a:xfrm>
                      </wpg:grpSpPr>
                      <pic:pic xmlns:pic="http://schemas.openxmlformats.org/drawingml/2006/picture">
                        <pic:nvPicPr>
                          <pic:cNvPr id="27"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546" y="29"/>
                            <a:ext cx="4872" cy="58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606" y="58"/>
                            <a:ext cx="4752" cy="5777"/>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13"/>
                        <wps:cNvSpPr txBox="1">
                          <a:spLocks noChangeArrowheads="1"/>
                        </wps:cNvSpPr>
                        <wps:spPr bwMode="auto">
                          <a:xfrm>
                            <a:off x="5606" y="58"/>
                            <a:ext cx="4752" cy="5777"/>
                          </a:xfrm>
                          <a:prstGeom prst="rect">
                            <a:avLst/>
                          </a:prstGeom>
                          <a:noFill/>
                          <a:ln w="9144">
                            <a:solidFill>
                              <a:srgbClr val="497DBA"/>
                            </a:solidFill>
                            <a:miter lim="800000"/>
                            <a:headEnd/>
                            <a:tailEnd/>
                          </a:ln>
                          <a:extLst>
                            <a:ext uri="{909E8E84-426E-40DD-AFC4-6F175D3DCCD1}">
                              <a14:hiddenFill xmlns:a14="http://schemas.microsoft.com/office/drawing/2010/main">
                                <a:solidFill>
                                  <a:srgbClr val="FFFFFF"/>
                                </a:solidFill>
                              </a14:hiddenFill>
                            </a:ext>
                          </a:extLst>
                        </wps:spPr>
                        <wps:txbx>
                          <w:txbxContent>
                            <w:p w14:paraId="24CC2E7F" w14:textId="77777777" w:rsidR="00474239" w:rsidRPr="00880C31" w:rsidRDefault="005F2731">
                              <w:pPr>
                                <w:spacing w:before="191"/>
                                <w:ind w:left="145"/>
                                <w:jc w:val="both"/>
                                <w:rPr>
                                  <w:rFonts w:asciiTheme="minorHAnsi" w:hAnsiTheme="minorHAnsi" w:cstheme="minorHAnsi"/>
                                  <w:b/>
                                </w:rPr>
                              </w:pPr>
                              <w:r w:rsidRPr="00880C31">
                                <w:rPr>
                                  <w:rFonts w:asciiTheme="minorHAnsi" w:hAnsiTheme="minorHAnsi" w:cstheme="minorHAnsi"/>
                                  <w:b/>
                                  <w:u w:val="thick"/>
                                  <w:lang w:bidi="fr-FR"/>
                                </w:rPr>
                                <w:t>Étude de cas – innovation</w:t>
                              </w:r>
                            </w:p>
                            <w:p w14:paraId="24CC2E80" w14:textId="77777777" w:rsidR="00474239" w:rsidRPr="00880C31" w:rsidRDefault="005F2731">
                              <w:pPr>
                                <w:spacing w:before="115"/>
                                <w:ind w:left="145" w:right="138"/>
                                <w:jc w:val="both"/>
                                <w:rPr>
                                  <w:rFonts w:asciiTheme="minorHAnsi" w:hAnsiTheme="minorHAnsi" w:cstheme="minorHAnsi"/>
                                </w:rPr>
                              </w:pPr>
                              <w:r w:rsidRPr="00880C31">
                                <w:rPr>
                                  <w:rFonts w:asciiTheme="minorHAnsi" w:hAnsiTheme="minorHAnsi" w:cstheme="minorHAnsi"/>
                                  <w:lang w:bidi="fr-FR"/>
                                </w:rPr>
                                <w:t>Depuis mars 2012, 5 000 ménages concernés par le tremblement de terre qui a frappé Haïti ont reçu des versements en espèces à travers le tout premier mécanisme de transfert d’argent par téléphonie mobile pour des projets de reconstruction.</w:t>
                              </w:r>
                            </w:p>
                            <w:p w14:paraId="24CC2E81" w14:textId="2D9122F2" w:rsidR="00474239" w:rsidRPr="00880C31" w:rsidRDefault="005F2731">
                              <w:pPr>
                                <w:spacing w:before="122"/>
                                <w:ind w:left="145" w:right="137"/>
                                <w:jc w:val="both"/>
                                <w:rPr>
                                  <w:rFonts w:asciiTheme="minorHAnsi" w:hAnsiTheme="minorHAnsi" w:cstheme="minorHAnsi"/>
                                </w:rPr>
                              </w:pPr>
                              <w:r w:rsidRPr="00880C31">
                                <w:rPr>
                                  <w:rFonts w:asciiTheme="minorHAnsi" w:hAnsiTheme="minorHAnsi" w:cstheme="minorHAnsi"/>
                                  <w:b/>
                                  <w:lang w:bidi="fr-FR"/>
                                </w:rPr>
                                <w:t>Cette initiative de transfert d’argent par téléphonie mobile</w:t>
                              </w:r>
                              <w:r w:rsidRPr="00880C31">
                                <w:rPr>
                                  <w:rFonts w:asciiTheme="minorHAnsi" w:hAnsiTheme="minorHAnsi" w:cstheme="minorHAnsi"/>
                                  <w:lang w:bidi="fr-FR"/>
                                </w:rPr>
                                <w:t xml:space="preserve">, conçue en partenariat avec le Gouvernement d’Haïti et Digicel, l’un des plus grands opérateurs de téléphonie mobile du pays, favorise l’inclusion financière en Haïti, où près des deux tiers de la population </w:t>
                              </w:r>
                              <w:r w:rsidR="00582806" w:rsidRPr="00880C31">
                                <w:rPr>
                                  <w:rFonts w:asciiTheme="minorHAnsi" w:hAnsiTheme="minorHAnsi" w:cstheme="minorHAnsi"/>
                                  <w:lang w:bidi="fr-FR"/>
                                </w:rPr>
                                <w:t>ont</w:t>
                              </w:r>
                              <w:r w:rsidRPr="00880C31">
                                <w:rPr>
                                  <w:rFonts w:asciiTheme="minorHAnsi" w:hAnsiTheme="minorHAnsi" w:cstheme="minorHAnsi"/>
                                  <w:lang w:bidi="fr-FR"/>
                                </w:rPr>
                                <w:t xml:space="preserve"> accès à un téléphone mobile, mais où seuls 10 % des habitants disposent d’un compte bancaire.</w:t>
                              </w:r>
                            </w:p>
                            <w:p w14:paraId="24CC2E82" w14:textId="77777777" w:rsidR="00474239" w:rsidRPr="00880C31" w:rsidRDefault="005F2731">
                              <w:pPr>
                                <w:spacing w:before="118" w:line="242" w:lineRule="auto"/>
                                <w:ind w:left="145" w:right="138"/>
                                <w:jc w:val="both"/>
                                <w:rPr>
                                  <w:rFonts w:asciiTheme="minorHAnsi" w:hAnsiTheme="minorHAnsi" w:cstheme="minorHAnsi"/>
                                </w:rPr>
                              </w:pPr>
                              <w:r w:rsidRPr="00880C31">
                                <w:rPr>
                                  <w:rFonts w:asciiTheme="minorHAnsi" w:hAnsiTheme="minorHAnsi" w:cstheme="minorHAnsi"/>
                                  <w:lang w:bidi="fr-FR"/>
                                </w:rPr>
                                <w:t>Les bénéficiaires de ce programme ont également la possibilité d’accéder à un compte courant sur leur téléphone mobile, une méthode qui permet à la fois de sécuriser le stockage de l’argent liquide, de réduire les frais de transaction, de renforcer la capacité d’épargne des utilisateurs et d’amener un plus grand nombre de personnes dans le secteur financier formel.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C2E4A" id="Group 26" o:spid="_x0000_s1034" style="position:absolute;left:0;text-align:left;margin-left:291.1pt;margin-top:36.2pt;width:243.6pt;height:349.1pt;z-index:251658246;mso-position-horizontal-relative:page" coordorigin="5546,29" coordsize="4872,5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">
                <v:shape id="Picture 15" o:spid="_x0000_s1035" type="#_x0000_t75" style="position:absolute;left:5546;top:29;width:4872;height:5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">
                  <v:imagedata r:id="rId36" o:title=""/>
                </v:shape>
                <v:shape id="Picture 14" o:spid="_x0000_s1036" type="#_x0000_t75" style="position:absolute;left:5606;top:58;width:4752;height:5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">
                  <v:imagedata r:id="rId37" o:title=""/>
                </v:shape>
                <v:shape id="Text Box 13" o:spid="_x0000_s1037" type="#_x0000_t202" style="position:absolute;left:5606;top:58;width:4752;height:5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" filled="f" strokecolor="#497dba" strokeweight=".72pt">
                  <v:textbox inset="0,0,0,0">
                    <w:txbxContent>
                      <w:p w14:paraId="24CC2E7F" w14:textId="77777777" w:rsidR="00474239" w:rsidRPr="00880C31" w:rsidRDefault="005F2731">
                        <w:pPr>
                          <w:spacing w:before="191"/>
                          <w:ind w:left="145"/>
                          <w:jc w:val="both"/>
                          <w:rPr>
                            <w:rFonts w:asciiTheme="minorHAnsi" w:hAnsiTheme="minorHAnsi" w:cstheme="minorHAnsi"/>
                            <w:b/>
                          </w:rPr>
                        </w:pPr>
                        <w:r w:rsidRPr="00880C31">
                          <w:rPr>
                            <w:rFonts w:asciiTheme="minorHAnsi" w:hAnsiTheme="minorHAnsi" w:cstheme="minorHAnsi"/>
                            <w:b/>
                            <w:u w:val="thick"/>
                            <w:lang w:bidi="fr-FR"/>
                          </w:rPr>
                          <w:t>Étude de cas – innovation</w:t>
                        </w:r>
                      </w:p>
                      <w:p w14:paraId="24CC2E80" w14:textId="77777777" w:rsidR="00474239" w:rsidRPr="00880C31" w:rsidRDefault="005F2731">
                        <w:pPr>
                          <w:spacing w:before="115"/>
                          <w:ind w:left="145" w:right="138"/>
                          <w:jc w:val="both"/>
                          <w:rPr>
                            <w:rFonts w:asciiTheme="minorHAnsi" w:hAnsiTheme="minorHAnsi" w:cstheme="minorHAnsi"/>
                          </w:rPr>
                        </w:pPr>
                        <w:r w:rsidRPr="00880C31">
                          <w:rPr>
                            <w:rFonts w:asciiTheme="minorHAnsi" w:hAnsiTheme="minorHAnsi" w:cstheme="minorHAnsi"/>
                            <w:lang w:bidi="fr-FR"/>
                          </w:rPr>
                          <w:t>Depuis mars 2012, 5 000 ménages concernés par le tremblement de terre qui a frappé Haïti ont reçu des versements en espèces à travers le tout premier mécanisme de transfert d’argent par téléphonie mobile pour des projets de reconstruction.</w:t>
                        </w:r>
                      </w:p>
                      <w:p w14:paraId="24CC2E81" w14:textId="2D9122F2" w:rsidR="00474239" w:rsidRPr="00880C31" w:rsidRDefault="005F2731">
                        <w:pPr>
                          <w:spacing w:before="122"/>
                          <w:ind w:left="145" w:right="137"/>
                          <w:jc w:val="both"/>
                          <w:rPr>
                            <w:rFonts w:asciiTheme="minorHAnsi" w:hAnsiTheme="minorHAnsi" w:cstheme="minorHAnsi"/>
                          </w:rPr>
                        </w:pPr>
                        <w:r w:rsidRPr="00880C31">
                          <w:rPr>
                            <w:rFonts w:asciiTheme="minorHAnsi" w:hAnsiTheme="minorHAnsi" w:cstheme="minorHAnsi"/>
                            <w:b/>
                            <w:lang w:bidi="fr-FR"/>
                          </w:rPr>
                          <w:t>Cette initiative de transfert d’argent par téléphonie mobile</w:t>
                        </w:r>
                        <w:r w:rsidRPr="00880C31">
                          <w:rPr>
                            <w:rFonts w:asciiTheme="minorHAnsi" w:hAnsiTheme="minorHAnsi" w:cstheme="minorHAnsi"/>
                            <w:lang w:bidi="fr-FR"/>
                          </w:rPr>
                          <w:t xml:space="preserve">, conçue en partenariat avec le Gouvernement d’Haïti et Digicel, l’un des plus grands opérateurs de téléphonie mobile du pays, favorise l’inclusion financière en Haïti, où près des deux tiers de la population </w:t>
                        </w:r>
                        <w:r w:rsidR="00582806" w:rsidRPr="00880C31">
                          <w:rPr>
                            <w:rFonts w:asciiTheme="minorHAnsi" w:hAnsiTheme="minorHAnsi" w:cstheme="minorHAnsi"/>
                            <w:lang w:bidi="fr-FR"/>
                          </w:rPr>
                          <w:t>ont</w:t>
                        </w:r>
                        <w:r w:rsidRPr="00880C31">
                          <w:rPr>
                            <w:rFonts w:asciiTheme="minorHAnsi" w:hAnsiTheme="minorHAnsi" w:cstheme="minorHAnsi"/>
                            <w:lang w:bidi="fr-FR"/>
                          </w:rPr>
                          <w:t xml:space="preserve"> accès à un téléphone mobile, mais où seuls 10 % des habitants disposent d’un compte bancaire.</w:t>
                        </w:r>
                      </w:p>
                      <w:p w14:paraId="24CC2E82" w14:textId="77777777" w:rsidR="00474239" w:rsidRPr="00880C31" w:rsidRDefault="005F2731">
                        <w:pPr>
                          <w:spacing w:before="118" w:line="242" w:lineRule="auto"/>
                          <w:ind w:left="145" w:right="138"/>
                          <w:jc w:val="both"/>
                          <w:rPr>
                            <w:rFonts w:asciiTheme="minorHAnsi" w:hAnsiTheme="minorHAnsi" w:cstheme="minorHAnsi"/>
                          </w:rPr>
                        </w:pPr>
                        <w:r w:rsidRPr="00880C31">
                          <w:rPr>
                            <w:rFonts w:asciiTheme="minorHAnsi" w:hAnsiTheme="minorHAnsi" w:cstheme="minorHAnsi"/>
                            <w:lang w:bidi="fr-FR"/>
                          </w:rPr>
                          <w:t>Les bénéficiaires de ce programme ont également la possibilité d’accéder à un compte courant sur leur téléphone mobile, une méthode qui permet à la fois de sécuriser le stockage de l’argent liquide, de réduire les frais de transaction, de renforcer la capacité d’épargne des utilisateurs et d’amener un plus grand nombre de personnes dans le secteur financier formel.</w:t>
                        </w:r>
                      </w:p>
                    </w:txbxContent>
                  </v:textbox>
                </v:shape>
                <w10:wrap anchorx="page"/>
              </v:group>
            </w:pict>
          </mc:Fallback>
        </mc:AlternateContent>
      </w:r>
      <w:r w:rsidR="005F2731" w:rsidRPr="00B42BCE">
        <w:rPr>
          <w:rFonts w:asciiTheme="minorHAnsi" w:hAnsiTheme="minorHAnsi" w:cstheme="minorHAnsi"/>
          <w:lang w:bidi="fr-FR"/>
        </w:rPr>
        <w:t>Les produits et services innovants, axés sur l’aide aux populations défavorisées, sont non seulement capables d’aboutir à des solutions ingénieuses</w:t>
      </w:r>
      <w:r w:rsidR="00220F7D">
        <w:rPr>
          <w:rFonts w:asciiTheme="minorHAnsi" w:hAnsiTheme="minorHAnsi" w:cstheme="minorHAnsi"/>
          <w:lang w:bidi="fr-FR"/>
        </w:rPr>
        <w:t xml:space="preserve"> </w:t>
      </w:r>
      <w:r w:rsidR="005F2731" w:rsidRPr="00B42BCE">
        <w:rPr>
          <w:rFonts w:asciiTheme="minorHAnsi" w:hAnsiTheme="minorHAnsi" w:cstheme="minorHAnsi"/>
          <w:lang w:bidi="fr-FR"/>
        </w:rPr>
        <w:t>et à une amélioration de la qualité de vie, mais également de stimuler considérablement la croissance économique et l’emploi, de promouvoir les petits entrepreneurs, de renforcer les chaînes d’approvisionnement, etc. Par conséquent, pour renforcer l’innovation, ce type de partenariat peut intégrer des éléments relevant des activités de plaidoyer, des activités principales, de la mobilisation de ressources, etc.</w:t>
      </w:r>
    </w:p>
    <w:p w14:paraId="24CC2DD7" w14:textId="77777777" w:rsidR="00474239" w:rsidRPr="00B42BCE" w:rsidRDefault="005F2731" w:rsidP="00880C31">
      <w:pPr>
        <w:pStyle w:val="BodyText"/>
        <w:tabs>
          <w:tab w:val="left" w:pos="4395"/>
        </w:tabs>
        <w:spacing w:before="75" w:line="252" w:lineRule="exact"/>
        <w:ind w:left="100" w:right="4875"/>
        <w:jc w:val="both"/>
        <w:rPr>
          <w:rFonts w:asciiTheme="minorHAnsi" w:hAnsiTheme="minorHAnsi" w:cstheme="minorHAnsi"/>
        </w:rPr>
      </w:pPr>
      <w:r w:rsidRPr="00B42BCE">
        <w:rPr>
          <w:rFonts w:asciiTheme="minorHAnsi" w:hAnsiTheme="minorHAnsi" w:cstheme="minorHAnsi"/>
          <w:lang w:bidi="fr-FR"/>
        </w:rPr>
        <w:t>À cette fin, le PNUD peut :</w:t>
      </w:r>
    </w:p>
    <w:p w14:paraId="24CC2DD8" w14:textId="13DA8CCE" w:rsidR="00474239" w:rsidRPr="00B42BCE" w:rsidRDefault="005F2731" w:rsidP="00880C31">
      <w:pPr>
        <w:pStyle w:val="ListParagraph"/>
        <w:numPr>
          <w:ilvl w:val="1"/>
          <w:numId w:val="1"/>
        </w:numPr>
        <w:tabs>
          <w:tab w:val="left" w:pos="821"/>
          <w:tab w:val="left" w:pos="4395"/>
        </w:tabs>
        <w:ind w:right="4875"/>
        <w:jc w:val="both"/>
        <w:rPr>
          <w:rFonts w:asciiTheme="minorHAnsi" w:hAnsiTheme="minorHAnsi" w:cstheme="minorHAnsi"/>
        </w:rPr>
      </w:pPr>
      <w:r w:rsidRPr="00B42BCE">
        <w:rPr>
          <w:rFonts w:asciiTheme="minorHAnsi" w:hAnsiTheme="minorHAnsi" w:cstheme="minorHAnsi"/>
          <w:b/>
          <w:lang w:bidi="fr-FR"/>
        </w:rPr>
        <w:t xml:space="preserve">identifier les difficultés </w:t>
      </w:r>
      <w:r w:rsidRPr="00B42BCE">
        <w:rPr>
          <w:rFonts w:asciiTheme="minorHAnsi" w:hAnsiTheme="minorHAnsi" w:cstheme="minorHAnsi"/>
          <w:lang w:bidi="fr-FR"/>
        </w:rPr>
        <w:t>auxquelles sont confrontées les communautés locales et qui entravent leur développement et l’amélioration de leur qualité de vie, et identifier et mettre en relation les principaux acteurs impliqués dans le processus de développement, tels que les communautés, les entreprises, les institutions techniques concernées, ou encore les groupes de la société civile ;</w:t>
      </w:r>
    </w:p>
    <w:p w14:paraId="24CC2DD9" w14:textId="3965E267" w:rsidR="00474239" w:rsidRPr="00B42BCE" w:rsidRDefault="005F2731" w:rsidP="00880C31">
      <w:pPr>
        <w:pStyle w:val="ListParagraph"/>
        <w:numPr>
          <w:ilvl w:val="1"/>
          <w:numId w:val="1"/>
        </w:numPr>
        <w:tabs>
          <w:tab w:val="left" w:pos="821"/>
        </w:tabs>
        <w:ind w:right="4875"/>
        <w:jc w:val="both"/>
        <w:rPr>
          <w:rFonts w:asciiTheme="minorHAnsi" w:hAnsiTheme="minorHAnsi" w:cstheme="minorHAnsi"/>
        </w:rPr>
      </w:pPr>
      <w:r w:rsidRPr="00B42BCE">
        <w:rPr>
          <w:rFonts w:asciiTheme="minorHAnsi" w:hAnsiTheme="minorHAnsi" w:cstheme="minorHAnsi"/>
          <w:lang w:bidi="fr-FR"/>
        </w:rPr>
        <w:t xml:space="preserve">participer aux </w:t>
      </w:r>
      <w:r w:rsidRPr="00B42BCE">
        <w:rPr>
          <w:rFonts w:asciiTheme="minorHAnsi" w:hAnsiTheme="minorHAnsi" w:cstheme="minorHAnsi"/>
          <w:b/>
          <w:lang w:bidi="fr-FR"/>
        </w:rPr>
        <w:t>communautés de la connaissance et de l’innovation (CCI</w:t>
      </w:r>
      <w:r w:rsidR="0089617F" w:rsidRPr="00B42BCE">
        <w:rPr>
          <w:rStyle w:val="FootnoteReference"/>
          <w:rFonts w:asciiTheme="minorHAnsi" w:hAnsiTheme="minorHAnsi" w:cstheme="minorHAnsi"/>
          <w:b/>
          <w:lang w:bidi="fr-FR"/>
        </w:rPr>
        <w:footnoteReference w:id="28"/>
      </w:r>
      <w:r w:rsidRPr="00B42BCE">
        <w:rPr>
          <w:rFonts w:asciiTheme="minorHAnsi" w:hAnsiTheme="minorHAnsi" w:cstheme="minorHAnsi"/>
          <w:b/>
          <w:lang w:bidi="fr-FR"/>
        </w:rPr>
        <w:t>)</w:t>
      </w:r>
      <w:r w:rsidRPr="00B42BCE">
        <w:rPr>
          <w:rFonts w:asciiTheme="minorHAnsi" w:hAnsiTheme="minorHAnsi" w:cstheme="minorHAnsi"/>
          <w:lang w:bidi="fr-FR"/>
        </w:rPr>
        <w:t xml:space="preserve"> et les promouvoir. Le PNUD peut fixer des objectifs de recherche, renforcer le partage des données et améliorer le débat et l’accès réciproque à l’information ;</w:t>
      </w:r>
    </w:p>
    <w:p w14:paraId="24CC2DDA" w14:textId="07130EAC" w:rsidR="00474239" w:rsidRPr="00B42BCE" w:rsidRDefault="005F2731">
      <w:pPr>
        <w:pStyle w:val="ListParagraph"/>
        <w:numPr>
          <w:ilvl w:val="1"/>
          <w:numId w:val="1"/>
        </w:numPr>
        <w:tabs>
          <w:tab w:val="left" w:pos="821"/>
        </w:tabs>
        <w:ind w:right="135"/>
        <w:jc w:val="both"/>
        <w:rPr>
          <w:rFonts w:asciiTheme="minorHAnsi" w:hAnsiTheme="minorHAnsi" w:cstheme="minorHAnsi"/>
        </w:rPr>
      </w:pPr>
      <w:r w:rsidRPr="00B42BCE">
        <w:rPr>
          <w:rFonts w:asciiTheme="minorHAnsi" w:hAnsiTheme="minorHAnsi" w:cstheme="minorHAnsi"/>
          <w:lang w:bidi="fr-FR"/>
        </w:rPr>
        <w:t xml:space="preserve">soutenir des </w:t>
      </w:r>
      <w:r w:rsidRPr="00B42BCE">
        <w:rPr>
          <w:rFonts w:asciiTheme="minorHAnsi" w:hAnsiTheme="minorHAnsi" w:cstheme="minorHAnsi"/>
          <w:b/>
          <w:lang w:bidi="fr-FR"/>
        </w:rPr>
        <w:t xml:space="preserve">projets pilotes </w:t>
      </w:r>
      <w:r w:rsidRPr="00B42BCE">
        <w:rPr>
          <w:rFonts w:asciiTheme="minorHAnsi" w:hAnsiTheme="minorHAnsi" w:cstheme="minorHAnsi"/>
          <w:lang w:bidi="fr-FR"/>
        </w:rPr>
        <w:t>en matière d’innovation, susceptibles d’être déployés à grande échelle sur les marchés et/ou de faire évoluer les politiques ;</w:t>
      </w:r>
    </w:p>
    <w:p w14:paraId="24CC2DDB" w14:textId="0131C202" w:rsidR="00474239" w:rsidRPr="00B42BCE" w:rsidRDefault="005F2731">
      <w:pPr>
        <w:pStyle w:val="ListParagraph"/>
        <w:numPr>
          <w:ilvl w:val="1"/>
          <w:numId w:val="1"/>
        </w:numPr>
        <w:tabs>
          <w:tab w:val="left" w:pos="821"/>
        </w:tabs>
        <w:ind w:right="138"/>
        <w:jc w:val="both"/>
        <w:rPr>
          <w:rFonts w:asciiTheme="minorHAnsi" w:hAnsiTheme="minorHAnsi" w:cstheme="minorHAnsi"/>
        </w:rPr>
      </w:pPr>
      <w:r w:rsidRPr="00B42BCE">
        <w:rPr>
          <w:rFonts w:asciiTheme="minorHAnsi" w:hAnsiTheme="minorHAnsi" w:cstheme="minorHAnsi"/>
          <w:lang w:bidi="fr-FR"/>
        </w:rPr>
        <w:t xml:space="preserve">soutenir la création de </w:t>
      </w:r>
      <w:r w:rsidRPr="00B42BCE">
        <w:rPr>
          <w:rFonts w:asciiTheme="minorHAnsi" w:hAnsiTheme="minorHAnsi" w:cstheme="minorHAnsi"/>
          <w:b/>
          <w:lang w:bidi="fr-FR"/>
        </w:rPr>
        <w:t>« laboratoires d’innovation »</w:t>
      </w:r>
      <w:r w:rsidRPr="00B42BCE">
        <w:rPr>
          <w:rFonts w:asciiTheme="minorHAnsi" w:hAnsiTheme="minorHAnsi" w:cstheme="minorHAnsi"/>
          <w:lang w:bidi="fr-FR"/>
        </w:rPr>
        <w:t>, c’est-à-dire de lieux physiques dédiés à la collaboration entre le secteur privé, le milieu universitaire et la société civile ;</w:t>
      </w:r>
    </w:p>
    <w:p w14:paraId="24CC2DDC" w14:textId="608ED69D" w:rsidR="00474239" w:rsidRPr="00B42BCE" w:rsidRDefault="005F2731" w:rsidP="00220F7D">
      <w:pPr>
        <w:pStyle w:val="ListParagraph"/>
        <w:numPr>
          <w:ilvl w:val="1"/>
          <w:numId w:val="1"/>
        </w:numPr>
        <w:tabs>
          <w:tab w:val="left" w:pos="821"/>
        </w:tabs>
        <w:ind w:right="56" w:hanging="361"/>
        <w:jc w:val="both"/>
        <w:rPr>
          <w:rFonts w:asciiTheme="minorHAnsi" w:hAnsiTheme="minorHAnsi" w:cstheme="minorHAnsi"/>
        </w:rPr>
      </w:pPr>
      <w:r w:rsidRPr="00B42BCE">
        <w:rPr>
          <w:rFonts w:asciiTheme="minorHAnsi" w:hAnsiTheme="minorHAnsi" w:cstheme="minorHAnsi"/>
          <w:lang w:bidi="fr-FR"/>
        </w:rPr>
        <w:t xml:space="preserve">favoriser la mise en place de </w:t>
      </w:r>
      <w:r w:rsidRPr="00B42BCE">
        <w:rPr>
          <w:rFonts w:asciiTheme="minorHAnsi" w:hAnsiTheme="minorHAnsi" w:cstheme="minorHAnsi"/>
          <w:b/>
          <w:lang w:bidi="fr-FR"/>
        </w:rPr>
        <w:t>fonds de roulement</w:t>
      </w:r>
      <w:r w:rsidRPr="00B42BCE">
        <w:rPr>
          <w:rFonts w:asciiTheme="minorHAnsi" w:hAnsiTheme="minorHAnsi" w:cstheme="minorHAnsi"/>
          <w:lang w:bidi="fr-FR"/>
        </w:rPr>
        <w:t xml:space="preserve"> dédiés aux initiatives de recherche et développement.</w:t>
      </w:r>
    </w:p>
    <w:p w14:paraId="39DC7898" w14:textId="14BBCE6F" w:rsidR="00474239" w:rsidRPr="00B42BCE" w:rsidRDefault="00474239">
      <w:pPr>
        <w:pStyle w:val="BodyText"/>
        <w:spacing w:before="3"/>
        <w:rPr>
          <w:rFonts w:asciiTheme="minorHAnsi" w:hAnsiTheme="minorHAnsi" w:cstheme="minorHAnsi"/>
        </w:rPr>
      </w:pPr>
    </w:p>
    <w:p w14:paraId="24CC2DDE" w14:textId="03FAEB15" w:rsidR="00474239" w:rsidRPr="00B42BCE" w:rsidRDefault="005F2731" w:rsidP="00550446">
      <w:pPr>
        <w:pStyle w:val="Heading2"/>
        <w:numPr>
          <w:ilvl w:val="0"/>
          <w:numId w:val="1"/>
        </w:numPr>
        <w:tabs>
          <w:tab w:val="left" w:pos="372"/>
        </w:tabs>
        <w:rPr>
          <w:rFonts w:asciiTheme="minorHAnsi" w:hAnsiTheme="minorHAnsi" w:cstheme="minorHAnsi"/>
          <w:b w:val="0"/>
        </w:rPr>
      </w:pPr>
      <w:bookmarkStart w:id="28" w:name="_Toc160630003"/>
      <w:r w:rsidRPr="00B42BCE">
        <w:rPr>
          <w:rFonts w:asciiTheme="minorHAnsi" w:hAnsiTheme="minorHAnsi" w:cstheme="minorHAnsi"/>
          <w:spacing w:val="2"/>
          <w:lang w:bidi="fr-FR"/>
        </w:rPr>
        <w:t>Activités principales au service d’un développement inclusif des marchés</w:t>
      </w:r>
      <w:bookmarkEnd w:id="28"/>
    </w:p>
    <w:p w14:paraId="24CC2DDF" w14:textId="06D87463" w:rsidR="00474239" w:rsidRPr="00B42BCE" w:rsidRDefault="005F2731" w:rsidP="00220F7D">
      <w:pPr>
        <w:pStyle w:val="BodyText"/>
        <w:spacing w:before="113"/>
        <w:ind w:left="100" w:right="198"/>
        <w:jc w:val="both"/>
        <w:rPr>
          <w:rFonts w:asciiTheme="minorHAnsi" w:hAnsiTheme="minorHAnsi" w:cstheme="minorHAnsi"/>
        </w:rPr>
      </w:pPr>
      <w:r w:rsidRPr="00B42BCE">
        <w:rPr>
          <w:rFonts w:asciiTheme="minorHAnsi" w:hAnsiTheme="minorHAnsi" w:cstheme="minorHAnsi"/>
          <w:lang w:bidi="fr-FR"/>
        </w:rPr>
        <w:t xml:space="preserve">Les opérations et les chaînes de valeur ayant trait aux activités principales d’une organisation sont </w:t>
      </w:r>
      <w:r w:rsidRPr="00B42BCE">
        <w:rPr>
          <w:rFonts w:asciiTheme="minorHAnsi" w:hAnsiTheme="minorHAnsi" w:cstheme="minorHAnsi"/>
          <w:lang w:bidi="fr-FR"/>
        </w:rPr>
        <w:lastRenderedPageBreak/>
        <w:t xml:space="preserve">susceptibles de créer de la valeur en favorisant la participation des populations pauvres et en leur offrant des avantages liés à leur rôle de producteurs et partenaires commerciaux au sein de la chaîne d’approvisionnement et de distribution, d’employés sur le lieu de travail et de consommateurs sur les marchés. Il s’agit ainsi de promouvoir des </w:t>
      </w:r>
      <w:r w:rsidRPr="00B42BCE">
        <w:rPr>
          <w:rFonts w:asciiTheme="minorHAnsi" w:hAnsiTheme="minorHAnsi" w:cstheme="minorHAnsi"/>
          <w:b/>
          <w:lang w:bidi="fr-FR"/>
        </w:rPr>
        <w:t>modèles économiques inclusifs</w:t>
      </w:r>
      <w:r w:rsidRPr="00B42BCE">
        <w:rPr>
          <w:rFonts w:asciiTheme="minorHAnsi" w:hAnsiTheme="minorHAnsi" w:cstheme="minorHAnsi"/>
          <w:lang w:bidi="fr-FR"/>
        </w:rPr>
        <w:t>, susceptibles de contribuer à un développement plus inclusif des marchés.</w:t>
      </w:r>
    </w:p>
    <w:p w14:paraId="24CC2DE0" w14:textId="0A7FE237" w:rsidR="00474239" w:rsidRPr="00B42BCE" w:rsidRDefault="00474239">
      <w:pPr>
        <w:pStyle w:val="BodyText"/>
        <w:rPr>
          <w:rFonts w:asciiTheme="minorHAnsi" w:hAnsiTheme="minorHAnsi" w:cstheme="minorHAnsi"/>
        </w:rPr>
      </w:pPr>
    </w:p>
    <w:p w14:paraId="24CC2DE2" w14:textId="67160F93" w:rsidR="00474239" w:rsidRPr="00B42BCE" w:rsidRDefault="00880C31" w:rsidP="00880C31">
      <w:pPr>
        <w:pStyle w:val="BodyText"/>
        <w:ind w:left="100" w:right="5017"/>
        <w:jc w:val="both"/>
        <w:rPr>
          <w:rFonts w:asciiTheme="minorHAnsi" w:hAnsiTheme="minorHAnsi" w:cstheme="minorHAnsi"/>
          <w:lang w:bidi="fr-FR"/>
        </w:rPr>
      </w:pPr>
      <w:r w:rsidRPr="00B42BCE">
        <w:rPr>
          <w:rFonts w:asciiTheme="minorHAnsi" w:hAnsiTheme="minorHAnsi" w:cstheme="minorHAnsi"/>
          <w:noProof/>
          <w:lang w:bidi="fr-FR"/>
        </w:rPr>
        <mc:AlternateContent>
          <mc:Choice Requires="wpg">
            <w:drawing>
              <wp:anchor distT="0" distB="0" distL="114300" distR="114300" simplePos="0" relativeHeight="251658249" behindDoc="0" locked="0" layoutInCell="1" allowOverlap="1" wp14:anchorId="24CC2E4B" wp14:editId="24B74BEE">
                <wp:simplePos x="0" y="0"/>
                <wp:positionH relativeFrom="page">
                  <wp:posOffset>3646805</wp:posOffset>
                </wp:positionH>
                <wp:positionV relativeFrom="paragraph">
                  <wp:posOffset>26449</wp:posOffset>
                </wp:positionV>
                <wp:extent cx="3093720" cy="4976037"/>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4976037"/>
                          <a:chOff x="5546" y="183"/>
                          <a:chExt cx="4872" cy="6183"/>
                        </a:xfrm>
                      </wpg:grpSpPr>
                      <pic:pic xmlns:pic="http://schemas.openxmlformats.org/drawingml/2006/picture">
                        <pic:nvPicPr>
                          <pic:cNvPr id="23"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546" y="183"/>
                            <a:ext cx="4872" cy="6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5606" y="211"/>
                            <a:ext cx="4752" cy="6063"/>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9"/>
                        <wps:cNvSpPr txBox="1">
                          <a:spLocks noChangeArrowheads="1"/>
                        </wps:cNvSpPr>
                        <wps:spPr bwMode="auto">
                          <a:xfrm>
                            <a:off x="5606" y="211"/>
                            <a:ext cx="4752" cy="6063"/>
                          </a:xfrm>
                          <a:prstGeom prst="rect">
                            <a:avLst/>
                          </a:prstGeom>
                          <a:noFill/>
                          <a:ln w="9144">
                            <a:solidFill>
                              <a:srgbClr val="497DBA"/>
                            </a:solidFill>
                            <a:miter lim="800000"/>
                            <a:headEnd/>
                            <a:tailEnd/>
                          </a:ln>
                          <a:extLst>
                            <a:ext uri="{909E8E84-426E-40DD-AFC4-6F175D3DCCD1}">
                              <a14:hiddenFill xmlns:a14="http://schemas.microsoft.com/office/drawing/2010/main">
                                <a:solidFill>
                                  <a:srgbClr val="FFFFFF"/>
                                </a:solidFill>
                              </a14:hiddenFill>
                            </a:ext>
                          </a:extLst>
                        </wps:spPr>
                        <wps:txbx>
                          <w:txbxContent>
                            <w:p w14:paraId="24CC2E83" w14:textId="77777777" w:rsidR="00474239" w:rsidRPr="00880C31" w:rsidRDefault="005F2731">
                              <w:pPr>
                                <w:spacing w:before="191"/>
                                <w:ind w:left="145" w:right="140"/>
                                <w:jc w:val="both"/>
                                <w:rPr>
                                  <w:rFonts w:asciiTheme="minorHAnsi" w:hAnsiTheme="minorHAnsi" w:cstheme="minorHAnsi"/>
                                  <w:b/>
                                </w:rPr>
                              </w:pPr>
                              <w:r w:rsidRPr="00880C31">
                                <w:rPr>
                                  <w:rFonts w:asciiTheme="minorHAnsi" w:hAnsiTheme="minorHAnsi" w:cstheme="minorHAnsi"/>
                                  <w:b/>
                                  <w:u w:val="thick"/>
                                  <w:lang w:bidi="fr-FR"/>
                                </w:rPr>
                                <w:t>Étude de cas – les activités principales au service d’un développement inclusif des marchés</w:t>
                              </w:r>
                            </w:p>
                            <w:p w14:paraId="24CC2E84" w14:textId="77777777" w:rsidR="00474239" w:rsidRPr="00880C31" w:rsidRDefault="005F2731">
                              <w:pPr>
                                <w:spacing w:before="116"/>
                                <w:ind w:left="145" w:right="139"/>
                                <w:jc w:val="both"/>
                                <w:rPr>
                                  <w:rFonts w:asciiTheme="minorHAnsi" w:hAnsiTheme="minorHAnsi" w:cstheme="minorHAnsi"/>
                                </w:rPr>
                              </w:pPr>
                              <w:r w:rsidRPr="00880C31">
                                <w:rPr>
                                  <w:rFonts w:asciiTheme="minorHAnsi" w:hAnsiTheme="minorHAnsi" w:cstheme="minorHAnsi"/>
                                  <w:lang w:bidi="fr-FR"/>
                                </w:rPr>
                                <w:t xml:space="preserve">Au Mexique, le </w:t>
                              </w:r>
                              <w:r w:rsidRPr="00880C31">
                                <w:rPr>
                                  <w:rFonts w:asciiTheme="minorHAnsi" w:hAnsiTheme="minorHAnsi" w:cstheme="minorHAnsi"/>
                                  <w:b/>
                                  <w:lang w:bidi="fr-FR"/>
                                </w:rPr>
                                <w:t>programme de développement des fournisseurs mis en œuvre par le PNUD</w:t>
                              </w:r>
                              <w:r w:rsidRPr="00880C31">
                                <w:rPr>
                                  <w:rFonts w:asciiTheme="minorHAnsi" w:hAnsiTheme="minorHAnsi" w:cstheme="minorHAnsi"/>
                                  <w:lang w:bidi="fr-FR"/>
                                </w:rPr>
                                <w:t xml:space="preserve"> aide les petites et moyennes entreprises (PME) locales dont les activités relèvent de secteurs économiques présentant une importance nationale à accéder à des technologies innovantes et à une expertise, afin d’améliorer leur compétitivité, d’établir des liens avec les fournisseurs et de faire progresser la chaîne de valeur.</w:t>
                              </w:r>
                            </w:p>
                            <w:p w14:paraId="24CC2E85" w14:textId="77777777" w:rsidR="00474239" w:rsidRPr="00880C31" w:rsidRDefault="005F2731">
                              <w:pPr>
                                <w:spacing w:before="120"/>
                                <w:ind w:left="145" w:right="139"/>
                                <w:jc w:val="both"/>
                                <w:rPr>
                                  <w:rFonts w:asciiTheme="minorHAnsi" w:hAnsiTheme="minorHAnsi" w:cstheme="minorHAnsi"/>
                                </w:rPr>
                              </w:pPr>
                              <w:r w:rsidRPr="00880C31">
                                <w:rPr>
                                  <w:rFonts w:asciiTheme="minorHAnsi" w:hAnsiTheme="minorHAnsi" w:cstheme="minorHAnsi"/>
                                  <w:lang w:bidi="fr-FR"/>
                                </w:rPr>
                                <w:t>En quatre ans, cette initiative a permis de mettre en relation 461 PME avec 56 entreprises de premier plan. Le programme comprend un portail Internet sur lequel sont inscrites 4 200 entreprises. Les chaînes d’approvisionnement concernées ont connu une augmentation de leurs ventes de l’ordre de 15 % en moyenne et le secteur de l’agrobusiness (amarante) a connu la plus forte hausse du nombre d’emplois, avec une augmentation de 42 % du taux d’emploi.</w:t>
                              </w:r>
                            </w:p>
                            <w:p w14:paraId="24CC2E86" w14:textId="0DA089C2" w:rsidR="00474239" w:rsidRPr="00880C31" w:rsidRDefault="005F2731">
                              <w:pPr>
                                <w:spacing w:before="121" w:line="244" w:lineRule="auto"/>
                                <w:ind w:left="145" w:right="145"/>
                                <w:jc w:val="both"/>
                                <w:rPr>
                                  <w:rFonts w:asciiTheme="minorHAnsi" w:hAnsiTheme="minorHAnsi" w:cstheme="minorHAnsi"/>
                                </w:rPr>
                              </w:pPr>
                              <w:r w:rsidRPr="00880C31">
                                <w:rPr>
                                  <w:rFonts w:asciiTheme="minorHAnsi" w:hAnsiTheme="minorHAnsi" w:cstheme="minorHAnsi"/>
                                  <w:lang w:bidi="fr-FR"/>
                                </w:rPr>
                                <w:t>Le PNUD a reproduit ce programme en El Salvador, en Colombie, au Honduras et en Afrique du Sud.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C2E4B" id="Group 22" o:spid="_x0000_s1038" style="position:absolute;left:0;text-align:left;margin-left:287.15pt;margin-top:2.1pt;width:243.6pt;height:391.8pt;z-index:251658249;mso-position-horizontal-relative:page" coordorigin="5546,183" coordsize="4872,6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">
                <v:shape id="Picture 11" o:spid="_x0000_s1039" type="#_x0000_t75" style="position:absolute;left:5546;top:183;width:4872;height:6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">
                  <v:imagedata r:id="rId40" o:title=""/>
                </v:shape>
                <v:shape id="Picture 10" o:spid="_x0000_s1040" type="#_x0000_t75" style="position:absolute;left:5606;top:211;width:4752;height:6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">
                  <v:imagedata r:id="rId41" o:title=""/>
                </v:shape>
                <v:shape id="Text Box 9" o:spid="_x0000_s1041" type="#_x0000_t202" style="position:absolute;left:5606;top:211;width:4752;height:6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" filled="f" strokecolor="#497dba" strokeweight=".72pt">
                  <v:textbox inset="0,0,0,0">
                    <w:txbxContent>
                      <w:p w14:paraId="24CC2E83" w14:textId="77777777" w:rsidR="00474239" w:rsidRPr="00880C31" w:rsidRDefault="005F2731">
                        <w:pPr>
                          <w:spacing w:before="191"/>
                          <w:ind w:left="145" w:right="140"/>
                          <w:jc w:val="both"/>
                          <w:rPr>
                            <w:rFonts w:asciiTheme="minorHAnsi" w:hAnsiTheme="minorHAnsi" w:cstheme="minorHAnsi"/>
                            <w:b/>
                          </w:rPr>
                        </w:pPr>
                        <w:r w:rsidRPr="00880C31">
                          <w:rPr>
                            <w:rFonts w:asciiTheme="minorHAnsi" w:hAnsiTheme="minorHAnsi" w:cstheme="minorHAnsi"/>
                            <w:b/>
                            <w:u w:val="thick"/>
                            <w:lang w:bidi="fr-FR"/>
                          </w:rPr>
                          <w:t>Étude de cas – les activités principales au service d’un développement inclusif des marchés</w:t>
                        </w:r>
                      </w:p>
                      <w:p w14:paraId="24CC2E84" w14:textId="77777777" w:rsidR="00474239" w:rsidRPr="00880C31" w:rsidRDefault="005F2731">
                        <w:pPr>
                          <w:spacing w:before="116"/>
                          <w:ind w:left="145" w:right="139"/>
                          <w:jc w:val="both"/>
                          <w:rPr>
                            <w:rFonts w:asciiTheme="minorHAnsi" w:hAnsiTheme="minorHAnsi" w:cstheme="minorHAnsi"/>
                          </w:rPr>
                        </w:pPr>
                        <w:r w:rsidRPr="00880C31">
                          <w:rPr>
                            <w:rFonts w:asciiTheme="minorHAnsi" w:hAnsiTheme="minorHAnsi" w:cstheme="minorHAnsi"/>
                            <w:lang w:bidi="fr-FR"/>
                          </w:rPr>
                          <w:t xml:space="preserve">Au Mexique, le </w:t>
                        </w:r>
                        <w:r w:rsidRPr="00880C31">
                          <w:rPr>
                            <w:rFonts w:asciiTheme="minorHAnsi" w:hAnsiTheme="minorHAnsi" w:cstheme="minorHAnsi"/>
                            <w:b/>
                            <w:lang w:bidi="fr-FR"/>
                          </w:rPr>
                          <w:t>programme de développement des fournisseurs mis en œuvre par le PNUD</w:t>
                        </w:r>
                        <w:r w:rsidRPr="00880C31">
                          <w:rPr>
                            <w:rFonts w:asciiTheme="minorHAnsi" w:hAnsiTheme="minorHAnsi" w:cstheme="minorHAnsi"/>
                            <w:lang w:bidi="fr-FR"/>
                          </w:rPr>
                          <w:t xml:space="preserve"> aide les petites et moyennes entreprises (PME) locales dont les activités relèvent de secteurs économiques présentant une importance nationale à accéder à des technologies innovantes et à une expertise, afin d’améliorer leur compétitivité, d’établir des liens avec les fournisseurs et de faire progresser la chaîne de valeur.</w:t>
                        </w:r>
                      </w:p>
                      <w:p w14:paraId="24CC2E85" w14:textId="77777777" w:rsidR="00474239" w:rsidRPr="00880C31" w:rsidRDefault="005F2731">
                        <w:pPr>
                          <w:spacing w:before="120"/>
                          <w:ind w:left="145" w:right="139"/>
                          <w:jc w:val="both"/>
                          <w:rPr>
                            <w:rFonts w:asciiTheme="minorHAnsi" w:hAnsiTheme="minorHAnsi" w:cstheme="minorHAnsi"/>
                          </w:rPr>
                        </w:pPr>
                        <w:r w:rsidRPr="00880C31">
                          <w:rPr>
                            <w:rFonts w:asciiTheme="minorHAnsi" w:hAnsiTheme="minorHAnsi" w:cstheme="minorHAnsi"/>
                            <w:lang w:bidi="fr-FR"/>
                          </w:rPr>
                          <w:t>En quatre ans, cette initiative a permis de mettre en relation 461 PME avec 56 entreprises de premier plan. Le programme comprend un portail Internet sur lequel sont inscrites 4 200 entreprises. Les chaînes d’approvisionnement concernées ont connu une augmentation de leurs ventes de l’ordre de 15 % en moyenne et le secteur de l’agrobusiness (amarante) a connu la plus forte hausse du nombre d’emplois, avec une augmentation de 42 % du taux d’emploi.</w:t>
                        </w:r>
                      </w:p>
                      <w:p w14:paraId="24CC2E86" w14:textId="0DA089C2" w:rsidR="00474239" w:rsidRPr="00880C31" w:rsidRDefault="005F2731">
                        <w:pPr>
                          <w:spacing w:before="121" w:line="244" w:lineRule="auto"/>
                          <w:ind w:left="145" w:right="145"/>
                          <w:jc w:val="both"/>
                          <w:rPr>
                            <w:rFonts w:asciiTheme="minorHAnsi" w:hAnsiTheme="minorHAnsi" w:cstheme="minorHAnsi"/>
                          </w:rPr>
                        </w:pPr>
                        <w:r w:rsidRPr="00880C31">
                          <w:rPr>
                            <w:rFonts w:asciiTheme="minorHAnsi" w:hAnsiTheme="minorHAnsi" w:cstheme="minorHAnsi"/>
                            <w:lang w:bidi="fr-FR"/>
                          </w:rPr>
                          <w:t>Le PNUD a reproduit ce programme en El Salvador, en Colombie, au Honduras et en Afrique du Sud.</w:t>
                        </w:r>
                      </w:p>
                    </w:txbxContent>
                  </v:textbox>
                </v:shape>
                <w10:wrap anchorx="page"/>
              </v:group>
            </w:pict>
          </mc:Fallback>
        </mc:AlternateContent>
      </w:r>
      <w:r w:rsidR="005F2731" w:rsidRPr="00B42BCE">
        <w:rPr>
          <w:rFonts w:asciiTheme="minorHAnsi" w:hAnsiTheme="minorHAnsi" w:cstheme="minorHAnsi"/>
          <w:lang w:bidi="fr-FR"/>
        </w:rPr>
        <w:t>Les activités principales visent généralement l’amélioration de tous les niveaux ou de niveaux clés de la chaîne de valeur (par exemple, les producteurs), afin de renforcer les résultats obtenus en matière de développement et d’améliorer la gestion des questions environnementales, sociales et de gouvernance au sein des entreprises. Dans le cadre de ces partenariats, le PNUD passe un accord avec une ou plusieurs entreprises et d’autres acteurs du développement afin de mettre en œuvre des activités susceptibles de contribuer à l’adoption de modèles économiques plus inclusifs. Ces activités peuvent notamment consister à renforcer les capacités des PME et des producteurs locaux en matière</w:t>
      </w:r>
      <w:r>
        <w:rPr>
          <w:rFonts w:asciiTheme="minorHAnsi" w:hAnsiTheme="minorHAnsi" w:cstheme="minorHAnsi"/>
          <w:lang w:bidi="fr-FR"/>
        </w:rPr>
        <w:t xml:space="preserve"> </w:t>
      </w:r>
      <w:r w:rsidR="005F2731" w:rsidRPr="00B42BCE">
        <w:rPr>
          <w:rFonts w:asciiTheme="minorHAnsi" w:hAnsiTheme="minorHAnsi" w:cstheme="minorHAnsi"/>
          <w:lang w:bidi="fr-FR"/>
        </w:rPr>
        <w:t xml:space="preserve">d’approvisionnement, à améliorer la capacité des producteurs à se conformer aux normes sectorielles en vigueur, ou encore à transférer des connaissances et des compétences utiles pour une meilleure efficacité des processus de production. </w:t>
      </w:r>
    </w:p>
    <w:p w14:paraId="666CB25A" w14:textId="77777777" w:rsidR="0013545C" w:rsidRPr="00B42BCE" w:rsidRDefault="0013545C" w:rsidP="0013545C">
      <w:pPr>
        <w:pStyle w:val="BodyText"/>
        <w:ind w:left="100" w:right="5310"/>
        <w:jc w:val="both"/>
        <w:rPr>
          <w:rFonts w:asciiTheme="minorHAnsi" w:hAnsiTheme="minorHAnsi" w:cstheme="minorHAnsi"/>
        </w:rPr>
      </w:pPr>
    </w:p>
    <w:p w14:paraId="24CC2DE4" w14:textId="2A677AB7" w:rsidR="00474239" w:rsidRPr="00B42BCE" w:rsidRDefault="005F2731" w:rsidP="00220F7D">
      <w:pPr>
        <w:pStyle w:val="BodyText"/>
        <w:tabs>
          <w:tab w:val="left" w:pos="3926"/>
        </w:tabs>
        <w:spacing w:before="2"/>
        <w:ind w:left="90" w:right="5017"/>
        <w:jc w:val="both"/>
        <w:rPr>
          <w:rFonts w:asciiTheme="minorHAnsi" w:hAnsiTheme="minorHAnsi" w:cstheme="minorHAnsi"/>
        </w:rPr>
      </w:pPr>
      <w:r w:rsidRPr="00B42BCE">
        <w:rPr>
          <w:rFonts w:asciiTheme="minorHAnsi" w:hAnsiTheme="minorHAnsi" w:cstheme="minorHAnsi"/>
          <w:lang w:bidi="fr-FR"/>
        </w:rPr>
        <w:t>Ces modèles économiques plus inclusifs reposent sur l’évolution des politiques, sur la recherche et sur les activités de plaidoyer (partenariats en matière de plaidoyer et de dialogue stratégique). L’adoption de tels modèles nécessite la mise en place de partenariats avec d’autres organisations, capables de fournir des ressources financières et des compétences spécialisées (mobilisation de ressources).</w:t>
      </w:r>
    </w:p>
    <w:p w14:paraId="747576B5" w14:textId="77777777" w:rsidR="0013545C" w:rsidRPr="00B42BCE" w:rsidRDefault="0013545C" w:rsidP="00BB7CAB">
      <w:pPr>
        <w:pStyle w:val="BodyText"/>
        <w:spacing w:line="252" w:lineRule="exact"/>
        <w:ind w:left="100"/>
        <w:jc w:val="both"/>
        <w:rPr>
          <w:rFonts w:asciiTheme="minorHAnsi" w:hAnsiTheme="minorHAnsi" w:cstheme="minorHAnsi"/>
        </w:rPr>
      </w:pPr>
    </w:p>
    <w:p w14:paraId="24CC2DE7" w14:textId="1D161D79" w:rsidR="00474239" w:rsidRPr="00B42BCE" w:rsidRDefault="005F2731" w:rsidP="00880C31">
      <w:pPr>
        <w:pStyle w:val="BodyText"/>
        <w:spacing w:line="252" w:lineRule="exact"/>
        <w:ind w:left="100" w:right="56"/>
        <w:jc w:val="both"/>
        <w:rPr>
          <w:rFonts w:asciiTheme="minorHAnsi" w:hAnsiTheme="minorHAnsi" w:cstheme="minorHAnsi"/>
        </w:rPr>
      </w:pPr>
      <w:r w:rsidRPr="00B42BCE">
        <w:rPr>
          <w:rFonts w:asciiTheme="minorHAnsi" w:hAnsiTheme="minorHAnsi" w:cstheme="minorHAnsi"/>
          <w:lang w:bidi="fr-FR"/>
        </w:rPr>
        <w:t xml:space="preserve">Dans le cadre de ces partenariats, le PNUD peut : </w:t>
      </w:r>
    </w:p>
    <w:p w14:paraId="24CC2DEC" w14:textId="77777777" w:rsidR="00474239" w:rsidRPr="00B42BCE" w:rsidRDefault="005F2731" w:rsidP="00880C31">
      <w:pPr>
        <w:pStyle w:val="ListParagraph"/>
        <w:numPr>
          <w:ilvl w:val="1"/>
          <w:numId w:val="1"/>
        </w:numPr>
        <w:tabs>
          <w:tab w:val="left" w:pos="821"/>
        </w:tabs>
        <w:spacing w:before="74"/>
        <w:ind w:right="56"/>
        <w:jc w:val="both"/>
        <w:rPr>
          <w:rFonts w:asciiTheme="minorHAnsi" w:hAnsiTheme="minorHAnsi" w:cstheme="minorHAnsi"/>
        </w:rPr>
      </w:pPr>
      <w:r w:rsidRPr="00B42BCE">
        <w:rPr>
          <w:rFonts w:asciiTheme="minorHAnsi" w:hAnsiTheme="minorHAnsi" w:cstheme="minorHAnsi"/>
          <w:lang w:bidi="fr-FR"/>
        </w:rPr>
        <w:t xml:space="preserve">soutenir l’adoption de </w:t>
      </w:r>
      <w:r w:rsidRPr="00B42BCE">
        <w:rPr>
          <w:rFonts w:asciiTheme="minorHAnsi" w:hAnsiTheme="minorHAnsi" w:cstheme="minorHAnsi"/>
          <w:b/>
          <w:lang w:bidi="fr-FR"/>
        </w:rPr>
        <w:t>modèles de production et de commerce responsables</w:t>
      </w:r>
      <w:r w:rsidRPr="00B42BCE">
        <w:rPr>
          <w:rFonts w:asciiTheme="minorHAnsi" w:hAnsiTheme="minorHAnsi" w:cstheme="minorHAnsi"/>
          <w:lang w:bidi="fr-FR"/>
        </w:rPr>
        <w:t>, susceptibles de réduire l’impact environnemental des activités concernées tout en renforçant les avantages économiques et sociaux liés aux processus de production ;</w:t>
      </w:r>
    </w:p>
    <w:p w14:paraId="24CC2DED" w14:textId="77777777" w:rsidR="00474239" w:rsidRPr="00B42BCE" w:rsidRDefault="005F2731" w:rsidP="00220F7D">
      <w:pPr>
        <w:pStyle w:val="ListParagraph"/>
        <w:numPr>
          <w:ilvl w:val="1"/>
          <w:numId w:val="1"/>
        </w:numPr>
        <w:tabs>
          <w:tab w:val="left" w:pos="821"/>
        </w:tabs>
        <w:ind w:right="198"/>
        <w:jc w:val="both"/>
        <w:rPr>
          <w:rFonts w:asciiTheme="minorHAnsi" w:hAnsiTheme="minorHAnsi" w:cstheme="minorHAnsi"/>
        </w:rPr>
      </w:pPr>
      <w:r w:rsidRPr="00B42BCE">
        <w:rPr>
          <w:rFonts w:asciiTheme="minorHAnsi" w:hAnsiTheme="minorHAnsi" w:cstheme="minorHAnsi"/>
          <w:lang w:bidi="fr-FR"/>
        </w:rPr>
        <w:t xml:space="preserve">soutenir la mise en œuvre de </w:t>
      </w:r>
      <w:r w:rsidRPr="00B42BCE">
        <w:rPr>
          <w:rFonts w:asciiTheme="minorHAnsi" w:hAnsiTheme="minorHAnsi" w:cstheme="minorHAnsi"/>
          <w:b/>
          <w:lang w:bidi="fr-FR"/>
        </w:rPr>
        <w:t>programmes conjoints de renforcement des capacités</w:t>
      </w:r>
      <w:r w:rsidRPr="00B42BCE">
        <w:rPr>
          <w:rFonts w:asciiTheme="minorHAnsi" w:hAnsiTheme="minorHAnsi" w:cstheme="minorHAnsi"/>
          <w:lang w:bidi="fr-FR"/>
        </w:rPr>
        <w:t>, susceptibles de renforcer les capacités en matière d’approvisionnement et d’aider les PME et les acteurs des marchés locaux à accéder à de nouveaux débouchés et à de nouvelles informations ;</w:t>
      </w:r>
    </w:p>
    <w:p w14:paraId="24CC2DEE" w14:textId="77777777" w:rsidR="00474239" w:rsidRPr="00B42BCE" w:rsidRDefault="005F2731">
      <w:pPr>
        <w:pStyle w:val="ListParagraph"/>
        <w:numPr>
          <w:ilvl w:val="1"/>
          <w:numId w:val="1"/>
        </w:numPr>
        <w:tabs>
          <w:tab w:val="left" w:pos="821"/>
        </w:tabs>
        <w:ind w:right="133"/>
        <w:jc w:val="both"/>
        <w:rPr>
          <w:rFonts w:asciiTheme="minorHAnsi" w:hAnsiTheme="minorHAnsi" w:cstheme="minorHAnsi"/>
        </w:rPr>
      </w:pPr>
      <w:r w:rsidRPr="00B42BCE">
        <w:rPr>
          <w:rFonts w:asciiTheme="minorHAnsi" w:hAnsiTheme="minorHAnsi" w:cstheme="minorHAnsi"/>
          <w:lang w:bidi="fr-FR"/>
        </w:rPr>
        <w:t>favoriser l’</w:t>
      </w:r>
      <w:r w:rsidRPr="00B42BCE">
        <w:rPr>
          <w:rFonts w:asciiTheme="minorHAnsi" w:hAnsiTheme="minorHAnsi" w:cstheme="minorHAnsi"/>
          <w:b/>
          <w:lang w:bidi="fr-FR"/>
        </w:rPr>
        <w:t>intégration des producteurs défavorisés et d’autres acteurs des marchés dans les principaux secteurs économiques et chaînes de valeur</w:t>
      </w:r>
      <w:r w:rsidRPr="00B42BCE">
        <w:rPr>
          <w:rFonts w:asciiTheme="minorHAnsi" w:hAnsiTheme="minorHAnsi" w:cstheme="minorHAnsi"/>
          <w:lang w:bidi="fr-FR"/>
        </w:rPr>
        <w:t xml:space="preserve"> des différentes zones géographiques, grâce à la mise en place de </w:t>
      </w:r>
      <w:r w:rsidRPr="00B42BCE">
        <w:rPr>
          <w:rFonts w:asciiTheme="minorHAnsi" w:hAnsiTheme="minorHAnsi" w:cstheme="minorHAnsi"/>
          <w:b/>
          <w:lang w:bidi="fr-FR"/>
        </w:rPr>
        <w:t>plateformes</w:t>
      </w:r>
      <w:r w:rsidRPr="00B42BCE">
        <w:rPr>
          <w:rFonts w:asciiTheme="minorHAnsi" w:hAnsiTheme="minorHAnsi" w:cstheme="minorHAnsi"/>
          <w:lang w:bidi="fr-FR"/>
        </w:rPr>
        <w:t xml:space="preserve"> et de </w:t>
      </w:r>
      <w:r w:rsidRPr="00B42BCE">
        <w:rPr>
          <w:rFonts w:asciiTheme="minorHAnsi" w:hAnsiTheme="minorHAnsi" w:cstheme="minorHAnsi"/>
          <w:b/>
          <w:lang w:bidi="fr-FR"/>
        </w:rPr>
        <w:t>réseaux</w:t>
      </w:r>
      <w:r w:rsidRPr="00B42BCE">
        <w:rPr>
          <w:rFonts w:asciiTheme="minorHAnsi" w:hAnsiTheme="minorHAnsi" w:cstheme="minorHAnsi"/>
          <w:lang w:bidi="fr-FR"/>
        </w:rPr>
        <w:t xml:space="preserve"> susceptibles de garantir l’établissement </w:t>
      </w:r>
      <w:r w:rsidRPr="00B42BCE">
        <w:rPr>
          <w:rFonts w:asciiTheme="minorHAnsi" w:hAnsiTheme="minorHAnsi" w:cstheme="minorHAnsi"/>
          <w:lang w:bidi="fr-FR"/>
        </w:rPr>
        <w:lastRenderedPageBreak/>
        <w:t>de liens commerciaux durables entre les groupes de fournisseurs locaux et les acheteurs potentiels ;</w:t>
      </w:r>
    </w:p>
    <w:p w14:paraId="24CC2DEF" w14:textId="77777777" w:rsidR="00474239" w:rsidRPr="00B42BCE" w:rsidRDefault="005F2731">
      <w:pPr>
        <w:pStyle w:val="ListParagraph"/>
        <w:numPr>
          <w:ilvl w:val="1"/>
          <w:numId w:val="1"/>
        </w:numPr>
        <w:tabs>
          <w:tab w:val="left" w:pos="821"/>
        </w:tabs>
        <w:ind w:right="138"/>
        <w:jc w:val="both"/>
        <w:rPr>
          <w:rFonts w:asciiTheme="minorHAnsi" w:hAnsiTheme="minorHAnsi" w:cstheme="minorHAnsi"/>
        </w:rPr>
      </w:pPr>
      <w:r w:rsidRPr="00B42BCE">
        <w:rPr>
          <w:rFonts w:asciiTheme="minorHAnsi" w:hAnsiTheme="minorHAnsi" w:cstheme="minorHAnsi"/>
          <w:lang w:bidi="fr-FR"/>
        </w:rPr>
        <w:t xml:space="preserve">soutenir le développement et le déploiement de </w:t>
      </w:r>
      <w:r w:rsidRPr="00B42BCE">
        <w:rPr>
          <w:rFonts w:asciiTheme="minorHAnsi" w:hAnsiTheme="minorHAnsi" w:cstheme="minorHAnsi"/>
          <w:b/>
          <w:lang w:bidi="fr-FR"/>
        </w:rPr>
        <w:t>produits</w:t>
      </w:r>
      <w:r w:rsidRPr="00B42BCE">
        <w:rPr>
          <w:rFonts w:asciiTheme="minorHAnsi" w:hAnsiTheme="minorHAnsi" w:cstheme="minorHAnsi"/>
          <w:lang w:bidi="fr-FR"/>
        </w:rPr>
        <w:t xml:space="preserve"> et de </w:t>
      </w:r>
      <w:r w:rsidRPr="00B42BCE">
        <w:rPr>
          <w:rFonts w:asciiTheme="minorHAnsi" w:hAnsiTheme="minorHAnsi" w:cstheme="minorHAnsi"/>
          <w:b/>
          <w:lang w:bidi="fr-FR"/>
        </w:rPr>
        <w:t>services</w:t>
      </w:r>
      <w:r w:rsidRPr="00B42BCE">
        <w:rPr>
          <w:rFonts w:asciiTheme="minorHAnsi" w:hAnsiTheme="minorHAnsi" w:cstheme="minorHAnsi"/>
          <w:lang w:bidi="fr-FR"/>
        </w:rPr>
        <w:t xml:space="preserve"> utiles aux consommateurs défavorisés et à faible revenu ;</w:t>
      </w:r>
    </w:p>
    <w:p w14:paraId="24CC2DF0" w14:textId="73030900" w:rsidR="00474239" w:rsidRPr="00B42BCE" w:rsidRDefault="005F2731">
      <w:pPr>
        <w:pStyle w:val="ListParagraph"/>
        <w:numPr>
          <w:ilvl w:val="1"/>
          <w:numId w:val="1"/>
        </w:numPr>
        <w:tabs>
          <w:tab w:val="left" w:pos="821"/>
        </w:tabs>
        <w:ind w:right="139"/>
        <w:jc w:val="both"/>
        <w:rPr>
          <w:rFonts w:asciiTheme="minorHAnsi" w:hAnsiTheme="minorHAnsi" w:cstheme="minorHAnsi"/>
        </w:rPr>
      </w:pPr>
      <w:r w:rsidRPr="00B42BCE">
        <w:rPr>
          <w:rFonts w:asciiTheme="minorHAnsi" w:hAnsiTheme="minorHAnsi" w:cstheme="minorHAnsi"/>
          <w:lang w:bidi="fr-FR"/>
        </w:rPr>
        <w:t>promouvoir l’</w:t>
      </w:r>
      <w:r w:rsidRPr="00B42BCE">
        <w:rPr>
          <w:rFonts w:asciiTheme="minorHAnsi" w:hAnsiTheme="minorHAnsi" w:cstheme="minorHAnsi"/>
          <w:b/>
          <w:lang w:bidi="fr-FR"/>
        </w:rPr>
        <w:t>accès à des financements et à des fonds de roulement</w:t>
      </w:r>
      <w:r w:rsidRPr="00B42BCE">
        <w:rPr>
          <w:rFonts w:asciiTheme="minorHAnsi" w:hAnsiTheme="minorHAnsi" w:cstheme="minorHAnsi"/>
          <w:lang w:bidi="fr-FR"/>
        </w:rPr>
        <w:t xml:space="preserve"> pour les producteurs pauvres et d’autres acteurs du marché appartenant à des chaînes de valeur essentielles. </w:t>
      </w:r>
    </w:p>
    <w:p w14:paraId="24CC2DF1" w14:textId="77777777" w:rsidR="00474239" w:rsidRPr="00B42BCE" w:rsidRDefault="00474239">
      <w:pPr>
        <w:pStyle w:val="BodyText"/>
        <w:spacing w:before="9"/>
        <w:rPr>
          <w:rFonts w:asciiTheme="minorHAnsi" w:hAnsiTheme="minorHAnsi" w:cstheme="minorHAnsi"/>
        </w:rPr>
      </w:pPr>
    </w:p>
    <w:p w14:paraId="24CC2DF2" w14:textId="33F66CAA" w:rsidR="00474239" w:rsidRPr="00B42BCE" w:rsidRDefault="005F2731">
      <w:pPr>
        <w:pStyle w:val="BodyText"/>
        <w:ind w:left="100" w:right="135"/>
        <w:jc w:val="both"/>
        <w:rPr>
          <w:rFonts w:asciiTheme="minorHAnsi" w:hAnsiTheme="minorHAnsi" w:cstheme="minorHAnsi"/>
        </w:rPr>
      </w:pPr>
      <w:r w:rsidRPr="00B42BCE">
        <w:rPr>
          <w:rFonts w:asciiTheme="minorHAnsi" w:hAnsiTheme="minorHAnsi" w:cstheme="minorHAnsi"/>
          <w:lang w:bidi="fr-FR"/>
        </w:rPr>
        <w:t>Le PNUD s’efforce de renforcer sa relation avec le secteur financier, afin de trouver de nouvelles modalités de financement du développement. Les dispositifs envisagés s’éloignent des approches traditionnelles non seulement en matière de mobilisation de ressources à des fins de développement, mais aussi en matière de dépenses. Dans cette perspective, le PNUD entend réfléchir à une meilleur</w:t>
      </w:r>
      <w:r w:rsidR="00582806" w:rsidRPr="00B42BCE">
        <w:rPr>
          <w:rFonts w:asciiTheme="minorHAnsi" w:hAnsiTheme="minorHAnsi" w:cstheme="minorHAnsi"/>
          <w:lang w:bidi="fr-FR"/>
        </w:rPr>
        <w:t>e</w:t>
      </w:r>
      <w:r w:rsidRPr="00B42BCE">
        <w:rPr>
          <w:rFonts w:asciiTheme="minorHAnsi" w:hAnsiTheme="minorHAnsi" w:cstheme="minorHAnsi"/>
          <w:lang w:bidi="fr-FR"/>
        </w:rPr>
        <w:t xml:space="preserve"> utilisation des instruments financiers tels que les financements axés sur la performance, les crédits garantis, ou encore les obligations.</w:t>
      </w:r>
    </w:p>
    <w:p w14:paraId="0C291118" w14:textId="77777777" w:rsidR="00474239" w:rsidRPr="00B42BCE" w:rsidRDefault="00474239">
      <w:pPr>
        <w:pStyle w:val="BodyText"/>
        <w:spacing w:before="5"/>
        <w:rPr>
          <w:rFonts w:asciiTheme="minorHAnsi" w:hAnsiTheme="minorHAnsi" w:cstheme="minorHAnsi"/>
        </w:rPr>
      </w:pPr>
    </w:p>
    <w:p w14:paraId="24CC2DF4" w14:textId="022627A5" w:rsidR="00474239" w:rsidRPr="00B42BCE" w:rsidRDefault="005F2731" w:rsidP="00550446">
      <w:pPr>
        <w:pStyle w:val="Heading2"/>
        <w:numPr>
          <w:ilvl w:val="0"/>
          <w:numId w:val="1"/>
        </w:numPr>
        <w:tabs>
          <w:tab w:val="left" w:pos="372"/>
        </w:tabs>
        <w:rPr>
          <w:rFonts w:asciiTheme="minorHAnsi" w:hAnsiTheme="minorHAnsi" w:cstheme="minorHAnsi"/>
          <w:b w:val="0"/>
        </w:rPr>
      </w:pPr>
      <w:bookmarkStart w:id="29" w:name="_Toc160630004"/>
      <w:r w:rsidRPr="00B42BCE">
        <w:rPr>
          <w:rFonts w:asciiTheme="minorHAnsi" w:hAnsiTheme="minorHAnsi" w:cstheme="minorHAnsi"/>
          <w:spacing w:val="9"/>
          <w:lang w:bidi="fr-FR"/>
        </w:rPr>
        <w:t>Partenariats vecteurs de changements systémiques</w:t>
      </w:r>
      <w:bookmarkEnd w:id="29"/>
    </w:p>
    <w:p w14:paraId="24CC2DF5" w14:textId="0C1CADBB" w:rsidR="00474239" w:rsidRPr="00B42BCE" w:rsidRDefault="00880C31" w:rsidP="00BB7CAB">
      <w:pPr>
        <w:pStyle w:val="BodyText"/>
        <w:spacing w:before="115"/>
        <w:ind w:left="100" w:right="5130"/>
        <w:jc w:val="both"/>
        <w:rPr>
          <w:rFonts w:asciiTheme="minorHAnsi" w:hAnsiTheme="minorHAnsi" w:cstheme="minorHAnsi"/>
        </w:rPr>
      </w:pPr>
      <w:r w:rsidRPr="00B42BCE">
        <w:rPr>
          <w:rFonts w:asciiTheme="minorHAnsi" w:hAnsiTheme="minorHAnsi" w:cstheme="minorHAnsi"/>
          <w:noProof/>
          <w:lang w:bidi="fr-FR"/>
        </w:rPr>
        <mc:AlternateContent>
          <mc:Choice Requires="wpg">
            <w:drawing>
              <wp:anchor distT="0" distB="0" distL="114300" distR="114300" simplePos="0" relativeHeight="251658250" behindDoc="0" locked="0" layoutInCell="1" allowOverlap="1" wp14:anchorId="24CC2E4D" wp14:editId="1B519C7B">
                <wp:simplePos x="0" y="0"/>
                <wp:positionH relativeFrom="page">
                  <wp:posOffset>3625702</wp:posOffset>
                </wp:positionH>
                <wp:positionV relativeFrom="paragraph">
                  <wp:posOffset>90820</wp:posOffset>
                </wp:positionV>
                <wp:extent cx="3103880" cy="5635256"/>
                <wp:effectExtent l="0" t="0" r="127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880" cy="5635256"/>
                          <a:chOff x="5546" y="57"/>
                          <a:chExt cx="4872" cy="6833"/>
                        </a:xfrm>
                      </wpg:grpSpPr>
                      <pic:pic xmlns:pic="http://schemas.openxmlformats.org/drawingml/2006/picture">
                        <pic:nvPicPr>
                          <pic:cNvPr id="19"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546" y="57"/>
                            <a:ext cx="4872" cy="68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5606" y="86"/>
                            <a:ext cx="4752" cy="6713"/>
                          </a:xfrm>
                          <a:prstGeom prst="rect">
                            <a:avLst/>
                          </a:prstGeom>
                          <a:noFill/>
                          <a:extLst>
                            <a:ext uri="{909E8E84-426E-40DD-AFC4-6F175D3DCCD1}">
                              <a14:hiddenFill xmlns:a14="http://schemas.microsoft.com/office/drawing/2010/main">
                                <a:solidFill>
                                  <a:srgbClr val="FFFFFF"/>
                                </a:solidFill>
                              </a14:hiddenFill>
                            </a:ext>
                          </a:extLst>
                        </pic:spPr>
                      </pic:pic>
                      <wps:wsp>
                        <wps:cNvPr id="39" name="Text Box 4"/>
                        <wps:cNvSpPr txBox="1">
                          <a:spLocks noChangeArrowheads="1"/>
                        </wps:cNvSpPr>
                        <wps:spPr bwMode="auto">
                          <a:xfrm>
                            <a:off x="5606" y="86"/>
                            <a:ext cx="4752" cy="6712"/>
                          </a:xfrm>
                          <a:prstGeom prst="rect">
                            <a:avLst/>
                          </a:prstGeom>
                          <a:noFill/>
                          <a:ln w="9144">
                            <a:solidFill>
                              <a:srgbClr val="497DBA"/>
                            </a:solidFill>
                            <a:miter lim="800000"/>
                            <a:headEnd/>
                            <a:tailEnd/>
                          </a:ln>
                          <a:extLst>
                            <a:ext uri="{909E8E84-426E-40DD-AFC4-6F175D3DCCD1}">
                              <a14:hiddenFill xmlns:a14="http://schemas.microsoft.com/office/drawing/2010/main">
                                <a:solidFill>
                                  <a:srgbClr val="FFFFFF"/>
                                </a:solidFill>
                              </a14:hiddenFill>
                            </a:ext>
                          </a:extLst>
                        </wps:spPr>
                        <wps:txbx>
                          <w:txbxContent>
                            <w:p w14:paraId="24CC2E87" w14:textId="77777777" w:rsidR="00474239" w:rsidRPr="00880C31" w:rsidRDefault="005F2731">
                              <w:pPr>
                                <w:spacing w:before="191"/>
                                <w:ind w:left="145"/>
                                <w:jc w:val="both"/>
                                <w:rPr>
                                  <w:rFonts w:asciiTheme="minorHAnsi" w:hAnsiTheme="minorHAnsi" w:cstheme="minorHAnsi"/>
                                  <w:b/>
                                </w:rPr>
                              </w:pPr>
                              <w:r w:rsidRPr="00880C31">
                                <w:rPr>
                                  <w:rFonts w:asciiTheme="minorHAnsi" w:hAnsiTheme="minorHAnsi" w:cstheme="minorHAnsi"/>
                                  <w:b/>
                                  <w:u w:val="thick"/>
                                  <w:lang w:bidi="fr-FR"/>
                                </w:rPr>
                                <w:t>Étude de cas – les partenariats vecteurs de changements systémiques</w:t>
                              </w:r>
                            </w:p>
                            <w:p w14:paraId="24CC2E88" w14:textId="77777777" w:rsidR="00474239" w:rsidRPr="00880C31" w:rsidRDefault="005F2731">
                              <w:pPr>
                                <w:spacing w:before="115"/>
                                <w:ind w:left="145" w:right="138"/>
                                <w:jc w:val="both"/>
                                <w:rPr>
                                  <w:rFonts w:asciiTheme="minorHAnsi" w:hAnsiTheme="minorHAnsi" w:cstheme="minorHAnsi"/>
                                  <w:b/>
                                  <w:bCs/>
                                </w:rPr>
                              </w:pPr>
                              <w:r w:rsidRPr="00880C31">
                                <w:rPr>
                                  <w:rFonts w:asciiTheme="minorHAnsi" w:hAnsiTheme="minorHAnsi" w:cstheme="minorHAnsi"/>
                                  <w:lang w:bidi="fr-FR"/>
                                </w:rPr>
                                <w:t xml:space="preserve">Les Nations Unies sont à l’origine de l’initiative mondiale </w:t>
                              </w:r>
                              <w:r w:rsidRPr="00880C31">
                                <w:rPr>
                                  <w:rFonts w:asciiTheme="minorHAnsi" w:hAnsiTheme="minorHAnsi" w:cstheme="minorHAnsi"/>
                                  <w:b/>
                                  <w:lang w:bidi="fr-FR"/>
                                </w:rPr>
                                <w:t>Énergie durable pour tous</w:t>
                              </w:r>
                              <w:r w:rsidRPr="00880C31">
                                <w:rPr>
                                  <w:rFonts w:asciiTheme="minorHAnsi" w:hAnsiTheme="minorHAnsi" w:cstheme="minorHAnsi"/>
                                  <w:lang w:bidi="fr-FR"/>
                                </w:rPr>
                                <w:t>, qui vise à mobiliser tous les secteurs de la société pour atteindre, d’ici à 2030, les trois objectifs interdépendants suivants : parvenir à un accès universel aux services énergétiques modernes ; doubler le taux d’amélioration de l’</w:t>
                              </w:r>
                              <w:r w:rsidRPr="00880C31">
                                <w:rPr>
                                  <w:rFonts w:asciiTheme="minorHAnsi" w:hAnsiTheme="minorHAnsi" w:cstheme="minorHAnsi"/>
                                  <w:b/>
                                  <w:lang w:bidi="fr-FR"/>
                                </w:rPr>
                                <w:t>efficacité énergétique</w:t>
                              </w:r>
                              <w:r w:rsidRPr="00880C31">
                                <w:rPr>
                                  <w:rFonts w:asciiTheme="minorHAnsi" w:hAnsiTheme="minorHAnsi" w:cstheme="minorHAnsi"/>
                                  <w:lang w:bidi="fr-FR"/>
                                </w:rPr>
                                <w:t xml:space="preserve"> à l’échelle mondiale ; </w:t>
                              </w:r>
                              <w:r w:rsidRPr="00880C31">
                                <w:rPr>
                                  <w:rFonts w:asciiTheme="minorHAnsi" w:hAnsiTheme="minorHAnsi" w:cstheme="minorHAnsi"/>
                                  <w:b/>
                                  <w:lang w:bidi="fr-FR"/>
                                </w:rPr>
                                <w:t>multiplier par deux la part des énergies renouvelables dans le bouquet énergétique mondial</w:t>
                              </w:r>
                              <w:r w:rsidRPr="00880C31">
                                <w:rPr>
                                  <w:rFonts w:asciiTheme="minorHAnsi" w:hAnsiTheme="minorHAnsi" w:cstheme="minorHAnsi"/>
                                  <w:lang w:bidi="fr-FR"/>
                                </w:rPr>
                                <w:t>.</w:t>
                              </w:r>
                            </w:p>
                            <w:p w14:paraId="24CC2E89" w14:textId="77777777" w:rsidR="00474239" w:rsidRPr="00880C31" w:rsidRDefault="005F2731">
                              <w:pPr>
                                <w:spacing w:before="119"/>
                                <w:ind w:left="145" w:right="137"/>
                                <w:jc w:val="both"/>
                                <w:rPr>
                                  <w:rFonts w:asciiTheme="minorHAnsi" w:hAnsiTheme="minorHAnsi" w:cstheme="minorHAnsi"/>
                                </w:rPr>
                              </w:pPr>
                              <w:r w:rsidRPr="00880C31">
                                <w:rPr>
                                  <w:rFonts w:asciiTheme="minorHAnsi" w:hAnsiTheme="minorHAnsi" w:cstheme="minorHAnsi"/>
                                  <w:b/>
                                  <w:lang w:bidi="fr-FR"/>
                                </w:rPr>
                                <w:t xml:space="preserve">En étroite collaboration </w:t>
                              </w:r>
                              <w:r w:rsidRPr="00880C31">
                                <w:rPr>
                                  <w:rFonts w:asciiTheme="minorHAnsi" w:hAnsiTheme="minorHAnsi" w:cstheme="minorHAnsi"/>
                                  <w:lang w:bidi="fr-FR"/>
                                </w:rPr>
                                <w:t>avec la Banque mondiale, la société civile, les entreprises et d’autres organismes des Nations Unies, le PNUD assume des fonctions de chef de file à l’échelle nationale dans le cadre de cette campagne. Ses missions consistent notamment à sensibiliser l’opinion, à soutenir les comités nationaux de coordination et à accompagner les pays dans l’élaboration de plans d’action pour un accès universel à l’énergie.</w:t>
                              </w:r>
                            </w:p>
                            <w:p w14:paraId="24CC2E8A" w14:textId="77777777" w:rsidR="00474239" w:rsidRPr="00880C31" w:rsidRDefault="005F2731">
                              <w:pPr>
                                <w:spacing w:before="121" w:line="242" w:lineRule="auto"/>
                                <w:ind w:left="145" w:right="136"/>
                                <w:jc w:val="both"/>
                                <w:rPr>
                                  <w:rFonts w:asciiTheme="minorHAnsi" w:hAnsiTheme="minorHAnsi" w:cstheme="minorHAnsi"/>
                                </w:rPr>
                              </w:pPr>
                              <w:r w:rsidRPr="00880C31">
                                <w:rPr>
                                  <w:rFonts w:asciiTheme="minorHAnsi" w:hAnsiTheme="minorHAnsi" w:cstheme="minorHAnsi"/>
                                  <w:lang w:bidi="fr-FR"/>
                                </w:rPr>
                                <w:t>L’accès universel aux services énergétiques modernes peut donner lieu à des changements profonds, notamment : l’éclairage dans les écoles, le bon fonctionnement des cliniques, l’installation de pompes pour l’approvisionnement en eau et l’assainissement, la purification de l’air intérieur, l’accélération de la transformation des aliments et la multiplication des activités génératrices de revenus.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C2E4D" id="Group 16" o:spid="_x0000_s1042" style="position:absolute;left:0;text-align:left;margin-left:285.5pt;margin-top:7.15pt;width:244.4pt;height:443.7pt;z-index:251658250;mso-position-horizontal-relative:page" coordorigin="5546,57" coordsize="4872,6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">
                <v:shape id="Picture 6" o:spid="_x0000_s1043" type="#_x0000_t75" style="position:absolute;left:5546;top:57;width:4872;height:6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">
                  <v:imagedata r:id="rId44" o:title=""/>
                </v:shape>
                <v:shape id="Picture 5" o:spid="_x0000_s1044" type="#_x0000_t75" style="position:absolute;left:5606;top:86;width:4752;height:6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">
                  <v:imagedata r:id="rId45" o:title=""/>
                </v:shape>
                <v:shape id="Text Box 4" o:spid="_x0000_s1045" type="#_x0000_t202" style="position:absolute;left:5606;top:86;width:4752;height:6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" filled="f" strokecolor="#497dba" strokeweight=".72pt">
                  <v:textbox inset="0,0,0,0">
                    <w:txbxContent>
                      <w:p w14:paraId="24CC2E87" w14:textId="77777777" w:rsidR="00474239" w:rsidRPr="00880C31" w:rsidRDefault="005F2731">
                        <w:pPr>
                          <w:spacing w:before="191"/>
                          <w:ind w:left="145"/>
                          <w:jc w:val="both"/>
                          <w:rPr>
                            <w:rFonts w:asciiTheme="minorHAnsi" w:hAnsiTheme="minorHAnsi" w:cstheme="minorHAnsi"/>
                            <w:b/>
                          </w:rPr>
                        </w:pPr>
                        <w:r w:rsidRPr="00880C31">
                          <w:rPr>
                            <w:rFonts w:asciiTheme="minorHAnsi" w:hAnsiTheme="minorHAnsi" w:cstheme="minorHAnsi"/>
                            <w:b/>
                            <w:u w:val="thick"/>
                            <w:lang w:bidi="fr-FR"/>
                          </w:rPr>
                          <w:t>Étude de cas – les partenariats vecteurs de changements systémiques</w:t>
                        </w:r>
                      </w:p>
                      <w:p w14:paraId="24CC2E88" w14:textId="77777777" w:rsidR="00474239" w:rsidRPr="00880C31" w:rsidRDefault="005F2731">
                        <w:pPr>
                          <w:spacing w:before="115"/>
                          <w:ind w:left="145" w:right="138"/>
                          <w:jc w:val="both"/>
                          <w:rPr>
                            <w:rFonts w:asciiTheme="minorHAnsi" w:hAnsiTheme="minorHAnsi" w:cstheme="minorHAnsi"/>
                            <w:b/>
                            <w:bCs/>
                          </w:rPr>
                        </w:pPr>
                        <w:r w:rsidRPr="00880C31">
                          <w:rPr>
                            <w:rFonts w:asciiTheme="minorHAnsi" w:hAnsiTheme="minorHAnsi" w:cstheme="minorHAnsi"/>
                            <w:lang w:bidi="fr-FR"/>
                          </w:rPr>
                          <w:t xml:space="preserve">Les Nations Unies sont à l’origine de l’initiative mondiale </w:t>
                        </w:r>
                        <w:r w:rsidRPr="00880C31">
                          <w:rPr>
                            <w:rFonts w:asciiTheme="minorHAnsi" w:hAnsiTheme="minorHAnsi" w:cstheme="minorHAnsi"/>
                            <w:b/>
                            <w:lang w:bidi="fr-FR"/>
                          </w:rPr>
                          <w:t>Énergie durable pour tous</w:t>
                        </w:r>
                        <w:r w:rsidRPr="00880C31">
                          <w:rPr>
                            <w:rFonts w:asciiTheme="minorHAnsi" w:hAnsiTheme="minorHAnsi" w:cstheme="minorHAnsi"/>
                            <w:lang w:bidi="fr-FR"/>
                          </w:rPr>
                          <w:t>, qui vise à mobiliser tous les secteurs de la société pour atteindre, d’ici à 2030, les trois objectifs interdépendants suivants : parvenir à un accès universel aux services énergétiques modernes ; doubler le taux d’amélioration de l’</w:t>
                        </w:r>
                        <w:r w:rsidRPr="00880C31">
                          <w:rPr>
                            <w:rFonts w:asciiTheme="minorHAnsi" w:hAnsiTheme="minorHAnsi" w:cstheme="minorHAnsi"/>
                            <w:b/>
                            <w:lang w:bidi="fr-FR"/>
                          </w:rPr>
                          <w:t>efficacité énergétique</w:t>
                        </w:r>
                        <w:r w:rsidRPr="00880C31">
                          <w:rPr>
                            <w:rFonts w:asciiTheme="minorHAnsi" w:hAnsiTheme="minorHAnsi" w:cstheme="minorHAnsi"/>
                            <w:lang w:bidi="fr-FR"/>
                          </w:rPr>
                          <w:t xml:space="preserve"> à l’échelle mondiale ; </w:t>
                        </w:r>
                        <w:r w:rsidRPr="00880C31">
                          <w:rPr>
                            <w:rFonts w:asciiTheme="minorHAnsi" w:hAnsiTheme="minorHAnsi" w:cstheme="minorHAnsi"/>
                            <w:b/>
                            <w:lang w:bidi="fr-FR"/>
                          </w:rPr>
                          <w:t>multiplier par deux la part des énergies renouvelables dans le bouquet énergétique mondial</w:t>
                        </w:r>
                        <w:r w:rsidRPr="00880C31">
                          <w:rPr>
                            <w:rFonts w:asciiTheme="minorHAnsi" w:hAnsiTheme="minorHAnsi" w:cstheme="minorHAnsi"/>
                            <w:lang w:bidi="fr-FR"/>
                          </w:rPr>
                          <w:t>.</w:t>
                        </w:r>
                      </w:p>
                      <w:p w14:paraId="24CC2E89" w14:textId="77777777" w:rsidR="00474239" w:rsidRPr="00880C31" w:rsidRDefault="005F2731">
                        <w:pPr>
                          <w:spacing w:before="119"/>
                          <w:ind w:left="145" w:right="137"/>
                          <w:jc w:val="both"/>
                          <w:rPr>
                            <w:rFonts w:asciiTheme="minorHAnsi" w:hAnsiTheme="minorHAnsi" w:cstheme="minorHAnsi"/>
                          </w:rPr>
                        </w:pPr>
                        <w:r w:rsidRPr="00880C31">
                          <w:rPr>
                            <w:rFonts w:asciiTheme="minorHAnsi" w:hAnsiTheme="minorHAnsi" w:cstheme="minorHAnsi"/>
                            <w:b/>
                            <w:lang w:bidi="fr-FR"/>
                          </w:rPr>
                          <w:t xml:space="preserve">En étroite collaboration </w:t>
                        </w:r>
                        <w:r w:rsidRPr="00880C31">
                          <w:rPr>
                            <w:rFonts w:asciiTheme="minorHAnsi" w:hAnsiTheme="minorHAnsi" w:cstheme="minorHAnsi"/>
                            <w:lang w:bidi="fr-FR"/>
                          </w:rPr>
                          <w:t>avec la Banque mondiale, la société civile, les entreprises et d’autres organismes des Nations Unies, le PNUD assume des fonctions de chef de file à l’échelle nationale dans le cadre de cette campagne. Ses missions consistent notamment à sensibiliser l’opinion, à soutenir les comités nationaux de coordination et à accompagner les pays dans l’élaboration de plans d’action pour un accès universel à l’énergie.</w:t>
                        </w:r>
                      </w:p>
                      <w:p w14:paraId="24CC2E8A" w14:textId="77777777" w:rsidR="00474239" w:rsidRPr="00880C31" w:rsidRDefault="005F2731">
                        <w:pPr>
                          <w:spacing w:before="121" w:line="242" w:lineRule="auto"/>
                          <w:ind w:left="145" w:right="136"/>
                          <w:jc w:val="both"/>
                          <w:rPr>
                            <w:rFonts w:asciiTheme="minorHAnsi" w:hAnsiTheme="minorHAnsi" w:cstheme="minorHAnsi"/>
                          </w:rPr>
                        </w:pPr>
                        <w:r w:rsidRPr="00880C31">
                          <w:rPr>
                            <w:rFonts w:asciiTheme="minorHAnsi" w:hAnsiTheme="minorHAnsi" w:cstheme="minorHAnsi"/>
                            <w:lang w:bidi="fr-FR"/>
                          </w:rPr>
                          <w:t>L’accès universel aux services énergétiques modernes peut donner lieu à des changements profonds, notamment : l’éclairage dans les écoles, le bon fonctionnement des cliniques, l’installation de pompes pour l’approvisionnement en eau et l’assainissement, la purification de l’air intérieur, l’accélération de la transformation des aliments et la multiplication des activités génératrices de revenus.</w:t>
                        </w:r>
                      </w:p>
                    </w:txbxContent>
                  </v:textbox>
                </v:shape>
                <w10:wrap anchorx="page"/>
              </v:group>
            </w:pict>
          </mc:Fallback>
        </mc:AlternateContent>
      </w:r>
      <w:r w:rsidR="005F2731" w:rsidRPr="00B42BCE">
        <w:rPr>
          <w:rFonts w:asciiTheme="minorHAnsi" w:hAnsiTheme="minorHAnsi" w:cstheme="minorHAnsi"/>
          <w:lang w:bidi="fr-FR"/>
        </w:rPr>
        <w:t>Un partenariat vecteur de changements systémiques est une collaboration multipartite qui rebat totalement les cartes pour favoriser le bon fonctionnement des marchés. Les changements systémiques obtenus bénéficient à l’ensemble de la société, donnent naissance à un environnement plus favorable et aboutissent à l’établissement de normes mondiales. Cet impact systémique requiert les efforts conjugués d’un large éventail d’acteurs.</w:t>
      </w:r>
    </w:p>
    <w:p w14:paraId="24CC2DF6" w14:textId="77777777" w:rsidR="00474239" w:rsidRPr="00B42BCE" w:rsidRDefault="00474239">
      <w:pPr>
        <w:pStyle w:val="BodyText"/>
        <w:spacing w:before="10"/>
        <w:rPr>
          <w:rFonts w:asciiTheme="minorHAnsi" w:hAnsiTheme="minorHAnsi" w:cstheme="minorHAnsi"/>
        </w:rPr>
      </w:pPr>
    </w:p>
    <w:p w14:paraId="24CC2DF7" w14:textId="5434FB6E" w:rsidR="00474239" w:rsidRPr="00B42BCE" w:rsidRDefault="005F2731" w:rsidP="00BB7CAB">
      <w:pPr>
        <w:pStyle w:val="BodyText"/>
        <w:ind w:left="100" w:right="5130"/>
        <w:jc w:val="both"/>
        <w:rPr>
          <w:rFonts w:asciiTheme="minorHAnsi" w:hAnsiTheme="minorHAnsi" w:cstheme="minorHAnsi"/>
        </w:rPr>
      </w:pPr>
      <w:r w:rsidRPr="00B42BCE">
        <w:rPr>
          <w:rFonts w:asciiTheme="minorHAnsi" w:hAnsiTheme="minorHAnsi" w:cstheme="minorHAnsi"/>
          <w:lang w:bidi="fr-FR"/>
        </w:rPr>
        <w:t>Les partenariats vecteurs de changements systémiques ont la capacité à transformer la façon dont le PNUD, la société civile, les gouvernements et les autres parties prenantes interagissent avec les entreprises, de manière à garantir une réalisation rapide et durable des objectifs de développement. En outre, ce type de partenariat s’appuie sur les principales compétences des différents partenaires et est conçu pour un déploiement à grande échelle et un impact à long terme. Par conséquent, de tels partenariats sont capables de produire des résultats transformateurs à l’échelle de plusieurs secteurs et zones géographiques, et de contribuer à des objectifs à la fois publics et privés en faisant évoluer les politiques, la structure des marchés et/ou les normes sociales. Compte tenu de leur fort impact, les partenariats vecteurs de changements systémiques peuvent prendre appui sur des éléments qui ont déjà fait leurs preuves dans le cadre d’autres types de partenariats.</w:t>
      </w:r>
    </w:p>
    <w:p w14:paraId="1304ACBA" w14:textId="77777777" w:rsidR="00880C31" w:rsidRDefault="00880C31">
      <w:pPr>
        <w:rPr>
          <w:rFonts w:asciiTheme="minorHAnsi" w:hAnsiTheme="minorHAnsi" w:cstheme="minorHAnsi"/>
          <w:lang w:bidi="fr-FR"/>
        </w:rPr>
      </w:pPr>
      <w:r>
        <w:rPr>
          <w:rFonts w:asciiTheme="minorHAnsi" w:hAnsiTheme="minorHAnsi" w:cstheme="minorHAnsi"/>
          <w:lang w:bidi="fr-FR"/>
        </w:rPr>
        <w:br w:type="page"/>
      </w:r>
    </w:p>
    <w:p w14:paraId="24CC2DF9" w14:textId="54607210" w:rsidR="00474239" w:rsidRPr="00B42BCE" w:rsidRDefault="005F2731">
      <w:pPr>
        <w:pStyle w:val="BodyText"/>
        <w:spacing w:before="75" w:line="252" w:lineRule="exact"/>
        <w:ind w:left="100"/>
        <w:jc w:val="both"/>
        <w:rPr>
          <w:rFonts w:asciiTheme="minorHAnsi" w:hAnsiTheme="minorHAnsi" w:cstheme="minorHAnsi"/>
        </w:rPr>
      </w:pPr>
      <w:r w:rsidRPr="00B42BCE">
        <w:rPr>
          <w:rFonts w:asciiTheme="minorHAnsi" w:hAnsiTheme="minorHAnsi" w:cstheme="minorHAnsi"/>
          <w:lang w:bidi="fr-FR"/>
        </w:rPr>
        <w:lastRenderedPageBreak/>
        <w:t>Un partenariat vecteur de changements systémiques se définit selon les critères suivants :</w:t>
      </w:r>
    </w:p>
    <w:p w14:paraId="24CC2DFA" w14:textId="2589F0BC" w:rsidR="00474239" w:rsidRPr="00B42BCE" w:rsidRDefault="005F2731">
      <w:pPr>
        <w:pStyle w:val="ListParagraph"/>
        <w:numPr>
          <w:ilvl w:val="1"/>
          <w:numId w:val="1"/>
        </w:numPr>
        <w:tabs>
          <w:tab w:val="left" w:pos="821"/>
        </w:tabs>
        <w:ind w:right="138"/>
        <w:jc w:val="both"/>
        <w:rPr>
          <w:rFonts w:asciiTheme="minorHAnsi" w:hAnsiTheme="minorHAnsi" w:cstheme="minorHAnsi"/>
        </w:rPr>
      </w:pPr>
      <w:r w:rsidRPr="00B42BCE">
        <w:rPr>
          <w:rFonts w:asciiTheme="minorHAnsi" w:hAnsiTheme="minorHAnsi" w:cstheme="minorHAnsi"/>
          <w:b/>
          <w:lang w:bidi="fr-FR"/>
        </w:rPr>
        <w:t>Il doit résoudre ou contribuer à résoudre un problème systémique</w:t>
      </w:r>
      <w:r w:rsidR="00B93DE9" w:rsidRPr="00B42BCE">
        <w:rPr>
          <w:rStyle w:val="FootnoteReference"/>
          <w:rFonts w:asciiTheme="minorHAnsi" w:hAnsiTheme="minorHAnsi" w:cstheme="minorHAnsi"/>
          <w:b/>
          <w:lang w:bidi="fr-FR"/>
        </w:rPr>
        <w:footnoteReference w:id="29"/>
      </w:r>
      <w:r w:rsidRPr="00B42BCE">
        <w:rPr>
          <w:rFonts w:asciiTheme="minorHAnsi" w:hAnsiTheme="minorHAnsi" w:cstheme="minorHAnsi"/>
          <w:lang w:bidi="fr-FR"/>
        </w:rPr>
        <w:t>. Un tel changement peut être le fruit d’une application efficace de règles existantes, de la mise en place de nouvelles règles, de la correction d’une défaillance du marché, d’une modification des normes comportementales ou d’une combinaison de ces différents processus.</w:t>
      </w:r>
    </w:p>
    <w:p w14:paraId="24CC2DFB" w14:textId="77777777" w:rsidR="00474239" w:rsidRPr="00B42BCE" w:rsidRDefault="005F2731">
      <w:pPr>
        <w:pStyle w:val="ListParagraph"/>
        <w:numPr>
          <w:ilvl w:val="1"/>
          <w:numId w:val="1"/>
        </w:numPr>
        <w:tabs>
          <w:tab w:val="left" w:pos="821"/>
        </w:tabs>
        <w:ind w:right="134"/>
        <w:jc w:val="both"/>
        <w:rPr>
          <w:rFonts w:asciiTheme="minorHAnsi" w:hAnsiTheme="minorHAnsi" w:cstheme="minorHAnsi"/>
        </w:rPr>
      </w:pPr>
      <w:r w:rsidRPr="00B42BCE">
        <w:rPr>
          <w:rFonts w:asciiTheme="minorHAnsi" w:hAnsiTheme="minorHAnsi" w:cstheme="minorHAnsi"/>
          <w:b/>
          <w:lang w:bidi="fr-FR"/>
        </w:rPr>
        <w:t>Il doit mobiliser un ensemble de parties prenantes adéquat.</w:t>
      </w:r>
      <w:r w:rsidRPr="00B42BCE">
        <w:rPr>
          <w:rFonts w:asciiTheme="minorHAnsi" w:hAnsiTheme="minorHAnsi" w:cstheme="minorHAnsi"/>
          <w:lang w:bidi="fr-FR"/>
        </w:rPr>
        <w:t xml:space="preserve"> Lorsqu’un partenariat entend apporter une solution à grande échelle à des problèmes systémiques, il doit faire appel à l’ensemble des parties prenantes concernées au sein du système des Nations Unies, du secteur privé, des services publics, du milieu universitaire et de la société civile, que ce soit en qualité de partenaire à part entière ou à des fins de conseil.</w:t>
      </w:r>
    </w:p>
    <w:p w14:paraId="24CC2DFC" w14:textId="77777777" w:rsidR="00474239" w:rsidRPr="00B42BCE" w:rsidRDefault="005F2731">
      <w:pPr>
        <w:pStyle w:val="ListParagraph"/>
        <w:numPr>
          <w:ilvl w:val="1"/>
          <w:numId w:val="1"/>
        </w:numPr>
        <w:tabs>
          <w:tab w:val="left" w:pos="821"/>
        </w:tabs>
        <w:ind w:right="139"/>
        <w:jc w:val="both"/>
        <w:rPr>
          <w:rFonts w:asciiTheme="minorHAnsi" w:hAnsiTheme="minorHAnsi" w:cstheme="minorHAnsi"/>
        </w:rPr>
      </w:pPr>
      <w:r w:rsidRPr="00B42BCE">
        <w:rPr>
          <w:rFonts w:asciiTheme="minorHAnsi" w:hAnsiTheme="minorHAnsi" w:cstheme="minorHAnsi"/>
          <w:b/>
          <w:lang w:bidi="fr-FR"/>
        </w:rPr>
        <w:t>Il doit tirer parti des compétences fondamentales de chaque partenaire</w:t>
      </w:r>
      <w:r w:rsidRPr="00B42BCE">
        <w:rPr>
          <w:rFonts w:asciiTheme="minorHAnsi" w:hAnsiTheme="minorHAnsi" w:cstheme="minorHAnsi"/>
          <w:lang w:bidi="fr-FR"/>
        </w:rPr>
        <w:t>, qu’il s’agisse de la capacité à fédérer, de la mobilisation de ressources, de l’ancrage local, de l’expertise technique, du réseau de distribution, etc., de manière à traiter le problème systémique à tous les niveaux de la chaîne de valeur.</w:t>
      </w:r>
    </w:p>
    <w:p w14:paraId="24CC2DFD" w14:textId="77777777" w:rsidR="00474239" w:rsidRPr="00B42BCE" w:rsidRDefault="005F2731">
      <w:pPr>
        <w:pStyle w:val="ListParagraph"/>
        <w:numPr>
          <w:ilvl w:val="1"/>
          <w:numId w:val="1"/>
        </w:numPr>
        <w:tabs>
          <w:tab w:val="left" w:pos="821"/>
        </w:tabs>
        <w:ind w:right="136"/>
        <w:jc w:val="both"/>
        <w:rPr>
          <w:rFonts w:asciiTheme="minorHAnsi" w:hAnsiTheme="minorHAnsi" w:cstheme="minorHAnsi"/>
        </w:rPr>
      </w:pPr>
      <w:r w:rsidRPr="00B42BCE">
        <w:rPr>
          <w:rFonts w:asciiTheme="minorHAnsi" w:hAnsiTheme="minorHAnsi" w:cstheme="minorHAnsi"/>
          <w:lang w:bidi="fr-FR"/>
        </w:rPr>
        <w:t xml:space="preserve">Un partenariat vecteur de changements systémiques doit </w:t>
      </w:r>
      <w:r w:rsidRPr="00B42BCE">
        <w:rPr>
          <w:rFonts w:asciiTheme="minorHAnsi" w:hAnsiTheme="minorHAnsi" w:cstheme="minorHAnsi"/>
          <w:b/>
          <w:lang w:bidi="fr-FR"/>
        </w:rPr>
        <w:t>être capable de produire des résultats durables à grande échelle</w:t>
      </w:r>
      <w:r w:rsidRPr="00B42BCE">
        <w:rPr>
          <w:rFonts w:asciiTheme="minorHAnsi" w:hAnsiTheme="minorHAnsi" w:cstheme="minorHAnsi"/>
          <w:lang w:bidi="fr-FR"/>
        </w:rPr>
        <w:t>. Les interventions concernées sont conçues pour transformer les dynamiques du marché et le comportement des consommateurs.</w:t>
      </w:r>
    </w:p>
    <w:p w14:paraId="24CC2DFE" w14:textId="77777777" w:rsidR="00474239" w:rsidRPr="00B42BCE" w:rsidRDefault="00474239">
      <w:pPr>
        <w:pStyle w:val="BodyText"/>
        <w:spacing w:before="11"/>
        <w:rPr>
          <w:rFonts w:asciiTheme="minorHAnsi" w:hAnsiTheme="minorHAnsi" w:cstheme="minorHAnsi"/>
        </w:rPr>
      </w:pPr>
    </w:p>
    <w:p w14:paraId="24CC2DFF" w14:textId="77777777" w:rsidR="00474239" w:rsidRPr="00B42BCE" w:rsidRDefault="005F2731">
      <w:pPr>
        <w:pStyle w:val="BodyText"/>
        <w:ind w:left="100"/>
        <w:rPr>
          <w:rFonts w:asciiTheme="minorHAnsi" w:hAnsiTheme="minorHAnsi" w:cstheme="minorHAnsi"/>
        </w:rPr>
      </w:pPr>
      <w:r w:rsidRPr="00B42BCE">
        <w:rPr>
          <w:rFonts w:asciiTheme="minorHAnsi" w:hAnsiTheme="minorHAnsi" w:cstheme="minorHAnsi"/>
          <w:lang w:bidi="fr-FR"/>
        </w:rPr>
        <w:t>Bien que le déploiement et le développement des partenariats vecteurs de changements systémiques demeurent modestes, le PNUD peut favoriser l’obtention de tels changements à travers des actions telles que :</w:t>
      </w:r>
    </w:p>
    <w:p w14:paraId="24CC2E00" w14:textId="77777777" w:rsidR="00474239" w:rsidRPr="00B42BCE" w:rsidRDefault="005F2731" w:rsidP="00AC60AE">
      <w:pPr>
        <w:pStyle w:val="ListParagraph"/>
        <w:numPr>
          <w:ilvl w:val="1"/>
          <w:numId w:val="1"/>
        </w:numPr>
        <w:tabs>
          <w:tab w:val="left" w:pos="820"/>
          <w:tab w:val="left" w:pos="821"/>
        </w:tabs>
        <w:ind w:right="137"/>
        <w:jc w:val="both"/>
        <w:rPr>
          <w:rFonts w:asciiTheme="minorHAnsi" w:hAnsiTheme="minorHAnsi" w:cstheme="minorHAnsi"/>
        </w:rPr>
      </w:pPr>
      <w:r w:rsidRPr="00B42BCE">
        <w:rPr>
          <w:rFonts w:asciiTheme="minorHAnsi" w:hAnsiTheme="minorHAnsi" w:cstheme="minorHAnsi"/>
          <w:b/>
          <w:lang w:bidi="fr-FR"/>
        </w:rPr>
        <w:t>le rassemblement des entreprises</w:t>
      </w:r>
      <w:r w:rsidRPr="00B42BCE">
        <w:rPr>
          <w:rFonts w:asciiTheme="minorHAnsi" w:hAnsiTheme="minorHAnsi" w:cstheme="minorHAnsi"/>
          <w:lang w:bidi="fr-FR"/>
        </w:rPr>
        <w:t>, de la société civile et des gouvernements pour l’élaboration de solutions participatives aux problèmes systémiques ;</w:t>
      </w:r>
    </w:p>
    <w:p w14:paraId="24CC2E01" w14:textId="77777777" w:rsidR="00474239" w:rsidRPr="00B42BCE" w:rsidRDefault="005F2731" w:rsidP="00AC60AE">
      <w:pPr>
        <w:pStyle w:val="ListParagraph"/>
        <w:numPr>
          <w:ilvl w:val="1"/>
          <w:numId w:val="1"/>
        </w:numPr>
        <w:tabs>
          <w:tab w:val="left" w:pos="820"/>
          <w:tab w:val="left" w:pos="821"/>
        </w:tabs>
        <w:spacing w:line="269" w:lineRule="exact"/>
        <w:ind w:hanging="361"/>
        <w:jc w:val="both"/>
        <w:rPr>
          <w:rFonts w:asciiTheme="minorHAnsi" w:hAnsiTheme="minorHAnsi" w:cstheme="minorHAnsi"/>
        </w:rPr>
      </w:pPr>
      <w:r w:rsidRPr="00B42BCE">
        <w:rPr>
          <w:rFonts w:asciiTheme="minorHAnsi" w:hAnsiTheme="minorHAnsi" w:cstheme="minorHAnsi"/>
          <w:lang w:bidi="fr-FR"/>
        </w:rPr>
        <w:t>la promotion des initiatives vectrices de changements systémiques et l’</w:t>
      </w:r>
      <w:r w:rsidRPr="00B42BCE">
        <w:rPr>
          <w:rFonts w:asciiTheme="minorHAnsi" w:hAnsiTheme="minorHAnsi" w:cstheme="minorHAnsi"/>
          <w:b/>
          <w:lang w:bidi="fr-FR"/>
        </w:rPr>
        <w:t>incitation des principaux acteurs</w:t>
      </w:r>
      <w:r w:rsidRPr="00B42BCE">
        <w:rPr>
          <w:rFonts w:asciiTheme="minorHAnsi" w:hAnsiTheme="minorHAnsi" w:cstheme="minorHAnsi"/>
          <w:lang w:bidi="fr-FR"/>
        </w:rPr>
        <w:t xml:space="preserve"> à rechercher de nouveaux partenaires ;</w:t>
      </w:r>
    </w:p>
    <w:p w14:paraId="24CC2E02" w14:textId="77777777" w:rsidR="00474239" w:rsidRPr="00B42BCE" w:rsidRDefault="005F2731" w:rsidP="00AC60AE">
      <w:pPr>
        <w:pStyle w:val="ListParagraph"/>
        <w:numPr>
          <w:ilvl w:val="1"/>
          <w:numId w:val="1"/>
        </w:numPr>
        <w:tabs>
          <w:tab w:val="left" w:pos="820"/>
          <w:tab w:val="left" w:pos="821"/>
        </w:tabs>
        <w:ind w:right="138"/>
        <w:jc w:val="both"/>
        <w:rPr>
          <w:rFonts w:asciiTheme="minorHAnsi" w:hAnsiTheme="minorHAnsi" w:cstheme="minorHAnsi"/>
        </w:rPr>
      </w:pPr>
      <w:r w:rsidRPr="00B42BCE">
        <w:rPr>
          <w:rFonts w:asciiTheme="minorHAnsi" w:hAnsiTheme="minorHAnsi" w:cstheme="minorHAnsi"/>
          <w:lang w:bidi="fr-FR"/>
        </w:rPr>
        <w:t xml:space="preserve">le soutien au </w:t>
      </w:r>
      <w:r w:rsidRPr="00B42BCE">
        <w:rPr>
          <w:rFonts w:asciiTheme="minorHAnsi" w:hAnsiTheme="minorHAnsi" w:cstheme="minorHAnsi"/>
          <w:b/>
          <w:lang w:bidi="fr-FR"/>
        </w:rPr>
        <w:t>renforcement des cadres stratégiques et institutionnels</w:t>
      </w:r>
      <w:r w:rsidRPr="00B42BCE">
        <w:rPr>
          <w:rFonts w:asciiTheme="minorHAnsi" w:hAnsiTheme="minorHAnsi" w:cstheme="minorHAnsi"/>
          <w:lang w:bidi="fr-FR"/>
        </w:rPr>
        <w:t>, en lien avec le thème ou le problème central du partenariat ;</w:t>
      </w:r>
    </w:p>
    <w:p w14:paraId="24CC2E03" w14:textId="77777777" w:rsidR="00474239" w:rsidRPr="00B42BCE" w:rsidRDefault="005F2731" w:rsidP="00AC60AE">
      <w:pPr>
        <w:pStyle w:val="ListParagraph"/>
        <w:numPr>
          <w:ilvl w:val="1"/>
          <w:numId w:val="1"/>
        </w:numPr>
        <w:tabs>
          <w:tab w:val="left" w:pos="820"/>
          <w:tab w:val="left" w:pos="821"/>
        </w:tabs>
        <w:ind w:right="137"/>
        <w:jc w:val="both"/>
        <w:rPr>
          <w:rFonts w:asciiTheme="minorHAnsi" w:hAnsiTheme="minorHAnsi" w:cstheme="minorHAnsi"/>
        </w:rPr>
      </w:pPr>
      <w:r w:rsidRPr="00B42BCE">
        <w:rPr>
          <w:rFonts w:asciiTheme="minorHAnsi" w:hAnsiTheme="minorHAnsi" w:cstheme="minorHAnsi"/>
          <w:lang w:bidi="fr-FR"/>
        </w:rPr>
        <w:t xml:space="preserve">l’appui aux </w:t>
      </w:r>
      <w:r w:rsidRPr="00B42BCE">
        <w:rPr>
          <w:rFonts w:asciiTheme="minorHAnsi" w:hAnsiTheme="minorHAnsi" w:cstheme="minorHAnsi"/>
          <w:b/>
          <w:lang w:bidi="fr-FR"/>
        </w:rPr>
        <w:t>programmes de renforcement des capacités</w:t>
      </w:r>
      <w:r w:rsidRPr="00B42BCE">
        <w:rPr>
          <w:rFonts w:asciiTheme="minorHAnsi" w:hAnsiTheme="minorHAnsi" w:cstheme="minorHAnsi"/>
          <w:lang w:bidi="fr-FR"/>
        </w:rPr>
        <w:t xml:space="preserve"> et la coordination des transferts d’expertise et de technologies ;</w:t>
      </w:r>
    </w:p>
    <w:p w14:paraId="24CC2E04" w14:textId="77777777" w:rsidR="00474239" w:rsidRPr="00B42BCE" w:rsidRDefault="005F2731" w:rsidP="00AC60AE">
      <w:pPr>
        <w:pStyle w:val="ListParagraph"/>
        <w:numPr>
          <w:ilvl w:val="1"/>
          <w:numId w:val="1"/>
        </w:numPr>
        <w:tabs>
          <w:tab w:val="left" w:pos="820"/>
          <w:tab w:val="left" w:pos="821"/>
        </w:tabs>
        <w:ind w:hanging="361"/>
        <w:jc w:val="both"/>
        <w:rPr>
          <w:rFonts w:asciiTheme="minorHAnsi" w:hAnsiTheme="minorHAnsi" w:cstheme="minorHAnsi"/>
        </w:rPr>
      </w:pPr>
      <w:r w:rsidRPr="00B42BCE">
        <w:rPr>
          <w:rFonts w:asciiTheme="minorHAnsi" w:hAnsiTheme="minorHAnsi" w:cstheme="minorHAnsi"/>
          <w:lang w:bidi="fr-FR"/>
        </w:rPr>
        <w:t>la</w:t>
      </w:r>
      <w:r w:rsidRPr="00B42BCE">
        <w:rPr>
          <w:rFonts w:asciiTheme="minorHAnsi" w:hAnsiTheme="minorHAnsi" w:cstheme="minorHAnsi"/>
          <w:b/>
          <w:lang w:bidi="fr-FR"/>
        </w:rPr>
        <w:t xml:space="preserve"> mobilisation de fonds publics et privés </w:t>
      </w:r>
      <w:r w:rsidRPr="00B42BCE">
        <w:rPr>
          <w:rFonts w:asciiTheme="minorHAnsi" w:hAnsiTheme="minorHAnsi" w:cstheme="minorHAnsi"/>
          <w:lang w:bidi="fr-FR"/>
        </w:rPr>
        <w:t>à des fins de transformation des marchés.</w:t>
      </w:r>
    </w:p>
    <w:p w14:paraId="24CC2E05" w14:textId="77777777" w:rsidR="00474239" w:rsidRPr="00B42BCE" w:rsidRDefault="00474239">
      <w:pPr>
        <w:pStyle w:val="BodyText"/>
        <w:rPr>
          <w:rFonts w:asciiTheme="minorHAnsi" w:hAnsiTheme="minorHAnsi" w:cstheme="minorHAnsi"/>
        </w:rPr>
      </w:pPr>
    </w:p>
    <w:p w14:paraId="24CC2E06" w14:textId="77777777" w:rsidR="00474239" w:rsidRPr="00B42BCE" w:rsidRDefault="00474239">
      <w:pPr>
        <w:pStyle w:val="BodyText"/>
        <w:rPr>
          <w:rFonts w:asciiTheme="minorHAnsi" w:hAnsiTheme="minorHAnsi" w:cstheme="minorHAnsi"/>
        </w:rPr>
      </w:pPr>
    </w:p>
    <w:p w14:paraId="24CC2E07" w14:textId="77777777" w:rsidR="00474239" w:rsidRPr="00B42BCE" w:rsidRDefault="00474239">
      <w:pPr>
        <w:pStyle w:val="BodyText"/>
        <w:rPr>
          <w:rFonts w:asciiTheme="minorHAnsi" w:hAnsiTheme="minorHAnsi" w:cstheme="minorHAnsi"/>
        </w:rPr>
      </w:pPr>
    </w:p>
    <w:p w14:paraId="24CC2E08" w14:textId="77777777" w:rsidR="00474239" w:rsidRPr="00B42BCE" w:rsidRDefault="00474239">
      <w:pPr>
        <w:pStyle w:val="BodyText"/>
        <w:rPr>
          <w:rFonts w:asciiTheme="minorHAnsi" w:hAnsiTheme="minorHAnsi" w:cstheme="minorHAnsi"/>
        </w:rPr>
      </w:pPr>
    </w:p>
    <w:p w14:paraId="24CC2E09" w14:textId="77777777" w:rsidR="00474239" w:rsidRPr="00B42BCE" w:rsidRDefault="00474239">
      <w:pPr>
        <w:pStyle w:val="BodyText"/>
        <w:rPr>
          <w:rFonts w:asciiTheme="minorHAnsi" w:hAnsiTheme="minorHAnsi" w:cstheme="minorHAnsi"/>
        </w:rPr>
      </w:pPr>
    </w:p>
    <w:p w14:paraId="24CC2E22" w14:textId="5D6C27E3" w:rsidR="00474239" w:rsidRPr="00B42BCE" w:rsidRDefault="00474239">
      <w:pPr>
        <w:pStyle w:val="BodyText"/>
        <w:rPr>
          <w:rFonts w:asciiTheme="minorHAnsi" w:hAnsiTheme="minorHAnsi" w:cstheme="minorHAnsi"/>
        </w:rPr>
      </w:pPr>
    </w:p>
    <w:p w14:paraId="6041CEF8" w14:textId="77777777" w:rsidR="0092294E" w:rsidRPr="00B42BCE" w:rsidRDefault="0092294E">
      <w:pPr>
        <w:pStyle w:val="BodyText"/>
        <w:rPr>
          <w:rFonts w:asciiTheme="minorHAnsi" w:hAnsiTheme="minorHAnsi" w:cstheme="minorHAnsi"/>
        </w:rPr>
      </w:pPr>
    </w:p>
    <w:p w14:paraId="4958C8A3" w14:textId="77777777" w:rsidR="0092294E" w:rsidRPr="00B42BCE" w:rsidRDefault="0092294E" w:rsidP="0092294E">
      <w:pPr>
        <w:shd w:val="clear" w:color="auto" w:fill="FFFFFF" w:themeFill="background1"/>
        <w:spacing w:before="120" w:after="120" w:line="276" w:lineRule="auto"/>
        <w:jc w:val="both"/>
        <w:textAlignment w:val="top"/>
        <w:rPr>
          <w:rFonts w:asciiTheme="minorHAnsi" w:hAnsiTheme="minorHAnsi" w:cstheme="minorHAnsi"/>
          <w:sz w:val="28"/>
          <w:szCs w:val="28"/>
        </w:rPr>
      </w:pPr>
    </w:p>
    <w:p w14:paraId="59A64796" w14:textId="77777777" w:rsidR="0092294E" w:rsidRPr="00B42BCE" w:rsidRDefault="0092294E" w:rsidP="0092294E">
      <w:pPr>
        <w:shd w:val="clear" w:color="auto" w:fill="FFFFFF" w:themeFill="background1"/>
        <w:spacing w:before="120" w:after="120" w:line="276" w:lineRule="auto"/>
        <w:jc w:val="both"/>
        <w:textAlignment w:val="top"/>
        <w:rPr>
          <w:rFonts w:asciiTheme="minorHAnsi" w:hAnsiTheme="minorHAnsi" w:cstheme="minorHAnsi"/>
          <w:sz w:val="28"/>
          <w:szCs w:val="28"/>
        </w:rPr>
      </w:pPr>
    </w:p>
    <w:p w14:paraId="4074DD8D" w14:textId="77777777" w:rsidR="0092294E" w:rsidRPr="00B42BCE" w:rsidRDefault="0092294E" w:rsidP="0092294E">
      <w:pPr>
        <w:shd w:val="clear" w:color="auto" w:fill="FFFFFF"/>
        <w:spacing w:line="270" w:lineRule="atLeast"/>
        <w:rPr>
          <w:rFonts w:asciiTheme="minorHAnsi" w:hAnsiTheme="minorHAnsi" w:cstheme="minorHAnsi"/>
          <w:i/>
          <w:iCs/>
          <w:color w:val="000000"/>
          <w:sz w:val="21"/>
          <w:lang w:val="en-GB"/>
        </w:rPr>
      </w:pPr>
      <w:r w:rsidRPr="00B42BCE">
        <w:rPr>
          <w:rFonts w:asciiTheme="minorHAnsi" w:hAnsiTheme="minorHAnsi" w:cstheme="minorHAnsi"/>
          <w:b/>
          <w:bCs/>
          <w:i/>
          <w:iCs/>
          <w:color w:val="000000"/>
          <w:sz w:val="21"/>
          <w:lang w:val="en-GB"/>
        </w:rPr>
        <w:t>Disclaimer: </w:t>
      </w:r>
      <w:r w:rsidRPr="00B42BCE">
        <w:rPr>
          <w:rFonts w:asciiTheme="minorHAnsi" w:hAnsiTheme="minorHAnsi" w:cstheme="minorHAnsi"/>
          <w:i/>
          <w:iCs/>
          <w:color w:val="000000"/>
          <w:sz w:val="21"/>
          <w:lang w:val="en-GB"/>
        </w:rPr>
        <w:t xml:space="preserve">This document was translated from English into French. In the event of any discrepancy between this translation and the original English document, the original English document shall prevail. </w:t>
      </w:r>
    </w:p>
    <w:p w14:paraId="5545C734" w14:textId="77777777" w:rsidR="0092294E" w:rsidRPr="00B42BCE" w:rsidRDefault="0092294E" w:rsidP="0092294E">
      <w:pPr>
        <w:shd w:val="clear" w:color="auto" w:fill="FFFFFF"/>
        <w:spacing w:line="270" w:lineRule="atLeast"/>
        <w:rPr>
          <w:rFonts w:asciiTheme="minorHAnsi" w:hAnsiTheme="minorHAnsi" w:cstheme="minorHAnsi"/>
          <w:i/>
          <w:iCs/>
          <w:color w:val="000000"/>
          <w:sz w:val="21"/>
          <w:lang w:val="en-GB"/>
        </w:rPr>
      </w:pPr>
    </w:p>
    <w:p w14:paraId="5E6431ED" w14:textId="77777777" w:rsidR="0092294E" w:rsidRPr="00B42BCE" w:rsidRDefault="0092294E" w:rsidP="0092294E">
      <w:pPr>
        <w:shd w:val="clear" w:color="auto" w:fill="FFFFFF"/>
        <w:spacing w:line="270" w:lineRule="atLeast"/>
        <w:rPr>
          <w:rFonts w:asciiTheme="minorHAnsi" w:hAnsiTheme="minorHAnsi" w:cstheme="minorHAnsi"/>
          <w:i/>
          <w:iCs/>
          <w:color w:val="000000"/>
          <w:sz w:val="21"/>
        </w:rPr>
      </w:pPr>
      <w:r w:rsidRPr="00B42BCE">
        <w:rPr>
          <w:rFonts w:asciiTheme="minorHAnsi" w:hAnsiTheme="minorHAnsi" w:cstheme="minorHAnsi"/>
          <w:b/>
          <w:bCs/>
          <w:i/>
          <w:iCs/>
          <w:color w:val="000000"/>
          <w:sz w:val="21"/>
        </w:rPr>
        <w:t>Attention: </w:t>
      </w:r>
      <w:r w:rsidRPr="00B42BCE">
        <w:rPr>
          <w:rFonts w:asciiTheme="minorHAnsi" w:hAnsiTheme="minorHAnsi" w:cstheme="minorHAnsi"/>
          <w:i/>
          <w:iCs/>
          <w:color w:val="000000"/>
          <w:sz w:val="21"/>
        </w:rPr>
        <w:t>En cas de divergence entre les textes français et anglais de cette politique, le texte anglais fait foi, sauf disposition expresse écrite contraire.</w:t>
      </w:r>
    </w:p>
    <w:sectPr w:rsidR="0092294E" w:rsidRPr="00B42BCE" w:rsidSect="00EE2173">
      <w:pgSz w:w="11910" w:h="16840"/>
      <w:pgMar w:top="1340" w:right="1300" w:bottom="1440" w:left="1340" w:header="270" w:footer="1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1B87" w14:textId="77777777" w:rsidR="00EE2173" w:rsidRDefault="00EE2173">
      <w:r>
        <w:separator/>
      </w:r>
    </w:p>
  </w:endnote>
  <w:endnote w:type="continuationSeparator" w:id="0">
    <w:p w14:paraId="566E78AD" w14:textId="77777777" w:rsidR="00EE2173" w:rsidRDefault="00EE2173">
      <w:r>
        <w:continuationSeparator/>
      </w:r>
    </w:p>
  </w:endnote>
  <w:endnote w:type="continuationNotice" w:id="1">
    <w:p w14:paraId="2E90651E" w14:textId="77777777" w:rsidR="00EE2173" w:rsidRDefault="00EE2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850591044"/>
      <w:docPartObj>
        <w:docPartGallery w:val="Page Numbers (Top of Page)"/>
        <w:docPartUnique/>
      </w:docPartObj>
    </w:sdtPr>
    <w:sdtContent>
      <w:p w14:paraId="6A72A555" w14:textId="42751720" w:rsidR="00964FC8" w:rsidRDefault="00964FC8" w:rsidP="00964FC8">
        <w:pPr>
          <w:pStyle w:val="Footer"/>
          <w:rPr>
            <w:rFonts w:asciiTheme="minorHAnsi" w:hAnsiTheme="minorHAnsi" w:cstheme="minorHAnsi"/>
          </w:rPr>
        </w:pPr>
        <w:r w:rsidRPr="00827ACC">
          <w:rPr>
            <w:lang w:bidi="fr-FR"/>
          </w:rPr>
          <w:t xml:space="preserve">Page </w:t>
        </w:r>
        <w:r w:rsidRPr="00827ACC">
          <w:rPr>
            <w:b/>
            <w:lang w:bidi="fr-FR"/>
          </w:rPr>
          <w:fldChar w:fldCharType="begin"/>
        </w:r>
        <w:r w:rsidRPr="00827ACC">
          <w:rPr>
            <w:b/>
            <w:lang w:bidi="fr-FR"/>
          </w:rPr>
          <w:instrText xml:space="preserve"> PAGE </w:instrText>
        </w:r>
        <w:r w:rsidRPr="00827ACC">
          <w:rPr>
            <w:b/>
            <w:lang w:bidi="fr-FR"/>
          </w:rPr>
          <w:fldChar w:fldCharType="separate"/>
        </w:r>
        <w:r>
          <w:rPr>
            <w:b/>
            <w:lang w:bidi="fr-FR"/>
          </w:rPr>
          <w:t>4</w:t>
        </w:r>
        <w:r w:rsidRPr="00827ACC">
          <w:rPr>
            <w:b/>
            <w:lang w:bidi="fr-FR"/>
          </w:rPr>
          <w:fldChar w:fldCharType="end"/>
        </w:r>
        <w:r w:rsidRPr="00827ACC">
          <w:rPr>
            <w:lang w:bidi="fr-FR"/>
          </w:rPr>
          <w:t xml:space="preserve"> sur </w:t>
        </w:r>
        <w:r w:rsidRPr="00827ACC">
          <w:rPr>
            <w:b/>
            <w:lang w:bidi="fr-FR"/>
          </w:rPr>
          <w:fldChar w:fldCharType="begin"/>
        </w:r>
        <w:r w:rsidRPr="00827ACC">
          <w:rPr>
            <w:b/>
            <w:lang w:bidi="fr-FR"/>
          </w:rPr>
          <w:instrText xml:space="preserve"> NUMPAGES  </w:instrText>
        </w:r>
        <w:r w:rsidRPr="00827ACC">
          <w:rPr>
            <w:b/>
            <w:lang w:bidi="fr-FR"/>
          </w:rPr>
          <w:fldChar w:fldCharType="separate"/>
        </w:r>
        <w:r>
          <w:rPr>
            <w:b/>
            <w:lang w:bidi="fr-FR"/>
          </w:rPr>
          <w:t>28</w:t>
        </w:r>
        <w:r w:rsidRPr="00827ACC">
          <w:rPr>
            <w:b/>
            <w:lang w:bidi="fr-FR"/>
          </w:rPr>
          <w:fldChar w:fldCharType="end"/>
        </w:r>
        <w:r w:rsidRPr="00827ACC">
          <w:rPr>
            <w:lang w:bidi="fr-FR"/>
          </w:rPr>
          <w:t xml:space="preserve">                    Date d’entrée en vigueur :</w:t>
        </w:r>
        <w:r w:rsidR="00B42BCE">
          <w:rPr>
            <w:lang w:bidi="fr-FR"/>
          </w:rPr>
          <w:t xml:space="preserve"> </w:t>
        </w:r>
        <w:r w:rsidR="00194F0D">
          <w:rPr>
            <w:lang w:bidi="fr-FR"/>
          </w:rPr>
          <w:t>1</w:t>
        </w:r>
        <w:r w:rsidR="000002CF">
          <w:rPr>
            <w:lang w:bidi="fr-FR"/>
          </w:rPr>
          <w:t>/11/2023</w:t>
        </w:r>
        <w:r w:rsidRPr="00827ACC">
          <w:rPr>
            <w:lang w:bidi="fr-FR"/>
          </w:rPr>
          <w:t xml:space="preserve">                </w:t>
        </w:r>
        <w:r w:rsidRPr="00827ACC">
          <w:rPr>
            <w:lang w:bidi="fr-FR"/>
          </w:rPr>
          <w:tab/>
          <w:t>Version n</w:t>
        </w:r>
        <w:r w:rsidRPr="00827ACC">
          <w:rPr>
            <w:vertAlign w:val="superscript"/>
            <w:lang w:bidi="fr-FR"/>
          </w:rPr>
          <w:t>o</w:t>
        </w:r>
        <w:r w:rsidRPr="00827ACC">
          <w:rPr>
            <w:lang w:bidi="fr-FR"/>
          </w:rPr>
          <w:t> :</w:t>
        </w:r>
        <w:r w:rsidR="00B42BCE">
          <w:rPr>
            <w:lang w:bidi="fr-FR"/>
          </w:rPr>
          <w:t> </w:t>
        </w:r>
        <w:r w:rsidR="006B1CA1">
          <w:rPr>
            <w:lang w:bidi="fr-FR"/>
          </w:rPr>
          <w:t>3</w:t>
        </w:r>
      </w:p>
    </w:sdtContent>
  </w:sdt>
  <w:p w14:paraId="177EB96F" w14:textId="77777777" w:rsidR="00964FC8" w:rsidRDefault="00964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521393931"/>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1EF76ACC" w14:textId="37A11A2A" w:rsidR="00C32F9D" w:rsidRPr="00880C31" w:rsidRDefault="00C32F9D" w:rsidP="00827ACC">
            <w:pPr>
              <w:pStyle w:val="Footer"/>
              <w:rPr>
                <w:rFonts w:asciiTheme="minorHAnsi" w:hAnsiTheme="minorHAnsi" w:cstheme="minorHAnsi"/>
              </w:rPr>
            </w:pPr>
            <w:r w:rsidRPr="00880C31">
              <w:rPr>
                <w:rFonts w:asciiTheme="minorHAnsi" w:hAnsiTheme="minorHAnsi" w:cstheme="minorHAnsi"/>
                <w:lang w:bidi="fr-FR"/>
              </w:rPr>
              <w:t xml:space="preserve">Page </w:t>
            </w:r>
            <w:r w:rsidRPr="00880C31">
              <w:rPr>
                <w:rFonts w:asciiTheme="minorHAnsi" w:hAnsiTheme="minorHAnsi" w:cstheme="minorHAnsi"/>
                <w:b/>
                <w:lang w:bidi="fr-FR"/>
              </w:rPr>
              <w:fldChar w:fldCharType="begin"/>
            </w:r>
            <w:r w:rsidRPr="00880C31">
              <w:rPr>
                <w:rFonts w:asciiTheme="minorHAnsi" w:hAnsiTheme="minorHAnsi" w:cstheme="minorHAnsi"/>
                <w:b/>
                <w:lang w:bidi="fr-FR"/>
              </w:rPr>
              <w:instrText xml:space="preserve"> PAGE </w:instrText>
            </w:r>
            <w:r w:rsidRPr="00880C31">
              <w:rPr>
                <w:rFonts w:asciiTheme="minorHAnsi" w:hAnsiTheme="minorHAnsi" w:cstheme="minorHAnsi"/>
                <w:b/>
                <w:lang w:bidi="fr-FR"/>
              </w:rPr>
              <w:fldChar w:fldCharType="separate"/>
            </w:r>
            <w:r w:rsidRPr="00880C31">
              <w:rPr>
                <w:rFonts w:asciiTheme="minorHAnsi" w:hAnsiTheme="minorHAnsi" w:cstheme="minorHAnsi"/>
                <w:b/>
                <w:noProof/>
                <w:lang w:bidi="fr-FR"/>
              </w:rPr>
              <w:t>2</w:t>
            </w:r>
            <w:r w:rsidRPr="00880C31">
              <w:rPr>
                <w:rFonts w:asciiTheme="minorHAnsi" w:hAnsiTheme="minorHAnsi" w:cstheme="minorHAnsi"/>
                <w:b/>
                <w:lang w:bidi="fr-FR"/>
              </w:rPr>
              <w:fldChar w:fldCharType="end"/>
            </w:r>
            <w:r w:rsidRPr="00880C31">
              <w:rPr>
                <w:rFonts w:asciiTheme="minorHAnsi" w:hAnsiTheme="minorHAnsi" w:cstheme="minorHAnsi"/>
                <w:lang w:bidi="fr-FR"/>
              </w:rPr>
              <w:t xml:space="preserve"> sur </w:t>
            </w:r>
            <w:r w:rsidRPr="00880C31">
              <w:rPr>
                <w:rFonts w:asciiTheme="minorHAnsi" w:hAnsiTheme="minorHAnsi" w:cstheme="minorHAnsi"/>
                <w:b/>
                <w:lang w:bidi="fr-FR"/>
              </w:rPr>
              <w:fldChar w:fldCharType="begin"/>
            </w:r>
            <w:r w:rsidRPr="00880C31">
              <w:rPr>
                <w:rFonts w:asciiTheme="minorHAnsi" w:hAnsiTheme="minorHAnsi" w:cstheme="minorHAnsi"/>
                <w:b/>
                <w:lang w:bidi="fr-FR"/>
              </w:rPr>
              <w:instrText xml:space="preserve"> NUMPAGES  </w:instrText>
            </w:r>
            <w:r w:rsidRPr="00880C31">
              <w:rPr>
                <w:rFonts w:asciiTheme="minorHAnsi" w:hAnsiTheme="minorHAnsi" w:cstheme="minorHAnsi"/>
                <w:b/>
                <w:lang w:bidi="fr-FR"/>
              </w:rPr>
              <w:fldChar w:fldCharType="separate"/>
            </w:r>
            <w:r w:rsidRPr="00880C31">
              <w:rPr>
                <w:rFonts w:asciiTheme="minorHAnsi" w:hAnsiTheme="minorHAnsi" w:cstheme="minorHAnsi"/>
                <w:b/>
                <w:noProof/>
                <w:lang w:bidi="fr-FR"/>
              </w:rPr>
              <w:t>2</w:t>
            </w:r>
            <w:r w:rsidRPr="00880C31">
              <w:rPr>
                <w:rFonts w:asciiTheme="minorHAnsi" w:hAnsiTheme="minorHAnsi" w:cstheme="minorHAnsi"/>
                <w:b/>
                <w:lang w:bidi="fr-FR"/>
              </w:rPr>
              <w:fldChar w:fldCharType="end"/>
            </w:r>
            <w:r w:rsidRPr="00880C31">
              <w:rPr>
                <w:rFonts w:asciiTheme="minorHAnsi" w:hAnsiTheme="minorHAnsi" w:cstheme="minorHAnsi"/>
                <w:lang w:bidi="fr-FR"/>
              </w:rPr>
              <w:t xml:space="preserve">                      Date d’entrée en vigueur : 11 janvier 2023                </w:t>
            </w:r>
            <w:r w:rsidRPr="00880C31">
              <w:rPr>
                <w:rFonts w:asciiTheme="minorHAnsi" w:hAnsiTheme="minorHAnsi" w:cstheme="minorHAnsi"/>
                <w:lang w:bidi="fr-FR"/>
              </w:rPr>
              <w:tab/>
            </w:r>
            <w:r w:rsidR="006B1CA1">
              <w:rPr>
                <w:rFonts w:asciiTheme="minorHAnsi" w:hAnsiTheme="minorHAnsi" w:cstheme="minorHAnsi"/>
                <w:lang w:bidi="fr-FR"/>
              </w:rPr>
              <w:t>Version no : 3</w:t>
            </w:r>
          </w:p>
        </w:sdtContent>
      </w:sdt>
    </w:sdtContent>
  </w:sdt>
  <w:p w14:paraId="24CC2E4F" w14:textId="25B7A76C" w:rsidR="00474239" w:rsidRPr="00880C31" w:rsidRDefault="00474239">
    <w:pPr>
      <w:pStyle w:val="BodyText"/>
      <w:spacing w:line="14" w:lineRule="auto"/>
      <w:rPr>
        <w:rFonts w:asciiTheme="minorHAnsi" w:hAnsiTheme="minorHAnsi" w:cs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326163210"/>
      <w:docPartObj>
        <w:docPartGallery w:val="Page Numbers (Bottom of Page)"/>
        <w:docPartUnique/>
      </w:docPartObj>
    </w:sdtPr>
    <w:sdtContent>
      <w:sdt>
        <w:sdtPr>
          <w:rPr>
            <w:rFonts w:asciiTheme="minorHAnsi" w:hAnsiTheme="minorHAnsi" w:cstheme="minorHAnsi"/>
          </w:rPr>
          <w:id w:val="-1171174209"/>
          <w:docPartObj>
            <w:docPartGallery w:val="Page Numbers (Top of Page)"/>
            <w:docPartUnique/>
          </w:docPartObj>
        </w:sdtPr>
        <w:sdtContent>
          <w:p w14:paraId="4DFC11B5" w14:textId="210DFCBF" w:rsidR="00191F0B" w:rsidRPr="00827ACC" w:rsidRDefault="00191F0B" w:rsidP="00827ACC">
            <w:pPr>
              <w:pStyle w:val="Footer"/>
              <w:rPr>
                <w:rFonts w:asciiTheme="minorHAnsi" w:hAnsiTheme="minorHAnsi" w:cstheme="minorHAnsi"/>
              </w:rPr>
            </w:pPr>
            <w:r w:rsidRPr="00827ACC">
              <w:rPr>
                <w:lang w:bidi="fr-FR"/>
              </w:rPr>
              <w:t xml:space="preserve">Page </w:t>
            </w:r>
            <w:r w:rsidRPr="00827ACC">
              <w:rPr>
                <w:b/>
                <w:lang w:bidi="fr-FR"/>
              </w:rPr>
              <w:fldChar w:fldCharType="begin"/>
            </w:r>
            <w:r w:rsidRPr="00827ACC">
              <w:rPr>
                <w:b/>
                <w:lang w:bidi="fr-FR"/>
              </w:rPr>
              <w:instrText xml:space="preserve"> PAGE </w:instrText>
            </w:r>
            <w:r w:rsidRPr="00827ACC">
              <w:rPr>
                <w:b/>
                <w:lang w:bidi="fr-FR"/>
              </w:rPr>
              <w:fldChar w:fldCharType="separate"/>
            </w:r>
            <w:r w:rsidRPr="00827ACC">
              <w:rPr>
                <w:b/>
                <w:noProof/>
                <w:lang w:bidi="fr-FR"/>
              </w:rPr>
              <w:t>2</w:t>
            </w:r>
            <w:r w:rsidRPr="00827ACC">
              <w:rPr>
                <w:b/>
                <w:lang w:bidi="fr-FR"/>
              </w:rPr>
              <w:fldChar w:fldCharType="end"/>
            </w:r>
            <w:r w:rsidRPr="00827ACC">
              <w:rPr>
                <w:lang w:bidi="fr-FR"/>
              </w:rPr>
              <w:t xml:space="preserve"> sur </w:t>
            </w:r>
            <w:r w:rsidRPr="00827ACC">
              <w:rPr>
                <w:b/>
                <w:lang w:bidi="fr-FR"/>
              </w:rPr>
              <w:fldChar w:fldCharType="begin"/>
            </w:r>
            <w:r w:rsidRPr="00827ACC">
              <w:rPr>
                <w:b/>
                <w:lang w:bidi="fr-FR"/>
              </w:rPr>
              <w:instrText xml:space="preserve"> NUMPAGES  </w:instrText>
            </w:r>
            <w:r w:rsidRPr="00827ACC">
              <w:rPr>
                <w:b/>
                <w:lang w:bidi="fr-FR"/>
              </w:rPr>
              <w:fldChar w:fldCharType="separate"/>
            </w:r>
            <w:r w:rsidRPr="00827ACC">
              <w:rPr>
                <w:b/>
                <w:noProof/>
                <w:lang w:bidi="fr-FR"/>
              </w:rPr>
              <w:t>2</w:t>
            </w:r>
            <w:r w:rsidRPr="00827ACC">
              <w:rPr>
                <w:b/>
                <w:lang w:bidi="fr-FR"/>
              </w:rPr>
              <w:fldChar w:fldCharType="end"/>
            </w:r>
            <w:r w:rsidRPr="00827ACC">
              <w:rPr>
                <w:lang w:bidi="fr-FR"/>
              </w:rPr>
              <w:t xml:space="preserve">                                         Date d’entrée en vigueur : 11 janvier 2023                         Version n</w:t>
            </w:r>
            <w:r w:rsidRPr="00827ACC">
              <w:rPr>
                <w:vertAlign w:val="superscript"/>
                <w:lang w:bidi="fr-FR"/>
              </w:rPr>
              <w:t>o</w:t>
            </w:r>
            <w:r w:rsidRPr="00827ACC">
              <w:rPr>
                <w:lang w:bidi="fr-FR"/>
              </w:rPr>
              <w:t> : 2</w:t>
            </w:r>
          </w:p>
        </w:sdtContent>
      </w:sdt>
    </w:sdtContent>
  </w:sdt>
  <w:p w14:paraId="24CC2E51" w14:textId="0B322D10" w:rsidR="00474239" w:rsidRDefault="00474239">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53588696"/>
      <w:docPartObj>
        <w:docPartGallery w:val="Page Numbers (Bottom of Page)"/>
        <w:docPartUnique/>
      </w:docPartObj>
    </w:sdtPr>
    <w:sdtContent>
      <w:sdt>
        <w:sdtPr>
          <w:rPr>
            <w:rFonts w:asciiTheme="minorHAnsi" w:hAnsiTheme="minorHAnsi" w:cstheme="minorHAnsi"/>
          </w:rPr>
          <w:id w:val="-1889492484"/>
          <w:docPartObj>
            <w:docPartGallery w:val="Page Numbers (Top of Page)"/>
            <w:docPartUnique/>
          </w:docPartObj>
        </w:sdtPr>
        <w:sdtEndPr>
          <w:rPr>
            <w:rFonts w:ascii="Times New Roman" w:hAnsi="Times New Roman" w:cs="Times New Roman"/>
            <w:sz w:val="20"/>
          </w:rPr>
        </w:sdtEndPr>
        <w:sdtContent>
          <w:p w14:paraId="47DC4B8B" w14:textId="41A9C3E7" w:rsidR="0089617F" w:rsidRPr="0089617F" w:rsidRDefault="0089617F" w:rsidP="002817DD">
            <w:pPr>
              <w:pStyle w:val="Footer"/>
              <w:rPr>
                <w:sz w:val="20"/>
              </w:rPr>
            </w:pPr>
            <w:r w:rsidRPr="002817DD">
              <w:rPr>
                <w:lang w:bidi="fr-FR"/>
              </w:rPr>
              <w:t xml:space="preserve">Page </w:t>
            </w:r>
            <w:r w:rsidRPr="002817DD">
              <w:rPr>
                <w:b/>
                <w:lang w:bidi="fr-FR"/>
              </w:rPr>
              <w:fldChar w:fldCharType="begin"/>
            </w:r>
            <w:r w:rsidRPr="002817DD">
              <w:rPr>
                <w:b/>
                <w:lang w:bidi="fr-FR"/>
              </w:rPr>
              <w:instrText xml:space="preserve"> PAGE </w:instrText>
            </w:r>
            <w:r w:rsidRPr="002817DD">
              <w:rPr>
                <w:b/>
                <w:lang w:bidi="fr-FR"/>
              </w:rPr>
              <w:fldChar w:fldCharType="separate"/>
            </w:r>
            <w:r w:rsidRPr="002817DD">
              <w:rPr>
                <w:b/>
                <w:lang w:bidi="fr-FR"/>
              </w:rPr>
              <w:t>14</w:t>
            </w:r>
            <w:r w:rsidRPr="002817DD">
              <w:rPr>
                <w:lang w:bidi="fr-FR"/>
              </w:rPr>
              <w:fldChar w:fldCharType="end"/>
            </w:r>
            <w:r w:rsidRPr="002817DD">
              <w:rPr>
                <w:lang w:bidi="fr-FR"/>
              </w:rPr>
              <w:t xml:space="preserve"> sur </w:t>
            </w:r>
            <w:r w:rsidRPr="002817DD">
              <w:rPr>
                <w:b/>
                <w:lang w:bidi="fr-FR"/>
              </w:rPr>
              <w:fldChar w:fldCharType="begin"/>
            </w:r>
            <w:r w:rsidRPr="002817DD">
              <w:rPr>
                <w:b/>
                <w:lang w:bidi="fr-FR"/>
              </w:rPr>
              <w:instrText xml:space="preserve"> NUMPAGES  </w:instrText>
            </w:r>
            <w:r w:rsidRPr="002817DD">
              <w:rPr>
                <w:b/>
                <w:lang w:bidi="fr-FR"/>
              </w:rPr>
              <w:fldChar w:fldCharType="separate"/>
            </w:r>
            <w:r w:rsidRPr="002817DD">
              <w:rPr>
                <w:b/>
                <w:lang w:bidi="fr-FR"/>
              </w:rPr>
              <w:t>24</w:t>
            </w:r>
            <w:r w:rsidRPr="002817DD">
              <w:rPr>
                <w:lang w:bidi="fr-FR"/>
              </w:rPr>
              <w:fldChar w:fldCharType="end"/>
            </w:r>
            <w:r w:rsidRPr="002817DD">
              <w:rPr>
                <w:lang w:bidi="fr-FR"/>
              </w:rPr>
              <w:t xml:space="preserve">                      Date d’entrée en vigueur : 11 janvier 2023                                                       Version n</w:t>
            </w:r>
            <w:r w:rsidRPr="002817DD">
              <w:rPr>
                <w:vertAlign w:val="superscript"/>
                <w:lang w:bidi="fr-FR"/>
              </w:rPr>
              <w:t>o</w:t>
            </w:r>
            <w:r w:rsidRPr="002817DD">
              <w:rPr>
                <w:lang w:bidi="fr-FR"/>
              </w:rPr>
              <w:t> : 2</w:t>
            </w:r>
          </w:p>
        </w:sdtContent>
      </w:sdt>
    </w:sdtContent>
  </w:sdt>
  <w:p w14:paraId="24CC2E52" w14:textId="4184658E" w:rsidR="00474239" w:rsidRDefault="00474239" w:rsidP="0089617F">
    <w:pPr>
      <w:pStyle w:val="Foo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684583918"/>
      <w:docPartObj>
        <w:docPartGallery w:val="Page Numbers (Bottom of Page)"/>
        <w:docPartUnique/>
      </w:docPartObj>
    </w:sdtPr>
    <w:sdtContent>
      <w:sdt>
        <w:sdtPr>
          <w:rPr>
            <w:rFonts w:asciiTheme="minorHAnsi" w:hAnsiTheme="minorHAnsi" w:cstheme="minorHAnsi"/>
          </w:rPr>
          <w:id w:val="-1705238520"/>
          <w:docPartObj>
            <w:docPartGallery w:val="Page Numbers (Top of Page)"/>
            <w:docPartUnique/>
          </w:docPartObj>
        </w:sdtPr>
        <w:sdtContent>
          <w:p w14:paraId="04707BF9" w14:textId="40ED2B4F" w:rsidR="00693E1F" w:rsidRPr="00880C31" w:rsidRDefault="00693E1F">
            <w:pPr>
              <w:pStyle w:val="Footer"/>
              <w:rPr>
                <w:rFonts w:asciiTheme="minorHAnsi" w:hAnsiTheme="minorHAnsi" w:cstheme="minorHAnsi"/>
              </w:rPr>
            </w:pPr>
            <w:r w:rsidRPr="00880C31">
              <w:rPr>
                <w:rFonts w:asciiTheme="minorHAnsi" w:hAnsiTheme="minorHAnsi" w:cstheme="minorHAnsi"/>
                <w:lang w:bidi="fr-FR"/>
              </w:rPr>
              <w:t>Page </w:t>
            </w:r>
            <w:r w:rsidRPr="00880C31">
              <w:rPr>
                <w:rFonts w:asciiTheme="minorHAnsi" w:hAnsiTheme="minorHAnsi" w:cstheme="minorHAnsi"/>
                <w:lang w:bidi="fr-FR"/>
              </w:rPr>
              <w:fldChar w:fldCharType="begin"/>
            </w:r>
            <w:r w:rsidRPr="00880C31">
              <w:rPr>
                <w:rFonts w:asciiTheme="minorHAnsi" w:hAnsiTheme="minorHAnsi" w:cstheme="minorHAnsi"/>
                <w:lang w:bidi="fr-FR"/>
              </w:rPr>
              <w:instrText xml:space="preserve"> PAGE </w:instrText>
            </w:r>
            <w:r w:rsidRPr="00880C31">
              <w:rPr>
                <w:rFonts w:asciiTheme="minorHAnsi" w:hAnsiTheme="minorHAnsi" w:cstheme="minorHAnsi"/>
                <w:lang w:bidi="fr-FR"/>
              </w:rPr>
              <w:fldChar w:fldCharType="separate"/>
            </w:r>
            <w:r w:rsidRPr="00880C31">
              <w:rPr>
                <w:rFonts w:asciiTheme="minorHAnsi" w:hAnsiTheme="minorHAnsi" w:cstheme="minorHAnsi"/>
                <w:noProof/>
                <w:lang w:bidi="fr-FR"/>
              </w:rPr>
              <w:t>2</w:t>
            </w:r>
            <w:r w:rsidRPr="00880C31">
              <w:rPr>
                <w:rFonts w:asciiTheme="minorHAnsi" w:hAnsiTheme="minorHAnsi" w:cstheme="minorHAnsi"/>
                <w:lang w:bidi="fr-FR"/>
              </w:rPr>
              <w:fldChar w:fldCharType="end"/>
            </w:r>
            <w:r w:rsidRPr="00880C31">
              <w:rPr>
                <w:rFonts w:asciiTheme="minorHAnsi" w:hAnsiTheme="minorHAnsi" w:cstheme="minorHAnsi"/>
                <w:lang w:bidi="fr-FR"/>
              </w:rPr>
              <w:t xml:space="preserve"> sur </w:t>
            </w:r>
            <w:r w:rsidRPr="00880C31">
              <w:rPr>
                <w:rFonts w:asciiTheme="minorHAnsi" w:hAnsiTheme="minorHAnsi" w:cstheme="minorHAnsi"/>
                <w:lang w:bidi="fr-FR"/>
              </w:rPr>
              <w:fldChar w:fldCharType="begin"/>
            </w:r>
            <w:r w:rsidRPr="00880C31">
              <w:rPr>
                <w:rFonts w:asciiTheme="minorHAnsi" w:hAnsiTheme="minorHAnsi" w:cstheme="minorHAnsi"/>
                <w:lang w:bidi="fr-FR"/>
              </w:rPr>
              <w:instrText xml:space="preserve"> NUMPAGES  </w:instrText>
            </w:r>
            <w:r w:rsidRPr="00880C31">
              <w:rPr>
                <w:rFonts w:asciiTheme="minorHAnsi" w:hAnsiTheme="minorHAnsi" w:cstheme="minorHAnsi"/>
                <w:lang w:bidi="fr-FR"/>
              </w:rPr>
              <w:fldChar w:fldCharType="separate"/>
            </w:r>
            <w:r w:rsidRPr="00880C31">
              <w:rPr>
                <w:rFonts w:asciiTheme="minorHAnsi" w:hAnsiTheme="minorHAnsi" w:cstheme="minorHAnsi"/>
                <w:noProof/>
                <w:lang w:bidi="fr-FR"/>
              </w:rPr>
              <w:t>2</w:t>
            </w:r>
            <w:r w:rsidRPr="00880C31">
              <w:rPr>
                <w:rFonts w:asciiTheme="minorHAnsi" w:hAnsiTheme="minorHAnsi" w:cstheme="minorHAnsi"/>
                <w:lang w:bidi="fr-FR"/>
              </w:rPr>
              <w:fldChar w:fldCharType="end"/>
            </w:r>
            <w:r w:rsidRPr="00880C31">
              <w:rPr>
                <w:rFonts w:asciiTheme="minorHAnsi" w:hAnsiTheme="minorHAnsi" w:cstheme="minorHAnsi"/>
                <w:lang w:bidi="fr-FR"/>
              </w:rPr>
              <w:tab/>
              <w:t>Date d’entrée en vigueur : 11</w:t>
            </w:r>
            <w:r w:rsidR="00880C31" w:rsidRPr="00880C31">
              <w:rPr>
                <w:rFonts w:asciiTheme="minorHAnsi" w:hAnsiTheme="minorHAnsi" w:cstheme="minorHAnsi"/>
                <w:lang w:bidi="fr-FR"/>
              </w:rPr>
              <w:t>/01/</w:t>
            </w:r>
            <w:r w:rsidRPr="00880C31">
              <w:rPr>
                <w:rFonts w:asciiTheme="minorHAnsi" w:hAnsiTheme="minorHAnsi" w:cstheme="minorHAnsi"/>
                <w:lang w:bidi="fr-FR"/>
              </w:rPr>
              <w:t>2023</w:t>
            </w:r>
            <w:r w:rsidRPr="00880C31">
              <w:rPr>
                <w:rFonts w:asciiTheme="minorHAnsi" w:hAnsiTheme="minorHAnsi" w:cstheme="minorHAnsi"/>
                <w:lang w:bidi="fr-FR"/>
              </w:rPr>
              <w:tab/>
              <w:t>Version n</w:t>
            </w:r>
            <w:r w:rsidRPr="00880C31">
              <w:rPr>
                <w:rFonts w:asciiTheme="minorHAnsi" w:hAnsiTheme="minorHAnsi" w:cstheme="minorHAnsi"/>
                <w:vertAlign w:val="superscript"/>
                <w:lang w:bidi="fr-FR"/>
              </w:rPr>
              <w:t>o</w:t>
            </w:r>
            <w:r w:rsidRPr="00880C31">
              <w:rPr>
                <w:rFonts w:asciiTheme="minorHAnsi" w:hAnsiTheme="minorHAnsi" w:cstheme="minorHAnsi"/>
                <w:lang w:bidi="fr-FR"/>
              </w:rPr>
              <w:t> : 2</w:t>
            </w:r>
          </w:p>
        </w:sdtContent>
      </w:sdt>
    </w:sdtContent>
  </w:sdt>
  <w:p w14:paraId="3B87396E" w14:textId="7649B34D" w:rsidR="00693E1F" w:rsidRPr="00880C31" w:rsidRDefault="00693E1F">
    <w:pPr>
      <w:pStyle w:val="BodyText"/>
      <w:spacing w:line="14" w:lineRule="auto"/>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6CF9" w14:textId="77777777" w:rsidR="00EE2173" w:rsidRDefault="00EE2173">
      <w:r>
        <w:separator/>
      </w:r>
    </w:p>
  </w:footnote>
  <w:footnote w:type="continuationSeparator" w:id="0">
    <w:p w14:paraId="7E2337BB" w14:textId="77777777" w:rsidR="00EE2173" w:rsidRDefault="00EE2173">
      <w:r>
        <w:continuationSeparator/>
      </w:r>
    </w:p>
  </w:footnote>
  <w:footnote w:type="continuationNotice" w:id="1">
    <w:p w14:paraId="1EDE42DE" w14:textId="77777777" w:rsidR="00EE2173" w:rsidRDefault="00EE2173"/>
  </w:footnote>
  <w:footnote w:id="2">
    <w:p w14:paraId="0C4448EB" w14:textId="43A362B3" w:rsidR="418E8D3F" w:rsidRPr="00220F7D" w:rsidRDefault="418E8D3F" w:rsidP="00155666">
      <w:pPr>
        <w:pStyle w:val="FootnoteText"/>
        <w:ind w:left="270"/>
        <w:jc w:val="both"/>
        <w:rPr>
          <w:rFonts w:cstheme="minorHAnsi"/>
          <w:sz w:val="18"/>
          <w:szCs w:val="18"/>
          <w:lang w:val="fr-FR"/>
        </w:rPr>
      </w:pPr>
      <w:r w:rsidRPr="00220F7D">
        <w:rPr>
          <w:rStyle w:val="FootnoteReference"/>
          <w:rFonts w:cstheme="minorHAnsi"/>
          <w:sz w:val="18"/>
          <w:szCs w:val="18"/>
          <w:lang w:val="fr-FR" w:bidi="fr-FR"/>
        </w:rPr>
        <w:footnoteRef/>
      </w:r>
      <w:r w:rsidRPr="00220F7D">
        <w:rPr>
          <w:rStyle w:val="FootnoteReference"/>
          <w:rFonts w:cstheme="minorHAnsi"/>
          <w:sz w:val="18"/>
          <w:szCs w:val="18"/>
          <w:lang w:val="fr-FR" w:bidi="fr-FR"/>
        </w:rPr>
        <w:t> </w:t>
      </w:r>
      <w:hyperlink r:id="rId1" w:history="1">
        <w:r w:rsidRPr="00220F7D">
          <w:rPr>
            <w:rStyle w:val="Hyperlink"/>
            <w:rFonts w:cstheme="minorHAnsi"/>
            <w:sz w:val="18"/>
            <w:szCs w:val="18"/>
            <w:lang w:val="fr-FR" w:bidi="fr-FR"/>
          </w:rPr>
          <w:t>Décisions adoptées par le Conseil d’administration en 2020 (DP/2021/2)</w:t>
        </w:r>
      </w:hyperlink>
      <w:r w:rsidR="00FD5B3F" w:rsidRPr="00220F7D">
        <w:rPr>
          <w:rStyle w:val="Hyperlink"/>
          <w:rFonts w:cstheme="minorHAnsi"/>
          <w:sz w:val="18"/>
          <w:szCs w:val="18"/>
          <w:lang w:val="fr-FR" w:bidi="fr-FR"/>
        </w:rPr>
        <w:t>.</w:t>
      </w:r>
    </w:p>
  </w:footnote>
  <w:footnote w:id="3">
    <w:p w14:paraId="277775A2" w14:textId="221A6E9B" w:rsidR="00FA396F" w:rsidRPr="00220F7D" w:rsidRDefault="00FA396F" w:rsidP="00F86512">
      <w:pPr>
        <w:ind w:left="280" w:right="635"/>
        <w:jc w:val="both"/>
        <w:rPr>
          <w:rFonts w:asciiTheme="minorHAnsi" w:hAnsiTheme="minorHAnsi" w:cstheme="minorHAnsi"/>
          <w:sz w:val="18"/>
          <w:szCs w:val="18"/>
        </w:rPr>
      </w:pPr>
      <w:r w:rsidRPr="00220F7D">
        <w:rPr>
          <w:rStyle w:val="FootnoteReference"/>
          <w:rFonts w:asciiTheme="minorHAnsi" w:hAnsiTheme="minorHAnsi" w:cstheme="minorHAnsi"/>
          <w:sz w:val="18"/>
          <w:szCs w:val="18"/>
          <w:lang w:bidi="fr-FR"/>
        </w:rPr>
        <w:footnoteRef/>
      </w:r>
      <w:r w:rsidRPr="00220F7D">
        <w:rPr>
          <w:rFonts w:asciiTheme="minorHAnsi" w:hAnsiTheme="minorHAnsi" w:cstheme="minorHAnsi"/>
          <w:sz w:val="18"/>
          <w:szCs w:val="18"/>
          <w:lang w:bidi="fr-FR"/>
        </w:rPr>
        <w:t xml:space="preserve"> La politique reprend et complète les </w:t>
      </w:r>
      <w:hyperlink r:id="rId2">
        <w:r w:rsidRPr="00220F7D">
          <w:rPr>
            <w:rFonts w:asciiTheme="minorHAnsi" w:hAnsiTheme="minorHAnsi" w:cstheme="minorHAnsi"/>
            <w:color w:val="0070C0"/>
            <w:sz w:val="18"/>
            <w:szCs w:val="18"/>
            <w:u w:val="single" w:color="6C8AA9"/>
            <w:lang w:bidi="fr-FR"/>
          </w:rPr>
          <w:t>lignes directrices du Secrétaire général sur la coopération entre les Nations Unies et le secteur privé</w:t>
        </w:r>
      </w:hyperlink>
      <w:r w:rsidR="00A92A97">
        <w:rPr>
          <w:rFonts w:asciiTheme="minorHAnsi" w:hAnsiTheme="minorHAnsi" w:cstheme="minorHAnsi"/>
          <w:color w:val="0070C0"/>
          <w:sz w:val="18"/>
          <w:szCs w:val="18"/>
          <w:u w:val="single" w:color="6C8AA9"/>
          <w:lang w:bidi="fr-FR"/>
        </w:rPr>
        <w:t xml:space="preserve"> (en anglais)</w:t>
      </w:r>
      <w:r w:rsidRPr="00220F7D">
        <w:rPr>
          <w:rFonts w:asciiTheme="minorHAnsi" w:hAnsiTheme="minorHAnsi" w:cstheme="minorHAnsi"/>
          <w:sz w:val="18"/>
          <w:szCs w:val="18"/>
          <w:lang w:bidi="fr-FR"/>
        </w:rPr>
        <w:t xml:space="preserve">, et s’inscrit dans la continuité des </w:t>
      </w:r>
      <w:r w:rsidRPr="00220F7D">
        <w:rPr>
          <w:rFonts w:asciiTheme="minorHAnsi" w:hAnsiTheme="minorHAnsi" w:cstheme="minorHAnsi"/>
          <w:b/>
          <w:sz w:val="18"/>
          <w:szCs w:val="18"/>
          <w:lang w:bidi="fr-FR"/>
        </w:rPr>
        <w:t>politiques et procédures relatives aux programmes et aux opérations</w:t>
      </w:r>
      <w:r w:rsidR="00431D2E" w:rsidRPr="00220F7D">
        <w:rPr>
          <w:rFonts w:asciiTheme="minorHAnsi" w:hAnsiTheme="minorHAnsi" w:cstheme="minorHAnsi"/>
          <w:b/>
          <w:sz w:val="18"/>
          <w:szCs w:val="18"/>
          <w:lang w:bidi="fr-FR"/>
        </w:rPr>
        <w:t> </w:t>
      </w:r>
      <w:r w:rsidRPr="00220F7D">
        <w:rPr>
          <w:rFonts w:asciiTheme="minorHAnsi" w:hAnsiTheme="minorHAnsi" w:cstheme="minorHAnsi"/>
          <w:b/>
          <w:sz w:val="18"/>
          <w:szCs w:val="18"/>
          <w:lang w:bidi="fr-FR"/>
        </w:rPr>
        <w:t>(POPP)</w:t>
      </w:r>
      <w:r w:rsidRPr="00220F7D">
        <w:rPr>
          <w:rFonts w:asciiTheme="minorHAnsi" w:hAnsiTheme="minorHAnsi" w:cstheme="minorHAnsi"/>
          <w:sz w:val="18"/>
          <w:szCs w:val="18"/>
          <w:lang w:bidi="fr-FR"/>
        </w:rPr>
        <w:t xml:space="preserve"> en matière de partenariats avec le secteur privé. Avant d’envisager un partenariat de cette nature, le personnel du PNUD devra consulter la politique, ainsi que les </w:t>
      </w:r>
      <w:hyperlink r:id="rId3">
        <w:r w:rsidRPr="00220F7D">
          <w:rPr>
            <w:rFonts w:asciiTheme="minorHAnsi" w:hAnsiTheme="minorHAnsi" w:cstheme="minorHAnsi"/>
            <w:b/>
            <w:color w:val="0070C0"/>
            <w:sz w:val="18"/>
            <w:szCs w:val="18"/>
            <w:u w:val="single" w:color="6C8AA9"/>
            <w:lang w:bidi="fr-FR"/>
          </w:rPr>
          <w:t>POPP relatives au secteur privé</w:t>
        </w:r>
        <w:r w:rsidRPr="00220F7D">
          <w:rPr>
            <w:rFonts w:asciiTheme="minorHAnsi" w:hAnsiTheme="minorHAnsi" w:cstheme="minorHAnsi"/>
            <w:sz w:val="18"/>
            <w:szCs w:val="18"/>
            <w:lang w:bidi="fr-FR"/>
          </w:rPr>
          <w:t xml:space="preserve">, </w:t>
        </w:r>
      </w:hyperlink>
      <w:r w:rsidRPr="00220F7D">
        <w:rPr>
          <w:rFonts w:asciiTheme="minorHAnsi" w:hAnsiTheme="minorHAnsi" w:cstheme="minorHAnsi"/>
          <w:sz w:val="18"/>
          <w:szCs w:val="18"/>
          <w:lang w:bidi="fr-FR"/>
        </w:rPr>
        <w:t>l’</w:t>
      </w:r>
      <w:r w:rsidRPr="00220F7D">
        <w:rPr>
          <w:rFonts w:asciiTheme="minorHAnsi" w:hAnsiTheme="minorHAnsi" w:cstheme="minorHAnsi"/>
          <w:b/>
          <w:sz w:val="18"/>
          <w:szCs w:val="18"/>
          <w:lang w:bidi="fr-FR"/>
        </w:rPr>
        <w:t>outil d’évaluation des risques</w:t>
      </w:r>
      <w:r w:rsidRPr="00220F7D">
        <w:rPr>
          <w:rFonts w:asciiTheme="minorHAnsi" w:hAnsiTheme="minorHAnsi" w:cstheme="minorHAnsi"/>
          <w:sz w:val="18"/>
          <w:szCs w:val="18"/>
          <w:lang w:bidi="fr-FR"/>
        </w:rPr>
        <w:t xml:space="preserve"> et les </w:t>
      </w:r>
      <w:r w:rsidRPr="00220F7D">
        <w:rPr>
          <w:rFonts w:asciiTheme="minorHAnsi" w:hAnsiTheme="minorHAnsi" w:cstheme="minorHAnsi"/>
          <w:b/>
          <w:sz w:val="18"/>
          <w:szCs w:val="18"/>
          <w:lang w:bidi="fr-FR"/>
        </w:rPr>
        <w:t>lignes directrices</w:t>
      </w:r>
      <w:r w:rsidRPr="00220F7D">
        <w:rPr>
          <w:rFonts w:asciiTheme="minorHAnsi" w:hAnsiTheme="minorHAnsi" w:cstheme="minorHAnsi"/>
          <w:sz w:val="18"/>
          <w:szCs w:val="18"/>
          <w:lang w:bidi="fr-FR"/>
        </w:rPr>
        <w:t xml:space="preserve"> correspondantes (2023).</w:t>
      </w:r>
    </w:p>
  </w:footnote>
  <w:footnote w:id="4">
    <w:p w14:paraId="614C7054" w14:textId="4DC717CC" w:rsidR="00A22371" w:rsidRPr="00220F7D" w:rsidRDefault="00A22371" w:rsidP="00FA26B7">
      <w:pPr>
        <w:ind w:right="646"/>
        <w:jc w:val="both"/>
        <w:rPr>
          <w:rFonts w:asciiTheme="minorHAnsi" w:hAnsiTheme="minorHAnsi" w:cstheme="minorHAnsi"/>
          <w:sz w:val="18"/>
          <w:szCs w:val="18"/>
        </w:rPr>
      </w:pPr>
      <w:r w:rsidRPr="00220F7D">
        <w:rPr>
          <w:rStyle w:val="FootnoteReference"/>
          <w:rFonts w:asciiTheme="minorHAnsi" w:hAnsiTheme="minorHAnsi" w:cstheme="minorHAnsi"/>
          <w:sz w:val="18"/>
          <w:szCs w:val="18"/>
          <w:lang w:bidi="fr-FR"/>
        </w:rPr>
        <w:footnoteRef/>
      </w:r>
      <w:r w:rsidRPr="00220F7D">
        <w:rPr>
          <w:rFonts w:asciiTheme="minorHAnsi" w:hAnsiTheme="minorHAnsi" w:cstheme="minorHAnsi"/>
          <w:sz w:val="18"/>
          <w:szCs w:val="18"/>
          <w:lang w:bidi="fr-FR"/>
        </w:rPr>
        <w:t> Une fondation d’entreprise est un organisme indépendant de subventionnement entretenant des liens étroits avec l’entreprise qui la finance. Certaines entreprises préfèrent se doter de programmes directs de mécénat plutôt que de passer par une fondation ; d’autres combinent les deux modalités de financement. Parmi les exemples de fondations privées, on peut notamment citer la Fondation Coca-Cola et la Fondation Nike.</w:t>
      </w:r>
    </w:p>
  </w:footnote>
  <w:footnote w:id="5">
    <w:p w14:paraId="2C7A345F" w14:textId="301BD81A" w:rsidR="007B7B76" w:rsidRPr="00220F7D" w:rsidRDefault="007B7B76" w:rsidP="00FA26B7">
      <w:pPr>
        <w:ind w:right="646"/>
        <w:jc w:val="both"/>
        <w:rPr>
          <w:rFonts w:asciiTheme="minorHAnsi" w:hAnsiTheme="minorHAnsi" w:cstheme="minorHAnsi"/>
          <w:sz w:val="18"/>
          <w:szCs w:val="18"/>
        </w:rPr>
      </w:pPr>
      <w:r w:rsidRPr="00220F7D">
        <w:rPr>
          <w:rStyle w:val="FootnoteReference"/>
          <w:rFonts w:asciiTheme="minorHAnsi" w:hAnsiTheme="minorHAnsi" w:cstheme="minorHAnsi"/>
          <w:sz w:val="18"/>
          <w:szCs w:val="18"/>
          <w:lang w:bidi="fr-FR"/>
        </w:rPr>
        <w:footnoteRef/>
      </w:r>
      <w:r w:rsidRPr="00220F7D">
        <w:rPr>
          <w:rFonts w:asciiTheme="minorHAnsi" w:hAnsiTheme="minorHAnsi" w:cstheme="minorHAnsi"/>
          <w:sz w:val="18"/>
          <w:szCs w:val="18"/>
          <w:lang w:bidi="fr-FR"/>
        </w:rPr>
        <w:t> Il est tout à fait possible, par exemple, que le PNUD collabore avec une chambre de commerce qui compte parmi ses membres une entreprise appartenant à un secteur exclu de la politique de l’organisme en matière de partenariats. À l’inverse, si une chambre ou une association en tant que telle participe à la promotion d’un secteur exclu, le PNUD ne collaborera pas avec elle.</w:t>
      </w:r>
    </w:p>
  </w:footnote>
  <w:footnote w:id="6">
    <w:p w14:paraId="272AF8AF" w14:textId="7A8F32A8" w:rsidR="007B7B76" w:rsidRPr="00220F7D" w:rsidRDefault="007B7B76" w:rsidP="00FA26B7">
      <w:pPr>
        <w:ind w:right="646"/>
        <w:jc w:val="both"/>
        <w:rPr>
          <w:rFonts w:asciiTheme="minorHAnsi" w:hAnsiTheme="minorHAnsi" w:cstheme="minorHAnsi"/>
          <w:sz w:val="18"/>
          <w:szCs w:val="18"/>
        </w:rPr>
      </w:pPr>
      <w:r w:rsidRPr="00220F7D">
        <w:rPr>
          <w:rStyle w:val="FootnoteReference"/>
          <w:rFonts w:asciiTheme="minorHAnsi" w:hAnsiTheme="minorHAnsi" w:cstheme="minorHAnsi"/>
          <w:sz w:val="18"/>
          <w:szCs w:val="18"/>
          <w:lang w:bidi="fr-FR"/>
        </w:rPr>
        <w:footnoteRef/>
      </w:r>
      <w:r w:rsidRPr="00220F7D">
        <w:rPr>
          <w:rFonts w:asciiTheme="minorHAnsi" w:hAnsiTheme="minorHAnsi" w:cstheme="minorHAnsi"/>
          <w:sz w:val="18"/>
          <w:szCs w:val="18"/>
          <w:lang w:bidi="fr-FR"/>
        </w:rPr>
        <w:t xml:space="preserve"> Dans le cas des entités privées relevant du Protocole de Montréal, de la Convention de Stockholm ou de la Convention de Minamata (sur les substances appauvrissant la couche d’ozone, les polluants organiques persistants et le mercure, respectivement), les initiatives et activités concernées </w:t>
      </w:r>
      <w:r w:rsidRPr="00220F7D">
        <w:rPr>
          <w:rFonts w:asciiTheme="minorHAnsi" w:hAnsiTheme="minorHAnsi" w:cstheme="minorHAnsi"/>
          <w:b/>
          <w:sz w:val="18"/>
          <w:szCs w:val="18"/>
          <w:lang w:bidi="fr-FR"/>
        </w:rPr>
        <w:t>ne sont pas couvertes par cette politique</w:t>
      </w:r>
      <w:r w:rsidRPr="00220F7D">
        <w:rPr>
          <w:rFonts w:asciiTheme="minorHAnsi" w:hAnsiTheme="minorHAnsi" w:cstheme="minorHAnsi"/>
          <w:sz w:val="18"/>
          <w:szCs w:val="18"/>
          <w:lang w:bidi="fr-FR"/>
        </w:rPr>
        <w:t>, mais font l’objet de lignes directrices propres.</w:t>
      </w:r>
    </w:p>
  </w:footnote>
  <w:footnote w:id="7">
    <w:p w14:paraId="46AE643A" w14:textId="302B397F" w:rsidR="00FE749C" w:rsidRPr="00220F7D" w:rsidRDefault="00FE749C" w:rsidP="00FA26B7">
      <w:pPr>
        <w:pStyle w:val="FootnoteText"/>
        <w:jc w:val="both"/>
        <w:rPr>
          <w:rFonts w:cstheme="minorHAnsi"/>
          <w:sz w:val="18"/>
          <w:szCs w:val="18"/>
          <w:lang w:val="fr-FR"/>
        </w:rPr>
      </w:pPr>
      <w:r w:rsidRPr="00220F7D">
        <w:rPr>
          <w:rStyle w:val="FootnoteReference"/>
          <w:rFonts w:cstheme="minorHAnsi"/>
          <w:sz w:val="18"/>
          <w:szCs w:val="18"/>
          <w:lang w:val="fr-FR" w:bidi="fr-FR"/>
        </w:rPr>
        <w:footnoteRef/>
      </w:r>
      <w:r w:rsidR="001E50A9" w:rsidRPr="00220F7D">
        <w:rPr>
          <w:rFonts w:cstheme="minorHAnsi"/>
          <w:sz w:val="18"/>
          <w:szCs w:val="18"/>
          <w:lang w:val="fr-FR" w:bidi="fr-FR"/>
        </w:rPr>
        <w:t xml:space="preserve"> Pour en savoir plus, veuillez consulter la </w:t>
      </w:r>
      <w:hyperlink r:id="rId4" w:history="1">
        <w:r w:rsidR="001E50A9" w:rsidRPr="00220F7D">
          <w:rPr>
            <w:rStyle w:val="Hyperlink"/>
            <w:rFonts w:cstheme="minorHAnsi"/>
            <w:sz w:val="18"/>
            <w:szCs w:val="18"/>
            <w:lang w:val="fr-FR" w:bidi="fr-FR"/>
          </w:rPr>
          <w:t>politique du PNUD en matière de lutte contre le blanchiment d’argent et le financement du terrorisme</w:t>
        </w:r>
      </w:hyperlink>
      <w:r w:rsidR="001E50A9" w:rsidRPr="00220F7D">
        <w:rPr>
          <w:rFonts w:cstheme="minorHAnsi"/>
          <w:sz w:val="18"/>
          <w:szCs w:val="18"/>
          <w:lang w:val="fr-FR" w:bidi="fr-FR"/>
        </w:rPr>
        <w:t xml:space="preserve">, ainsi que le </w:t>
      </w:r>
      <w:hyperlink r:id="rId5" w:history="1">
        <w:r w:rsidR="001E50A9" w:rsidRPr="00220F7D">
          <w:rPr>
            <w:rStyle w:val="Hyperlink"/>
            <w:rFonts w:cstheme="minorHAnsi"/>
            <w:sz w:val="18"/>
            <w:szCs w:val="18"/>
            <w:lang w:val="fr-FR" w:bidi="fr-FR"/>
          </w:rPr>
          <w:t>Guide opérationnel</w:t>
        </w:r>
      </w:hyperlink>
      <w:r w:rsidR="001E50A9" w:rsidRPr="00220F7D">
        <w:rPr>
          <w:rFonts w:cstheme="minorHAnsi"/>
          <w:sz w:val="18"/>
          <w:szCs w:val="18"/>
          <w:lang w:val="fr-FR" w:bidi="fr-FR"/>
        </w:rPr>
        <w:t xml:space="preserve"> </w:t>
      </w:r>
      <w:r w:rsidR="00E16678" w:rsidRPr="00220F7D">
        <w:rPr>
          <w:rFonts w:cstheme="minorHAnsi"/>
          <w:sz w:val="18"/>
          <w:szCs w:val="18"/>
          <w:lang w:val="fr-FR" w:bidi="fr-FR"/>
        </w:rPr>
        <w:t xml:space="preserve">(en anglais) </w:t>
      </w:r>
      <w:r w:rsidR="001E50A9" w:rsidRPr="00220F7D">
        <w:rPr>
          <w:rFonts w:cstheme="minorHAnsi"/>
          <w:sz w:val="18"/>
          <w:szCs w:val="18"/>
          <w:lang w:val="fr-FR" w:bidi="fr-FR"/>
        </w:rPr>
        <w:t>correspondant.</w:t>
      </w:r>
    </w:p>
  </w:footnote>
  <w:footnote w:id="8">
    <w:p w14:paraId="434C0897" w14:textId="4E632C86" w:rsidR="00E33090" w:rsidRPr="00220F7D" w:rsidRDefault="00E33090" w:rsidP="00FA26B7">
      <w:pPr>
        <w:pStyle w:val="FootnoteText"/>
        <w:jc w:val="both"/>
        <w:rPr>
          <w:rFonts w:cstheme="minorHAnsi"/>
          <w:sz w:val="18"/>
          <w:szCs w:val="18"/>
          <w:lang w:val="fr-FR" w:bidi="fr-FR"/>
        </w:rPr>
      </w:pPr>
      <w:r w:rsidRPr="00220F7D">
        <w:rPr>
          <w:rStyle w:val="FootnoteReference"/>
          <w:rFonts w:cstheme="minorHAnsi"/>
          <w:sz w:val="18"/>
          <w:szCs w:val="18"/>
          <w:lang w:val="fr-FR" w:bidi="fr-FR"/>
        </w:rPr>
        <w:footnoteRef/>
      </w:r>
      <w:r w:rsidRPr="00220F7D">
        <w:rPr>
          <w:rFonts w:cstheme="minorHAnsi"/>
          <w:sz w:val="18"/>
          <w:szCs w:val="18"/>
          <w:lang w:val="fr-FR" w:bidi="fr-FR"/>
        </w:rPr>
        <w:t xml:space="preserve"> Les principes généraux adoptés pour évaluer les activités des filiales, des sociétés mères et des distributeurs, et déterminer les différents niveaux de tolérance s’inspirent essentiellement de l’approche de l’UNICEF. Pour en savoir plus, veuillez consulter </w:t>
      </w:r>
      <w:r w:rsidR="00EE5AB6" w:rsidRPr="00220F7D">
        <w:rPr>
          <w:rFonts w:cstheme="minorHAnsi"/>
          <w:sz w:val="18"/>
          <w:szCs w:val="18"/>
          <w:lang w:val="fr-FR"/>
        </w:rPr>
        <w:t>les</w:t>
      </w:r>
      <w:r w:rsidR="00A16065" w:rsidRPr="00220F7D">
        <w:rPr>
          <w:rFonts w:cstheme="minorHAnsi"/>
          <w:sz w:val="18"/>
          <w:szCs w:val="18"/>
          <w:lang w:val="fr-FR"/>
        </w:rPr>
        <w:t xml:space="preserve"> « </w:t>
      </w:r>
      <w:r w:rsidR="00EE5AB6" w:rsidRPr="00220F7D">
        <w:rPr>
          <w:rFonts w:cstheme="minorHAnsi"/>
          <w:sz w:val="18"/>
          <w:szCs w:val="18"/>
          <w:lang w:val="fr-FR"/>
        </w:rPr>
        <w:t>lignes directrices et le manuel de l’UNICEF relatifs à la collaboration avec les entreprises</w:t>
      </w:r>
      <w:r w:rsidR="00A16065" w:rsidRPr="00220F7D">
        <w:rPr>
          <w:rFonts w:cstheme="minorHAnsi"/>
          <w:sz w:val="18"/>
          <w:szCs w:val="18"/>
          <w:lang w:val="fr-FR"/>
        </w:rPr>
        <w:t> » (2001</w:t>
      </w:r>
      <w:r w:rsidR="00CE6B8C" w:rsidRPr="00220F7D">
        <w:rPr>
          <w:rFonts w:cstheme="minorHAnsi"/>
          <w:sz w:val="18"/>
          <w:szCs w:val="18"/>
          <w:lang w:val="fr-FR"/>
        </w:rPr>
        <w:t>,</w:t>
      </w:r>
      <w:r w:rsidR="00A16065" w:rsidRPr="00220F7D">
        <w:rPr>
          <w:rFonts w:cstheme="minorHAnsi"/>
          <w:sz w:val="18"/>
          <w:szCs w:val="18"/>
          <w:lang w:val="fr-FR"/>
        </w:rPr>
        <w:t xml:space="preserve"> en anglais)</w:t>
      </w:r>
      <w:r w:rsidR="00EE5AB6" w:rsidRPr="00220F7D">
        <w:rPr>
          <w:rFonts w:cstheme="minorHAnsi"/>
          <w:sz w:val="18"/>
          <w:szCs w:val="18"/>
          <w:lang w:val="fr-FR"/>
        </w:rPr>
        <w:t>. </w:t>
      </w:r>
    </w:p>
  </w:footnote>
  <w:footnote w:id="9">
    <w:p w14:paraId="0C8D1EB7" w14:textId="49890E79" w:rsidR="00D703B3" w:rsidRPr="00220F7D" w:rsidRDefault="00D703B3" w:rsidP="00FA26B7">
      <w:pPr>
        <w:pStyle w:val="FootnoteText"/>
        <w:jc w:val="both"/>
        <w:rPr>
          <w:rFonts w:cstheme="minorHAnsi"/>
          <w:sz w:val="18"/>
          <w:szCs w:val="18"/>
          <w:lang w:val="fr-FR"/>
        </w:rPr>
      </w:pPr>
      <w:r w:rsidRPr="00220F7D">
        <w:rPr>
          <w:rStyle w:val="FootnoteReference"/>
          <w:rFonts w:cstheme="minorHAnsi"/>
          <w:sz w:val="18"/>
          <w:szCs w:val="18"/>
          <w:lang w:val="fr-FR" w:bidi="fr-FR"/>
        </w:rPr>
        <w:footnoteRef/>
      </w:r>
      <w:r w:rsidRPr="00220F7D">
        <w:rPr>
          <w:rFonts w:cstheme="minorHAnsi"/>
          <w:sz w:val="18"/>
          <w:szCs w:val="18"/>
          <w:lang w:val="fr-FR" w:bidi="fr-FR"/>
        </w:rPr>
        <w:t> Le partenaire potentiel n’est pas propriétaire du distributeur ou du fournisseur concerné.</w:t>
      </w:r>
    </w:p>
  </w:footnote>
  <w:footnote w:id="10">
    <w:p w14:paraId="13779BE6" w14:textId="6CFAB994" w:rsidR="001D4CFD" w:rsidRPr="00220F7D" w:rsidRDefault="001D4CFD" w:rsidP="00FA26B7">
      <w:pPr>
        <w:pStyle w:val="FootnoteText"/>
        <w:jc w:val="both"/>
        <w:rPr>
          <w:rFonts w:cstheme="minorHAnsi"/>
          <w:sz w:val="18"/>
          <w:szCs w:val="18"/>
          <w:lang w:val="fr-FR"/>
        </w:rPr>
      </w:pPr>
      <w:r w:rsidRPr="00220F7D">
        <w:rPr>
          <w:rStyle w:val="FootnoteReference"/>
          <w:rFonts w:cstheme="minorHAnsi"/>
          <w:sz w:val="18"/>
          <w:szCs w:val="18"/>
          <w:lang w:val="fr-FR" w:bidi="fr-FR"/>
        </w:rPr>
        <w:footnoteRef/>
      </w:r>
      <w:r w:rsidR="001C5338" w:rsidRPr="00220F7D">
        <w:rPr>
          <w:rFonts w:cstheme="minorHAnsi"/>
          <w:sz w:val="18"/>
          <w:szCs w:val="18"/>
          <w:lang w:val="fr-FR" w:bidi="fr-FR"/>
        </w:rPr>
        <w:t xml:space="preserve"> Et non sur la liste des entités ne faisant plus l’objet de soupçons, conformément à la </w:t>
      </w:r>
      <w:hyperlink r:id="rId6" w:history="1">
        <w:r w:rsidR="00DA2173" w:rsidRPr="00220F7D">
          <w:rPr>
            <w:rStyle w:val="Hyperlink"/>
            <w:rFonts w:cstheme="minorHAnsi"/>
            <w:sz w:val="18"/>
            <w:szCs w:val="18"/>
            <w:lang w:val="fr-FR" w:bidi="fr-FR"/>
          </w:rPr>
          <w:t>politique du PNUD en matière de lutte contre le blanchiment d’argent et le financement du terrorisme</w:t>
        </w:r>
      </w:hyperlink>
      <w:r w:rsidR="001C5338" w:rsidRPr="00220F7D">
        <w:rPr>
          <w:rFonts w:cstheme="minorHAnsi"/>
          <w:sz w:val="18"/>
          <w:szCs w:val="18"/>
          <w:lang w:val="fr-FR" w:bidi="fr-FR"/>
        </w:rPr>
        <w:t>, paragraphe 15.</w:t>
      </w:r>
    </w:p>
  </w:footnote>
  <w:footnote w:id="11">
    <w:p w14:paraId="5A62105B" w14:textId="62C31AF9" w:rsidR="0007070B" w:rsidRPr="00220F7D" w:rsidRDefault="0007070B" w:rsidP="00FA26B7">
      <w:pPr>
        <w:pStyle w:val="FootnoteText"/>
        <w:jc w:val="both"/>
        <w:rPr>
          <w:rFonts w:cstheme="minorHAnsi"/>
          <w:sz w:val="18"/>
          <w:szCs w:val="18"/>
          <w:lang w:val="fr-FR"/>
        </w:rPr>
      </w:pPr>
      <w:r w:rsidRPr="00220F7D">
        <w:rPr>
          <w:rStyle w:val="FootnoteReference"/>
          <w:rFonts w:cstheme="minorHAnsi"/>
          <w:sz w:val="18"/>
          <w:szCs w:val="18"/>
          <w:lang w:val="fr-FR" w:bidi="fr-FR"/>
        </w:rPr>
        <w:footnoteRef/>
      </w:r>
      <w:r w:rsidRPr="00220F7D">
        <w:rPr>
          <w:rFonts w:cstheme="minorHAnsi"/>
          <w:sz w:val="18"/>
          <w:szCs w:val="18"/>
          <w:lang w:val="fr-FR" w:bidi="fr-FR"/>
        </w:rPr>
        <w:t xml:space="preserve"> La CITES (Convention sur le commerce international des espèces de faune et de flore sauvages menacées d’extinction) est un accord international entre États. Elle a pour but de veiller à ce que le commerce international des spécimens d’animaux et de plantes sauvages ne menace pas la survie des espèces auxquelles ils appartiennent. Pour en savoir plus, veuillez consulter la page suivante : </w:t>
      </w:r>
      <w:hyperlink r:id="rId7">
        <w:r w:rsidRPr="00220F7D">
          <w:rPr>
            <w:rFonts w:cstheme="minorHAnsi"/>
            <w:color w:val="0070C0"/>
            <w:sz w:val="18"/>
            <w:szCs w:val="18"/>
            <w:u w:val="single" w:color="6C8AA9"/>
            <w:lang w:val="fr-FR" w:bidi="fr-FR"/>
          </w:rPr>
          <w:t>https://cites.org/fra</w:t>
        </w:r>
      </w:hyperlink>
      <w:r w:rsidR="00FD5B3F" w:rsidRPr="00220F7D">
        <w:rPr>
          <w:rFonts w:cstheme="minorHAnsi"/>
          <w:color w:val="6C8AA9"/>
          <w:sz w:val="18"/>
          <w:szCs w:val="18"/>
          <w:u w:val="single" w:color="6C8AA9"/>
          <w:lang w:val="fr-FR" w:bidi="fr-FR"/>
        </w:rPr>
        <w:t>.</w:t>
      </w:r>
    </w:p>
  </w:footnote>
  <w:footnote w:id="12">
    <w:p w14:paraId="7087C754" w14:textId="751FBD76" w:rsidR="0094312B" w:rsidRPr="00220F7D" w:rsidRDefault="0094312B" w:rsidP="00FA26B7">
      <w:pPr>
        <w:pStyle w:val="pf0"/>
        <w:spacing w:before="0" w:beforeAutospacing="0" w:after="0" w:afterAutospacing="0"/>
        <w:jc w:val="both"/>
        <w:rPr>
          <w:rFonts w:asciiTheme="minorHAnsi" w:hAnsiTheme="minorHAnsi" w:cstheme="minorHAnsi"/>
          <w:sz w:val="18"/>
          <w:szCs w:val="18"/>
          <w:lang w:val="fr-FR"/>
        </w:rPr>
      </w:pPr>
      <w:r w:rsidRPr="00220F7D">
        <w:rPr>
          <w:rStyle w:val="FootnoteReference"/>
          <w:rFonts w:asciiTheme="minorHAnsi" w:hAnsiTheme="minorHAnsi" w:cstheme="minorHAnsi"/>
          <w:sz w:val="18"/>
          <w:szCs w:val="18"/>
          <w:lang w:val="fr-FR" w:bidi="fr-FR"/>
        </w:rPr>
        <w:footnoteRef/>
      </w:r>
      <w:r w:rsidRPr="00220F7D">
        <w:rPr>
          <w:rFonts w:asciiTheme="minorHAnsi" w:hAnsiTheme="minorHAnsi" w:cstheme="minorHAnsi"/>
          <w:sz w:val="18"/>
          <w:szCs w:val="18"/>
          <w:lang w:val="fr-FR" w:bidi="fr-FR"/>
        </w:rPr>
        <w:t> Dans certains cas exceptionnels, et conformément à l’</w:t>
      </w:r>
      <w:hyperlink r:id="rId8" w:history="1">
        <w:r w:rsidRPr="00220F7D">
          <w:rPr>
            <w:rStyle w:val="Hyperlink"/>
            <w:rFonts w:asciiTheme="minorHAnsi" w:hAnsiTheme="minorHAnsi" w:cstheme="minorHAnsi"/>
            <w:sz w:val="18"/>
            <w:szCs w:val="18"/>
            <w:lang w:val="fr-FR" w:bidi="fr-FR"/>
          </w:rPr>
          <w:t>approche commune aux entités membres du Groupe des Nations Unies pour le développement durable en matière de diligence raisonnable dans le cadre des partenariats avec le secteur privé</w:t>
        </w:r>
      </w:hyperlink>
      <w:r w:rsidR="00811623" w:rsidRPr="00220F7D">
        <w:rPr>
          <w:rStyle w:val="Hyperlink"/>
          <w:rFonts w:asciiTheme="minorHAnsi" w:hAnsiTheme="minorHAnsi" w:cstheme="minorHAnsi"/>
          <w:sz w:val="18"/>
          <w:szCs w:val="18"/>
          <w:lang w:val="fr-FR" w:bidi="fr-FR"/>
        </w:rPr>
        <w:t xml:space="preserve"> (en anglais)</w:t>
      </w:r>
      <w:r w:rsidRPr="00220F7D">
        <w:rPr>
          <w:rFonts w:asciiTheme="minorHAnsi" w:hAnsiTheme="minorHAnsi" w:cstheme="minorHAnsi"/>
          <w:sz w:val="18"/>
          <w:szCs w:val="18"/>
          <w:lang w:val="fr-FR" w:bidi="fr-FR"/>
        </w:rPr>
        <w:t>, les interactions avec des entreprises correspondant aux critères d’exclusion demeurent envisageables. Toutefois, cela ne concerne pas les entités dont les activités correspondent aux critères d’exclusion 1 et 5 (présence sur les listes du Conseil de sécurité des Nations Unies ou dont le cœur de métier consiste dans la fabrication ou la vente d’armes faisant l’objet d’une interdiction ou de sanctions en vertu des traités des Nations Unies).</w:t>
      </w:r>
    </w:p>
    <w:p w14:paraId="23F6DB93" w14:textId="542ACAA2" w:rsidR="0094312B" w:rsidRPr="00220F7D" w:rsidRDefault="0094312B" w:rsidP="00FD4351">
      <w:pPr>
        <w:pStyle w:val="pf0"/>
        <w:spacing w:before="0" w:beforeAutospacing="0" w:after="0" w:afterAutospacing="0"/>
        <w:rPr>
          <w:rFonts w:asciiTheme="minorHAnsi" w:hAnsiTheme="minorHAnsi" w:cstheme="minorHAnsi"/>
          <w:sz w:val="18"/>
          <w:szCs w:val="18"/>
          <w:lang w:val="fr-FR"/>
        </w:rPr>
      </w:pPr>
      <w:r w:rsidRPr="00220F7D">
        <w:rPr>
          <w:rFonts w:asciiTheme="minorHAnsi" w:hAnsiTheme="minorHAnsi" w:cstheme="minorHAnsi"/>
          <w:sz w:val="18"/>
          <w:szCs w:val="18"/>
          <w:lang w:val="fr-FR" w:bidi="fr-FR"/>
        </w:rPr>
        <w:t xml:space="preserve">Une exception à cette règle demeure possible : </w:t>
      </w:r>
      <w:r w:rsidRPr="00220F7D">
        <w:rPr>
          <w:rFonts w:asciiTheme="minorHAnsi" w:hAnsiTheme="minorHAnsi" w:cstheme="minorHAnsi"/>
          <w:sz w:val="18"/>
          <w:szCs w:val="18"/>
          <w:lang w:val="fr-FR" w:bidi="fr-FR"/>
        </w:rPr>
        <w:br/>
        <w:t>1) lorsque la collaboration est envisagée précisément pour remédier au motif d’exclusion (par exemple, une interaction visant à lutter contre les violations des droits humains et du droit du travail au niveau de la chaîne d’approvisionnement ou sur le lieu de travail) ;</w:t>
      </w:r>
      <w:r w:rsidRPr="00220F7D">
        <w:rPr>
          <w:rFonts w:asciiTheme="minorHAnsi" w:hAnsiTheme="minorHAnsi" w:cstheme="minorHAnsi"/>
          <w:sz w:val="18"/>
          <w:szCs w:val="18"/>
          <w:lang w:val="fr-FR" w:bidi="fr-FR"/>
        </w:rPr>
        <w:br/>
        <w:t>2) de manière ponctuelle, lorsqu’il a été établi qu’une entité privée est la seule à disposer de solutions techniques incontournables, dont la mise en œuvre permettra de sauver des vies et/ou de faire face à une situation d’urgence. Cela peut notamment concerner les technologies indispensables à la livraison d’articles alimentaires ou de médicaments indisponibles sur le marché dans le cadre d’activités humanitaires. Il est également possible d’envisager des échanges ponctuels axés sur le transfert de connaissances ou de compétences, à condition que ces échanges ne prennent pas la forme d’une collaboration structurée et ne soient pas mis en avant comme le fruit d’un « partenariat », mais plutôt comme un dialogue ou une simple interaction.</w:t>
      </w:r>
      <w:r w:rsidRPr="00220F7D">
        <w:rPr>
          <w:rFonts w:asciiTheme="minorHAnsi" w:hAnsiTheme="minorHAnsi" w:cstheme="minorHAnsi"/>
          <w:sz w:val="18"/>
          <w:szCs w:val="18"/>
          <w:lang w:val="fr-FR" w:bidi="fr-FR"/>
        </w:rPr>
        <w:br/>
        <w:t xml:space="preserve">Ce type d’entité ne doit pas donner lieu à des activités fondées sur le rapprochement des images de marque, sur des investissements conjoints, sur une collaboration directe et active en matière de financement ou sur la promotion de l’entité concernée auprès des marchés ou du grand public. </w:t>
      </w:r>
    </w:p>
  </w:footnote>
  <w:footnote w:id="13">
    <w:p w14:paraId="5C646B7E" w14:textId="6DC8C1BE" w:rsidR="00FB3BC3" w:rsidRPr="00220F7D" w:rsidRDefault="00FB3BC3" w:rsidP="008F6812">
      <w:pPr>
        <w:pStyle w:val="pf0"/>
        <w:spacing w:before="0" w:beforeAutospacing="0" w:after="0" w:afterAutospacing="0"/>
        <w:jc w:val="both"/>
        <w:rPr>
          <w:rFonts w:asciiTheme="minorHAnsi" w:hAnsiTheme="minorHAnsi" w:cstheme="minorHAnsi"/>
          <w:sz w:val="18"/>
          <w:szCs w:val="18"/>
          <w:lang w:val="fr-FR"/>
        </w:rPr>
      </w:pPr>
      <w:r w:rsidRPr="00220F7D">
        <w:rPr>
          <w:rStyle w:val="FootnoteReference"/>
          <w:rFonts w:asciiTheme="minorHAnsi" w:hAnsiTheme="minorHAnsi" w:cstheme="minorHAnsi"/>
          <w:sz w:val="18"/>
          <w:szCs w:val="18"/>
          <w:lang w:val="fr-FR" w:bidi="fr-FR"/>
        </w:rPr>
        <w:footnoteRef/>
      </w:r>
      <w:r w:rsidRPr="00220F7D">
        <w:rPr>
          <w:rFonts w:asciiTheme="minorHAnsi" w:hAnsiTheme="minorHAnsi" w:cstheme="minorHAnsi"/>
          <w:sz w:val="18"/>
          <w:szCs w:val="18"/>
          <w:lang w:val="fr-FR" w:bidi="fr-FR"/>
        </w:rPr>
        <w:t> </w:t>
      </w:r>
      <w:bookmarkStart w:id="8" w:name="_Hlk132556572"/>
      <w:r w:rsidR="00E36DAD" w:rsidRPr="00220F7D">
        <w:rPr>
          <w:rFonts w:asciiTheme="minorHAnsi" w:hAnsiTheme="minorHAnsi" w:cstheme="minorHAnsi"/>
          <w:sz w:val="18"/>
          <w:szCs w:val="18"/>
          <w:lang w:val="fr-FR" w:bidi="fr-FR"/>
        </w:rPr>
        <w:fldChar w:fldCharType="begin"/>
      </w:r>
      <w:r w:rsidR="00582806" w:rsidRPr="00220F7D">
        <w:rPr>
          <w:rFonts w:asciiTheme="minorHAnsi" w:hAnsiTheme="minorHAnsi" w:cstheme="minorHAnsi"/>
          <w:sz w:val="18"/>
          <w:szCs w:val="18"/>
          <w:lang w:val="fr-FR" w:bidi="fr-FR"/>
        </w:rPr>
        <w:instrText>HYPERLINK "https://undp.sharepoint.com/teams/RSCA/Know/extractives/Key%20Resources/A%20Practitioner%E2%80%99s%20Guide%20Web.pdf?CT=1681235115596&amp;OR=ItemsView"</w:instrText>
      </w:r>
      <w:r w:rsidR="00E36DAD" w:rsidRPr="00220F7D">
        <w:rPr>
          <w:rFonts w:asciiTheme="minorHAnsi" w:hAnsiTheme="minorHAnsi" w:cstheme="minorHAnsi"/>
          <w:sz w:val="18"/>
          <w:szCs w:val="18"/>
          <w:lang w:val="fr-FR" w:bidi="fr-FR"/>
        </w:rPr>
      </w:r>
      <w:r w:rsidR="00E36DAD" w:rsidRPr="00220F7D">
        <w:rPr>
          <w:rFonts w:asciiTheme="minorHAnsi" w:hAnsiTheme="minorHAnsi" w:cstheme="minorHAnsi"/>
          <w:sz w:val="18"/>
          <w:szCs w:val="18"/>
          <w:lang w:val="fr-FR" w:bidi="fr-FR"/>
        </w:rPr>
        <w:fldChar w:fldCharType="separate"/>
      </w:r>
      <w:r w:rsidRPr="00220F7D">
        <w:rPr>
          <w:rStyle w:val="Hyperlink"/>
          <w:rFonts w:asciiTheme="minorHAnsi" w:hAnsiTheme="minorHAnsi" w:cstheme="minorHAnsi"/>
          <w:sz w:val="18"/>
          <w:szCs w:val="18"/>
          <w:lang w:val="fr-FR" w:bidi="fr-FR"/>
        </w:rPr>
        <w:t>Les industries extractives</w:t>
      </w:r>
      <w:r w:rsidR="00E36DAD" w:rsidRPr="00220F7D">
        <w:rPr>
          <w:rFonts w:asciiTheme="minorHAnsi" w:hAnsiTheme="minorHAnsi" w:cstheme="minorHAnsi"/>
          <w:sz w:val="18"/>
          <w:szCs w:val="18"/>
          <w:lang w:val="fr-FR" w:bidi="fr-FR"/>
        </w:rPr>
        <w:fldChar w:fldCharType="end"/>
      </w:r>
      <w:r w:rsidR="00811623" w:rsidRPr="00220F7D">
        <w:rPr>
          <w:rFonts w:asciiTheme="minorHAnsi" w:hAnsiTheme="minorHAnsi" w:cstheme="minorHAnsi"/>
          <w:sz w:val="18"/>
          <w:szCs w:val="18"/>
          <w:lang w:val="fr-FR" w:bidi="fr-FR"/>
        </w:rPr>
        <w:t xml:space="preserve"> (en anglais)</w:t>
      </w:r>
      <w:r w:rsidRPr="00220F7D">
        <w:rPr>
          <w:rFonts w:asciiTheme="minorHAnsi" w:hAnsiTheme="minorHAnsi" w:cstheme="minorHAnsi"/>
          <w:sz w:val="18"/>
          <w:szCs w:val="18"/>
          <w:lang w:val="fr-FR" w:bidi="fr-FR"/>
        </w:rPr>
        <w:t xml:space="preserve"> désignent les activités fondées sur l’extraction des matières premières présentes dans le sol (pétrole, gaz ou ressources minérales, par exemple), leur transformation à des fins d’exportation, leur transport et leur consommation en tant qu’intrants de production et produits finis. Des discussions sont en cours au sujet de la collaboration du PNUD avec les industries extractives. La présente politique et les outils correspondants seront mis à jour de manière à refléter toute décision découlant de ces discussions</w:t>
      </w:r>
      <w:bookmarkEnd w:id="8"/>
      <w:r w:rsidRPr="00220F7D">
        <w:rPr>
          <w:rFonts w:asciiTheme="minorHAnsi" w:hAnsiTheme="minorHAnsi" w:cstheme="minorHAnsi"/>
          <w:sz w:val="18"/>
          <w:szCs w:val="18"/>
          <w:lang w:val="fr-FR" w:bidi="fr-FR"/>
        </w:rPr>
        <w:t>.</w:t>
      </w:r>
    </w:p>
  </w:footnote>
  <w:footnote w:id="14">
    <w:p w14:paraId="14231916" w14:textId="2074F720" w:rsidR="009B1A6D" w:rsidRPr="00220F7D" w:rsidRDefault="009B1A6D" w:rsidP="00FA26B7">
      <w:pPr>
        <w:pStyle w:val="FootnoteText"/>
        <w:jc w:val="both"/>
        <w:rPr>
          <w:rFonts w:cstheme="minorHAnsi"/>
          <w:b/>
          <w:bCs/>
          <w:sz w:val="18"/>
          <w:szCs w:val="18"/>
          <w:lang w:val="fr-FR"/>
        </w:rPr>
      </w:pPr>
      <w:r w:rsidRPr="00220F7D">
        <w:rPr>
          <w:rStyle w:val="FootnoteReference"/>
          <w:rFonts w:cstheme="minorHAnsi"/>
          <w:sz w:val="18"/>
          <w:szCs w:val="18"/>
          <w:lang w:val="fr-FR" w:bidi="fr-FR"/>
        </w:rPr>
        <w:footnoteRef/>
      </w:r>
      <w:r w:rsidRPr="00220F7D">
        <w:rPr>
          <w:rFonts w:cstheme="minorHAnsi"/>
          <w:sz w:val="18"/>
          <w:szCs w:val="18"/>
          <w:lang w:val="fr-FR" w:bidi="fr-FR"/>
        </w:rPr>
        <w:t> Des discussions sont en cours au sujet de la collaboration du Groupe des Nations Unies pour le développement durable et du PNUD avec les industries extractives. La présente politique et les outils correspondants seront mis à jour de manière refléter les conséquences de ces discussions.</w:t>
      </w:r>
    </w:p>
  </w:footnote>
  <w:footnote w:id="15">
    <w:p w14:paraId="21861632" w14:textId="54D6CDC8" w:rsidR="009B1A6D" w:rsidRPr="00220F7D" w:rsidRDefault="009B1A6D" w:rsidP="00FA26B7">
      <w:pPr>
        <w:pStyle w:val="FootnoteText"/>
        <w:tabs>
          <w:tab w:val="left" w:pos="1183"/>
        </w:tabs>
        <w:jc w:val="both"/>
        <w:rPr>
          <w:rFonts w:cstheme="minorHAnsi"/>
          <w:sz w:val="18"/>
          <w:szCs w:val="18"/>
          <w:lang w:val="fr-FR"/>
        </w:rPr>
      </w:pPr>
      <w:r w:rsidRPr="00220F7D">
        <w:rPr>
          <w:rStyle w:val="FootnoteReference"/>
          <w:rFonts w:cstheme="minorHAnsi"/>
          <w:sz w:val="18"/>
          <w:szCs w:val="18"/>
          <w:lang w:val="fr-FR" w:bidi="fr-FR"/>
        </w:rPr>
        <w:footnoteRef/>
      </w:r>
      <w:r w:rsidRPr="00220F7D">
        <w:rPr>
          <w:rFonts w:cstheme="minorHAnsi"/>
          <w:sz w:val="18"/>
          <w:szCs w:val="18"/>
          <w:lang w:val="fr-FR" w:bidi="fr-FR"/>
        </w:rPr>
        <w:t> Ibid.</w:t>
      </w:r>
      <w:r w:rsidRPr="00220F7D">
        <w:rPr>
          <w:rFonts w:cstheme="minorHAnsi"/>
          <w:sz w:val="18"/>
          <w:szCs w:val="18"/>
          <w:lang w:val="fr-FR" w:bidi="fr-FR"/>
        </w:rPr>
        <w:tab/>
      </w:r>
    </w:p>
  </w:footnote>
  <w:footnote w:id="16">
    <w:p w14:paraId="300E2E4B" w14:textId="77777777" w:rsidR="009B1A6D" w:rsidRPr="00220F7D" w:rsidRDefault="009B1A6D" w:rsidP="00FA26B7">
      <w:pPr>
        <w:pStyle w:val="FootnoteText"/>
        <w:jc w:val="both"/>
        <w:rPr>
          <w:rFonts w:cstheme="minorHAnsi"/>
          <w:sz w:val="18"/>
          <w:szCs w:val="18"/>
          <w:lang w:val="fr-FR"/>
        </w:rPr>
      </w:pPr>
      <w:r w:rsidRPr="00220F7D">
        <w:rPr>
          <w:rStyle w:val="FootnoteReference"/>
          <w:rFonts w:cstheme="minorHAnsi"/>
          <w:sz w:val="18"/>
          <w:szCs w:val="18"/>
          <w:lang w:val="fr-FR" w:bidi="fr-FR"/>
        </w:rPr>
        <w:footnoteRef/>
      </w:r>
      <w:r w:rsidRPr="00220F7D">
        <w:rPr>
          <w:rFonts w:cstheme="minorHAnsi"/>
          <w:sz w:val="18"/>
          <w:szCs w:val="18"/>
          <w:lang w:val="fr-FR" w:bidi="fr-FR"/>
        </w:rPr>
        <w:t> Ibid.</w:t>
      </w:r>
    </w:p>
  </w:footnote>
  <w:footnote w:id="17">
    <w:p w14:paraId="38F0A575" w14:textId="1E7523AA" w:rsidR="00B93DE9" w:rsidRPr="00220F7D" w:rsidRDefault="00B93DE9" w:rsidP="00021131">
      <w:pPr>
        <w:ind w:left="-90" w:right="951"/>
        <w:jc w:val="both"/>
        <w:rPr>
          <w:rFonts w:asciiTheme="minorHAnsi" w:hAnsiTheme="minorHAnsi" w:cstheme="minorHAnsi"/>
          <w:sz w:val="18"/>
          <w:szCs w:val="18"/>
        </w:rPr>
      </w:pPr>
      <w:r w:rsidRPr="00220F7D">
        <w:rPr>
          <w:rStyle w:val="FootnoteReference"/>
          <w:rFonts w:asciiTheme="minorHAnsi" w:hAnsiTheme="minorHAnsi" w:cstheme="minorHAnsi"/>
          <w:sz w:val="18"/>
          <w:szCs w:val="18"/>
          <w:lang w:bidi="fr-FR"/>
        </w:rPr>
        <w:footnoteRef/>
      </w:r>
      <w:r w:rsidRPr="00220F7D">
        <w:rPr>
          <w:rFonts w:asciiTheme="minorHAnsi" w:hAnsiTheme="minorHAnsi" w:cstheme="minorHAnsi"/>
          <w:sz w:val="18"/>
          <w:szCs w:val="18"/>
          <w:lang w:bidi="fr-FR"/>
        </w:rPr>
        <w:t> Cet aspect suppose notamment d’évaluer l’engagement du partenaire en faveur de l’égalité des genres, par exemple à travers la mise en place de politiques adaptées aux familles, l’équité salariale, ou encore le respect de l’équilibre entre vie privée et vie professionnelle.</w:t>
      </w:r>
    </w:p>
  </w:footnote>
  <w:footnote w:id="18">
    <w:p w14:paraId="4FCAC9EE" w14:textId="60FDF7B8" w:rsidR="00B93DE9" w:rsidRPr="00220F7D" w:rsidRDefault="00B93DE9" w:rsidP="00DC3FBC">
      <w:pPr>
        <w:ind w:left="-90" w:right="50"/>
        <w:rPr>
          <w:rFonts w:asciiTheme="minorHAnsi" w:hAnsiTheme="minorHAnsi" w:cstheme="minorHAnsi"/>
          <w:sz w:val="18"/>
          <w:szCs w:val="18"/>
        </w:rPr>
      </w:pPr>
      <w:r w:rsidRPr="00220F7D">
        <w:rPr>
          <w:rStyle w:val="FootnoteReference"/>
          <w:rFonts w:asciiTheme="minorHAnsi" w:hAnsiTheme="minorHAnsi" w:cstheme="minorHAnsi"/>
          <w:sz w:val="18"/>
          <w:szCs w:val="18"/>
          <w:lang w:bidi="fr-FR"/>
        </w:rPr>
        <w:footnoteRef/>
      </w:r>
      <w:r w:rsidRPr="00220F7D">
        <w:rPr>
          <w:rFonts w:asciiTheme="minorHAnsi" w:hAnsiTheme="minorHAnsi" w:cstheme="minorHAnsi"/>
          <w:sz w:val="18"/>
          <w:szCs w:val="18"/>
          <w:lang w:bidi="fr-FR"/>
        </w:rPr>
        <w:t xml:space="preserve"> Le Code international de commercialisation des substituts du lait maternel de l’OMS est disponible à l’adresse suivante : </w:t>
      </w:r>
      <w:hyperlink r:id="rId9" w:history="1">
        <w:r w:rsidR="00DC3FBC" w:rsidRPr="00220F7D">
          <w:rPr>
            <w:rStyle w:val="Hyperlink"/>
            <w:rFonts w:asciiTheme="minorHAnsi" w:hAnsiTheme="minorHAnsi" w:cstheme="minorHAnsi"/>
            <w:sz w:val="18"/>
            <w:szCs w:val="18"/>
            <w:lang w:bidi="fr-FR"/>
          </w:rPr>
          <w:t>https://www.who.int/fr/publications-detail/9241541601</w:t>
        </w:r>
      </w:hyperlink>
      <w:r w:rsidRPr="00220F7D">
        <w:rPr>
          <w:rFonts w:asciiTheme="minorHAnsi" w:hAnsiTheme="minorHAnsi" w:cstheme="minorHAnsi"/>
          <w:sz w:val="18"/>
          <w:szCs w:val="18"/>
          <w:lang w:bidi="fr-FR"/>
        </w:rPr>
        <w:t>.</w:t>
      </w:r>
    </w:p>
  </w:footnote>
  <w:footnote w:id="19">
    <w:p w14:paraId="13759044" w14:textId="77777777" w:rsidR="00CE3F1E" w:rsidRPr="00220F7D" w:rsidRDefault="00CE3F1E" w:rsidP="00FA26B7">
      <w:pPr>
        <w:pStyle w:val="FootnoteText"/>
        <w:jc w:val="both"/>
        <w:rPr>
          <w:rFonts w:cstheme="minorHAnsi"/>
          <w:sz w:val="18"/>
          <w:szCs w:val="18"/>
          <w:lang w:val="fr-FR"/>
        </w:rPr>
      </w:pPr>
      <w:r w:rsidRPr="00220F7D">
        <w:rPr>
          <w:rStyle w:val="FootnoteReference"/>
          <w:rFonts w:cstheme="minorHAnsi"/>
          <w:sz w:val="18"/>
          <w:szCs w:val="18"/>
          <w:lang w:val="fr-FR" w:bidi="fr-FR"/>
        </w:rPr>
        <w:footnoteRef/>
      </w:r>
      <w:r w:rsidRPr="00220F7D">
        <w:rPr>
          <w:rFonts w:cstheme="minorHAnsi"/>
          <w:sz w:val="18"/>
          <w:szCs w:val="18"/>
          <w:lang w:val="fr-FR" w:bidi="fr-FR"/>
        </w:rPr>
        <w:t xml:space="preserve"> Lorsque des </w:t>
      </w:r>
      <w:r w:rsidRPr="00220F7D">
        <w:rPr>
          <w:rFonts w:cstheme="minorHAnsi"/>
          <w:b/>
          <w:sz w:val="18"/>
          <w:szCs w:val="18"/>
          <w:lang w:val="fr-FR" w:bidi="fr-FR"/>
        </w:rPr>
        <w:t>sujets de controverse</w:t>
      </w:r>
      <w:r w:rsidRPr="00220F7D">
        <w:rPr>
          <w:rFonts w:cstheme="minorHAnsi"/>
          <w:sz w:val="18"/>
          <w:szCs w:val="18"/>
          <w:lang w:val="fr-FR" w:bidi="fr-FR"/>
        </w:rPr>
        <w:t xml:space="preserve"> ou des </w:t>
      </w:r>
      <w:r w:rsidRPr="00220F7D">
        <w:rPr>
          <w:rFonts w:cstheme="minorHAnsi"/>
          <w:b/>
          <w:sz w:val="18"/>
          <w:szCs w:val="18"/>
          <w:lang w:val="fr-FR" w:bidi="fr-FR"/>
        </w:rPr>
        <w:t>critères d’exclusion</w:t>
      </w:r>
      <w:r w:rsidRPr="00220F7D">
        <w:rPr>
          <w:rFonts w:cstheme="minorHAnsi"/>
          <w:sz w:val="18"/>
          <w:szCs w:val="18"/>
          <w:lang w:val="fr-FR" w:bidi="fr-FR"/>
        </w:rPr>
        <w:t xml:space="preserve"> sont identifiés, les sections de l’outil d’évaluation des risques relatives aux politiques en matière d’ESG et aux risques et avantages liés au partenariat doivent être appliquées.</w:t>
      </w:r>
    </w:p>
  </w:footnote>
  <w:footnote w:id="20">
    <w:p w14:paraId="202C3FF2" w14:textId="77777777" w:rsidR="00CE3F1E" w:rsidRPr="00220F7D" w:rsidRDefault="00CE3F1E" w:rsidP="00FA26B7">
      <w:pPr>
        <w:pStyle w:val="FootnoteText"/>
        <w:jc w:val="both"/>
        <w:rPr>
          <w:rFonts w:cstheme="minorHAnsi"/>
          <w:sz w:val="18"/>
          <w:szCs w:val="18"/>
          <w:lang w:val="fr-FR"/>
        </w:rPr>
      </w:pPr>
      <w:r w:rsidRPr="00220F7D">
        <w:rPr>
          <w:rStyle w:val="FootnoteReference"/>
          <w:rFonts w:cstheme="minorHAnsi"/>
          <w:sz w:val="18"/>
          <w:szCs w:val="18"/>
          <w:lang w:val="fr-FR" w:bidi="fr-FR"/>
        </w:rPr>
        <w:footnoteRef/>
      </w:r>
      <w:r w:rsidRPr="00220F7D">
        <w:rPr>
          <w:rFonts w:cstheme="minorHAnsi"/>
          <w:sz w:val="18"/>
          <w:szCs w:val="18"/>
          <w:lang w:val="fr-FR" w:bidi="fr-FR"/>
        </w:rPr>
        <w:t> Ibid.</w:t>
      </w:r>
    </w:p>
  </w:footnote>
  <w:footnote w:id="21">
    <w:p w14:paraId="2A4B532C" w14:textId="17E81ABE" w:rsidR="00167985" w:rsidRPr="00220F7D" w:rsidRDefault="00167985" w:rsidP="00FA26B7">
      <w:pPr>
        <w:pStyle w:val="pf0"/>
        <w:spacing w:before="0" w:beforeAutospacing="0" w:after="0" w:afterAutospacing="0"/>
        <w:jc w:val="both"/>
        <w:rPr>
          <w:rFonts w:asciiTheme="minorHAnsi" w:hAnsiTheme="minorHAnsi" w:cstheme="minorHAnsi"/>
          <w:sz w:val="18"/>
          <w:szCs w:val="18"/>
          <w:lang w:val="fr-FR"/>
        </w:rPr>
      </w:pPr>
      <w:r w:rsidRPr="00220F7D">
        <w:rPr>
          <w:rStyle w:val="FootnoteReference"/>
          <w:rFonts w:asciiTheme="minorHAnsi" w:hAnsiTheme="minorHAnsi" w:cstheme="minorHAnsi"/>
          <w:sz w:val="18"/>
          <w:szCs w:val="18"/>
          <w:lang w:val="fr-FR" w:bidi="fr-FR"/>
        </w:rPr>
        <w:footnoteRef/>
      </w:r>
      <w:r w:rsidRPr="00220F7D">
        <w:rPr>
          <w:rFonts w:asciiTheme="minorHAnsi" w:hAnsiTheme="minorHAnsi" w:cstheme="minorHAnsi"/>
          <w:sz w:val="18"/>
          <w:szCs w:val="18"/>
          <w:lang w:val="fr-FR" w:bidi="fr-FR"/>
        </w:rPr>
        <w:t> </w:t>
      </w:r>
      <w:hyperlink r:id="rId10" w:history="1">
        <w:r w:rsidR="0065093B" w:rsidRPr="00220F7D">
          <w:rPr>
            <w:rStyle w:val="Hyperlink"/>
            <w:rFonts w:asciiTheme="minorHAnsi" w:hAnsiTheme="minorHAnsi" w:cstheme="minorHAnsi"/>
            <w:sz w:val="18"/>
            <w:szCs w:val="18"/>
            <w:lang w:val="fr-FR" w:bidi="fr-FR"/>
          </w:rPr>
          <w:t>Les industries extractives</w:t>
        </w:r>
      </w:hyperlink>
      <w:r w:rsidR="00083AF0" w:rsidRPr="00220F7D">
        <w:rPr>
          <w:rStyle w:val="Hyperlink"/>
          <w:rFonts w:asciiTheme="minorHAnsi" w:hAnsiTheme="minorHAnsi" w:cstheme="minorHAnsi"/>
          <w:sz w:val="18"/>
          <w:szCs w:val="18"/>
          <w:lang w:val="fr-FR" w:bidi="fr-FR"/>
        </w:rPr>
        <w:t xml:space="preserve"> (en anglais)</w:t>
      </w:r>
      <w:r w:rsidR="0065093B" w:rsidRPr="00220F7D">
        <w:rPr>
          <w:rStyle w:val="cf01"/>
          <w:rFonts w:asciiTheme="minorHAnsi" w:hAnsiTheme="minorHAnsi" w:cstheme="minorHAnsi"/>
          <w:lang w:val="fr-FR" w:bidi="fr-FR"/>
        </w:rPr>
        <w:t xml:space="preserve"> désignent les activités fondées sur l’extraction des matières premières présentes dans le sol (pétrole, gaz ou ressources minérales, par exemple), leur transformation à des fins d’exportation, leur transport et leur consommation en tant qu’intrants de production et produits finis.</w:t>
      </w:r>
      <w:r w:rsidRPr="00220F7D">
        <w:rPr>
          <w:rFonts w:asciiTheme="minorHAnsi" w:hAnsiTheme="minorHAnsi" w:cstheme="minorHAnsi"/>
          <w:sz w:val="18"/>
          <w:szCs w:val="18"/>
          <w:lang w:val="fr-FR" w:bidi="fr-FR"/>
        </w:rPr>
        <w:t xml:space="preserve"> Des discussions sont en cours au sujet de la collaboration du PNUD avec les industries extractives. La présente politique et les outils correspondants seront mis à jour de manière </w:t>
      </w:r>
      <w:r w:rsidR="007565E4">
        <w:rPr>
          <w:rFonts w:asciiTheme="minorHAnsi" w:hAnsiTheme="minorHAnsi" w:cstheme="minorHAnsi"/>
          <w:sz w:val="18"/>
          <w:szCs w:val="18"/>
          <w:lang w:val="fr-FR" w:bidi="fr-FR"/>
        </w:rPr>
        <w:t xml:space="preserve">à </w:t>
      </w:r>
      <w:r w:rsidRPr="00220F7D">
        <w:rPr>
          <w:rFonts w:asciiTheme="minorHAnsi" w:hAnsiTheme="minorHAnsi" w:cstheme="minorHAnsi"/>
          <w:sz w:val="18"/>
          <w:szCs w:val="18"/>
          <w:lang w:val="fr-FR" w:bidi="fr-FR"/>
        </w:rPr>
        <w:t xml:space="preserve">refléter les conséquences de ces discussions. </w:t>
      </w:r>
    </w:p>
  </w:footnote>
  <w:footnote w:id="22">
    <w:p w14:paraId="260F0A17" w14:textId="6D281A3A" w:rsidR="00167985" w:rsidRPr="00220F7D" w:rsidRDefault="00167985" w:rsidP="00FA26B7">
      <w:pPr>
        <w:pStyle w:val="FootnoteText"/>
        <w:jc w:val="both"/>
        <w:rPr>
          <w:rFonts w:cstheme="minorHAnsi"/>
          <w:sz w:val="18"/>
          <w:szCs w:val="18"/>
          <w:lang w:val="fr-FR"/>
        </w:rPr>
      </w:pPr>
      <w:r w:rsidRPr="00220F7D">
        <w:rPr>
          <w:rStyle w:val="FootnoteReference"/>
          <w:rFonts w:cstheme="minorHAnsi"/>
          <w:sz w:val="18"/>
          <w:szCs w:val="18"/>
          <w:lang w:val="fr-FR" w:bidi="fr-FR"/>
        </w:rPr>
        <w:footnoteRef/>
      </w:r>
      <w:r w:rsidRPr="00220F7D">
        <w:rPr>
          <w:rFonts w:cstheme="minorHAnsi"/>
          <w:sz w:val="18"/>
          <w:szCs w:val="18"/>
          <w:lang w:val="fr-FR" w:bidi="fr-FR"/>
        </w:rPr>
        <w:t> Pour en savoir plus, veuillez consulter l’outil d’évaluation des risques liés au secteur privé, mis au point par le PNUD.</w:t>
      </w:r>
    </w:p>
  </w:footnote>
  <w:footnote w:id="23">
    <w:p w14:paraId="033720FC" w14:textId="5EF47E40" w:rsidR="00C6409C" w:rsidRPr="00220F7D" w:rsidRDefault="00C6409C" w:rsidP="00FA26B7">
      <w:pPr>
        <w:pStyle w:val="FootnoteText"/>
        <w:jc w:val="both"/>
        <w:rPr>
          <w:rFonts w:cstheme="minorHAnsi"/>
          <w:sz w:val="18"/>
          <w:szCs w:val="18"/>
          <w:lang w:val="fr-FR"/>
        </w:rPr>
      </w:pPr>
      <w:r w:rsidRPr="00220F7D">
        <w:rPr>
          <w:rStyle w:val="FootnoteReference"/>
          <w:rFonts w:cstheme="minorHAnsi"/>
          <w:sz w:val="18"/>
          <w:szCs w:val="18"/>
          <w:lang w:val="fr-FR" w:bidi="fr-FR"/>
        </w:rPr>
        <w:footnoteRef/>
      </w:r>
      <w:r w:rsidRPr="00220F7D">
        <w:rPr>
          <w:rFonts w:cstheme="minorHAnsi"/>
          <w:sz w:val="18"/>
          <w:szCs w:val="18"/>
          <w:lang w:val="fr-FR" w:bidi="fr-FR"/>
        </w:rPr>
        <w:t> Les résultats de l’outil d’évaluation des risques déterminent le niveau de risque associé à un partenariat donné.</w:t>
      </w:r>
    </w:p>
  </w:footnote>
  <w:footnote w:id="24">
    <w:p w14:paraId="6A6B7AAF" w14:textId="44D178FF" w:rsidR="0046210B" w:rsidRPr="00220F7D" w:rsidRDefault="0046210B" w:rsidP="00FA26B7">
      <w:pPr>
        <w:jc w:val="both"/>
        <w:rPr>
          <w:rFonts w:asciiTheme="minorHAnsi" w:hAnsiTheme="minorHAnsi" w:cstheme="minorHAnsi"/>
          <w:sz w:val="18"/>
          <w:szCs w:val="18"/>
        </w:rPr>
      </w:pPr>
      <w:r w:rsidRPr="00220F7D">
        <w:rPr>
          <w:rStyle w:val="FootnoteReference"/>
          <w:rFonts w:asciiTheme="minorHAnsi" w:hAnsiTheme="minorHAnsi" w:cstheme="minorHAnsi"/>
          <w:sz w:val="18"/>
          <w:szCs w:val="18"/>
          <w:lang w:bidi="fr-FR"/>
        </w:rPr>
        <w:footnoteRef/>
      </w:r>
      <w:r w:rsidRPr="00220F7D">
        <w:rPr>
          <w:rFonts w:asciiTheme="minorHAnsi" w:hAnsiTheme="minorHAnsi" w:cstheme="minorHAnsi"/>
          <w:sz w:val="18"/>
          <w:szCs w:val="18"/>
          <w:lang w:bidi="fr-FR"/>
        </w:rPr>
        <w:t> Des discussions sont en cours au sujet de la collaboration du PNUD avec les industries extractives. La présente politique et les outils correspondants seront mis à jour de manière refléter les conséquences de ces discussions.</w:t>
      </w:r>
    </w:p>
  </w:footnote>
  <w:footnote w:id="25">
    <w:p w14:paraId="3AB94A24" w14:textId="04060BFA" w:rsidR="0046210B" w:rsidRPr="00220F7D" w:rsidRDefault="0046210B" w:rsidP="00FA26B7">
      <w:pPr>
        <w:pStyle w:val="FootnoteText"/>
        <w:jc w:val="both"/>
        <w:rPr>
          <w:rFonts w:cstheme="minorHAnsi"/>
          <w:sz w:val="18"/>
          <w:szCs w:val="18"/>
          <w:lang w:val="fr-FR"/>
        </w:rPr>
      </w:pPr>
      <w:r w:rsidRPr="00220F7D">
        <w:rPr>
          <w:rStyle w:val="FootnoteReference"/>
          <w:rFonts w:cstheme="minorHAnsi"/>
          <w:sz w:val="18"/>
          <w:szCs w:val="18"/>
          <w:lang w:val="fr-FR" w:bidi="fr-FR"/>
        </w:rPr>
        <w:footnoteRef/>
      </w:r>
      <w:r w:rsidRPr="00220F7D">
        <w:rPr>
          <w:rFonts w:cstheme="minorHAnsi"/>
          <w:sz w:val="18"/>
          <w:szCs w:val="18"/>
          <w:lang w:val="fr-FR" w:bidi="fr-FR"/>
        </w:rPr>
        <w:t> Ibid.</w:t>
      </w:r>
    </w:p>
  </w:footnote>
  <w:footnote w:id="26">
    <w:p w14:paraId="5259FBBB" w14:textId="04A42A67" w:rsidR="0089617F" w:rsidRPr="00220F7D" w:rsidRDefault="0089617F" w:rsidP="00FA26B7">
      <w:pPr>
        <w:pStyle w:val="FootnoteText"/>
        <w:jc w:val="both"/>
        <w:rPr>
          <w:rFonts w:cstheme="minorHAnsi"/>
          <w:sz w:val="18"/>
          <w:szCs w:val="18"/>
          <w:lang w:val="fr-FR"/>
        </w:rPr>
      </w:pPr>
      <w:r w:rsidRPr="00220F7D">
        <w:rPr>
          <w:rStyle w:val="FootnoteReference"/>
          <w:rFonts w:cstheme="minorHAnsi"/>
          <w:sz w:val="18"/>
          <w:szCs w:val="18"/>
          <w:lang w:val="fr-FR" w:bidi="fr-FR"/>
        </w:rPr>
        <w:footnoteRef/>
      </w:r>
      <w:r w:rsidRPr="00220F7D">
        <w:rPr>
          <w:rFonts w:cstheme="minorHAnsi"/>
          <w:sz w:val="18"/>
          <w:szCs w:val="18"/>
          <w:lang w:val="fr-FR" w:bidi="fr-FR"/>
        </w:rPr>
        <w:t> Définition inspirée des Directives pour la coopération entre les Nations Unies et le secteur privé, et de la résolution 62/211 de l’Assemblée générale des Nations Unies (2007).</w:t>
      </w:r>
    </w:p>
  </w:footnote>
  <w:footnote w:id="27">
    <w:p w14:paraId="61991B2E" w14:textId="270B8F90" w:rsidR="00566B39" w:rsidRPr="00220F7D" w:rsidRDefault="00566B39" w:rsidP="00FA26B7">
      <w:pPr>
        <w:pStyle w:val="FootnoteText"/>
        <w:jc w:val="both"/>
        <w:rPr>
          <w:rFonts w:cstheme="minorHAnsi"/>
          <w:sz w:val="18"/>
          <w:szCs w:val="18"/>
          <w:lang w:val="fr-FR"/>
        </w:rPr>
      </w:pPr>
      <w:r w:rsidRPr="00220F7D">
        <w:rPr>
          <w:rStyle w:val="FootnoteReference"/>
          <w:rFonts w:cstheme="minorHAnsi"/>
          <w:sz w:val="18"/>
          <w:szCs w:val="18"/>
          <w:lang w:val="fr-FR" w:bidi="fr-FR"/>
        </w:rPr>
        <w:footnoteRef/>
      </w:r>
      <w:r w:rsidRPr="00220F7D">
        <w:rPr>
          <w:rFonts w:cstheme="minorHAnsi"/>
          <w:sz w:val="18"/>
          <w:szCs w:val="18"/>
          <w:lang w:val="fr-FR" w:bidi="fr-FR"/>
        </w:rPr>
        <w:t xml:space="preserve"> Pour en savoir plus, veuillez consulter la </w:t>
      </w:r>
      <w:hyperlink r:id="rId11" w:history="1">
        <w:r w:rsidR="00055397" w:rsidRPr="00220F7D">
          <w:rPr>
            <w:rStyle w:val="Hyperlink"/>
            <w:rFonts w:cstheme="minorHAnsi"/>
            <w:sz w:val="18"/>
            <w:szCs w:val="18"/>
            <w:lang w:val="fr-FR" w:bidi="fr-FR"/>
          </w:rPr>
          <w:t>politique relative à la sélection des parties responsables et des bénéficiaires de subventions</w:t>
        </w:r>
      </w:hyperlink>
      <w:r w:rsidRPr="00220F7D">
        <w:rPr>
          <w:rFonts w:cstheme="minorHAnsi"/>
          <w:sz w:val="18"/>
          <w:szCs w:val="18"/>
          <w:lang w:val="fr-FR" w:bidi="fr-FR"/>
        </w:rPr>
        <w:t>.</w:t>
      </w:r>
    </w:p>
  </w:footnote>
  <w:footnote w:id="28">
    <w:p w14:paraId="409F6934" w14:textId="29E0CF43" w:rsidR="0089617F" w:rsidRPr="00220F7D" w:rsidRDefault="0089617F" w:rsidP="00FA26B7">
      <w:pPr>
        <w:pStyle w:val="FootnoteText"/>
        <w:jc w:val="both"/>
        <w:rPr>
          <w:rFonts w:cstheme="minorHAnsi"/>
          <w:sz w:val="18"/>
          <w:szCs w:val="18"/>
          <w:lang w:val="fr-FR"/>
        </w:rPr>
      </w:pPr>
      <w:r w:rsidRPr="00220F7D">
        <w:rPr>
          <w:rStyle w:val="FootnoteReference"/>
          <w:rFonts w:cstheme="minorHAnsi"/>
          <w:sz w:val="18"/>
          <w:szCs w:val="18"/>
          <w:lang w:val="fr-FR" w:bidi="fr-FR"/>
        </w:rPr>
        <w:footnoteRef/>
      </w:r>
      <w:r w:rsidRPr="00220F7D">
        <w:rPr>
          <w:rFonts w:cstheme="minorHAnsi"/>
          <w:spacing w:val="8"/>
          <w:position w:val="6"/>
          <w:sz w:val="18"/>
          <w:szCs w:val="18"/>
          <w:lang w:val="fr-FR" w:bidi="fr-FR"/>
        </w:rPr>
        <w:t> </w:t>
      </w:r>
      <w:r w:rsidRPr="00220F7D">
        <w:rPr>
          <w:rFonts w:cstheme="minorHAnsi"/>
          <w:sz w:val="18"/>
          <w:szCs w:val="18"/>
          <w:lang w:val="fr-FR" w:bidi="fr-FR"/>
        </w:rPr>
        <w:t>Une CCI est un partenariat fortement intégré, innovant et axé sur la recherche d’excellence, qui rassemble les secteurs de l’éducation, des technologies, de la recherche, des affaires et de l’entrepreneuriat afin de faire émerger des innovations et de nouveaux modèles d’innovation répondant aux principaux problèmes sociétaux. Les principaux acteurs concernés sont notamment les entreprises (y compris les petites et moyennes entreprises), les entrepreneurs, les organisations de recherche et de technologie, les institutions d’enseignement supérieur, les communautés d’investissement (investisseurs privés et capital de risque), les organismes de financement de la recherche, y compris les organisations caritatives et les fondations, ainsi que les autorités locales, régionales et nationales.</w:t>
      </w:r>
    </w:p>
  </w:footnote>
  <w:footnote w:id="29">
    <w:p w14:paraId="04D03328" w14:textId="048E3FED" w:rsidR="00B93DE9" w:rsidRPr="00220F7D" w:rsidRDefault="00B93DE9" w:rsidP="00FA26B7">
      <w:pPr>
        <w:pStyle w:val="FootnoteText"/>
        <w:jc w:val="both"/>
        <w:rPr>
          <w:rFonts w:cstheme="minorHAnsi"/>
          <w:sz w:val="18"/>
          <w:szCs w:val="18"/>
          <w:lang w:val="fr-FR"/>
        </w:rPr>
      </w:pPr>
      <w:r w:rsidRPr="00220F7D">
        <w:rPr>
          <w:rStyle w:val="FootnoteReference"/>
          <w:rFonts w:cstheme="minorHAnsi"/>
          <w:sz w:val="18"/>
          <w:szCs w:val="18"/>
          <w:lang w:val="fr-FR" w:bidi="fr-FR"/>
        </w:rPr>
        <w:footnoteRef/>
      </w:r>
      <w:r w:rsidRPr="00220F7D">
        <w:rPr>
          <w:rFonts w:cstheme="minorHAnsi"/>
          <w:sz w:val="18"/>
          <w:szCs w:val="18"/>
          <w:lang w:val="fr-FR" w:bidi="fr-FR"/>
        </w:rPr>
        <w:t> Les problèmes systémiques sont des défaillances fondamentales du marché ou de la gouvernance qui ne peuvent être corrigées que par la mise en œuvre d’une solution intégrée. La lutte contre la malnutrition, par exemple, nécessite la mise en place d’interventions ayant trait à la fois à l’alimentation, à l’assainissement, à l’éducation,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B342" w14:textId="3FC7A2D9" w:rsidR="00E532A0" w:rsidRDefault="007829A4" w:rsidP="00281BBD">
    <w:pPr>
      <w:pStyle w:val="Header"/>
      <w:tabs>
        <w:tab w:val="left" w:pos="5703"/>
      </w:tabs>
    </w:pPr>
    <w:r>
      <w:rPr>
        <w:lang w:bidi="fr-FR"/>
      </w:rPr>
      <w:tab/>
    </w:r>
    <w:r>
      <w:rPr>
        <w:lang w:bidi="fr-FR"/>
      </w:rPr>
      <w:tab/>
    </w:r>
    <w:r>
      <w:rPr>
        <w:lang w:bidi="fr-FR"/>
      </w:rPr>
      <w:tab/>
    </w:r>
    <w:r w:rsidR="00E532A0">
      <w:rPr>
        <w:noProof/>
        <w:sz w:val="20"/>
        <w:lang w:bidi="fr-FR"/>
      </w:rPr>
      <w:drawing>
        <wp:inline distT="0" distB="0" distL="0" distR="0" wp14:anchorId="4F367D66" wp14:editId="69CC3BEC">
          <wp:extent cx="470184" cy="725805"/>
          <wp:effectExtent l="0" t="0" r="0" b="0"/>
          <wp:docPr id="376296035" name="Picture 376296035"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rotWithShape="1">
                  <a:blip r:embed="rId1" cstate="print"/>
                  <a:srcRect b="22104"/>
                  <a:stretch/>
                </pic:blipFill>
                <pic:spPr bwMode="auto">
                  <a:xfrm>
                    <a:off x="0" y="0"/>
                    <a:ext cx="475621" cy="73419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27AE"/>
    <w:multiLevelType w:val="hybridMultilevel"/>
    <w:tmpl w:val="EB862B12"/>
    <w:lvl w:ilvl="0" w:tplc="D1DC9D34">
      <w:numFmt w:val="bullet"/>
      <w:lvlText w:val=""/>
      <w:lvlJc w:val="left"/>
      <w:pPr>
        <w:ind w:left="279" w:hanging="144"/>
      </w:pPr>
      <w:rPr>
        <w:rFonts w:ascii="Symbol" w:eastAsia="Symbol" w:hAnsi="Symbol" w:cs="Symbol" w:hint="default"/>
        <w:w w:val="100"/>
        <w:sz w:val="22"/>
        <w:szCs w:val="22"/>
        <w:lang w:val="en-US" w:eastAsia="en-US" w:bidi="en-US"/>
      </w:rPr>
    </w:lvl>
    <w:lvl w:ilvl="1" w:tplc="7B7007FE">
      <w:numFmt w:val="bullet"/>
      <w:lvlText w:val="•"/>
      <w:lvlJc w:val="left"/>
      <w:pPr>
        <w:ind w:left="599" w:hanging="144"/>
      </w:pPr>
      <w:rPr>
        <w:rFonts w:hint="default"/>
        <w:lang w:val="en-US" w:eastAsia="en-US" w:bidi="en-US"/>
      </w:rPr>
    </w:lvl>
    <w:lvl w:ilvl="2" w:tplc="16DA1F34">
      <w:numFmt w:val="bullet"/>
      <w:lvlText w:val="•"/>
      <w:lvlJc w:val="left"/>
      <w:pPr>
        <w:ind w:left="918" w:hanging="144"/>
      </w:pPr>
      <w:rPr>
        <w:rFonts w:hint="default"/>
        <w:lang w:val="en-US" w:eastAsia="en-US" w:bidi="en-US"/>
      </w:rPr>
    </w:lvl>
    <w:lvl w:ilvl="3" w:tplc="4F6AF8CE">
      <w:numFmt w:val="bullet"/>
      <w:lvlText w:val="•"/>
      <w:lvlJc w:val="left"/>
      <w:pPr>
        <w:ind w:left="1237" w:hanging="144"/>
      </w:pPr>
      <w:rPr>
        <w:rFonts w:hint="default"/>
        <w:lang w:val="en-US" w:eastAsia="en-US" w:bidi="en-US"/>
      </w:rPr>
    </w:lvl>
    <w:lvl w:ilvl="4" w:tplc="884C656A">
      <w:numFmt w:val="bullet"/>
      <w:lvlText w:val="•"/>
      <w:lvlJc w:val="left"/>
      <w:pPr>
        <w:ind w:left="1557" w:hanging="144"/>
      </w:pPr>
      <w:rPr>
        <w:rFonts w:hint="default"/>
        <w:lang w:val="en-US" w:eastAsia="en-US" w:bidi="en-US"/>
      </w:rPr>
    </w:lvl>
    <w:lvl w:ilvl="5" w:tplc="2FB8FBAC">
      <w:numFmt w:val="bullet"/>
      <w:lvlText w:val="•"/>
      <w:lvlJc w:val="left"/>
      <w:pPr>
        <w:ind w:left="1876" w:hanging="144"/>
      </w:pPr>
      <w:rPr>
        <w:rFonts w:hint="default"/>
        <w:lang w:val="en-US" w:eastAsia="en-US" w:bidi="en-US"/>
      </w:rPr>
    </w:lvl>
    <w:lvl w:ilvl="6" w:tplc="797AA0F6">
      <w:numFmt w:val="bullet"/>
      <w:lvlText w:val="•"/>
      <w:lvlJc w:val="left"/>
      <w:pPr>
        <w:ind w:left="2195" w:hanging="144"/>
      </w:pPr>
      <w:rPr>
        <w:rFonts w:hint="default"/>
        <w:lang w:val="en-US" w:eastAsia="en-US" w:bidi="en-US"/>
      </w:rPr>
    </w:lvl>
    <w:lvl w:ilvl="7" w:tplc="834CA30A">
      <w:numFmt w:val="bullet"/>
      <w:lvlText w:val="•"/>
      <w:lvlJc w:val="left"/>
      <w:pPr>
        <w:ind w:left="2515" w:hanging="144"/>
      </w:pPr>
      <w:rPr>
        <w:rFonts w:hint="default"/>
        <w:lang w:val="en-US" w:eastAsia="en-US" w:bidi="en-US"/>
      </w:rPr>
    </w:lvl>
    <w:lvl w:ilvl="8" w:tplc="354ADBDC">
      <w:numFmt w:val="bullet"/>
      <w:lvlText w:val="•"/>
      <w:lvlJc w:val="left"/>
      <w:pPr>
        <w:ind w:left="2834" w:hanging="144"/>
      </w:pPr>
      <w:rPr>
        <w:rFonts w:hint="default"/>
        <w:lang w:val="en-US" w:eastAsia="en-US" w:bidi="en-US"/>
      </w:rPr>
    </w:lvl>
  </w:abstractNum>
  <w:abstractNum w:abstractNumId="1" w15:restartNumberingAfterBreak="0">
    <w:nsid w:val="0DD27633"/>
    <w:multiLevelType w:val="hybridMultilevel"/>
    <w:tmpl w:val="A7108D76"/>
    <w:lvl w:ilvl="0" w:tplc="53FC5348">
      <w:numFmt w:val="bullet"/>
      <w:lvlText w:val=""/>
      <w:lvlJc w:val="left"/>
      <w:pPr>
        <w:ind w:left="467" w:hanging="360"/>
      </w:pPr>
      <w:rPr>
        <w:rFonts w:ascii="Symbol" w:eastAsia="Symbol" w:hAnsi="Symbol" w:cs="Symbol" w:hint="default"/>
        <w:w w:val="100"/>
        <w:sz w:val="22"/>
        <w:szCs w:val="22"/>
        <w:lang w:val="en-US" w:eastAsia="en-US" w:bidi="en-US"/>
      </w:rPr>
    </w:lvl>
    <w:lvl w:ilvl="1" w:tplc="52C4BC02">
      <w:numFmt w:val="bullet"/>
      <w:lvlText w:val="•"/>
      <w:lvlJc w:val="left"/>
      <w:pPr>
        <w:ind w:left="1117" w:hanging="360"/>
      </w:pPr>
      <w:rPr>
        <w:rFonts w:hint="default"/>
        <w:lang w:val="en-US" w:eastAsia="en-US" w:bidi="en-US"/>
      </w:rPr>
    </w:lvl>
    <w:lvl w:ilvl="2" w:tplc="0ED8F83A">
      <w:numFmt w:val="bullet"/>
      <w:lvlText w:val="•"/>
      <w:lvlJc w:val="left"/>
      <w:pPr>
        <w:ind w:left="1774" w:hanging="360"/>
      </w:pPr>
      <w:rPr>
        <w:rFonts w:hint="default"/>
        <w:lang w:val="en-US" w:eastAsia="en-US" w:bidi="en-US"/>
      </w:rPr>
    </w:lvl>
    <w:lvl w:ilvl="3" w:tplc="5A1AEE0E">
      <w:numFmt w:val="bullet"/>
      <w:lvlText w:val="•"/>
      <w:lvlJc w:val="left"/>
      <w:pPr>
        <w:ind w:left="2431" w:hanging="360"/>
      </w:pPr>
      <w:rPr>
        <w:rFonts w:hint="default"/>
        <w:lang w:val="en-US" w:eastAsia="en-US" w:bidi="en-US"/>
      </w:rPr>
    </w:lvl>
    <w:lvl w:ilvl="4" w:tplc="56B82B32">
      <w:numFmt w:val="bullet"/>
      <w:lvlText w:val="•"/>
      <w:lvlJc w:val="left"/>
      <w:pPr>
        <w:ind w:left="3089" w:hanging="360"/>
      </w:pPr>
      <w:rPr>
        <w:rFonts w:hint="default"/>
        <w:lang w:val="en-US" w:eastAsia="en-US" w:bidi="en-US"/>
      </w:rPr>
    </w:lvl>
    <w:lvl w:ilvl="5" w:tplc="7FEC2924">
      <w:numFmt w:val="bullet"/>
      <w:lvlText w:val="•"/>
      <w:lvlJc w:val="left"/>
      <w:pPr>
        <w:ind w:left="3746" w:hanging="360"/>
      </w:pPr>
      <w:rPr>
        <w:rFonts w:hint="default"/>
        <w:lang w:val="en-US" w:eastAsia="en-US" w:bidi="en-US"/>
      </w:rPr>
    </w:lvl>
    <w:lvl w:ilvl="6" w:tplc="9D1E1818">
      <w:numFmt w:val="bullet"/>
      <w:lvlText w:val="•"/>
      <w:lvlJc w:val="left"/>
      <w:pPr>
        <w:ind w:left="4403" w:hanging="360"/>
      </w:pPr>
      <w:rPr>
        <w:rFonts w:hint="default"/>
        <w:lang w:val="en-US" w:eastAsia="en-US" w:bidi="en-US"/>
      </w:rPr>
    </w:lvl>
    <w:lvl w:ilvl="7" w:tplc="A38CA474">
      <w:numFmt w:val="bullet"/>
      <w:lvlText w:val="•"/>
      <w:lvlJc w:val="left"/>
      <w:pPr>
        <w:ind w:left="5061" w:hanging="360"/>
      </w:pPr>
      <w:rPr>
        <w:rFonts w:hint="default"/>
        <w:lang w:val="en-US" w:eastAsia="en-US" w:bidi="en-US"/>
      </w:rPr>
    </w:lvl>
    <w:lvl w:ilvl="8" w:tplc="970A09D6">
      <w:numFmt w:val="bullet"/>
      <w:lvlText w:val="•"/>
      <w:lvlJc w:val="left"/>
      <w:pPr>
        <w:ind w:left="5718" w:hanging="360"/>
      </w:pPr>
      <w:rPr>
        <w:rFonts w:hint="default"/>
        <w:lang w:val="en-US" w:eastAsia="en-US" w:bidi="en-US"/>
      </w:rPr>
    </w:lvl>
  </w:abstractNum>
  <w:abstractNum w:abstractNumId="2" w15:restartNumberingAfterBreak="0">
    <w:nsid w:val="1ED51775"/>
    <w:multiLevelType w:val="hybridMultilevel"/>
    <w:tmpl w:val="1F30F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F45AE7"/>
    <w:multiLevelType w:val="hybridMultilevel"/>
    <w:tmpl w:val="24A884A2"/>
    <w:lvl w:ilvl="0" w:tplc="CB7E57D8">
      <w:start w:val="3"/>
      <w:numFmt w:val="decimal"/>
      <w:lvlText w:val="%1"/>
      <w:lvlJc w:val="left"/>
      <w:pPr>
        <w:ind w:left="280" w:hanging="111"/>
      </w:pPr>
      <w:rPr>
        <w:rFonts w:ascii="Times New Roman" w:eastAsia="Times New Roman" w:hAnsi="Times New Roman" w:cs="Times New Roman" w:hint="default"/>
        <w:w w:val="99"/>
        <w:position w:val="7"/>
        <w:sz w:val="13"/>
        <w:szCs w:val="13"/>
        <w:lang w:val="en-US" w:eastAsia="en-US" w:bidi="en-US"/>
      </w:rPr>
    </w:lvl>
    <w:lvl w:ilvl="1" w:tplc="74C2A254">
      <w:start w:val="1"/>
      <w:numFmt w:val="decimal"/>
      <w:lvlText w:val="%2."/>
      <w:lvlJc w:val="left"/>
      <w:pPr>
        <w:ind w:left="820" w:hanging="360"/>
      </w:pPr>
      <w:rPr>
        <w:rFonts w:ascii="Cambria" w:eastAsia="Cambria" w:hAnsi="Cambria" w:cs="Cambria" w:hint="default"/>
        <w:b/>
        <w:bCs/>
        <w:spacing w:val="-2"/>
        <w:w w:val="100"/>
        <w:sz w:val="22"/>
        <w:szCs w:val="22"/>
        <w:lang w:val="en-US" w:eastAsia="en-US" w:bidi="en-US"/>
      </w:rPr>
    </w:lvl>
    <w:lvl w:ilvl="2" w:tplc="18DCFE94">
      <w:numFmt w:val="bullet"/>
      <w:lvlText w:val="•"/>
      <w:lvlJc w:val="left"/>
      <w:pPr>
        <w:ind w:left="1758" w:hanging="360"/>
      </w:pPr>
      <w:rPr>
        <w:rFonts w:hint="default"/>
        <w:lang w:val="en-US" w:eastAsia="en-US" w:bidi="en-US"/>
      </w:rPr>
    </w:lvl>
    <w:lvl w:ilvl="3" w:tplc="FCC84654">
      <w:numFmt w:val="bullet"/>
      <w:lvlText w:val="•"/>
      <w:lvlJc w:val="left"/>
      <w:pPr>
        <w:ind w:left="2696" w:hanging="360"/>
      </w:pPr>
      <w:rPr>
        <w:rFonts w:hint="default"/>
        <w:lang w:val="en-US" w:eastAsia="en-US" w:bidi="en-US"/>
      </w:rPr>
    </w:lvl>
    <w:lvl w:ilvl="4" w:tplc="5FD4E730">
      <w:numFmt w:val="bullet"/>
      <w:lvlText w:val="•"/>
      <w:lvlJc w:val="left"/>
      <w:pPr>
        <w:ind w:left="3635" w:hanging="360"/>
      </w:pPr>
      <w:rPr>
        <w:rFonts w:hint="default"/>
        <w:lang w:val="en-US" w:eastAsia="en-US" w:bidi="en-US"/>
      </w:rPr>
    </w:lvl>
    <w:lvl w:ilvl="5" w:tplc="B8D66E84">
      <w:numFmt w:val="bullet"/>
      <w:lvlText w:val="•"/>
      <w:lvlJc w:val="left"/>
      <w:pPr>
        <w:ind w:left="4573" w:hanging="360"/>
      </w:pPr>
      <w:rPr>
        <w:rFonts w:hint="default"/>
        <w:lang w:val="en-US" w:eastAsia="en-US" w:bidi="en-US"/>
      </w:rPr>
    </w:lvl>
    <w:lvl w:ilvl="6" w:tplc="6046C5D2">
      <w:numFmt w:val="bullet"/>
      <w:lvlText w:val="•"/>
      <w:lvlJc w:val="left"/>
      <w:pPr>
        <w:ind w:left="5512" w:hanging="360"/>
      </w:pPr>
      <w:rPr>
        <w:rFonts w:hint="default"/>
        <w:lang w:val="en-US" w:eastAsia="en-US" w:bidi="en-US"/>
      </w:rPr>
    </w:lvl>
    <w:lvl w:ilvl="7" w:tplc="8216FFA4">
      <w:numFmt w:val="bullet"/>
      <w:lvlText w:val="•"/>
      <w:lvlJc w:val="left"/>
      <w:pPr>
        <w:ind w:left="6450" w:hanging="360"/>
      </w:pPr>
      <w:rPr>
        <w:rFonts w:hint="default"/>
        <w:lang w:val="en-US" w:eastAsia="en-US" w:bidi="en-US"/>
      </w:rPr>
    </w:lvl>
    <w:lvl w:ilvl="8" w:tplc="FE2684F8">
      <w:numFmt w:val="bullet"/>
      <w:lvlText w:val="•"/>
      <w:lvlJc w:val="left"/>
      <w:pPr>
        <w:ind w:left="7389" w:hanging="360"/>
      </w:pPr>
      <w:rPr>
        <w:rFonts w:hint="default"/>
        <w:lang w:val="en-US" w:eastAsia="en-US" w:bidi="en-US"/>
      </w:rPr>
    </w:lvl>
  </w:abstractNum>
  <w:abstractNum w:abstractNumId="4" w15:restartNumberingAfterBreak="0">
    <w:nsid w:val="296B1D3E"/>
    <w:multiLevelType w:val="hybridMultilevel"/>
    <w:tmpl w:val="B64E7614"/>
    <w:lvl w:ilvl="0" w:tplc="FFFFFFFF">
      <w:start w:val="1"/>
      <w:numFmt w:val="decimal"/>
      <w:lvlText w:val="%1-"/>
      <w:lvlJc w:val="left"/>
      <w:pPr>
        <w:ind w:left="1000" w:hanging="360"/>
      </w:pPr>
      <w:rPr>
        <w:rFonts w:hint="default"/>
        <w:w w:val="100"/>
        <w:lang w:val="en-US" w:eastAsia="en-US" w:bidi="en-US"/>
      </w:rPr>
    </w:lvl>
    <w:lvl w:ilvl="1" w:tplc="FFFFFFFF">
      <w:numFmt w:val="bullet"/>
      <w:lvlText w:val="•"/>
      <w:lvlJc w:val="left"/>
      <w:pPr>
        <w:ind w:left="1894" w:hanging="360"/>
      </w:pPr>
      <w:rPr>
        <w:rFonts w:hint="default"/>
        <w:lang w:val="en-US" w:eastAsia="en-US" w:bidi="en-US"/>
      </w:rPr>
    </w:lvl>
    <w:lvl w:ilvl="2" w:tplc="FFFFFFFF">
      <w:numFmt w:val="bullet"/>
      <w:lvlText w:val="•"/>
      <w:lvlJc w:val="left"/>
      <w:pPr>
        <w:ind w:left="2789" w:hanging="360"/>
      </w:pPr>
      <w:rPr>
        <w:rFonts w:hint="default"/>
        <w:lang w:val="en-US" w:eastAsia="en-US" w:bidi="en-US"/>
      </w:rPr>
    </w:lvl>
    <w:lvl w:ilvl="3" w:tplc="FFFFFFFF">
      <w:numFmt w:val="bullet"/>
      <w:lvlText w:val="•"/>
      <w:lvlJc w:val="left"/>
      <w:pPr>
        <w:ind w:left="3683" w:hanging="360"/>
      </w:pPr>
      <w:rPr>
        <w:rFonts w:hint="default"/>
        <w:lang w:val="en-US" w:eastAsia="en-US" w:bidi="en-US"/>
      </w:rPr>
    </w:lvl>
    <w:lvl w:ilvl="4" w:tplc="FFFFFFFF">
      <w:numFmt w:val="bullet"/>
      <w:lvlText w:val="•"/>
      <w:lvlJc w:val="left"/>
      <w:pPr>
        <w:ind w:left="4578" w:hanging="360"/>
      </w:pPr>
      <w:rPr>
        <w:rFonts w:hint="default"/>
        <w:lang w:val="en-US" w:eastAsia="en-US" w:bidi="en-US"/>
      </w:rPr>
    </w:lvl>
    <w:lvl w:ilvl="5" w:tplc="FFFFFFFF">
      <w:numFmt w:val="bullet"/>
      <w:lvlText w:val="•"/>
      <w:lvlJc w:val="left"/>
      <w:pPr>
        <w:ind w:left="5473" w:hanging="360"/>
      </w:pPr>
      <w:rPr>
        <w:rFonts w:hint="default"/>
        <w:lang w:val="en-US" w:eastAsia="en-US" w:bidi="en-US"/>
      </w:rPr>
    </w:lvl>
    <w:lvl w:ilvl="6" w:tplc="FFFFFFFF">
      <w:numFmt w:val="bullet"/>
      <w:lvlText w:val="•"/>
      <w:lvlJc w:val="left"/>
      <w:pPr>
        <w:ind w:left="6367" w:hanging="360"/>
      </w:pPr>
      <w:rPr>
        <w:rFonts w:hint="default"/>
        <w:lang w:val="en-US" w:eastAsia="en-US" w:bidi="en-US"/>
      </w:rPr>
    </w:lvl>
    <w:lvl w:ilvl="7" w:tplc="FFFFFFFF">
      <w:numFmt w:val="bullet"/>
      <w:lvlText w:val="•"/>
      <w:lvlJc w:val="left"/>
      <w:pPr>
        <w:ind w:left="7262" w:hanging="360"/>
      </w:pPr>
      <w:rPr>
        <w:rFonts w:hint="default"/>
        <w:lang w:val="en-US" w:eastAsia="en-US" w:bidi="en-US"/>
      </w:rPr>
    </w:lvl>
    <w:lvl w:ilvl="8" w:tplc="FFFFFFFF">
      <w:numFmt w:val="bullet"/>
      <w:lvlText w:val="•"/>
      <w:lvlJc w:val="left"/>
      <w:pPr>
        <w:ind w:left="8157" w:hanging="360"/>
      </w:pPr>
      <w:rPr>
        <w:rFonts w:hint="default"/>
        <w:lang w:val="en-US" w:eastAsia="en-US" w:bidi="en-US"/>
      </w:rPr>
    </w:lvl>
  </w:abstractNum>
  <w:abstractNum w:abstractNumId="5" w15:restartNumberingAfterBreak="0">
    <w:nsid w:val="2E1050FE"/>
    <w:multiLevelType w:val="hybridMultilevel"/>
    <w:tmpl w:val="AB5EC11A"/>
    <w:lvl w:ilvl="0" w:tplc="B84843CC">
      <w:numFmt w:val="bullet"/>
      <w:lvlText w:val=""/>
      <w:lvlJc w:val="left"/>
      <w:pPr>
        <w:ind w:left="467" w:hanging="360"/>
      </w:pPr>
      <w:rPr>
        <w:rFonts w:ascii="Symbol" w:eastAsia="Symbol" w:hAnsi="Symbol" w:cs="Symbol" w:hint="default"/>
        <w:w w:val="100"/>
        <w:sz w:val="22"/>
        <w:szCs w:val="22"/>
        <w:lang w:val="en-US" w:eastAsia="en-US" w:bidi="en-US"/>
      </w:rPr>
    </w:lvl>
    <w:lvl w:ilvl="1" w:tplc="65CE185A">
      <w:numFmt w:val="bullet"/>
      <w:lvlText w:val="•"/>
      <w:lvlJc w:val="left"/>
      <w:pPr>
        <w:ind w:left="1117" w:hanging="360"/>
      </w:pPr>
      <w:rPr>
        <w:rFonts w:hint="default"/>
        <w:lang w:val="en-US" w:eastAsia="en-US" w:bidi="en-US"/>
      </w:rPr>
    </w:lvl>
    <w:lvl w:ilvl="2" w:tplc="7778B3E4">
      <w:numFmt w:val="bullet"/>
      <w:lvlText w:val="•"/>
      <w:lvlJc w:val="left"/>
      <w:pPr>
        <w:ind w:left="1774" w:hanging="360"/>
      </w:pPr>
      <w:rPr>
        <w:rFonts w:hint="default"/>
        <w:lang w:val="en-US" w:eastAsia="en-US" w:bidi="en-US"/>
      </w:rPr>
    </w:lvl>
    <w:lvl w:ilvl="3" w:tplc="EA1848D4">
      <w:numFmt w:val="bullet"/>
      <w:lvlText w:val="•"/>
      <w:lvlJc w:val="left"/>
      <w:pPr>
        <w:ind w:left="2431" w:hanging="360"/>
      </w:pPr>
      <w:rPr>
        <w:rFonts w:hint="default"/>
        <w:lang w:val="en-US" w:eastAsia="en-US" w:bidi="en-US"/>
      </w:rPr>
    </w:lvl>
    <w:lvl w:ilvl="4" w:tplc="77E64DB4">
      <w:numFmt w:val="bullet"/>
      <w:lvlText w:val="•"/>
      <w:lvlJc w:val="left"/>
      <w:pPr>
        <w:ind w:left="3089" w:hanging="360"/>
      </w:pPr>
      <w:rPr>
        <w:rFonts w:hint="default"/>
        <w:lang w:val="en-US" w:eastAsia="en-US" w:bidi="en-US"/>
      </w:rPr>
    </w:lvl>
    <w:lvl w:ilvl="5" w:tplc="427635AC">
      <w:numFmt w:val="bullet"/>
      <w:lvlText w:val="•"/>
      <w:lvlJc w:val="left"/>
      <w:pPr>
        <w:ind w:left="3746" w:hanging="360"/>
      </w:pPr>
      <w:rPr>
        <w:rFonts w:hint="default"/>
        <w:lang w:val="en-US" w:eastAsia="en-US" w:bidi="en-US"/>
      </w:rPr>
    </w:lvl>
    <w:lvl w:ilvl="6" w:tplc="7396D1E2">
      <w:numFmt w:val="bullet"/>
      <w:lvlText w:val="•"/>
      <w:lvlJc w:val="left"/>
      <w:pPr>
        <w:ind w:left="4403" w:hanging="360"/>
      </w:pPr>
      <w:rPr>
        <w:rFonts w:hint="default"/>
        <w:lang w:val="en-US" w:eastAsia="en-US" w:bidi="en-US"/>
      </w:rPr>
    </w:lvl>
    <w:lvl w:ilvl="7" w:tplc="746E3B2A">
      <w:numFmt w:val="bullet"/>
      <w:lvlText w:val="•"/>
      <w:lvlJc w:val="left"/>
      <w:pPr>
        <w:ind w:left="5061" w:hanging="360"/>
      </w:pPr>
      <w:rPr>
        <w:rFonts w:hint="default"/>
        <w:lang w:val="en-US" w:eastAsia="en-US" w:bidi="en-US"/>
      </w:rPr>
    </w:lvl>
    <w:lvl w:ilvl="8" w:tplc="0DCA4564">
      <w:numFmt w:val="bullet"/>
      <w:lvlText w:val="•"/>
      <w:lvlJc w:val="left"/>
      <w:pPr>
        <w:ind w:left="5718" w:hanging="360"/>
      </w:pPr>
      <w:rPr>
        <w:rFonts w:hint="default"/>
        <w:lang w:val="en-US" w:eastAsia="en-US" w:bidi="en-US"/>
      </w:rPr>
    </w:lvl>
  </w:abstractNum>
  <w:abstractNum w:abstractNumId="6" w15:restartNumberingAfterBreak="0">
    <w:nsid w:val="2F1B6804"/>
    <w:multiLevelType w:val="hybridMultilevel"/>
    <w:tmpl w:val="6C00CB80"/>
    <w:lvl w:ilvl="0" w:tplc="611A9EBC">
      <w:numFmt w:val="bullet"/>
      <w:lvlText w:val=""/>
      <w:lvlJc w:val="left"/>
      <w:pPr>
        <w:ind w:left="282" w:hanging="142"/>
      </w:pPr>
      <w:rPr>
        <w:rFonts w:ascii="Symbol" w:eastAsia="Symbol" w:hAnsi="Symbol" w:cs="Symbol" w:hint="default"/>
        <w:w w:val="100"/>
        <w:sz w:val="22"/>
        <w:szCs w:val="22"/>
        <w:lang w:val="en-US" w:eastAsia="en-US" w:bidi="en-US"/>
      </w:rPr>
    </w:lvl>
    <w:lvl w:ilvl="1" w:tplc="0B6EEB96">
      <w:numFmt w:val="bullet"/>
      <w:lvlText w:val="•"/>
      <w:lvlJc w:val="left"/>
      <w:pPr>
        <w:ind w:left="599" w:hanging="142"/>
      </w:pPr>
      <w:rPr>
        <w:rFonts w:hint="default"/>
        <w:lang w:val="en-US" w:eastAsia="en-US" w:bidi="en-US"/>
      </w:rPr>
    </w:lvl>
    <w:lvl w:ilvl="2" w:tplc="9FEED81C">
      <w:numFmt w:val="bullet"/>
      <w:lvlText w:val="•"/>
      <w:lvlJc w:val="left"/>
      <w:pPr>
        <w:ind w:left="918" w:hanging="142"/>
      </w:pPr>
      <w:rPr>
        <w:rFonts w:hint="default"/>
        <w:lang w:val="en-US" w:eastAsia="en-US" w:bidi="en-US"/>
      </w:rPr>
    </w:lvl>
    <w:lvl w:ilvl="3" w:tplc="303CB892">
      <w:numFmt w:val="bullet"/>
      <w:lvlText w:val="•"/>
      <w:lvlJc w:val="left"/>
      <w:pPr>
        <w:ind w:left="1237" w:hanging="142"/>
      </w:pPr>
      <w:rPr>
        <w:rFonts w:hint="default"/>
        <w:lang w:val="en-US" w:eastAsia="en-US" w:bidi="en-US"/>
      </w:rPr>
    </w:lvl>
    <w:lvl w:ilvl="4" w:tplc="726C0332">
      <w:numFmt w:val="bullet"/>
      <w:lvlText w:val="•"/>
      <w:lvlJc w:val="left"/>
      <w:pPr>
        <w:ind w:left="1557" w:hanging="142"/>
      </w:pPr>
      <w:rPr>
        <w:rFonts w:hint="default"/>
        <w:lang w:val="en-US" w:eastAsia="en-US" w:bidi="en-US"/>
      </w:rPr>
    </w:lvl>
    <w:lvl w:ilvl="5" w:tplc="ED78B8E4">
      <w:numFmt w:val="bullet"/>
      <w:lvlText w:val="•"/>
      <w:lvlJc w:val="left"/>
      <w:pPr>
        <w:ind w:left="1876" w:hanging="142"/>
      </w:pPr>
      <w:rPr>
        <w:rFonts w:hint="default"/>
        <w:lang w:val="en-US" w:eastAsia="en-US" w:bidi="en-US"/>
      </w:rPr>
    </w:lvl>
    <w:lvl w:ilvl="6" w:tplc="8D6CF238">
      <w:numFmt w:val="bullet"/>
      <w:lvlText w:val="•"/>
      <w:lvlJc w:val="left"/>
      <w:pPr>
        <w:ind w:left="2195" w:hanging="142"/>
      </w:pPr>
      <w:rPr>
        <w:rFonts w:hint="default"/>
        <w:lang w:val="en-US" w:eastAsia="en-US" w:bidi="en-US"/>
      </w:rPr>
    </w:lvl>
    <w:lvl w:ilvl="7" w:tplc="11543784">
      <w:numFmt w:val="bullet"/>
      <w:lvlText w:val="•"/>
      <w:lvlJc w:val="left"/>
      <w:pPr>
        <w:ind w:left="2515" w:hanging="142"/>
      </w:pPr>
      <w:rPr>
        <w:rFonts w:hint="default"/>
        <w:lang w:val="en-US" w:eastAsia="en-US" w:bidi="en-US"/>
      </w:rPr>
    </w:lvl>
    <w:lvl w:ilvl="8" w:tplc="3A0A1B5C">
      <w:numFmt w:val="bullet"/>
      <w:lvlText w:val="•"/>
      <w:lvlJc w:val="left"/>
      <w:pPr>
        <w:ind w:left="2834" w:hanging="142"/>
      </w:pPr>
      <w:rPr>
        <w:rFonts w:hint="default"/>
        <w:lang w:val="en-US" w:eastAsia="en-US" w:bidi="en-US"/>
      </w:rPr>
    </w:lvl>
  </w:abstractNum>
  <w:abstractNum w:abstractNumId="7" w15:restartNumberingAfterBreak="0">
    <w:nsid w:val="320F2891"/>
    <w:multiLevelType w:val="hybridMultilevel"/>
    <w:tmpl w:val="0E88DDC6"/>
    <w:lvl w:ilvl="0" w:tplc="717284FE">
      <w:numFmt w:val="bullet"/>
      <w:lvlText w:val=""/>
      <w:lvlJc w:val="left"/>
      <w:pPr>
        <w:ind w:left="467" w:hanging="360"/>
      </w:pPr>
      <w:rPr>
        <w:rFonts w:ascii="Symbol" w:eastAsia="Symbol" w:hAnsi="Symbol" w:cs="Symbol" w:hint="default"/>
        <w:w w:val="100"/>
        <w:sz w:val="22"/>
        <w:szCs w:val="22"/>
        <w:lang w:val="en-US" w:eastAsia="en-US" w:bidi="en-US"/>
      </w:rPr>
    </w:lvl>
    <w:lvl w:ilvl="1" w:tplc="67C0B39E">
      <w:numFmt w:val="bullet"/>
      <w:lvlText w:val="•"/>
      <w:lvlJc w:val="left"/>
      <w:pPr>
        <w:ind w:left="1117" w:hanging="360"/>
      </w:pPr>
      <w:rPr>
        <w:rFonts w:hint="default"/>
        <w:lang w:val="en-US" w:eastAsia="en-US" w:bidi="en-US"/>
      </w:rPr>
    </w:lvl>
    <w:lvl w:ilvl="2" w:tplc="58368064">
      <w:numFmt w:val="bullet"/>
      <w:lvlText w:val="•"/>
      <w:lvlJc w:val="left"/>
      <w:pPr>
        <w:ind w:left="1774" w:hanging="360"/>
      </w:pPr>
      <w:rPr>
        <w:rFonts w:hint="default"/>
        <w:lang w:val="en-US" w:eastAsia="en-US" w:bidi="en-US"/>
      </w:rPr>
    </w:lvl>
    <w:lvl w:ilvl="3" w:tplc="005AE384">
      <w:numFmt w:val="bullet"/>
      <w:lvlText w:val="•"/>
      <w:lvlJc w:val="left"/>
      <w:pPr>
        <w:ind w:left="2431" w:hanging="360"/>
      </w:pPr>
      <w:rPr>
        <w:rFonts w:hint="default"/>
        <w:lang w:val="en-US" w:eastAsia="en-US" w:bidi="en-US"/>
      </w:rPr>
    </w:lvl>
    <w:lvl w:ilvl="4" w:tplc="C6B81476">
      <w:numFmt w:val="bullet"/>
      <w:lvlText w:val="•"/>
      <w:lvlJc w:val="left"/>
      <w:pPr>
        <w:ind w:left="3089" w:hanging="360"/>
      </w:pPr>
      <w:rPr>
        <w:rFonts w:hint="default"/>
        <w:lang w:val="en-US" w:eastAsia="en-US" w:bidi="en-US"/>
      </w:rPr>
    </w:lvl>
    <w:lvl w:ilvl="5" w:tplc="3182B862">
      <w:numFmt w:val="bullet"/>
      <w:lvlText w:val="•"/>
      <w:lvlJc w:val="left"/>
      <w:pPr>
        <w:ind w:left="3746" w:hanging="360"/>
      </w:pPr>
      <w:rPr>
        <w:rFonts w:hint="default"/>
        <w:lang w:val="en-US" w:eastAsia="en-US" w:bidi="en-US"/>
      </w:rPr>
    </w:lvl>
    <w:lvl w:ilvl="6" w:tplc="0434941C">
      <w:numFmt w:val="bullet"/>
      <w:lvlText w:val="•"/>
      <w:lvlJc w:val="left"/>
      <w:pPr>
        <w:ind w:left="4403" w:hanging="360"/>
      </w:pPr>
      <w:rPr>
        <w:rFonts w:hint="default"/>
        <w:lang w:val="en-US" w:eastAsia="en-US" w:bidi="en-US"/>
      </w:rPr>
    </w:lvl>
    <w:lvl w:ilvl="7" w:tplc="9822FD22">
      <w:numFmt w:val="bullet"/>
      <w:lvlText w:val="•"/>
      <w:lvlJc w:val="left"/>
      <w:pPr>
        <w:ind w:left="5061" w:hanging="360"/>
      </w:pPr>
      <w:rPr>
        <w:rFonts w:hint="default"/>
        <w:lang w:val="en-US" w:eastAsia="en-US" w:bidi="en-US"/>
      </w:rPr>
    </w:lvl>
    <w:lvl w:ilvl="8" w:tplc="AFA244D8">
      <w:numFmt w:val="bullet"/>
      <w:lvlText w:val="•"/>
      <w:lvlJc w:val="left"/>
      <w:pPr>
        <w:ind w:left="5718" w:hanging="360"/>
      </w:pPr>
      <w:rPr>
        <w:rFonts w:hint="default"/>
        <w:lang w:val="en-US" w:eastAsia="en-US" w:bidi="en-US"/>
      </w:rPr>
    </w:lvl>
  </w:abstractNum>
  <w:abstractNum w:abstractNumId="8" w15:restartNumberingAfterBreak="0">
    <w:nsid w:val="32B0488B"/>
    <w:multiLevelType w:val="hybridMultilevel"/>
    <w:tmpl w:val="6E88F156"/>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9" w15:restartNumberingAfterBreak="0">
    <w:nsid w:val="34AA0977"/>
    <w:multiLevelType w:val="hybridMultilevel"/>
    <w:tmpl w:val="8826971C"/>
    <w:lvl w:ilvl="0" w:tplc="AFF6E57C">
      <w:numFmt w:val="bullet"/>
      <w:lvlText w:val=""/>
      <w:lvlJc w:val="left"/>
      <w:pPr>
        <w:ind w:left="467" w:hanging="360"/>
      </w:pPr>
      <w:rPr>
        <w:rFonts w:ascii="Symbol" w:eastAsia="Symbol" w:hAnsi="Symbol" w:cs="Symbol" w:hint="default"/>
        <w:w w:val="100"/>
        <w:sz w:val="22"/>
        <w:szCs w:val="22"/>
        <w:lang w:val="en-US" w:eastAsia="en-US" w:bidi="en-US"/>
      </w:rPr>
    </w:lvl>
    <w:lvl w:ilvl="1" w:tplc="7A9AE9E8">
      <w:numFmt w:val="bullet"/>
      <w:lvlText w:val="•"/>
      <w:lvlJc w:val="left"/>
      <w:pPr>
        <w:ind w:left="1117" w:hanging="360"/>
      </w:pPr>
      <w:rPr>
        <w:rFonts w:hint="default"/>
        <w:lang w:val="en-US" w:eastAsia="en-US" w:bidi="en-US"/>
      </w:rPr>
    </w:lvl>
    <w:lvl w:ilvl="2" w:tplc="F7B68C1A">
      <w:numFmt w:val="bullet"/>
      <w:lvlText w:val="•"/>
      <w:lvlJc w:val="left"/>
      <w:pPr>
        <w:ind w:left="1774" w:hanging="360"/>
      </w:pPr>
      <w:rPr>
        <w:rFonts w:hint="default"/>
        <w:lang w:val="en-US" w:eastAsia="en-US" w:bidi="en-US"/>
      </w:rPr>
    </w:lvl>
    <w:lvl w:ilvl="3" w:tplc="425E6BE8">
      <w:numFmt w:val="bullet"/>
      <w:lvlText w:val="•"/>
      <w:lvlJc w:val="left"/>
      <w:pPr>
        <w:ind w:left="2431" w:hanging="360"/>
      </w:pPr>
      <w:rPr>
        <w:rFonts w:hint="default"/>
        <w:lang w:val="en-US" w:eastAsia="en-US" w:bidi="en-US"/>
      </w:rPr>
    </w:lvl>
    <w:lvl w:ilvl="4" w:tplc="1F16E1A8">
      <w:numFmt w:val="bullet"/>
      <w:lvlText w:val="•"/>
      <w:lvlJc w:val="left"/>
      <w:pPr>
        <w:ind w:left="3089" w:hanging="360"/>
      </w:pPr>
      <w:rPr>
        <w:rFonts w:hint="default"/>
        <w:lang w:val="en-US" w:eastAsia="en-US" w:bidi="en-US"/>
      </w:rPr>
    </w:lvl>
    <w:lvl w:ilvl="5" w:tplc="8AC41EE2">
      <w:numFmt w:val="bullet"/>
      <w:lvlText w:val="•"/>
      <w:lvlJc w:val="left"/>
      <w:pPr>
        <w:ind w:left="3746" w:hanging="360"/>
      </w:pPr>
      <w:rPr>
        <w:rFonts w:hint="default"/>
        <w:lang w:val="en-US" w:eastAsia="en-US" w:bidi="en-US"/>
      </w:rPr>
    </w:lvl>
    <w:lvl w:ilvl="6" w:tplc="2DD6B09A">
      <w:numFmt w:val="bullet"/>
      <w:lvlText w:val="•"/>
      <w:lvlJc w:val="left"/>
      <w:pPr>
        <w:ind w:left="4403" w:hanging="360"/>
      </w:pPr>
      <w:rPr>
        <w:rFonts w:hint="default"/>
        <w:lang w:val="en-US" w:eastAsia="en-US" w:bidi="en-US"/>
      </w:rPr>
    </w:lvl>
    <w:lvl w:ilvl="7" w:tplc="75E8AFD4">
      <w:numFmt w:val="bullet"/>
      <w:lvlText w:val="•"/>
      <w:lvlJc w:val="left"/>
      <w:pPr>
        <w:ind w:left="5061" w:hanging="360"/>
      </w:pPr>
      <w:rPr>
        <w:rFonts w:hint="default"/>
        <w:lang w:val="en-US" w:eastAsia="en-US" w:bidi="en-US"/>
      </w:rPr>
    </w:lvl>
    <w:lvl w:ilvl="8" w:tplc="EC9E0966">
      <w:numFmt w:val="bullet"/>
      <w:lvlText w:val="•"/>
      <w:lvlJc w:val="left"/>
      <w:pPr>
        <w:ind w:left="5718" w:hanging="360"/>
      </w:pPr>
      <w:rPr>
        <w:rFonts w:hint="default"/>
        <w:lang w:val="en-US" w:eastAsia="en-US" w:bidi="en-US"/>
      </w:rPr>
    </w:lvl>
  </w:abstractNum>
  <w:abstractNum w:abstractNumId="10" w15:restartNumberingAfterBreak="0">
    <w:nsid w:val="37B66CE2"/>
    <w:multiLevelType w:val="hybridMultilevel"/>
    <w:tmpl w:val="55A2A7AA"/>
    <w:lvl w:ilvl="0" w:tplc="54D03D4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9665C"/>
    <w:multiLevelType w:val="hybridMultilevel"/>
    <w:tmpl w:val="5CFA3B6E"/>
    <w:lvl w:ilvl="0" w:tplc="65AE5820">
      <w:start w:val="1"/>
      <w:numFmt w:val="bullet"/>
      <w:lvlText w:val=""/>
      <w:lvlJc w:val="left"/>
      <w:pPr>
        <w:ind w:left="720" w:hanging="360"/>
      </w:pPr>
      <w:rPr>
        <w:rFonts w:ascii="Symbol" w:hAnsi="Symbol"/>
      </w:rPr>
    </w:lvl>
    <w:lvl w:ilvl="1" w:tplc="4D02AAD2">
      <w:start w:val="1"/>
      <w:numFmt w:val="bullet"/>
      <w:lvlText w:val=""/>
      <w:lvlJc w:val="left"/>
      <w:pPr>
        <w:ind w:left="720" w:hanging="360"/>
      </w:pPr>
      <w:rPr>
        <w:rFonts w:ascii="Symbol" w:hAnsi="Symbol"/>
      </w:rPr>
    </w:lvl>
    <w:lvl w:ilvl="2" w:tplc="CC1CD5CC">
      <w:start w:val="1"/>
      <w:numFmt w:val="bullet"/>
      <w:lvlText w:val=""/>
      <w:lvlJc w:val="left"/>
      <w:pPr>
        <w:ind w:left="720" w:hanging="360"/>
      </w:pPr>
      <w:rPr>
        <w:rFonts w:ascii="Symbol" w:hAnsi="Symbol"/>
      </w:rPr>
    </w:lvl>
    <w:lvl w:ilvl="3" w:tplc="7D20BE44">
      <w:start w:val="1"/>
      <w:numFmt w:val="bullet"/>
      <w:lvlText w:val=""/>
      <w:lvlJc w:val="left"/>
      <w:pPr>
        <w:ind w:left="720" w:hanging="360"/>
      </w:pPr>
      <w:rPr>
        <w:rFonts w:ascii="Symbol" w:hAnsi="Symbol"/>
      </w:rPr>
    </w:lvl>
    <w:lvl w:ilvl="4" w:tplc="BEBE247E">
      <w:start w:val="1"/>
      <w:numFmt w:val="bullet"/>
      <w:lvlText w:val=""/>
      <w:lvlJc w:val="left"/>
      <w:pPr>
        <w:ind w:left="720" w:hanging="360"/>
      </w:pPr>
      <w:rPr>
        <w:rFonts w:ascii="Symbol" w:hAnsi="Symbol"/>
      </w:rPr>
    </w:lvl>
    <w:lvl w:ilvl="5" w:tplc="3E92CD64">
      <w:start w:val="1"/>
      <w:numFmt w:val="bullet"/>
      <w:lvlText w:val=""/>
      <w:lvlJc w:val="left"/>
      <w:pPr>
        <w:ind w:left="720" w:hanging="360"/>
      </w:pPr>
      <w:rPr>
        <w:rFonts w:ascii="Symbol" w:hAnsi="Symbol"/>
      </w:rPr>
    </w:lvl>
    <w:lvl w:ilvl="6" w:tplc="12A82A04">
      <w:start w:val="1"/>
      <w:numFmt w:val="bullet"/>
      <w:lvlText w:val=""/>
      <w:lvlJc w:val="left"/>
      <w:pPr>
        <w:ind w:left="720" w:hanging="360"/>
      </w:pPr>
      <w:rPr>
        <w:rFonts w:ascii="Symbol" w:hAnsi="Symbol"/>
      </w:rPr>
    </w:lvl>
    <w:lvl w:ilvl="7" w:tplc="3B245692">
      <w:start w:val="1"/>
      <w:numFmt w:val="bullet"/>
      <w:lvlText w:val=""/>
      <w:lvlJc w:val="left"/>
      <w:pPr>
        <w:ind w:left="720" w:hanging="360"/>
      </w:pPr>
      <w:rPr>
        <w:rFonts w:ascii="Symbol" w:hAnsi="Symbol"/>
      </w:rPr>
    </w:lvl>
    <w:lvl w:ilvl="8" w:tplc="A568F854">
      <w:start w:val="1"/>
      <w:numFmt w:val="bullet"/>
      <w:lvlText w:val=""/>
      <w:lvlJc w:val="left"/>
      <w:pPr>
        <w:ind w:left="720" w:hanging="360"/>
      </w:pPr>
      <w:rPr>
        <w:rFonts w:ascii="Symbol" w:hAnsi="Symbol"/>
      </w:rPr>
    </w:lvl>
  </w:abstractNum>
  <w:abstractNum w:abstractNumId="12" w15:restartNumberingAfterBreak="0">
    <w:nsid w:val="423B1814"/>
    <w:multiLevelType w:val="hybridMultilevel"/>
    <w:tmpl w:val="F3FA8178"/>
    <w:lvl w:ilvl="0" w:tplc="7F7A0A56">
      <w:start w:val="1"/>
      <w:numFmt w:val="decimal"/>
      <w:lvlText w:val="%1."/>
      <w:lvlJc w:val="left"/>
      <w:pPr>
        <w:ind w:left="1161" w:hanging="442"/>
      </w:pPr>
      <w:rPr>
        <w:rFonts w:ascii="Times New Roman" w:eastAsia="Times New Roman" w:hAnsi="Times New Roman" w:cs="Times New Roman" w:hint="default"/>
        <w:w w:val="100"/>
        <w:sz w:val="22"/>
        <w:szCs w:val="22"/>
        <w:lang w:val="en-US" w:eastAsia="en-US" w:bidi="en-US"/>
      </w:rPr>
    </w:lvl>
    <w:lvl w:ilvl="1" w:tplc="F782DEE2">
      <w:numFmt w:val="bullet"/>
      <w:lvlText w:val="•"/>
      <w:lvlJc w:val="left"/>
      <w:pPr>
        <w:ind w:left="2038" w:hanging="442"/>
      </w:pPr>
      <w:rPr>
        <w:rFonts w:hint="default"/>
        <w:lang w:val="en-US" w:eastAsia="en-US" w:bidi="en-US"/>
      </w:rPr>
    </w:lvl>
    <w:lvl w:ilvl="2" w:tplc="FEEE8082">
      <w:numFmt w:val="bullet"/>
      <w:lvlText w:val="•"/>
      <w:lvlJc w:val="left"/>
      <w:pPr>
        <w:ind w:left="2917" w:hanging="442"/>
      </w:pPr>
      <w:rPr>
        <w:rFonts w:hint="default"/>
        <w:lang w:val="en-US" w:eastAsia="en-US" w:bidi="en-US"/>
      </w:rPr>
    </w:lvl>
    <w:lvl w:ilvl="3" w:tplc="5860ABE0">
      <w:numFmt w:val="bullet"/>
      <w:lvlText w:val="•"/>
      <w:lvlJc w:val="left"/>
      <w:pPr>
        <w:ind w:left="3795" w:hanging="442"/>
      </w:pPr>
      <w:rPr>
        <w:rFonts w:hint="default"/>
        <w:lang w:val="en-US" w:eastAsia="en-US" w:bidi="en-US"/>
      </w:rPr>
    </w:lvl>
    <w:lvl w:ilvl="4" w:tplc="31E69C5A">
      <w:numFmt w:val="bullet"/>
      <w:lvlText w:val="•"/>
      <w:lvlJc w:val="left"/>
      <w:pPr>
        <w:ind w:left="4674" w:hanging="442"/>
      </w:pPr>
      <w:rPr>
        <w:rFonts w:hint="default"/>
        <w:lang w:val="en-US" w:eastAsia="en-US" w:bidi="en-US"/>
      </w:rPr>
    </w:lvl>
    <w:lvl w:ilvl="5" w:tplc="C60E85D8">
      <w:numFmt w:val="bullet"/>
      <w:lvlText w:val="•"/>
      <w:lvlJc w:val="left"/>
      <w:pPr>
        <w:ind w:left="5553" w:hanging="442"/>
      </w:pPr>
      <w:rPr>
        <w:rFonts w:hint="default"/>
        <w:lang w:val="en-US" w:eastAsia="en-US" w:bidi="en-US"/>
      </w:rPr>
    </w:lvl>
    <w:lvl w:ilvl="6" w:tplc="5882EE0C">
      <w:numFmt w:val="bullet"/>
      <w:lvlText w:val="•"/>
      <w:lvlJc w:val="left"/>
      <w:pPr>
        <w:ind w:left="6431" w:hanging="442"/>
      </w:pPr>
      <w:rPr>
        <w:rFonts w:hint="default"/>
        <w:lang w:val="en-US" w:eastAsia="en-US" w:bidi="en-US"/>
      </w:rPr>
    </w:lvl>
    <w:lvl w:ilvl="7" w:tplc="C32AC7C8">
      <w:numFmt w:val="bullet"/>
      <w:lvlText w:val="•"/>
      <w:lvlJc w:val="left"/>
      <w:pPr>
        <w:ind w:left="7310" w:hanging="442"/>
      </w:pPr>
      <w:rPr>
        <w:rFonts w:hint="default"/>
        <w:lang w:val="en-US" w:eastAsia="en-US" w:bidi="en-US"/>
      </w:rPr>
    </w:lvl>
    <w:lvl w:ilvl="8" w:tplc="F78436C2">
      <w:numFmt w:val="bullet"/>
      <w:lvlText w:val="•"/>
      <w:lvlJc w:val="left"/>
      <w:pPr>
        <w:ind w:left="8189" w:hanging="442"/>
      </w:pPr>
      <w:rPr>
        <w:rFonts w:hint="default"/>
        <w:lang w:val="en-US" w:eastAsia="en-US" w:bidi="en-US"/>
      </w:rPr>
    </w:lvl>
  </w:abstractNum>
  <w:abstractNum w:abstractNumId="13" w15:restartNumberingAfterBreak="0">
    <w:nsid w:val="452F600D"/>
    <w:multiLevelType w:val="multilevel"/>
    <w:tmpl w:val="5B624034"/>
    <w:lvl w:ilvl="0">
      <w:start w:val="1"/>
      <w:numFmt w:val="decimal"/>
      <w:lvlText w:val="%1."/>
      <w:lvlJc w:val="left"/>
      <w:pPr>
        <w:ind w:left="719" w:hanging="440"/>
      </w:pPr>
      <w:rPr>
        <w:rFonts w:ascii="Times New Roman" w:eastAsia="Times New Roman" w:hAnsi="Times New Roman" w:cs="Times New Roman" w:hint="default"/>
        <w:w w:val="100"/>
        <w:sz w:val="22"/>
        <w:szCs w:val="22"/>
        <w:lang w:val="en-US" w:eastAsia="en-US" w:bidi="en-US"/>
      </w:rPr>
    </w:lvl>
    <w:lvl w:ilvl="1">
      <w:start w:val="1"/>
      <w:numFmt w:val="decimal"/>
      <w:lvlText w:val="%1.%2"/>
      <w:lvlJc w:val="left"/>
      <w:pPr>
        <w:ind w:left="1379" w:hanging="660"/>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331" w:hanging="660"/>
      </w:pPr>
      <w:rPr>
        <w:rFonts w:hint="default"/>
        <w:lang w:val="en-US" w:eastAsia="en-US" w:bidi="en-US"/>
      </w:rPr>
    </w:lvl>
    <w:lvl w:ilvl="3">
      <w:numFmt w:val="bullet"/>
      <w:lvlText w:val="•"/>
      <w:lvlJc w:val="left"/>
      <w:pPr>
        <w:ind w:left="3283" w:hanging="660"/>
      </w:pPr>
      <w:rPr>
        <w:rFonts w:hint="default"/>
        <w:lang w:val="en-US" w:eastAsia="en-US" w:bidi="en-US"/>
      </w:rPr>
    </w:lvl>
    <w:lvl w:ilvl="4">
      <w:numFmt w:val="bullet"/>
      <w:lvlText w:val="•"/>
      <w:lvlJc w:val="left"/>
      <w:pPr>
        <w:ind w:left="4235" w:hanging="660"/>
      </w:pPr>
      <w:rPr>
        <w:rFonts w:hint="default"/>
        <w:lang w:val="en-US" w:eastAsia="en-US" w:bidi="en-US"/>
      </w:rPr>
    </w:lvl>
    <w:lvl w:ilvl="5">
      <w:numFmt w:val="bullet"/>
      <w:lvlText w:val="•"/>
      <w:lvlJc w:val="left"/>
      <w:pPr>
        <w:ind w:left="5187" w:hanging="660"/>
      </w:pPr>
      <w:rPr>
        <w:rFonts w:hint="default"/>
        <w:lang w:val="en-US" w:eastAsia="en-US" w:bidi="en-US"/>
      </w:rPr>
    </w:lvl>
    <w:lvl w:ilvl="6">
      <w:numFmt w:val="bullet"/>
      <w:lvlText w:val="•"/>
      <w:lvlJc w:val="left"/>
      <w:pPr>
        <w:ind w:left="6139" w:hanging="660"/>
      </w:pPr>
      <w:rPr>
        <w:rFonts w:hint="default"/>
        <w:lang w:val="en-US" w:eastAsia="en-US" w:bidi="en-US"/>
      </w:rPr>
    </w:lvl>
    <w:lvl w:ilvl="7">
      <w:numFmt w:val="bullet"/>
      <w:lvlText w:val="•"/>
      <w:lvlJc w:val="left"/>
      <w:pPr>
        <w:ind w:left="7090" w:hanging="660"/>
      </w:pPr>
      <w:rPr>
        <w:rFonts w:hint="default"/>
        <w:lang w:val="en-US" w:eastAsia="en-US" w:bidi="en-US"/>
      </w:rPr>
    </w:lvl>
    <w:lvl w:ilvl="8">
      <w:numFmt w:val="bullet"/>
      <w:lvlText w:val="•"/>
      <w:lvlJc w:val="left"/>
      <w:pPr>
        <w:ind w:left="8042" w:hanging="660"/>
      </w:pPr>
      <w:rPr>
        <w:rFonts w:hint="default"/>
        <w:lang w:val="en-US" w:eastAsia="en-US" w:bidi="en-US"/>
      </w:rPr>
    </w:lvl>
  </w:abstractNum>
  <w:abstractNum w:abstractNumId="14" w15:restartNumberingAfterBreak="0">
    <w:nsid w:val="46462F9A"/>
    <w:multiLevelType w:val="multilevel"/>
    <w:tmpl w:val="020E329C"/>
    <w:lvl w:ilvl="0">
      <w:start w:val="1"/>
      <w:numFmt w:val="decimal"/>
      <w:lvlText w:val="%1."/>
      <w:lvlJc w:val="left"/>
      <w:pPr>
        <w:ind w:left="1000" w:hanging="360"/>
      </w:pPr>
      <w:rPr>
        <w:rFonts w:ascii="Cambria" w:eastAsia="Cambria" w:hAnsi="Cambria" w:cs="Cambria" w:hint="default"/>
        <w:b/>
        <w:bCs/>
        <w:color w:val="365F91"/>
        <w:spacing w:val="-1"/>
        <w:w w:val="100"/>
        <w:sz w:val="28"/>
        <w:szCs w:val="28"/>
        <w:lang w:val="en-US" w:eastAsia="en-US" w:bidi="en-US"/>
      </w:rPr>
    </w:lvl>
    <w:lvl w:ilvl="1">
      <w:start w:val="1"/>
      <w:numFmt w:val="decimal"/>
      <w:lvlText w:val="%1.%2"/>
      <w:lvlJc w:val="left"/>
      <w:pPr>
        <w:ind w:left="1014" w:hanging="375"/>
      </w:pPr>
      <w:rPr>
        <w:rFonts w:ascii="Cambria" w:eastAsia="Cambria" w:hAnsi="Cambria" w:cs="Cambria" w:hint="default"/>
        <w:b/>
        <w:bCs/>
        <w:spacing w:val="-2"/>
        <w:w w:val="100"/>
        <w:sz w:val="22"/>
        <w:szCs w:val="22"/>
        <w:lang w:val="en-US" w:eastAsia="en-US" w:bidi="en-US"/>
      </w:rPr>
    </w:lvl>
    <w:lvl w:ilvl="2">
      <w:numFmt w:val="bullet"/>
      <w:lvlText w:val="•"/>
      <w:lvlJc w:val="left"/>
      <w:pPr>
        <w:ind w:left="2011" w:hanging="375"/>
      </w:pPr>
      <w:rPr>
        <w:rFonts w:hint="default"/>
        <w:lang w:val="en-US" w:eastAsia="en-US" w:bidi="en-US"/>
      </w:rPr>
    </w:lvl>
    <w:lvl w:ilvl="3">
      <w:numFmt w:val="bullet"/>
      <w:lvlText w:val="•"/>
      <w:lvlJc w:val="left"/>
      <w:pPr>
        <w:ind w:left="3003" w:hanging="375"/>
      </w:pPr>
      <w:rPr>
        <w:rFonts w:hint="default"/>
        <w:lang w:val="en-US" w:eastAsia="en-US" w:bidi="en-US"/>
      </w:rPr>
    </w:lvl>
    <w:lvl w:ilvl="4">
      <w:numFmt w:val="bullet"/>
      <w:lvlText w:val="•"/>
      <w:lvlJc w:val="left"/>
      <w:pPr>
        <w:ind w:left="3995" w:hanging="375"/>
      </w:pPr>
      <w:rPr>
        <w:rFonts w:hint="default"/>
        <w:lang w:val="en-US" w:eastAsia="en-US" w:bidi="en-US"/>
      </w:rPr>
    </w:lvl>
    <w:lvl w:ilvl="5">
      <w:numFmt w:val="bullet"/>
      <w:lvlText w:val="•"/>
      <w:lvlJc w:val="left"/>
      <w:pPr>
        <w:ind w:left="4987" w:hanging="375"/>
      </w:pPr>
      <w:rPr>
        <w:rFonts w:hint="default"/>
        <w:lang w:val="en-US" w:eastAsia="en-US" w:bidi="en-US"/>
      </w:rPr>
    </w:lvl>
    <w:lvl w:ilvl="6">
      <w:numFmt w:val="bullet"/>
      <w:lvlText w:val="•"/>
      <w:lvlJc w:val="left"/>
      <w:pPr>
        <w:ind w:left="5979" w:hanging="375"/>
      </w:pPr>
      <w:rPr>
        <w:rFonts w:hint="default"/>
        <w:lang w:val="en-US" w:eastAsia="en-US" w:bidi="en-US"/>
      </w:rPr>
    </w:lvl>
    <w:lvl w:ilvl="7">
      <w:numFmt w:val="bullet"/>
      <w:lvlText w:val="•"/>
      <w:lvlJc w:val="left"/>
      <w:pPr>
        <w:ind w:left="6970" w:hanging="375"/>
      </w:pPr>
      <w:rPr>
        <w:rFonts w:hint="default"/>
        <w:lang w:val="en-US" w:eastAsia="en-US" w:bidi="en-US"/>
      </w:rPr>
    </w:lvl>
    <w:lvl w:ilvl="8">
      <w:numFmt w:val="bullet"/>
      <w:lvlText w:val="•"/>
      <w:lvlJc w:val="left"/>
      <w:pPr>
        <w:ind w:left="7962" w:hanging="375"/>
      </w:pPr>
      <w:rPr>
        <w:rFonts w:hint="default"/>
        <w:lang w:val="en-US" w:eastAsia="en-US" w:bidi="en-US"/>
      </w:rPr>
    </w:lvl>
  </w:abstractNum>
  <w:abstractNum w:abstractNumId="15" w15:restartNumberingAfterBreak="0">
    <w:nsid w:val="479D0B24"/>
    <w:multiLevelType w:val="hybridMultilevel"/>
    <w:tmpl w:val="3160B4FC"/>
    <w:lvl w:ilvl="0" w:tplc="B5BA116C">
      <w:start w:val="1"/>
      <w:numFmt w:val="lowerLetter"/>
      <w:lvlText w:val="%1)"/>
      <w:lvlJc w:val="left"/>
      <w:pPr>
        <w:ind w:left="371" w:hanging="272"/>
      </w:pPr>
      <w:rPr>
        <w:rFonts w:ascii="Cambria" w:eastAsia="Cambria" w:hAnsi="Cambria" w:cs="Cambria" w:hint="default"/>
        <w:b/>
        <w:bCs/>
        <w:spacing w:val="0"/>
        <w:w w:val="100"/>
        <w:sz w:val="22"/>
        <w:szCs w:val="22"/>
        <w:lang w:val="en-US" w:eastAsia="en-US" w:bidi="en-US"/>
      </w:rPr>
    </w:lvl>
    <w:lvl w:ilvl="1" w:tplc="C5BC345C">
      <w:numFmt w:val="bullet"/>
      <w:lvlText w:val=""/>
      <w:lvlJc w:val="left"/>
      <w:pPr>
        <w:ind w:left="820" w:hanging="360"/>
      </w:pPr>
      <w:rPr>
        <w:rFonts w:ascii="Symbol" w:eastAsia="Symbol" w:hAnsi="Symbol" w:cs="Symbol" w:hint="default"/>
        <w:w w:val="100"/>
        <w:sz w:val="22"/>
        <w:szCs w:val="22"/>
        <w:lang w:val="en-US" w:eastAsia="en-US" w:bidi="en-US"/>
      </w:rPr>
    </w:lvl>
    <w:lvl w:ilvl="2" w:tplc="2312ABB4">
      <w:numFmt w:val="bullet"/>
      <w:lvlText w:val="•"/>
      <w:lvlJc w:val="left"/>
      <w:pPr>
        <w:ind w:left="960" w:hanging="360"/>
      </w:pPr>
      <w:rPr>
        <w:rFonts w:hint="default"/>
        <w:lang w:val="en-US" w:eastAsia="en-US" w:bidi="en-US"/>
      </w:rPr>
    </w:lvl>
    <w:lvl w:ilvl="3" w:tplc="8F5C1FEE">
      <w:numFmt w:val="bullet"/>
      <w:lvlText w:val="•"/>
      <w:lvlJc w:val="left"/>
      <w:pPr>
        <w:ind w:left="1998" w:hanging="360"/>
      </w:pPr>
      <w:rPr>
        <w:rFonts w:hint="default"/>
        <w:lang w:val="en-US" w:eastAsia="en-US" w:bidi="en-US"/>
      </w:rPr>
    </w:lvl>
    <w:lvl w:ilvl="4" w:tplc="2F3EDF96">
      <w:numFmt w:val="bullet"/>
      <w:lvlText w:val="•"/>
      <w:lvlJc w:val="left"/>
      <w:pPr>
        <w:ind w:left="3036" w:hanging="360"/>
      </w:pPr>
      <w:rPr>
        <w:rFonts w:hint="default"/>
        <w:lang w:val="en-US" w:eastAsia="en-US" w:bidi="en-US"/>
      </w:rPr>
    </w:lvl>
    <w:lvl w:ilvl="5" w:tplc="3CFE3C26">
      <w:numFmt w:val="bullet"/>
      <w:lvlText w:val="•"/>
      <w:lvlJc w:val="left"/>
      <w:pPr>
        <w:ind w:left="4074" w:hanging="360"/>
      </w:pPr>
      <w:rPr>
        <w:rFonts w:hint="default"/>
        <w:lang w:val="en-US" w:eastAsia="en-US" w:bidi="en-US"/>
      </w:rPr>
    </w:lvl>
    <w:lvl w:ilvl="6" w:tplc="E174B0A0">
      <w:numFmt w:val="bullet"/>
      <w:lvlText w:val="•"/>
      <w:lvlJc w:val="left"/>
      <w:pPr>
        <w:ind w:left="5113" w:hanging="360"/>
      </w:pPr>
      <w:rPr>
        <w:rFonts w:hint="default"/>
        <w:lang w:val="en-US" w:eastAsia="en-US" w:bidi="en-US"/>
      </w:rPr>
    </w:lvl>
    <w:lvl w:ilvl="7" w:tplc="76DEA162">
      <w:numFmt w:val="bullet"/>
      <w:lvlText w:val="•"/>
      <w:lvlJc w:val="left"/>
      <w:pPr>
        <w:ind w:left="6151" w:hanging="360"/>
      </w:pPr>
      <w:rPr>
        <w:rFonts w:hint="default"/>
        <w:lang w:val="en-US" w:eastAsia="en-US" w:bidi="en-US"/>
      </w:rPr>
    </w:lvl>
    <w:lvl w:ilvl="8" w:tplc="D13C67B2">
      <w:numFmt w:val="bullet"/>
      <w:lvlText w:val="•"/>
      <w:lvlJc w:val="left"/>
      <w:pPr>
        <w:ind w:left="7189" w:hanging="360"/>
      </w:pPr>
      <w:rPr>
        <w:rFonts w:hint="default"/>
        <w:lang w:val="en-US" w:eastAsia="en-US" w:bidi="en-US"/>
      </w:rPr>
    </w:lvl>
  </w:abstractNum>
  <w:abstractNum w:abstractNumId="16" w15:restartNumberingAfterBreak="0">
    <w:nsid w:val="49580197"/>
    <w:multiLevelType w:val="multilevel"/>
    <w:tmpl w:val="585C4CE6"/>
    <w:lvl w:ilvl="0">
      <w:start w:val="3"/>
      <w:numFmt w:val="decimal"/>
      <w:lvlText w:val="%1"/>
      <w:lvlJc w:val="left"/>
      <w:pPr>
        <w:ind w:left="1014" w:hanging="375"/>
      </w:pPr>
      <w:rPr>
        <w:rFonts w:hint="default"/>
        <w:lang w:val="en-US" w:eastAsia="en-US" w:bidi="en-US"/>
      </w:rPr>
    </w:lvl>
    <w:lvl w:ilvl="1">
      <w:start w:val="1"/>
      <w:numFmt w:val="decimal"/>
      <w:lvlText w:val="%1.%2"/>
      <w:lvlJc w:val="left"/>
      <w:pPr>
        <w:ind w:left="1014" w:hanging="375"/>
      </w:pPr>
      <w:rPr>
        <w:rFonts w:ascii="Cambria" w:eastAsia="Cambria" w:hAnsi="Cambria" w:cs="Cambria" w:hint="default"/>
        <w:b/>
        <w:bCs/>
        <w:spacing w:val="-2"/>
        <w:w w:val="100"/>
        <w:sz w:val="22"/>
        <w:szCs w:val="22"/>
        <w:lang w:val="en-US" w:eastAsia="en-US" w:bidi="en-US"/>
      </w:rPr>
    </w:lvl>
    <w:lvl w:ilvl="2">
      <w:numFmt w:val="bullet"/>
      <w:lvlText w:val="•"/>
      <w:lvlJc w:val="left"/>
      <w:pPr>
        <w:ind w:left="2805" w:hanging="375"/>
      </w:pPr>
      <w:rPr>
        <w:rFonts w:hint="default"/>
        <w:lang w:val="en-US" w:eastAsia="en-US" w:bidi="en-US"/>
      </w:rPr>
    </w:lvl>
    <w:lvl w:ilvl="3">
      <w:numFmt w:val="bullet"/>
      <w:lvlText w:val="•"/>
      <w:lvlJc w:val="left"/>
      <w:pPr>
        <w:ind w:left="3697" w:hanging="375"/>
      </w:pPr>
      <w:rPr>
        <w:rFonts w:hint="default"/>
        <w:lang w:val="en-US" w:eastAsia="en-US" w:bidi="en-US"/>
      </w:rPr>
    </w:lvl>
    <w:lvl w:ilvl="4">
      <w:numFmt w:val="bullet"/>
      <w:lvlText w:val="•"/>
      <w:lvlJc w:val="left"/>
      <w:pPr>
        <w:ind w:left="4590" w:hanging="375"/>
      </w:pPr>
      <w:rPr>
        <w:rFonts w:hint="default"/>
        <w:lang w:val="en-US" w:eastAsia="en-US" w:bidi="en-US"/>
      </w:rPr>
    </w:lvl>
    <w:lvl w:ilvl="5">
      <w:numFmt w:val="bullet"/>
      <w:lvlText w:val="•"/>
      <w:lvlJc w:val="left"/>
      <w:pPr>
        <w:ind w:left="5483" w:hanging="375"/>
      </w:pPr>
      <w:rPr>
        <w:rFonts w:hint="default"/>
        <w:lang w:val="en-US" w:eastAsia="en-US" w:bidi="en-US"/>
      </w:rPr>
    </w:lvl>
    <w:lvl w:ilvl="6">
      <w:numFmt w:val="bullet"/>
      <w:lvlText w:val="•"/>
      <w:lvlJc w:val="left"/>
      <w:pPr>
        <w:ind w:left="6375" w:hanging="375"/>
      </w:pPr>
      <w:rPr>
        <w:rFonts w:hint="default"/>
        <w:lang w:val="en-US" w:eastAsia="en-US" w:bidi="en-US"/>
      </w:rPr>
    </w:lvl>
    <w:lvl w:ilvl="7">
      <w:numFmt w:val="bullet"/>
      <w:lvlText w:val="•"/>
      <w:lvlJc w:val="left"/>
      <w:pPr>
        <w:ind w:left="7268" w:hanging="375"/>
      </w:pPr>
      <w:rPr>
        <w:rFonts w:hint="default"/>
        <w:lang w:val="en-US" w:eastAsia="en-US" w:bidi="en-US"/>
      </w:rPr>
    </w:lvl>
    <w:lvl w:ilvl="8">
      <w:numFmt w:val="bullet"/>
      <w:lvlText w:val="•"/>
      <w:lvlJc w:val="left"/>
      <w:pPr>
        <w:ind w:left="8161" w:hanging="375"/>
      </w:pPr>
      <w:rPr>
        <w:rFonts w:hint="default"/>
        <w:lang w:val="en-US" w:eastAsia="en-US" w:bidi="en-US"/>
      </w:rPr>
    </w:lvl>
  </w:abstractNum>
  <w:abstractNum w:abstractNumId="17" w15:restartNumberingAfterBreak="0">
    <w:nsid w:val="53093F7D"/>
    <w:multiLevelType w:val="hybridMultilevel"/>
    <w:tmpl w:val="B64E7614"/>
    <w:lvl w:ilvl="0" w:tplc="54549962">
      <w:start w:val="1"/>
      <w:numFmt w:val="decimal"/>
      <w:lvlText w:val="%1-"/>
      <w:lvlJc w:val="left"/>
      <w:pPr>
        <w:ind w:left="1000" w:hanging="360"/>
      </w:pPr>
      <w:rPr>
        <w:rFonts w:hint="default"/>
        <w:w w:val="100"/>
        <w:lang w:val="en-US" w:eastAsia="en-US" w:bidi="en-US"/>
      </w:rPr>
    </w:lvl>
    <w:lvl w:ilvl="1" w:tplc="F382863C">
      <w:numFmt w:val="bullet"/>
      <w:lvlText w:val="•"/>
      <w:lvlJc w:val="left"/>
      <w:pPr>
        <w:ind w:left="1894" w:hanging="360"/>
      </w:pPr>
      <w:rPr>
        <w:rFonts w:hint="default"/>
        <w:lang w:val="en-US" w:eastAsia="en-US" w:bidi="en-US"/>
      </w:rPr>
    </w:lvl>
    <w:lvl w:ilvl="2" w:tplc="49D8603C">
      <w:numFmt w:val="bullet"/>
      <w:lvlText w:val="•"/>
      <w:lvlJc w:val="left"/>
      <w:pPr>
        <w:ind w:left="2789" w:hanging="360"/>
      </w:pPr>
      <w:rPr>
        <w:rFonts w:hint="default"/>
        <w:lang w:val="en-US" w:eastAsia="en-US" w:bidi="en-US"/>
      </w:rPr>
    </w:lvl>
    <w:lvl w:ilvl="3" w:tplc="6C8A75DC">
      <w:numFmt w:val="bullet"/>
      <w:lvlText w:val="•"/>
      <w:lvlJc w:val="left"/>
      <w:pPr>
        <w:ind w:left="3683" w:hanging="360"/>
      </w:pPr>
      <w:rPr>
        <w:rFonts w:hint="default"/>
        <w:lang w:val="en-US" w:eastAsia="en-US" w:bidi="en-US"/>
      </w:rPr>
    </w:lvl>
    <w:lvl w:ilvl="4" w:tplc="EBEA02E4">
      <w:numFmt w:val="bullet"/>
      <w:lvlText w:val="•"/>
      <w:lvlJc w:val="left"/>
      <w:pPr>
        <w:ind w:left="4578" w:hanging="360"/>
      </w:pPr>
      <w:rPr>
        <w:rFonts w:hint="default"/>
        <w:lang w:val="en-US" w:eastAsia="en-US" w:bidi="en-US"/>
      </w:rPr>
    </w:lvl>
    <w:lvl w:ilvl="5" w:tplc="23FE52D8">
      <w:numFmt w:val="bullet"/>
      <w:lvlText w:val="•"/>
      <w:lvlJc w:val="left"/>
      <w:pPr>
        <w:ind w:left="5473" w:hanging="360"/>
      </w:pPr>
      <w:rPr>
        <w:rFonts w:hint="default"/>
        <w:lang w:val="en-US" w:eastAsia="en-US" w:bidi="en-US"/>
      </w:rPr>
    </w:lvl>
    <w:lvl w:ilvl="6" w:tplc="AE02341C">
      <w:numFmt w:val="bullet"/>
      <w:lvlText w:val="•"/>
      <w:lvlJc w:val="left"/>
      <w:pPr>
        <w:ind w:left="6367" w:hanging="360"/>
      </w:pPr>
      <w:rPr>
        <w:rFonts w:hint="default"/>
        <w:lang w:val="en-US" w:eastAsia="en-US" w:bidi="en-US"/>
      </w:rPr>
    </w:lvl>
    <w:lvl w:ilvl="7" w:tplc="713A1B84">
      <w:numFmt w:val="bullet"/>
      <w:lvlText w:val="•"/>
      <w:lvlJc w:val="left"/>
      <w:pPr>
        <w:ind w:left="7262" w:hanging="360"/>
      </w:pPr>
      <w:rPr>
        <w:rFonts w:hint="default"/>
        <w:lang w:val="en-US" w:eastAsia="en-US" w:bidi="en-US"/>
      </w:rPr>
    </w:lvl>
    <w:lvl w:ilvl="8" w:tplc="D82A7FA4">
      <w:numFmt w:val="bullet"/>
      <w:lvlText w:val="•"/>
      <w:lvlJc w:val="left"/>
      <w:pPr>
        <w:ind w:left="8157" w:hanging="360"/>
      </w:pPr>
      <w:rPr>
        <w:rFonts w:hint="default"/>
        <w:lang w:val="en-US" w:eastAsia="en-US" w:bidi="en-US"/>
      </w:rPr>
    </w:lvl>
  </w:abstractNum>
  <w:abstractNum w:abstractNumId="18" w15:restartNumberingAfterBreak="0">
    <w:nsid w:val="55A0288A"/>
    <w:multiLevelType w:val="hybridMultilevel"/>
    <w:tmpl w:val="BB46E918"/>
    <w:lvl w:ilvl="0" w:tplc="FE162336">
      <w:numFmt w:val="bullet"/>
      <w:lvlText w:val=""/>
      <w:lvlJc w:val="left"/>
      <w:pPr>
        <w:ind w:left="467" w:hanging="360"/>
      </w:pPr>
      <w:rPr>
        <w:rFonts w:ascii="Symbol" w:eastAsia="Symbol" w:hAnsi="Symbol" w:cs="Symbol" w:hint="default"/>
        <w:w w:val="100"/>
        <w:sz w:val="22"/>
        <w:szCs w:val="22"/>
        <w:lang w:val="en-US" w:eastAsia="en-US" w:bidi="en-US"/>
      </w:rPr>
    </w:lvl>
    <w:lvl w:ilvl="1" w:tplc="49A01766">
      <w:numFmt w:val="bullet"/>
      <w:lvlText w:val="•"/>
      <w:lvlJc w:val="left"/>
      <w:pPr>
        <w:ind w:left="1117" w:hanging="360"/>
      </w:pPr>
      <w:rPr>
        <w:rFonts w:hint="default"/>
        <w:lang w:val="en-US" w:eastAsia="en-US" w:bidi="en-US"/>
      </w:rPr>
    </w:lvl>
    <w:lvl w:ilvl="2" w:tplc="E3CC987C">
      <w:numFmt w:val="bullet"/>
      <w:lvlText w:val="•"/>
      <w:lvlJc w:val="left"/>
      <w:pPr>
        <w:ind w:left="1774" w:hanging="360"/>
      </w:pPr>
      <w:rPr>
        <w:rFonts w:hint="default"/>
        <w:lang w:val="en-US" w:eastAsia="en-US" w:bidi="en-US"/>
      </w:rPr>
    </w:lvl>
    <w:lvl w:ilvl="3" w:tplc="74681598">
      <w:numFmt w:val="bullet"/>
      <w:lvlText w:val="•"/>
      <w:lvlJc w:val="left"/>
      <w:pPr>
        <w:ind w:left="2431" w:hanging="360"/>
      </w:pPr>
      <w:rPr>
        <w:rFonts w:hint="default"/>
        <w:lang w:val="en-US" w:eastAsia="en-US" w:bidi="en-US"/>
      </w:rPr>
    </w:lvl>
    <w:lvl w:ilvl="4" w:tplc="C5783410">
      <w:numFmt w:val="bullet"/>
      <w:lvlText w:val="•"/>
      <w:lvlJc w:val="left"/>
      <w:pPr>
        <w:ind w:left="3089" w:hanging="360"/>
      </w:pPr>
      <w:rPr>
        <w:rFonts w:hint="default"/>
        <w:lang w:val="en-US" w:eastAsia="en-US" w:bidi="en-US"/>
      </w:rPr>
    </w:lvl>
    <w:lvl w:ilvl="5" w:tplc="9AC4D162">
      <w:numFmt w:val="bullet"/>
      <w:lvlText w:val="•"/>
      <w:lvlJc w:val="left"/>
      <w:pPr>
        <w:ind w:left="3746" w:hanging="360"/>
      </w:pPr>
      <w:rPr>
        <w:rFonts w:hint="default"/>
        <w:lang w:val="en-US" w:eastAsia="en-US" w:bidi="en-US"/>
      </w:rPr>
    </w:lvl>
    <w:lvl w:ilvl="6" w:tplc="55283584">
      <w:numFmt w:val="bullet"/>
      <w:lvlText w:val="•"/>
      <w:lvlJc w:val="left"/>
      <w:pPr>
        <w:ind w:left="4403" w:hanging="360"/>
      </w:pPr>
      <w:rPr>
        <w:rFonts w:hint="default"/>
        <w:lang w:val="en-US" w:eastAsia="en-US" w:bidi="en-US"/>
      </w:rPr>
    </w:lvl>
    <w:lvl w:ilvl="7" w:tplc="89E833C4">
      <w:numFmt w:val="bullet"/>
      <w:lvlText w:val="•"/>
      <w:lvlJc w:val="left"/>
      <w:pPr>
        <w:ind w:left="5061" w:hanging="360"/>
      </w:pPr>
      <w:rPr>
        <w:rFonts w:hint="default"/>
        <w:lang w:val="en-US" w:eastAsia="en-US" w:bidi="en-US"/>
      </w:rPr>
    </w:lvl>
    <w:lvl w:ilvl="8" w:tplc="54944D1A">
      <w:numFmt w:val="bullet"/>
      <w:lvlText w:val="•"/>
      <w:lvlJc w:val="left"/>
      <w:pPr>
        <w:ind w:left="5718" w:hanging="360"/>
      </w:pPr>
      <w:rPr>
        <w:rFonts w:hint="default"/>
        <w:lang w:val="en-US" w:eastAsia="en-US" w:bidi="en-US"/>
      </w:rPr>
    </w:lvl>
  </w:abstractNum>
  <w:abstractNum w:abstractNumId="19" w15:restartNumberingAfterBreak="0">
    <w:nsid w:val="55AF6CB5"/>
    <w:multiLevelType w:val="hybridMultilevel"/>
    <w:tmpl w:val="4530C5D8"/>
    <w:lvl w:ilvl="0" w:tplc="82E6376A">
      <w:numFmt w:val="bullet"/>
      <w:lvlText w:val=""/>
      <w:lvlJc w:val="left"/>
      <w:pPr>
        <w:ind w:left="282" w:hanging="142"/>
      </w:pPr>
      <w:rPr>
        <w:rFonts w:ascii="Symbol" w:eastAsia="Symbol" w:hAnsi="Symbol" w:cs="Symbol" w:hint="default"/>
        <w:w w:val="100"/>
        <w:sz w:val="22"/>
        <w:szCs w:val="22"/>
        <w:lang w:val="en-US" w:eastAsia="en-US" w:bidi="en-US"/>
      </w:rPr>
    </w:lvl>
    <w:lvl w:ilvl="1" w:tplc="5CC216DC">
      <w:numFmt w:val="bullet"/>
      <w:lvlText w:val="•"/>
      <w:lvlJc w:val="left"/>
      <w:pPr>
        <w:ind w:left="599" w:hanging="142"/>
      </w:pPr>
      <w:rPr>
        <w:rFonts w:hint="default"/>
        <w:lang w:val="en-US" w:eastAsia="en-US" w:bidi="en-US"/>
      </w:rPr>
    </w:lvl>
    <w:lvl w:ilvl="2" w:tplc="54E6520C">
      <w:numFmt w:val="bullet"/>
      <w:lvlText w:val="•"/>
      <w:lvlJc w:val="left"/>
      <w:pPr>
        <w:ind w:left="918" w:hanging="142"/>
      </w:pPr>
      <w:rPr>
        <w:rFonts w:hint="default"/>
        <w:lang w:val="en-US" w:eastAsia="en-US" w:bidi="en-US"/>
      </w:rPr>
    </w:lvl>
    <w:lvl w:ilvl="3" w:tplc="0DCCB456">
      <w:numFmt w:val="bullet"/>
      <w:lvlText w:val="•"/>
      <w:lvlJc w:val="left"/>
      <w:pPr>
        <w:ind w:left="1237" w:hanging="142"/>
      </w:pPr>
      <w:rPr>
        <w:rFonts w:hint="default"/>
        <w:lang w:val="en-US" w:eastAsia="en-US" w:bidi="en-US"/>
      </w:rPr>
    </w:lvl>
    <w:lvl w:ilvl="4" w:tplc="D0E0A996">
      <w:numFmt w:val="bullet"/>
      <w:lvlText w:val="•"/>
      <w:lvlJc w:val="left"/>
      <w:pPr>
        <w:ind w:left="1557" w:hanging="142"/>
      </w:pPr>
      <w:rPr>
        <w:rFonts w:hint="default"/>
        <w:lang w:val="en-US" w:eastAsia="en-US" w:bidi="en-US"/>
      </w:rPr>
    </w:lvl>
    <w:lvl w:ilvl="5" w:tplc="793A3538">
      <w:numFmt w:val="bullet"/>
      <w:lvlText w:val="•"/>
      <w:lvlJc w:val="left"/>
      <w:pPr>
        <w:ind w:left="1876" w:hanging="142"/>
      </w:pPr>
      <w:rPr>
        <w:rFonts w:hint="default"/>
        <w:lang w:val="en-US" w:eastAsia="en-US" w:bidi="en-US"/>
      </w:rPr>
    </w:lvl>
    <w:lvl w:ilvl="6" w:tplc="0ABC236C">
      <w:numFmt w:val="bullet"/>
      <w:lvlText w:val="•"/>
      <w:lvlJc w:val="left"/>
      <w:pPr>
        <w:ind w:left="2195" w:hanging="142"/>
      </w:pPr>
      <w:rPr>
        <w:rFonts w:hint="default"/>
        <w:lang w:val="en-US" w:eastAsia="en-US" w:bidi="en-US"/>
      </w:rPr>
    </w:lvl>
    <w:lvl w:ilvl="7" w:tplc="5CCC6C9E">
      <w:numFmt w:val="bullet"/>
      <w:lvlText w:val="•"/>
      <w:lvlJc w:val="left"/>
      <w:pPr>
        <w:ind w:left="2515" w:hanging="142"/>
      </w:pPr>
      <w:rPr>
        <w:rFonts w:hint="default"/>
        <w:lang w:val="en-US" w:eastAsia="en-US" w:bidi="en-US"/>
      </w:rPr>
    </w:lvl>
    <w:lvl w:ilvl="8" w:tplc="81D088B2">
      <w:numFmt w:val="bullet"/>
      <w:lvlText w:val="•"/>
      <w:lvlJc w:val="left"/>
      <w:pPr>
        <w:ind w:left="2834" w:hanging="142"/>
      </w:pPr>
      <w:rPr>
        <w:rFonts w:hint="default"/>
        <w:lang w:val="en-US" w:eastAsia="en-US" w:bidi="en-US"/>
      </w:rPr>
    </w:lvl>
  </w:abstractNum>
  <w:abstractNum w:abstractNumId="20" w15:restartNumberingAfterBreak="0">
    <w:nsid w:val="61293CEA"/>
    <w:multiLevelType w:val="hybridMultilevel"/>
    <w:tmpl w:val="311C7882"/>
    <w:lvl w:ilvl="0" w:tplc="ACB29EF6">
      <w:numFmt w:val="bullet"/>
      <w:lvlText w:val=""/>
      <w:lvlJc w:val="left"/>
      <w:pPr>
        <w:ind w:left="282" w:hanging="142"/>
      </w:pPr>
      <w:rPr>
        <w:rFonts w:ascii="Symbol" w:eastAsia="Symbol" w:hAnsi="Symbol" w:cs="Symbol" w:hint="default"/>
        <w:w w:val="100"/>
        <w:sz w:val="22"/>
        <w:szCs w:val="22"/>
        <w:lang w:val="en-US" w:eastAsia="en-US" w:bidi="en-US"/>
      </w:rPr>
    </w:lvl>
    <w:lvl w:ilvl="1" w:tplc="B1CC5F68">
      <w:numFmt w:val="bullet"/>
      <w:lvlText w:val="•"/>
      <w:lvlJc w:val="left"/>
      <w:pPr>
        <w:ind w:left="599" w:hanging="142"/>
      </w:pPr>
      <w:rPr>
        <w:rFonts w:hint="default"/>
        <w:lang w:val="en-US" w:eastAsia="en-US" w:bidi="en-US"/>
      </w:rPr>
    </w:lvl>
    <w:lvl w:ilvl="2" w:tplc="89C277E4">
      <w:numFmt w:val="bullet"/>
      <w:lvlText w:val="•"/>
      <w:lvlJc w:val="left"/>
      <w:pPr>
        <w:ind w:left="918" w:hanging="142"/>
      </w:pPr>
      <w:rPr>
        <w:rFonts w:hint="default"/>
        <w:lang w:val="en-US" w:eastAsia="en-US" w:bidi="en-US"/>
      </w:rPr>
    </w:lvl>
    <w:lvl w:ilvl="3" w:tplc="F1E43790">
      <w:numFmt w:val="bullet"/>
      <w:lvlText w:val="•"/>
      <w:lvlJc w:val="left"/>
      <w:pPr>
        <w:ind w:left="1237" w:hanging="142"/>
      </w:pPr>
      <w:rPr>
        <w:rFonts w:hint="default"/>
        <w:lang w:val="en-US" w:eastAsia="en-US" w:bidi="en-US"/>
      </w:rPr>
    </w:lvl>
    <w:lvl w:ilvl="4" w:tplc="F1E6AC4A">
      <w:numFmt w:val="bullet"/>
      <w:lvlText w:val="•"/>
      <w:lvlJc w:val="left"/>
      <w:pPr>
        <w:ind w:left="1557" w:hanging="142"/>
      </w:pPr>
      <w:rPr>
        <w:rFonts w:hint="default"/>
        <w:lang w:val="en-US" w:eastAsia="en-US" w:bidi="en-US"/>
      </w:rPr>
    </w:lvl>
    <w:lvl w:ilvl="5" w:tplc="01B281CC">
      <w:numFmt w:val="bullet"/>
      <w:lvlText w:val="•"/>
      <w:lvlJc w:val="left"/>
      <w:pPr>
        <w:ind w:left="1876" w:hanging="142"/>
      </w:pPr>
      <w:rPr>
        <w:rFonts w:hint="default"/>
        <w:lang w:val="en-US" w:eastAsia="en-US" w:bidi="en-US"/>
      </w:rPr>
    </w:lvl>
    <w:lvl w:ilvl="6" w:tplc="FBB26C48">
      <w:numFmt w:val="bullet"/>
      <w:lvlText w:val="•"/>
      <w:lvlJc w:val="left"/>
      <w:pPr>
        <w:ind w:left="2195" w:hanging="142"/>
      </w:pPr>
      <w:rPr>
        <w:rFonts w:hint="default"/>
        <w:lang w:val="en-US" w:eastAsia="en-US" w:bidi="en-US"/>
      </w:rPr>
    </w:lvl>
    <w:lvl w:ilvl="7" w:tplc="6A8A8802">
      <w:numFmt w:val="bullet"/>
      <w:lvlText w:val="•"/>
      <w:lvlJc w:val="left"/>
      <w:pPr>
        <w:ind w:left="2515" w:hanging="142"/>
      </w:pPr>
      <w:rPr>
        <w:rFonts w:hint="default"/>
        <w:lang w:val="en-US" w:eastAsia="en-US" w:bidi="en-US"/>
      </w:rPr>
    </w:lvl>
    <w:lvl w:ilvl="8" w:tplc="28B8A6B2">
      <w:numFmt w:val="bullet"/>
      <w:lvlText w:val="•"/>
      <w:lvlJc w:val="left"/>
      <w:pPr>
        <w:ind w:left="2834" w:hanging="142"/>
      </w:pPr>
      <w:rPr>
        <w:rFonts w:hint="default"/>
        <w:lang w:val="en-US" w:eastAsia="en-US" w:bidi="en-US"/>
      </w:rPr>
    </w:lvl>
  </w:abstractNum>
  <w:abstractNum w:abstractNumId="21" w15:restartNumberingAfterBreak="0">
    <w:nsid w:val="6F734DD5"/>
    <w:multiLevelType w:val="hybridMultilevel"/>
    <w:tmpl w:val="54A4B22A"/>
    <w:lvl w:ilvl="0" w:tplc="723A9596">
      <w:start w:val="1"/>
      <w:numFmt w:val="lowerLetter"/>
      <w:lvlText w:val="%1)"/>
      <w:lvlJc w:val="left"/>
      <w:pPr>
        <w:ind w:left="1000" w:hanging="360"/>
      </w:pPr>
      <w:rPr>
        <w:rFonts w:ascii="Times New Roman" w:eastAsia="Times New Roman" w:hAnsi="Times New Roman" w:cs="Times New Roman" w:hint="default"/>
        <w:w w:val="100"/>
        <w:sz w:val="22"/>
        <w:szCs w:val="22"/>
        <w:lang w:val="en-US" w:eastAsia="en-US" w:bidi="en-US"/>
      </w:rPr>
    </w:lvl>
    <w:lvl w:ilvl="1" w:tplc="36E0BF1C">
      <w:start w:val="1"/>
      <w:numFmt w:val="decimal"/>
      <w:lvlText w:val="%2)"/>
      <w:lvlJc w:val="left"/>
      <w:pPr>
        <w:ind w:left="1000" w:hanging="360"/>
      </w:pPr>
      <w:rPr>
        <w:rFonts w:ascii="Times New Roman" w:eastAsia="Times New Roman" w:hAnsi="Times New Roman" w:cs="Times New Roman" w:hint="default"/>
        <w:w w:val="100"/>
        <w:sz w:val="22"/>
        <w:szCs w:val="22"/>
        <w:lang w:val="en-US" w:eastAsia="en-US" w:bidi="en-US"/>
      </w:rPr>
    </w:lvl>
    <w:lvl w:ilvl="2" w:tplc="2E7A8D8E">
      <w:numFmt w:val="bullet"/>
      <w:lvlText w:val="•"/>
      <w:lvlJc w:val="left"/>
      <w:pPr>
        <w:ind w:left="2789" w:hanging="360"/>
      </w:pPr>
      <w:rPr>
        <w:rFonts w:hint="default"/>
        <w:lang w:val="en-US" w:eastAsia="en-US" w:bidi="en-US"/>
      </w:rPr>
    </w:lvl>
    <w:lvl w:ilvl="3" w:tplc="1062E2EC">
      <w:numFmt w:val="bullet"/>
      <w:lvlText w:val="•"/>
      <w:lvlJc w:val="left"/>
      <w:pPr>
        <w:ind w:left="3683" w:hanging="360"/>
      </w:pPr>
      <w:rPr>
        <w:rFonts w:hint="default"/>
        <w:lang w:val="en-US" w:eastAsia="en-US" w:bidi="en-US"/>
      </w:rPr>
    </w:lvl>
    <w:lvl w:ilvl="4" w:tplc="1C902B0C">
      <w:numFmt w:val="bullet"/>
      <w:lvlText w:val="•"/>
      <w:lvlJc w:val="left"/>
      <w:pPr>
        <w:ind w:left="4578" w:hanging="360"/>
      </w:pPr>
      <w:rPr>
        <w:rFonts w:hint="default"/>
        <w:lang w:val="en-US" w:eastAsia="en-US" w:bidi="en-US"/>
      </w:rPr>
    </w:lvl>
    <w:lvl w:ilvl="5" w:tplc="D3202C4E">
      <w:numFmt w:val="bullet"/>
      <w:lvlText w:val="•"/>
      <w:lvlJc w:val="left"/>
      <w:pPr>
        <w:ind w:left="5473" w:hanging="360"/>
      </w:pPr>
      <w:rPr>
        <w:rFonts w:hint="default"/>
        <w:lang w:val="en-US" w:eastAsia="en-US" w:bidi="en-US"/>
      </w:rPr>
    </w:lvl>
    <w:lvl w:ilvl="6" w:tplc="FF40F6B6">
      <w:numFmt w:val="bullet"/>
      <w:lvlText w:val="•"/>
      <w:lvlJc w:val="left"/>
      <w:pPr>
        <w:ind w:left="6367" w:hanging="360"/>
      </w:pPr>
      <w:rPr>
        <w:rFonts w:hint="default"/>
        <w:lang w:val="en-US" w:eastAsia="en-US" w:bidi="en-US"/>
      </w:rPr>
    </w:lvl>
    <w:lvl w:ilvl="7" w:tplc="600E63BC">
      <w:numFmt w:val="bullet"/>
      <w:lvlText w:val="•"/>
      <w:lvlJc w:val="left"/>
      <w:pPr>
        <w:ind w:left="7262" w:hanging="360"/>
      </w:pPr>
      <w:rPr>
        <w:rFonts w:hint="default"/>
        <w:lang w:val="en-US" w:eastAsia="en-US" w:bidi="en-US"/>
      </w:rPr>
    </w:lvl>
    <w:lvl w:ilvl="8" w:tplc="8BAA89F6">
      <w:numFmt w:val="bullet"/>
      <w:lvlText w:val="•"/>
      <w:lvlJc w:val="left"/>
      <w:pPr>
        <w:ind w:left="8157" w:hanging="360"/>
      </w:pPr>
      <w:rPr>
        <w:rFonts w:hint="default"/>
        <w:lang w:val="en-US" w:eastAsia="en-US" w:bidi="en-US"/>
      </w:rPr>
    </w:lvl>
  </w:abstractNum>
  <w:abstractNum w:abstractNumId="22" w15:restartNumberingAfterBreak="0">
    <w:nsid w:val="70A95F56"/>
    <w:multiLevelType w:val="hybridMultilevel"/>
    <w:tmpl w:val="86DE646C"/>
    <w:lvl w:ilvl="0" w:tplc="16C26BB6">
      <w:numFmt w:val="bullet"/>
      <w:lvlText w:val=""/>
      <w:lvlJc w:val="left"/>
      <w:pPr>
        <w:ind w:left="467" w:hanging="360"/>
      </w:pPr>
      <w:rPr>
        <w:rFonts w:ascii="Symbol" w:eastAsia="Symbol" w:hAnsi="Symbol" w:cs="Symbol" w:hint="default"/>
        <w:w w:val="100"/>
        <w:sz w:val="22"/>
        <w:szCs w:val="22"/>
        <w:lang w:val="en-US" w:eastAsia="en-US" w:bidi="en-US"/>
      </w:rPr>
    </w:lvl>
    <w:lvl w:ilvl="1" w:tplc="875E979A">
      <w:numFmt w:val="bullet"/>
      <w:lvlText w:val="•"/>
      <w:lvlJc w:val="left"/>
      <w:pPr>
        <w:ind w:left="1117" w:hanging="360"/>
      </w:pPr>
      <w:rPr>
        <w:rFonts w:hint="default"/>
        <w:lang w:val="en-US" w:eastAsia="en-US" w:bidi="en-US"/>
      </w:rPr>
    </w:lvl>
    <w:lvl w:ilvl="2" w:tplc="9D2664F2">
      <w:numFmt w:val="bullet"/>
      <w:lvlText w:val="•"/>
      <w:lvlJc w:val="left"/>
      <w:pPr>
        <w:ind w:left="1774" w:hanging="360"/>
      </w:pPr>
      <w:rPr>
        <w:rFonts w:hint="default"/>
        <w:lang w:val="en-US" w:eastAsia="en-US" w:bidi="en-US"/>
      </w:rPr>
    </w:lvl>
    <w:lvl w:ilvl="3" w:tplc="1CC2C1E8">
      <w:numFmt w:val="bullet"/>
      <w:lvlText w:val="•"/>
      <w:lvlJc w:val="left"/>
      <w:pPr>
        <w:ind w:left="2431" w:hanging="360"/>
      </w:pPr>
      <w:rPr>
        <w:rFonts w:hint="default"/>
        <w:lang w:val="en-US" w:eastAsia="en-US" w:bidi="en-US"/>
      </w:rPr>
    </w:lvl>
    <w:lvl w:ilvl="4" w:tplc="693225A8">
      <w:numFmt w:val="bullet"/>
      <w:lvlText w:val="•"/>
      <w:lvlJc w:val="left"/>
      <w:pPr>
        <w:ind w:left="3089" w:hanging="360"/>
      </w:pPr>
      <w:rPr>
        <w:rFonts w:hint="default"/>
        <w:lang w:val="en-US" w:eastAsia="en-US" w:bidi="en-US"/>
      </w:rPr>
    </w:lvl>
    <w:lvl w:ilvl="5" w:tplc="FC201846">
      <w:numFmt w:val="bullet"/>
      <w:lvlText w:val="•"/>
      <w:lvlJc w:val="left"/>
      <w:pPr>
        <w:ind w:left="3746" w:hanging="360"/>
      </w:pPr>
      <w:rPr>
        <w:rFonts w:hint="default"/>
        <w:lang w:val="en-US" w:eastAsia="en-US" w:bidi="en-US"/>
      </w:rPr>
    </w:lvl>
    <w:lvl w:ilvl="6" w:tplc="7534DF92">
      <w:numFmt w:val="bullet"/>
      <w:lvlText w:val="•"/>
      <w:lvlJc w:val="left"/>
      <w:pPr>
        <w:ind w:left="4403" w:hanging="360"/>
      </w:pPr>
      <w:rPr>
        <w:rFonts w:hint="default"/>
        <w:lang w:val="en-US" w:eastAsia="en-US" w:bidi="en-US"/>
      </w:rPr>
    </w:lvl>
    <w:lvl w:ilvl="7" w:tplc="7828FE92">
      <w:numFmt w:val="bullet"/>
      <w:lvlText w:val="•"/>
      <w:lvlJc w:val="left"/>
      <w:pPr>
        <w:ind w:left="5061" w:hanging="360"/>
      </w:pPr>
      <w:rPr>
        <w:rFonts w:hint="default"/>
        <w:lang w:val="en-US" w:eastAsia="en-US" w:bidi="en-US"/>
      </w:rPr>
    </w:lvl>
    <w:lvl w:ilvl="8" w:tplc="B27485E0">
      <w:numFmt w:val="bullet"/>
      <w:lvlText w:val="•"/>
      <w:lvlJc w:val="left"/>
      <w:pPr>
        <w:ind w:left="5718" w:hanging="360"/>
      </w:pPr>
      <w:rPr>
        <w:rFonts w:hint="default"/>
        <w:lang w:val="en-US" w:eastAsia="en-US" w:bidi="en-US"/>
      </w:rPr>
    </w:lvl>
  </w:abstractNum>
  <w:abstractNum w:abstractNumId="23" w15:restartNumberingAfterBreak="0">
    <w:nsid w:val="719E0759"/>
    <w:multiLevelType w:val="multilevel"/>
    <w:tmpl w:val="53E6337C"/>
    <w:lvl w:ilvl="0">
      <w:start w:val="1"/>
      <w:numFmt w:val="decimal"/>
      <w:lvlText w:val="%1."/>
      <w:lvlJc w:val="left"/>
      <w:pPr>
        <w:ind w:left="1000" w:hanging="360"/>
      </w:pPr>
      <w:rPr>
        <w:rFonts w:asciiTheme="minorHAnsi" w:eastAsia="Cambria" w:hAnsiTheme="minorHAnsi" w:cstheme="minorHAnsi" w:hint="default"/>
        <w:b/>
        <w:bCs/>
        <w:color w:val="365F91"/>
        <w:spacing w:val="-1"/>
        <w:w w:val="100"/>
        <w:sz w:val="22"/>
        <w:szCs w:val="22"/>
        <w:lang w:val="en-US" w:eastAsia="en-US" w:bidi="en-US"/>
      </w:rPr>
    </w:lvl>
    <w:lvl w:ilvl="1">
      <w:start w:val="1"/>
      <w:numFmt w:val="decimal"/>
      <w:lvlText w:val="%1.%2"/>
      <w:lvlJc w:val="left"/>
      <w:pPr>
        <w:ind w:left="1005" w:hanging="375"/>
      </w:pPr>
      <w:rPr>
        <w:rFonts w:ascii="Cambria" w:eastAsia="Cambria" w:hAnsi="Cambria" w:cs="Cambria" w:hint="default"/>
        <w:b/>
        <w:bCs/>
        <w:spacing w:val="-2"/>
        <w:w w:val="100"/>
        <w:sz w:val="22"/>
        <w:szCs w:val="22"/>
        <w:lang w:val="en-US" w:eastAsia="en-US" w:bidi="en-US"/>
      </w:rPr>
    </w:lvl>
    <w:lvl w:ilvl="2">
      <w:numFmt w:val="bullet"/>
      <w:lvlText w:val="•"/>
      <w:lvlJc w:val="left"/>
      <w:pPr>
        <w:ind w:left="2011" w:hanging="375"/>
      </w:pPr>
      <w:rPr>
        <w:rFonts w:hint="default"/>
        <w:lang w:val="en-US" w:eastAsia="en-US" w:bidi="en-US"/>
      </w:rPr>
    </w:lvl>
    <w:lvl w:ilvl="3">
      <w:numFmt w:val="bullet"/>
      <w:lvlText w:val="•"/>
      <w:lvlJc w:val="left"/>
      <w:pPr>
        <w:ind w:left="3003" w:hanging="375"/>
      </w:pPr>
      <w:rPr>
        <w:rFonts w:hint="default"/>
        <w:lang w:val="en-US" w:eastAsia="en-US" w:bidi="en-US"/>
      </w:rPr>
    </w:lvl>
    <w:lvl w:ilvl="4">
      <w:numFmt w:val="bullet"/>
      <w:lvlText w:val="•"/>
      <w:lvlJc w:val="left"/>
      <w:pPr>
        <w:ind w:left="3995" w:hanging="375"/>
      </w:pPr>
      <w:rPr>
        <w:rFonts w:hint="default"/>
        <w:lang w:val="en-US" w:eastAsia="en-US" w:bidi="en-US"/>
      </w:rPr>
    </w:lvl>
    <w:lvl w:ilvl="5">
      <w:numFmt w:val="bullet"/>
      <w:lvlText w:val="•"/>
      <w:lvlJc w:val="left"/>
      <w:pPr>
        <w:ind w:left="4987" w:hanging="375"/>
      </w:pPr>
      <w:rPr>
        <w:rFonts w:hint="default"/>
        <w:lang w:val="en-US" w:eastAsia="en-US" w:bidi="en-US"/>
      </w:rPr>
    </w:lvl>
    <w:lvl w:ilvl="6">
      <w:numFmt w:val="bullet"/>
      <w:lvlText w:val="•"/>
      <w:lvlJc w:val="left"/>
      <w:pPr>
        <w:ind w:left="5979" w:hanging="375"/>
      </w:pPr>
      <w:rPr>
        <w:rFonts w:hint="default"/>
        <w:lang w:val="en-US" w:eastAsia="en-US" w:bidi="en-US"/>
      </w:rPr>
    </w:lvl>
    <w:lvl w:ilvl="7">
      <w:numFmt w:val="bullet"/>
      <w:lvlText w:val="•"/>
      <w:lvlJc w:val="left"/>
      <w:pPr>
        <w:ind w:left="6970" w:hanging="375"/>
      </w:pPr>
      <w:rPr>
        <w:rFonts w:hint="default"/>
        <w:lang w:val="en-US" w:eastAsia="en-US" w:bidi="en-US"/>
      </w:rPr>
    </w:lvl>
    <w:lvl w:ilvl="8">
      <w:numFmt w:val="bullet"/>
      <w:lvlText w:val="•"/>
      <w:lvlJc w:val="left"/>
      <w:pPr>
        <w:ind w:left="7962" w:hanging="375"/>
      </w:pPr>
      <w:rPr>
        <w:rFonts w:hint="default"/>
        <w:lang w:val="en-US" w:eastAsia="en-US" w:bidi="en-US"/>
      </w:rPr>
    </w:lvl>
  </w:abstractNum>
  <w:abstractNum w:abstractNumId="24" w15:restartNumberingAfterBreak="0">
    <w:nsid w:val="71CE468B"/>
    <w:multiLevelType w:val="multilevel"/>
    <w:tmpl w:val="56EAA39C"/>
    <w:lvl w:ilvl="0">
      <w:start w:val="3"/>
      <w:numFmt w:val="decimal"/>
      <w:lvlText w:val="%1"/>
      <w:lvlJc w:val="left"/>
      <w:pPr>
        <w:ind w:left="1014" w:hanging="375"/>
      </w:pPr>
      <w:rPr>
        <w:rFonts w:hint="default"/>
        <w:lang w:val="en-US" w:eastAsia="en-US" w:bidi="en-US"/>
      </w:rPr>
    </w:lvl>
    <w:lvl w:ilvl="1">
      <w:start w:val="1"/>
      <w:numFmt w:val="decimal"/>
      <w:lvlText w:val="%1.%2"/>
      <w:lvlJc w:val="left"/>
      <w:pPr>
        <w:ind w:left="1014" w:hanging="375"/>
      </w:pPr>
      <w:rPr>
        <w:rFonts w:ascii="Cambria" w:eastAsia="Cambria" w:hAnsi="Cambria" w:cs="Cambria" w:hint="default"/>
        <w:b/>
        <w:bCs/>
        <w:spacing w:val="-2"/>
        <w:w w:val="100"/>
        <w:sz w:val="22"/>
        <w:szCs w:val="22"/>
        <w:lang w:val="en-US" w:eastAsia="en-US" w:bidi="en-US"/>
      </w:rPr>
    </w:lvl>
    <w:lvl w:ilvl="2">
      <w:numFmt w:val="bullet"/>
      <w:lvlText w:val="•"/>
      <w:lvlJc w:val="left"/>
      <w:pPr>
        <w:ind w:left="2805" w:hanging="375"/>
      </w:pPr>
      <w:rPr>
        <w:rFonts w:hint="default"/>
        <w:lang w:val="en-US" w:eastAsia="en-US" w:bidi="en-US"/>
      </w:rPr>
    </w:lvl>
    <w:lvl w:ilvl="3">
      <w:numFmt w:val="bullet"/>
      <w:lvlText w:val="•"/>
      <w:lvlJc w:val="left"/>
      <w:pPr>
        <w:ind w:left="3697" w:hanging="375"/>
      </w:pPr>
      <w:rPr>
        <w:rFonts w:hint="default"/>
        <w:lang w:val="en-US" w:eastAsia="en-US" w:bidi="en-US"/>
      </w:rPr>
    </w:lvl>
    <w:lvl w:ilvl="4">
      <w:numFmt w:val="bullet"/>
      <w:lvlText w:val="•"/>
      <w:lvlJc w:val="left"/>
      <w:pPr>
        <w:ind w:left="4590" w:hanging="375"/>
      </w:pPr>
      <w:rPr>
        <w:rFonts w:hint="default"/>
        <w:lang w:val="en-US" w:eastAsia="en-US" w:bidi="en-US"/>
      </w:rPr>
    </w:lvl>
    <w:lvl w:ilvl="5">
      <w:numFmt w:val="bullet"/>
      <w:lvlText w:val="•"/>
      <w:lvlJc w:val="left"/>
      <w:pPr>
        <w:ind w:left="5483" w:hanging="375"/>
      </w:pPr>
      <w:rPr>
        <w:rFonts w:hint="default"/>
        <w:lang w:val="en-US" w:eastAsia="en-US" w:bidi="en-US"/>
      </w:rPr>
    </w:lvl>
    <w:lvl w:ilvl="6">
      <w:numFmt w:val="bullet"/>
      <w:lvlText w:val="•"/>
      <w:lvlJc w:val="left"/>
      <w:pPr>
        <w:ind w:left="6375" w:hanging="375"/>
      </w:pPr>
      <w:rPr>
        <w:rFonts w:hint="default"/>
        <w:lang w:val="en-US" w:eastAsia="en-US" w:bidi="en-US"/>
      </w:rPr>
    </w:lvl>
    <w:lvl w:ilvl="7">
      <w:numFmt w:val="bullet"/>
      <w:lvlText w:val="•"/>
      <w:lvlJc w:val="left"/>
      <w:pPr>
        <w:ind w:left="7268" w:hanging="375"/>
      </w:pPr>
      <w:rPr>
        <w:rFonts w:hint="default"/>
        <w:lang w:val="en-US" w:eastAsia="en-US" w:bidi="en-US"/>
      </w:rPr>
    </w:lvl>
    <w:lvl w:ilvl="8">
      <w:numFmt w:val="bullet"/>
      <w:lvlText w:val="•"/>
      <w:lvlJc w:val="left"/>
      <w:pPr>
        <w:ind w:left="8161" w:hanging="375"/>
      </w:pPr>
      <w:rPr>
        <w:rFonts w:hint="default"/>
        <w:lang w:val="en-US" w:eastAsia="en-US" w:bidi="en-US"/>
      </w:rPr>
    </w:lvl>
  </w:abstractNum>
  <w:abstractNum w:abstractNumId="25" w15:restartNumberingAfterBreak="0">
    <w:nsid w:val="76A30B37"/>
    <w:multiLevelType w:val="hybridMultilevel"/>
    <w:tmpl w:val="F00224BE"/>
    <w:lvl w:ilvl="0" w:tplc="FEDA8010">
      <w:numFmt w:val="bullet"/>
      <w:lvlText w:val=""/>
      <w:lvlJc w:val="left"/>
      <w:pPr>
        <w:ind w:left="467" w:hanging="360"/>
      </w:pPr>
      <w:rPr>
        <w:rFonts w:ascii="Symbol" w:eastAsia="Symbol" w:hAnsi="Symbol" w:cs="Symbol" w:hint="default"/>
        <w:w w:val="100"/>
        <w:sz w:val="22"/>
        <w:szCs w:val="22"/>
        <w:lang w:val="en-US" w:eastAsia="en-US" w:bidi="en-US"/>
      </w:rPr>
    </w:lvl>
    <w:lvl w:ilvl="1" w:tplc="5F907088">
      <w:numFmt w:val="bullet"/>
      <w:lvlText w:val="•"/>
      <w:lvlJc w:val="left"/>
      <w:pPr>
        <w:ind w:left="1117" w:hanging="360"/>
      </w:pPr>
      <w:rPr>
        <w:rFonts w:hint="default"/>
        <w:lang w:val="en-US" w:eastAsia="en-US" w:bidi="en-US"/>
      </w:rPr>
    </w:lvl>
    <w:lvl w:ilvl="2" w:tplc="B52862BE">
      <w:numFmt w:val="bullet"/>
      <w:lvlText w:val="•"/>
      <w:lvlJc w:val="left"/>
      <w:pPr>
        <w:ind w:left="1774" w:hanging="360"/>
      </w:pPr>
      <w:rPr>
        <w:rFonts w:hint="default"/>
        <w:lang w:val="en-US" w:eastAsia="en-US" w:bidi="en-US"/>
      </w:rPr>
    </w:lvl>
    <w:lvl w:ilvl="3" w:tplc="7466DDBE">
      <w:numFmt w:val="bullet"/>
      <w:lvlText w:val="•"/>
      <w:lvlJc w:val="left"/>
      <w:pPr>
        <w:ind w:left="2431" w:hanging="360"/>
      </w:pPr>
      <w:rPr>
        <w:rFonts w:hint="default"/>
        <w:lang w:val="en-US" w:eastAsia="en-US" w:bidi="en-US"/>
      </w:rPr>
    </w:lvl>
    <w:lvl w:ilvl="4" w:tplc="6BB8ECE0">
      <w:numFmt w:val="bullet"/>
      <w:lvlText w:val="•"/>
      <w:lvlJc w:val="left"/>
      <w:pPr>
        <w:ind w:left="3089" w:hanging="360"/>
      </w:pPr>
      <w:rPr>
        <w:rFonts w:hint="default"/>
        <w:lang w:val="en-US" w:eastAsia="en-US" w:bidi="en-US"/>
      </w:rPr>
    </w:lvl>
    <w:lvl w:ilvl="5" w:tplc="F5740036">
      <w:numFmt w:val="bullet"/>
      <w:lvlText w:val="•"/>
      <w:lvlJc w:val="left"/>
      <w:pPr>
        <w:ind w:left="3746" w:hanging="360"/>
      </w:pPr>
      <w:rPr>
        <w:rFonts w:hint="default"/>
        <w:lang w:val="en-US" w:eastAsia="en-US" w:bidi="en-US"/>
      </w:rPr>
    </w:lvl>
    <w:lvl w:ilvl="6" w:tplc="575E4946">
      <w:numFmt w:val="bullet"/>
      <w:lvlText w:val="•"/>
      <w:lvlJc w:val="left"/>
      <w:pPr>
        <w:ind w:left="4403" w:hanging="360"/>
      </w:pPr>
      <w:rPr>
        <w:rFonts w:hint="default"/>
        <w:lang w:val="en-US" w:eastAsia="en-US" w:bidi="en-US"/>
      </w:rPr>
    </w:lvl>
    <w:lvl w:ilvl="7" w:tplc="762CECD6">
      <w:numFmt w:val="bullet"/>
      <w:lvlText w:val="•"/>
      <w:lvlJc w:val="left"/>
      <w:pPr>
        <w:ind w:left="5061" w:hanging="360"/>
      </w:pPr>
      <w:rPr>
        <w:rFonts w:hint="default"/>
        <w:lang w:val="en-US" w:eastAsia="en-US" w:bidi="en-US"/>
      </w:rPr>
    </w:lvl>
    <w:lvl w:ilvl="8" w:tplc="8E2CA384">
      <w:numFmt w:val="bullet"/>
      <w:lvlText w:val="•"/>
      <w:lvlJc w:val="left"/>
      <w:pPr>
        <w:ind w:left="5718" w:hanging="360"/>
      </w:pPr>
      <w:rPr>
        <w:rFonts w:hint="default"/>
        <w:lang w:val="en-US" w:eastAsia="en-US" w:bidi="en-US"/>
      </w:rPr>
    </w:lvl>
  </w:abstractNum>
  <w:abstractNum w:abstractNumId="26" w15:restartNumberingAfterBreak="0">
    <w:nsid w:val="7941775A"/>
    <w:multiLevelType w:val="hybridMultilevel"/>
    <w:tmpl w:val="F184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D1127"/>
    <w:multiLevelType w:val="hybridMultilevel"/>
    <w:tmpl w:val="94201120"/>
    <w:lvl w:ilvl="0" w:tplc="6C78BBCC">
      <w:numFmt w:val="bullet"/>
      <w:lvlText w:val=""/>
      <w:lvlJc w:val="left"/>
      <w:pPr>
        <w:ind w:left="282" w:hanging="142"/>
      </w:pPr>
      <w:rPr>
        <w:rFonts w:ascii="Symbol" w:eastAsia="Symbol" w:hAnsi="Symbol" w:cs="Symbol" w:hint="default"/>
        <w:w w:val="100"/>
        <w:sz w:val="22"/>
        <w:szCs w:val="22"/>
        <w:lang w:val="en-US" w:eastAsia="en-US" w:bidi="en-US"/>
      </w:rPr>
    </w:lvl>
    <w:lvl w:ilvl="1" w:tplc="F5B8415A">
      <w:numFmt w:val="bullet"/>
      <w:lvlText w:val="•"/>
      <w:lvlJc w:val="left"/>
      <w:pPr>
        <w:ind w:left="599" w:hanging="142"/>
      </w:pPr>
      <w:rPr>
        <w:rFonts w:hint="default"/>
        <w:lang w:val="en-US" w:eastAsia="en-US" w:bidi="en-US"/>
      </w:rPr>
    </w:lvl>
    <w:lvl w:ilvl="2" w:tplc="7540773A">
      <w:numFmt w:val="bullet"/>
      <w:lvlText w:val="•"/>
      <w:lvlJc w:val="left"/>
      <w:pPr>
        <w:ind w:left="918" w:hanging="142"/>
      </w:pPr>
      <w:rPr>
        <w:rFonts w:hint="default"/>
        <w:lang w:val="en-US" w:eastAsia="en-US" w:bidi="en-US"/>
      </w:rPr>
    </w:lvl>
    <w:lvl w:ilvl="3" w:tplc="83BC2A28">
      <w:numFmt w:val="bullet"/>
      <w:lvlText w:val="•"/>
      <w:lvlJc w:val="left"/>
      <w:pPr>
        <w:ind w:left="1237" w:hanging="142"/>
      </w:pPr>
      <w:rPr>
        <w:rFonts w:hint="default"/>
        <w:lang w:val="en-US" w:eastAsia="en-US" w:bidi="en-US"/>
      </w:rPr>
    </w:lvl>
    <w:lvl w:ilvl="4" w:tplc="C624EA06">
      <w:numFmt w:val="bullet"/>
      <w:lvlText w:val="•"/>
      <w:lvlJc w:val="left"/>
      <w:pPr>
        <w:ind w:left="1557" w:hanging="142"/>
      </w:pPr>
      <w:rPr>
        <w:rFonts w:hint="default"/>
        <w:lang w:val="en-US" w:eastAsia="en-US" w:bidi="en-US"/>
      </w:rPr>
    </w:lvl>
    <w:lvl w:ilvl="5" w:tplc="8FD08DE2">
      <w:numFmt w:val="bullet"/>
      <w:lvlText w:val="•"/>
      <w:lvlJc w:val="left"/>
      <w:pPr>
        <w:ind w:left="1876" w:hanging="142"/>
      </w:pPr>
      <w:rPr>
        <w:rFonts w:hint="default"/>
        <w:lang w:val="en-US" w:eastAsia="en-US" w:bidi="en-US"/>
      </w:rPr>
    </w:lvl>
    <w:lvl w:ilvl="6" w:tplc="B986B846">
      <w:numFmt w:val="bullet"/>
      <w:lvlText w:val="•"/>
      <w:lvlJc w:val="left"/>
      <w:pPr>
        <w:ind w:left="2195" w:hanging="142"/>
      </w:pPr>
      <w:rPr>
        <w:rFonts w:hint="default"/>
        <w:lang w:val="en-US" w:eastAsia="en-US" w:bidi="en-US"/>
      </w:rPr>
    </w:lvl>
    <w:lvl w:ilvl="7" w:tplc="C848FAA6">
      <w:numFmt w:val="bullet"/>
      <w:lvlText w:val="•"/>
      <w:lvlJc w:val="left"/>
      <w:pPr>
        <w:ind w:left="2515" w:hanging="142"/>
      </w:pPr>
      <w:rPr>
        <w:rFonts w:hint="default"/>
        <w:lang w:val="en-US" w:eastAsia="en-US" w:bidi="en-US"/>
      </w:rPr>
    </w:lvl>
    <w:lvl w:ilvl="8" w:tplc="5EEAAE56">
      <w:numFmt w:val="bullet"/>
      <w:lvlText w:val="•"/>
      <w:lvlJc w:val="left"/>
      <w:pPr>
        <w:ind w:left="2834" w:hanging="142"/>
      </w:pPr>
      <w:rPr>
        <w:rFonts w:hint="default"/>
        <w:lang w:val="en-US" w:eastAsia="en-US" w:bidi="en-US"/>
      </w:rPr>
    </w:lvl>
  </w:abstractNum>
  <w:abstractNum w:abstractNumId="28" w15:restartNumberingAfterBreak="0">
    <w:nsid w:val="7DBD1DF0"/>
    <w:multiLevelType w:val="hybridMultilevel"/>
    <w:tmpl w:val="59744F42"/>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9" w15:restartNumberingAfterBreak="0">
    <w:nsid w:val="7E79341A"/>
    <w:multiLevelType w:val="hybridMultilevel"/>
    <w:tmpl w:val="F398AB8C"/>
    <w:lvl w:ilvl="0" w:tplc="97EE31F4">
      <w:numFmt w:val="bullet"/>
      <w:lvlText w:val=""/>
      <w:lvlJc w:val="left"/>
      <w:pPr>
        <w:ind w:left="467" w:hanging="360"/>
      </w:pPr>
      <w:rPr>
        <w:rFonts w:ascii="Symbol" w:eastAsia="Symbol" w:hAnsi="Symbol" w:cs="Symbol" w:hint="default"/>
        <w:w w:val="100"/>
        <w:sz w:val="22"/>
        <w:szCs w:val="22"/>
        <w:lang w:val="en-US" w:eastAsia="en-US" w:bidi="en-US"/>
      </w:rPr>
    </w:lvl>
    <w:lvl w:ilvl="1" w:tplc="E6A4D57C">
      <w:numFmt w:val="bullet"/>
      <w:lvlText w:val="•"/>
      <w:lvlJc w:val="left"/>
      <w:pPr>
        <w:ind w:left="1117" w:hanging="360"/>
      </w:pPr>
      <w:rPr>
        <w:rFonts w:hint="default"/>
        <w:lang w:val="en-US" w:eastAsia="en-US" w:bidi="en-US"/>
      </w:rPr>
    </w:lvl>
    <w:lvl w:ilvl="2" w:tplc="7898C0B4">
      <w:numFmt w:val="bullet"/>
      <w:lvlText w:val="•"/>
      <w:lvlJc w:val="left"/>
      <w:pPr>
        <w:ind w:left="1774" w:hanging="360"/>
      </w:pPr>
      <w:rPr>
        <w:rFonts w:hint="default"/>
        <w:lang w:val="en-US" w:eastAsia="en-US" w:bidi="en-US"/>
      </w:rPr>
    </w:lvl>
    <w:lvl w:ilvl="3" w:tplc="5120C24E">
      <w:numFmt w:val="bullet"/>
      <w:lvlText w:val="•"/>
      <w:lvlJc w:val="left"/>
      <w:pPr>
        <w:ind w:left="2431" w:hanging="360"/>
      </w:pPr>
      <w:rPr>
        <w:rFonts w:hint="default"/>
        <w:lang w:val="en-US" w:eastAsia="en-US" w:bidi="en-US"/>
      </w:rPr>
    </w:lvl>
    <w:lvl w:ilvl="4" w:tplc="BDF63DD0">
      <w:numFmt w:val="bullet"/>
      <w:lvlText w:val="•"/>
      <w:lvlJc w:val="left"/>
      <w:pPr>
        <w:ind w:left="3089" w:hanging="360"/>
      </w:pPr>
      <w:rPr>
        <w:rFonts w:hint="default"/>
        <w:lang w:val="en-US" w:eastAsia="en-US" w:bidi="en-US"/>
      </w:rPr>
    </w:lvl>
    <w:lvl w:ilvl="5" w:tplc="C90C67D0">
      <w:numFmt w:val="bullet"/>
      <w:lvlText w:val="•"/>
      <w:lvlJc w:val="left"/>
      <w:pPr>
        <w:ind w:left="3746" w:hanging="360"/>
      </w:pPr>
      <w:rPr>
        <w:rFonts w:hint="default"/>
        <w:lang w:val="en-US" w:eastAsia="en-US" w:bidi="en-US"/>
      </w:rPr>
    </w:lvl>
    <w:lvl w:ilvl="6" w:tplc="22CC3D10">
      <w:numFmt w:val="bullet"/>
      <w:lvlText w:val="•"/>
      <w:lvlJc w:val="left"/>
      <w:pPr>
        <w:ind w:left="4403" w:hanging="360"/>
      </w:pPr>
      <w:rPr>
        <w:rFonts w:hint="default"/>
        <w:lang w:val="en-US" w:eastAsia="en-US" w:bidi="en-US"/>
      </w:rPr>
    </w:lvl>
    <w:lvl w:ilvl="7" w:tplc="E4648F46">
      <w:numFmt w:val="bullet"/>
      <w:lvlText w:val="•"/>
      <w:lvlJc w:val="left"/>
      <w:pPr>
        <w:ind w:left="5061" w:hanging="360"/>
      </w:pPr>
      <w:rPr>
        <w:rFonts w:hint="default"/>
        <w:lang w:val="en-US" w:eastAsia="en-US" w:bidi="en-US"/>
      </w:rPr>
    </w:lvl>
    <w:lvl w:ilvl="8" w:tplc="E002623E">
      <w:numFmt w:val="bullet"/>
      <w:lvlText w:val="•"/>
      <w:lvlJc w:val="left"/>
      <w:pPr>
        <w:ind w:left="5718" w:hanging="360"/>
      </w:pPr>
      <w:rPr>
        <w:rFonts w:hint="default"/>
        <w:lang w:val="en-US" w:eastAsia="en-US" w:bidi="en-US"/>
      </w:rPr>
    </w:lvl>
  </w:abstractNum>
  <w:num w:numId="1" w16cid:durableId="1517382490">
    <w:abstractNumId w:val="15"/>
  </w:num>
  <w:num w:numId="2" w16cid:durableId="1826313013">
    <w:abstractNumId w:val="20"/>
  </w:num>
  <w:num w:numId="3" w16cid:durableId="215822202">
    <w:abstractNumId w:val="19"/>
  </w:num>
  <w:num w:numId="4" w16cid:durableId="1757165112">
    <w:abstractNumId w:val="0"/>
  </w:num>
  <w:num w:numId="5" w16cid:durableId="258416973">
    <w:abstractNumId w:val="27"/>
  </w:num>
  <w:num w:numId="6" w16cid:durableId="576940695">
    <w:abstractNumId w:val="6"/>
  </w:num>
  <w:num w:numId="7" w16cid:durableId="1407992443">
    <w:abstractNumId w:val="9"/>
  </w:num>
  <w:num w:numId="8" w16cid:durableId="544874262">
    <w:abstractNumId w:val="18"/>
  </w:num>
  <w:num w:numId="9" w16cid:durableId="1358770563">
    <w:abstractNumId w:val="22"/>
  </w:num>
  <w:num w:numId="10" w16cid:durableId="1478451701">
    <w:abstractNumId w:val="29"/>
  </w:num>
  <w:num w:numId="11" w16cid:durableId="1111433186">
    <w:abstractNumId w:val="5"/>
  </w:num>
  <w:num w:numId="12" w16cid:durableId="1554271804">
    <w:abstractNumId w:val="1"/>
  </w:num>
  <w:num w:numId="13" w16cid:durableId="257250392">
    <w:abstractNumId w:val="7"/>
  </w:num>
  <w:num w:numId="14" w16cid:durableId="548954324">
    <w:abstractNumId w:val="25"/>
  </w:num>
  <w:num w:numId="15" w16cid:durableId="719285157">
    <w:abstractNumId w:val="16"/>
  </w:num>
  <w:num w:numId="16" w16cid:durableId="2097051227">
    <w:abstractNumId w:val="3"/>
  </w:num>
  <w:num w:numId="17" w16cid:durableId="890582353">
    <w:abstractNumId w:val="17"/>
  </w:num>
  <w:num w:numId="18" w16cid:durableId="1530141768">
    <w:abstractNumId w:val="21"/>
  </w:num>
  <w:num w:numId="19" w16cid:durableId="1004161147">
    <w:abstractNumId w:val="23"/>
  </w:num>
  <w:num w:numId="20" w16cid:durableId="79524878">
    <w:abstractNumId w:val="12"/>
  </w:num>
  <w:num w:numId="21" w16cid:durableId="1674339425">
    <w:abstractNumId w:val="13"/>
  </w:num>
  <w:num w:numId="22" w16cid:durableId="1709376969">
    <w:abstractNumId w:val="2"/>
  </w:num>
  <w:num w:numId="23" w16cid:durableId="825323347">
    <w:abstractNumId w:val="28"/>
  </w:num>
  <w:num w:numId="24" w16cid:durableId="463885188">
    <w:abstractNumId w:val="10"/>
  </w:num>
  <w:num w:numId="25" w16cid:durableId="1734083353">
    <w:abstractNumId w:val="11"/>
  </w:num>
  <w:num w:numId="26" w16cid:durableId="1585531740">
    <w:abstractNumId w:val="8"/>
  </w:num>
  <w:num w:numId="27" w16cid:durableId="1707830896">
    <w:abstractNumId w:val="24"/>
  </w:num>
  <w:num w:numId="28" w16cid:durableId="2124962049">
    <w:abstractNumId w:val="4"/>
  </w:num>
  <w:num w:numId="29" w16cid:durableId="1174145432">
    <w:abstractNumId w:val="14"/>
  </w:num>
  <w:num w:numId="30" w16cid:durableId="9163267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39"/>
    <w:rsid w:val="000002CF"/>
    <w:rsid w:val="00001146"/>
    <w:rsid w:val="000017DD"/>
    <w:rsid w:val="00003197"/>
    <w:rsid w:val="000076B7"/>
    <w:rsid w:val="00010202"/>
    <w:rsid w:val="000102ED"/>
    <w:rsid w:val="0001288A"/>
    <w:rsid w:val="000161BB"/>
    <w:rsid w:val="00021131"/>
    <w:rsid w:val="00022310"/>
    <w:rsid w:val="00025C45"/>
    <w:rsid w:val="00027037"/>
    <w:rsid w:val="00027F32"/>
    <w:rsid w:val="00033B22"/>
    <w:rsid w:val="000410B5"/>
    <w:rsid w:val="00041F08"/>
    <w:rsid w:val="000443E7"/>
    <w:rsid w:val="00045FCF"/>
    <w:rsid w:val="00050C33"/>
    <w:rsid w:val="00054372"/>
    <w:rsid w:val="0005455A"/>
    <w:rsid w:val="00055397"/>
    <w:rsid w:val="000559B7"/>
    <w:rsid w:val="000614BF"/>
    <w:rsid w:val="00062F36"/>
    <w:rsid w:val="00067933"/>
    <w:rsid w:val="00067A9E"/>
    <w:rsid w:val="0007070B"/>
    <w:rsid w:val="00074471"/>
    <w:rsid w:val="00074692"/>
    <w:rsid w:val="00083AF0"/>
    <w:rsid w:val="0008437A"/>
    <w:rsid w:val="00092BF1"/>
    <w:rsid w:val="00093D61"/>
    <w:rsid w:val="00095067"/>
    <w:rsid w:val="00096BBA"/>
    <w:rsid w:val="000A6B94"/>
    <w:rsid w:val="000A7127"/>
    <w:rsid w:val="000B0411"/>
    <w:rsid w:val="000B1CB0"/>
    <w:rsid w:val="000B2D00"/>
    <w:rsid w:val="000B78AE"/>
    <w:rsid w:val="000C0CF3"/>
    <w:rsid w:val="000C2958"/>
    <w:rsid w:val="000C49DA"/>
    <w:rsid w:val="000C4CE3"/>
    <w:rsid w:val="000C5E62"/>
    <w:rsid w:val="000D076D"/>
    <w:rsid w:val="000E1777"/>
    <w:rsid w:val="000E4AF5"/>
    <w:rsid w:val="000F4B21"/>
    <w:rsid w:val="000F4B8E"/>
    <w:rsid w:val="000F4D42"/>
    <w:rsid w:val="000F537B"/>
    <w:rsid w:val="000F672C"/>
    <w:rsid w:val="00102062"/>
    <w:rsid w:val="0010317A"/>
    <w:rsid w:val="00106542"/>
    <w:rsid w:val="00107DD9"/>
    <w:rsid w:val="00114B2E"/>
    <w:rsid w:val="00115665"/>
    <w:rsid w:val="00120DA5"/>
    <w:rsid w:val="00122579"/>
    <w:rsid w:val="00122660"/>
    <w:rsid w:val="001228A5"/>
    <w:rsid w:val="00122AD9"/>
    <w:rsid w:val="00130EAA"/>
    <w:rsid w:val="00132E7A"/>
    <w:rsid w:val="0013545C"/>
    <w:rsid w:val="00137670"/>
    <w:rsid w:val="00141A72"/>
    <w:rsid w:val="001450DD"/>
    <w:rsid w:val="00155666"/>
    <w:rsid w:val="001556F6"/>
    <w:rsid w:val="00156C01"/>
    <w:rsid w:val="0016233C"/>
    <w:rsid w:val="00162513"/>
    <w:rsid w:val="0016253C"/>
    <w:rsid w:val="0016596E"/>
    <w:rsid w:val="001667D4"/>
    <w:rsid w:val="00167985"/>
    <w:rsid w:val="001707BF"/>
    <w:rsid w:val="00175314"/>
    <w:rsid w:val="0017738E"/>
    <w:rsid w:val="00180C32"/>
    <w:rsid w:val="00184EDA"/>
    <w:rsid w:val="00187CCB"/>
    <w:rsid w:val="00191F0B"/>
    <w:rsid w:val="00193C95"/>
    <w:rsid w:val="0019476C"/>
    <w:rsid w:val="00194F0D"/>
    <w:rsid w:val="00195AE4"/>
    <w:rsid w:val="001A0E14"/>
    <w:rsid w:val="001A0FAD"/>
    <w:rsid w:val="001A2990"/>
    <w:rsid w:val="001A3252"/>
    <w:rsid w:val="001B2329"/>
    <w:rsid w:val="001C0F80"/>
    <w:rsid w:val="001C5338"/>
    <w:rsid w:val="001D30D0"/>
    <w:rsid w:val="001D3715"/>
    <w:rsid w:val="001D4CFD"/>
    <w:rsid w:val="001D6908"/>
    <w:rsid w:val="001E50A9"/>
    <w:rsid w:val="001F6E77"/>
    <w:rsid w:val="0020131E"/>
    <w:rsid w:val="0020216A"/>
    <w:rsid w:val="00212523"/>
    <w:rsid w:val="0021632A"/>
    <w:rsid w:val="00220AE6"/>
    <w:rsid w:val="00220F7D"/>
    <w:rsid w:val="002213D9"/>
    <w:rsid w:val="00222EC4"/>
    <w:rsid w:val="002266E2"/>
    <w:rsid w:val="00230F85"/>
    <w:rsid w:val="002338C1"/>
    <w:rsid w:val="00233F80"/>
    <w:rsid w:val="002401E5"/>
    <w:rsid w:val="0024384D"/>
    <w:rsid w:val="00243B8C"/>
    <w:rsid w:val="002447B2"/>
    <w:rsid w:val="002453AF"/>
    <w:rsid w:val="00250FA5"/>
    <w:rsid w:val="002577DA"/>
    <w:rsid w:val="00257828"/>
    <w:rsid w:val="00265553"/>
    <w:rsid w:val="00267BCB"/>
    <w:rsid w:val="00271647"/>
    <w:rsid w:val="002727B8"/>
    <w:rsid w:val="00277FB9"/>
    <w:rsid w:val="002817DD"/>
    <w:rsid w:val="00281BBD"/>
    <w:rsid w:val="0028246B"/>
    <w:rsid w:val="00283712"/>
    <w:rsid w:val="0028794F"/>
    <w:rsid w:val="00291FD0"/>
    <w:rsid w:val="00293B24"/>
    <w:rsid w:val="00295C4B"/>
    <w:rsid w:val="00295D0A"/>
    <w:rsid w:val="002A4F88"/>
    <w:rsid w:val="002B0E88"/>
    <w:rsid w:val="002B12DF"/>
    <w:rsid w:val="002B133A"/>
    <w:rsid w:val="002B52B6"/>
    <w:rsid w:val="002B6261"/>
    <w:rsid w:val="002C056C"/>
    <w:rsid w:val="002C1631"/>
    <w:rsid w:val="002C322C"/>
    <w:rsid w:val="002C37CA"/>
    <w:rsid w:val="002C4293"/>
    <w:rsid w:val="002C526D"/>
    <w:rsid w:val="002D6F47"/>
    <w:rsid w:val="002D725F"/>
    <w:rsid w:val="002E0C64"/>
    <w:rsid w:val="002E183D"/>
    <w:rsid w:val="002F3751"/>
    <w:rsid w:val="002F3ADE"/>
    <w:rsid w:val="002F6BDF"/>
    <w:rsid w:val="002F70D1"/>
    <w:rsid w:val="00305638"/>
    <w:rsid w:val="0032240D"/>
    <w:rsid w:val="00324F5E"/>
    <w:rsid w:val="003302A9"/>
    <w:rsid w:val="003312EE"/>
    <w:rsid w:val="00333A5A"/>
    <w:rsid w:val="00341E8E"/>
    <w:rsid w:val="00342277"/>
    <w:rsid w:val="00351D1E"/>
    <w:rsid w:val="0035214F"/>
    <w:rsid w:val="00352841"/>
    <w:rsid w:val="00352E2D"/>
    <w:rsid w:val="0035685D"/>
    <w:rsid w:val="00357FC9"/>
    <w:rsid w:val="003662FD"/>
    <w:rsid w:val="00372D1B"/>
    <w:rsid w:val="003772A1"/>
    <w:rsid w:val="003775E9"/>
    <w:rsid w:val="003807D8"/>
    <w:rsid w:val="00384598"/>
    <w:rsid w:val="00385FE0"/>
    <w:rsid w:val="00386886"/>
    <w:rsid w:val="00396547"/>
    <w:rsid w:val="00396A47"/>
    <w:rsid w:val="003A14A5"/>
    <w:rsid w:val="003A4294"/>
    <w:rsid w:val="003A7021"/>
    <w:rsid w:val="003B0BE4"/>
    <w:rsid w:val="003B1AFE"/>
    <w:rsid w:val="003B28B4"/>
    <w:rsid w:val="003B3F69"/>
    <w:rsid w:val="003C4C42"/>
    <w:rsid w:val="003C51A0"/>
    <w:rsid w:val="003D2A84"/>
    <w:rsid w:val="003D503F"/>
    <w:rsid w:val="003D5E12"/>
    <w:rsid w:val="003E183D"/>
    <w:rsid w:val="003E3A42"/>
    <w:rsid w:val="003E6193"/>
    <w:rsid w:val="003E6FE2"/>
    <w:rsid w:val="003F1047"/>
    <w:rsid w:val="003F3F9C"/>
    <w:rsid w:val="003F5CD8"/>
    <w:rsid w:val="00400B68"/>
    <w:rsid w:val="00406DFF"/>
    <w:rsid w:val="00407425"/>
    <w:rsid w:val="00411AAF"/>
    <w:rsid w:val="00414CB1"/>
    <w:rsid w:val="004165C6"/>
    <w:rsid w:val="0041768D"/>
    <w:rsid w:val="004223EC"/>
    <w:rsid w:val="0042678C"/>
    <w:rsid w:val="00431D2E"/>
    <w:rsid w:val="004344DD"/>
    <w:rsid w:val="00436985"/>
    <w:rsid w:val="0044027B"/>
    <w:rsid w:val="004511DB"/>
    <w:rsid w:val="00453680"/>
    <w:rsid w:val="00456AA1"/>
    <w:rsid w:val="00457B7A"/>
    <w:rsid w:val="00461AF5"/>
    <w:rsid w:val="0046210B"/>
    <w:rsid w:val="00474239"/>
    <w:rsid w:val="00477380"/>
    <w:rsid w:val="00483CDF"/>
    <w:rsid w:val="00490350"/>
    <w:rsid w:val="00492DFF"/>
    <w:rsid w:val="004A27F9"/>
    <w:rsid w:val="004A4602"/>
    <w:rsid w:val="004A4D72"/>
    <w:rsid w:val="004A59C1"/>
    <w:rsid w:val="004B1126"/>
    <w:rsid w:val="004B2C2C"/>
    <w:rsid w:val="004B4134"/>
    <w:rsid w:val="004B5FC6"/>
    <w:rsid w:val="004B6A05"/>
    <w:rsid w:val="004B7C4F"/>
    <w:rsid w:val="004C47E6"/>
    <w:rsid w:val="004C635D"/>
    <w:rsid w:val="004C70BB"/>
    <w:rsid w:val="004D285F"/>
    <w:rsid w:val="004D2C77"/>
    <w:rsid w:val="004D4AE9"/>
    <w:rsid w:val="004D66EC"/>
    <w:rsid w:val="004E226F"/>
    <w:rsid w:val="004E22F2"/>
    <w:rsid w:val="004F0691"/>
    <w:rsid w:val="004F47A4"/>
    <w:rsid w:val="005130F0"/>
    <w:rsid w:val="00513F84"/>
    <w:rsid w:val="00514BCD"/>
    <w:rsid w:val="00515C7F"/>
    <w:rsid w:val="005216D4"/>
    <w:rsid w:val="00521720"/>
    <w:rsid w:val="00521D7D"/>
    <w:rsid w:val="005401E8"/>
    <w:rsid w:val="00545336"/>
    <w:rsid w:val="005456DA"/>
    <w:rsid w:val="00550446"/>
    <w:rsid w:val="005544C7"/>
    <w:rsid w:val="005558E6"/>
    <w:rsid w:val="0055697C"/>
    <w:rsid w:val="00561057"/>
    <w:rsid w:val="00566B39"/>
    <w:rsid w:val="00574D4D"/>
    <w:rsid w:val="00582806"/>
    <w:rsid w:val="00584E84"/>
    <w:rsid w:val="0059200F"/>
    <w:rsid w:val="005959CA"/>
    <w:rsid w:val="005A29AC"/>
    <w:rsid w:val="005A7342"/>
    <w:rsid w:val="005B6264"/>
    <w:rsid w:val="005B765F"/>
    <w:rsid w:val="005C006F"/>
    <w:rsid w:val="005C11F0"/>
    <w:rsid w:val="005C2001"/>
    <w:rsid w:val="005C26C9"/>
    <w:rsid w:val="005C561F"/>
    <w:rsid w:val="005D2CE0"/>
    <w:rsid w:val="005E3B06"/>
    <w:rsid w:val="005E49AB"/>
    <w:rsid w:val="005F176C"/>
    <w:rsid w:val="005F2731"/>
    <w:rsid w:val="0060479C"/>
    <w:rsid w:val="00606614"/>
    <w:rsid w:val="006147A2"/>
    <w:rsid w:val="00617130"/>
    <w:rsid w:val="0062267C"/>
    <w:rsid w:val="00624B94"/>
    <w:rsid w:val="00626F21"/>
    <w:rsid w:val="00634432"/>
    <w:rsid w:val="006347DE"/>
    <w:rsid w:val="00636D07"/>
    <w:rsid w:val="006415A5"/>
    <w:rsid w:val="00641639"/>
    <w:rsid w:val="00643918"/>
    <w:rsid w:val="00650319"/>
    <w:rsid w:val="0065093B"/>
    <w:rsid w:val="00655647"/>
    <w:rsid w:val="00665B16"/>
    <w:rsid w:val="00673D55"/>
    <w:rsid w:val="00675F51"/>
    <w:rsid w:val="00686DE4"/>
    <w:rsid w:val="00687011"/>
    <w:rsid w:val="00691C49"/>
    <w:rsid w:val="006932F1"/>
    <w:rsid w:val="00693E1F"/>
    <w:rsid w:val="00696890"/>
    <w:rsid w:val="00696B13"/>
    <w:rsid w:val="00697B15"/>
    <w:rsid w:val="00697CE4"/>
    <w:rsid w:val="006A1BB4"/>
    <w:rsid w:val="006A2A45"/>
    <w:rsid w:val="006A36AD"/>
    <w:rsid w:val="006B1CA1"/>
    <w:rsid w:val="006B42C9"/>
    <w:rsid w:val="006B466F"/>
    <w:rsid w:val="006B5548"/>
    <w:rsid w:val="006B7E22"/>
    <w:rsid w:val="006C10D4"/>
    <w:rsid w:val="006C4E91"/>
    <w:rsid w:val="006D41A9"/>
    <w:rsid w:val="006D5222"/>
    <w:rsid w:val="006D5B00"/>
    <w:rsid w:val="006E0247"/>
    <w:rsid w:val="006E4085"/>
    <w:rsid w:val="006E568F"/>
    <w:rsid w:val="00706D7C"/>
    <w:rsid w:val="00720794"/>
    <w:rsid w:val="00720C20"/>
    <w:rsid w:val="007211BE"/>
    <w:rsid w:val="00721D3A"/>
    <w:rsid w:val="0072299D"/>
    <w:rsid w:val="00723BB5"/>
    <w:rsid w:val="0074492D"/>
    <w:rsid w:val="00747432"/>
    <w:rsid w:val="00751B60"/>
    <w:rsid w:val="0075546A"/>
    <w:rsid w:val="00756587"/>
    <w:rsid w:val="007565E4"/>
    <w:rsid w:val="00756B07"/>
    <w:rsid w:val="0075751A"/>
    <w:rsid w:val="00760896"/>
    <w:rsid w:val="0077237E"/>
    <w:rsid w:val="00775C53"/>
    <w:rsid w:val="007829A4"/>
    <w:rsid w:val="00784DF3"/>
    <w:rsid w:val="00791830"/>
    <w:rsid w:val="0079230F"/>
    <w:rsid w:val="00793E0B"/>
    <w:rsid w:val="007A0494"/>
    <w:rsid w:val="007A1595"/>
    <w:rsid w:val="007A47D5"/>
    <w:rsid w:val="007B1CC8"/>
    <w:rsid w:val="007B2A9A"/>
    <w:rsid w:val="007B6ABD"/>
    <w:rsid w:val="007B7B76"/>
    <w:rsid w:val="007C2388"/>
    <w:rsid w:val="007C2DAD"/>
    <w:rsid w:val="007C61CF"/>
    <w:rsid w:val="007D1939"/>
    <w:rsid w:val="007D2DA7"/>
    <w:rsid w:val="007D4069"/>
    <w:rsid w:val="007E4C16"/>
    <w:rsid w:val="007E5671"/>
    <w:rsid w:val="007E5CED"/>
    <w:rsid w:val="007E68F4"/>
    <w:rsid w:val="007F0D32"/>
    <w:rsid w:val="007F1CC6"/>
    <w:rsid w:val="007F31FA"/>
    <w:rsid w:val="007F5AB1"/>
    <w:rsid w:val="00800745"/>
    <w:rsid w:val="008057D5"/>
    <w:rsid w:val="00806984"/>
    <w:rsid w:val="00811623"/>
    <w:rsid w:val="00812B87"/>
    <w:rsid w:val="0081540D"/>
    <w:rsid w:val="00815585"/>
    <w:rsid w:val="00821064"/>
    <w:rsid w:val="00821A43"/>
    <w:rsid w:val="0082452B"/>
    <w:rsid w:val="00824E8D"/>
    <w:rsid w:val="00827ACC"/>
    <w:rsid w:val="00832DA2"/>
    <w:rsid w:val="00840912"/>
    <w:rsid w:val="00843BE0"/>
    <w:rsid w:val="00844FC3"/>
    <w:rsid w:val="008455E8"/>
    <w:rsid w:val="00847994"/>
    <w:rsid w:val="0086164E"/>
    <w:rsid w:val="008654E6"/>
    <w:rsid w:val="00866800"/>
    <w:rsid w:val="0086790A"/>
    <w:rsid w:val="00871871"/>
    <w:rsid w:val="00871F88"/>
    <w:rsid w:val="00872533"/>
    <w:rsid w:val="00880C31"/>
    <w:rsid w:val="00885A27"/>
    <w:rsid w:val="0089617F"/>
    <w:rsid w:val="008A2C43"/>
    <w:rsid w:val="008A3142"/>
    <w:rsid w:val="008A3BF1"/>
    <w:rsid w:val="008A57BD"/>
    <w:rsid w:val="008A7EDE"/>
    <w:rsid w:val="008B347E"/>
    <w:rsid w:val="008B3E21"/>
    <w:rsid w:val="008C4C9E"/>
    <w:rsid w:val="008D22F9"/>
    <w:rsid w:val="008D7C63"/>
    <w:rsid w:val="008E2BFE"/>
    <w:rsid w:val="008E2E86"/>
    <w:rsid w:val="008E346F"/>
    <w:rsid w:val="008F0055"/>
    <w:rsid w:val="008F0FF6"/>
    <w:rsid w:val="008F2C98"/>
    <w:rsid w:val="008F463E"/>
    <w:rsid w:val="008F57AF"/>
    <w:rsid w:val="008F6812"/>
    <w:rsid w:val="00901D78"/>
    <w:rsid w:val="00907718"/>
    <w:rsid w:val="0091081A"/>
    <w:rsid w:val="009132CF"/>
    <w:rsid w:val="00914007"/>
    <w:rsid w:val="00916C89"/>
    <w:rsid w:val="009172F1"/>
    <w:rsid w:val="00917365"/>
    <w:rsid w:val="00920F53"/>
    <w:rsid w:val="0092294E"/>
    <w:rsid w:val="0092662C"/>
    <w:rsid w:val="009360C4"/>
    <w:rsid w:val="009370F0"/>
    <w:rsid w:val="009373B7"/>
    <w:rsid w:val="00940183"/>
    <w:rsid w:val="0094141A"/>
    <w:rsid w:val="0094312B"/>
    <w:rsid w:val="009441BB"/>
    <w:rsid w:val="00944819"/>
    <w:rsid w:val="009505C3"/>
    <w:rsid w:val="00950B47"/>
    <w:rsid w:val="00953B5B"/>
    <w:rsid w:val="00955E3E"/>
    <w:rsid w:val="009618E5"/>
    <w:rsid w:val="00964FC8"/>
    <w:rsid w:val="00966F83"/>
    <w:rsid w:val="00972377"/>
    <w:rsid w:val="00972B3A"/>
    <w:rsid w:val="00974123"/>
    <w:rsid w:val="009765CD"/>
    <w:rsid w:val="0098233A"/>
    <w:rsid w:val="00983380"/>
    <w:rsid w:val="00987066"/>
    <w:rsid w:val="009A0A6B"/>
    <w:rsid w:val="009A0AF5"/>
    <w:rsid w:val="009A1EEC"/>
    <w:rsid w:val="009A305F"/>
    <w:rsid w:val="009A538D"/>
    <w:rsid w:val="009A5868"/>
    <w:rsid w:val="009A6110"/>
    <w:rsid w:val="009B1067"/>
    <w:rsid w:val="009B1A6D"/>
    <w:rsid w:val="009B38D6"/>
    <w:rsid w:val="009B48B1"/>
    <w:rsid w:val="009B4EF1"/>
    <w:rsid w:val="009C30E9"/>
    <w:rsid w:val="009D0CD2"/>
    <w:rsid w:val="009D7CFC"/>
    <w:rsid w:val="009E0891"/>
    <w:rsid w:val="009E2C33"/>
    <w:rsid w:val="009E7B35"/>
    <w:rsid w:val="009F006F"/>
    <w:rsid w:val="009F212A"/>
    <w:rsid w:val="009F2A49"/>
    <w:rsid w:val="009F2D5A"/>
    <w:rsid w:val="009F4920"/>
    <w:rsid w:val="009F5577"/>
    <w:rsid w:val="009F569B"/>
    <w:rsid w:val="00A006F3"/>
    <w:rsid w:val="00A023D1"/>
    <w:rsid w:val="00A03A73"/>
    <w:rsid w:val="00A03EB1"/>
    <w:rsid w:val="00A06F79"/>
    <w:rsid w:val="00A14385"/>
    <w:rsid w:val="00A1526A"/>
    <w:rsid w:val="00A16065"/>
    <w:rsid w:val="00A222ED"/>
    <w:rsid w:val="00A22371"/>
    <w:rsid w:val="00A2471D"/>
    <w:rsid w:val="00A24AFC"/>
    <w:rsid w:val="00A34C16"/>
    <w:rsid w:val="00A3780C"/>
    <w:rsid w:val="00A4240B"/>
    <w:rsid w:val="00A4381A"/>
    <w:rsid w:val="00A47FD6"/>
    <w:rsid w:val="00A50F92"/>
    <w:rsid w:val="00A547A2"/>
    <w:rsid w:val="00A55CD3"/>
    <w:rsid w:val="00A56EC3"/>
    <w:rsid w:val="00A60C68"/>
    <w:rsid w:val="00A6430D"/>
    <w:rsid w:val="00A70FBD"/>
    <w:rsid w:val="00A71719"/>
    <w:rsid w:val="00A80D98"/>
    <w:rsid w:val="00A84046"/>
    <w:rsid w:val="00A85C15"/>
    <w:rsid w:val="00A85C6C"/>
    <w:rsid w:val="00A85D56"/>
    <w:rsid w:val="00A92871"/>
    <w:rsid w:val="00A92942"/>
    <w:rsid w:val="00A92A97"/>
    <w:rsid w:val="00A945EF"/>
    <w:rsid w:val="00A96F0F"/>
    <w:rsid w:val="00AA0D39"/>
    <w:rsid w:val="00AA18EA"/>
    <w:rsid w:val="00AA6530"/>
    <w:rsid w:val="00AB166D"/>
    <w:rsid w:val="00AB54F7"/>
    <w:rsid w:val="00AB661E"/>
    <w:rsid w:val="00AB6D43"/>
    <w:rsid w:val="00AC3C23"/>
    <w:rsid w:val="00AC5556"/>
    <w:rsid w:val="00AC60AE"/>
    <w:rsid w:val="00AD07FD"/>
    <w:rsid w:val="00AD4C97"/>
    <w:rsid w:val="00AD5F69"/>
    <w:rsid w:val="00AD73AA"/>
    <w:rsid w:val="00AE0E54"/>
    <w:rsid w:val="00AE12D3"/>
    <w:rsid w:val="00AE1EF2"/>
    <w:rsid w:val="00AE2FB3"/>
    <w:rsid w:val="00AE4D48"/>
    <w:rsid w:val="00AE6EAD"/>
    <w:rsid w:val="00AF0C31"/>
    <w:rsid w:val="00AF2E08"/>
    <w:rsid w:val="00AF3653"/>
    <w:rsid w:val="00B05CE8"/>
    <w:rsid w:val="00B0741F"/>
    <w:rsid w:val="00B07FA6"/>
    <w:rsid w:val="00B10FEA"/>
    <w:rsid w:val="00B14C18"/>
    <w:rsid w:val="00B22858"/>
    <w:rsid w:val="00B23959"/>
    <w:rsid w:val="00B304DE"/>
    <w:rsid w:val="00B34213"/>
    <w:rsid w:val="00B37718"/>
    <w:rsid w:val="00B42BCE"/>
    <w:rsid w:val="00B4525E"/>
    <w:rsid w:val="00B466E8"/>
    <w:rsid w:val="00B469C2"/>
    <w:rsid w:val="00B500AA"/>
    <w:rsid w:val="00B522C7"/>
    <w:rsid w:val="00B53C44"/>
    <w:rsid w:val="00B54493"/>
    <w:rsid w:val="00B54C17"/>
    <w:rsid w:val="00B60ABB"/>
    <w:rsid w:val="00B654D3"/>
    <w:rsid w:val="00B71B06"/>
    <w:rsid w:val="00B81D6D"/>
    <w:rsid w:val="00B871A3"/>
    <w:rsid w:val="00B92A36"/>
    <w:rsid w:val="00B934BC"/>
    <w:rsid w:val="00B93DE9"/>
    <w:rsid w:val="00B944FC"/>
    <w:rsid w:val="00B947EA"/>
    <w:rsid w:val="00BB1869"/>
    <w:rsid w:val="00BB219D"/>
    <w:rsid w:val="00BB23C7"/>
    <w:rsid w:val="00BB2E97"/>
    <w:rsid w:val="00BB42BA"/>
    <w:rsid w:val="00BB4C59"/>
    <w:rsid w:val="00BB5426"/>
    <w:rsid w:val="00BB6E91"/>
    <w:rsid w:val="00BB763C"/>
    <w:rsid w:val="00BB7CAB"/>
    <w:rsid w:val="00BC27C7"/>
    <w:rsid w:val="00BC4BA1"/>
    <w:rsid w:val="00BC5CCF"/>
    <w:rsid w:val="00BC6D07"/>
    <w:rsid w:val="00BD04CD"/>
    <w:rsid w:val="00BD239B"/>
    <w:rsid w:val="00BE18AE"/>
    <w:rsid w:val="00BE52C7"/>
    <w:rsid w:val="00BF2DFA"/>
    <w:rsid w:val="00BF5745"/>
    <w:rsid w:val="00C008C6"/>
    <w:rsid w:val="00C02D2D"/>
    <w:rsid w:val="00C03DE6"/>
    <w:rsid w:val="00C049B5"/>
    <w:rsid w:val="00C06507"/>
    <w:rsid w:val="00C0784F"/>
    <w:rsid w:val="00C10D8C"/>
    <w:rsid w:val="00C12A43"/>
    <w:rsid w:val="00C226E3"/>
    <w:rsid w:val="00C325E5"/>
    <w:rsid w:val="00C32F9D"/>
    <w:rsid w:val="00C33FCB"/>
    <w:rsid w:val="00C37BA3"/>
    <w:rsid w:val="00C4359C"/>
    <w:rsid w:val="00C46B39"/>
    <w:rsid w:val="00C51FDD"/>
    <w:rsid w:val="00C57E88"/>
    <w:rsid w:val="00C6090D"/>
    <w:rsid w:val="00C609A8"/>
    <w:rsid w:val="00C61002"/>
    <w:rsid w:val="00C6409C"/>
    <w:rsid w:val="00C650D3"/>
    <w:rsid w:val="00C6788C"/>
    <w:rsid w:val="00C70AA6"/>
    <w:rsid w:val="00C7295E"/>
    <w:rsid w:val="00C75534"/>
    <w:rsid w:val="00C77B04"/>
    <w:rsid w:val="00C83B70"/>
    <w:rsid w:val="00C84948"/>
    <w:rsid w:val="00C90AC0"/>
    <w:rsid w:val="00C931E8"/>
    <w:rsid w:val="00C951D9"/>
    <w:rsid w:val="00C95F83"/>
    <w:rsid w:val="00C96BA5"/>
    <w:rsid w:val="00C97F67"/>
    <w:rsid w:val="00CA0A8C"/>
    <w:rsid w:val="00CA242F"/>
    <w:rsid w:val="00CA28DC"/>
    <w:rsid w:val="00CA4AE8"/>
    <w:rsid w:val="00CB0D14"/>
    <w:rsid w:val="00CB5A6E"/>
    <w:rsid w:val="00CB6039"/>
    <w:rsid w:val="00CB6219"/>
    <w:rsid w:val="00CC3D65"/>
    <w:rsid w:val="00CC4F9B"/>
    <w:rsid w:val="00CC5057"/>
    <w:rsid w:val="00CC5E4E"/>
    <w:rsid w:val="00CD08CD"/>
    <w:rsid w:val="00CD0E18"/>
    <w:rsid w:val="00CD3144"/>
    <w:rsid w:val="00CD4362"/>
    <w:rsid w:val="00CD58FC"/>
    <w:rsid w:val="00CD6759"/>
    <w:rsid w:val="00CE3F1E"/>
    <w:rsid w:val="00CE53EE"/>
    <w:rsid w:val="00CE6B8C"/>
    <w:rsid w:val="00CF4D25"/>
    <w:rsid w:val="00CF5ADE"/>
    <w:rsid w:val="00CF7A39"/>
    <w:rsid w:val="00D03DDA"/>
    <w:rsid w:val="00D07C8B"/>
    <w:rsid w:val="00D13A23"/>
    <w:rsid w:val="00D15CA5"/>
    <w:rsid w:val="00D1771C"/>
    <w:rsid w:val="00D23791"/>
    <w:rsid w:val="00D25FD4"/>
    <w:rsid w:val="00D265A5"/>
    <w:rsid w:val="00D30CDB"/>
    <w:rsid w:val="00D35AF4"/>
    <w:rsid w:val="00D3738E"/>
    <w:rsid w:val="00D467A0"/>
    <w:rsid w:val="00D530E2"/>
    <w:rsid w:val="00D6022F"/>
    <w:rsid w:val="00D603C9"/>
    <w:rsid w:val="00D61EB1"/>
    <w:rsid w:val="00D6570C"/>
    <w:rsid w:val="00D66ED0"/>
    <w:rsid w:val="00D703B3"/>
    <w:rsid w:val="00D70681"/>
    <w:rsid w:val="00D70EC3"/>
    <w:rsid w:val="00D741C7"/>
    <w:rsid w:val="00D7616F"/>
    <w:rsid w:val="00D777DA"/>
    <w:rsid w:val="00D801B4"/>
    <w:rsid w:val="00D8128C"/>
    <w:rsid w:val="00D81750"/>
    <w:rsid w:val="00D837C4"/>
    <w:rsid w:val="00D84B26"/>
    <w:rsid w:val="00D84E39"/>
    <w:rsid w:val="00D94BDD"/>
    <w:rsid w:val="00D95B0E"/>
    <w:rsid w:val="00DA0AD6"/>
    <w:rsid w:val="00DA2173"/>
    <w:rsid w:val="00DA66AE"/>
    <w:rsid w:val="00DA6F9A"/>
    <w:rsid w:val="00DB1D9C"/>
    <w:rsid w:val="00DB38E8"/>
    <w:rsid w:val="00DC078A"/>
    <w:rsid w:val="00DC28E8"/>
    <w:rsid w:val="00DC3FBC"/>
    <w:rsid w:val="00DC43E4"/>
    <w:rsid w:val="00DD086C"/>
    <w:rsid w:val="00DD18F1"/>
    <w:rsid w:val="00DD2F2D"/>
    <w:rsid w:val="00DD3907"/>
    <w:rsid w:val="00DE4F27"/>
    <w:rsid w:val="00DE7057"/>
    <w:rsid w:val="00DE70B9"/>
    <w:rsid w:val="00DE7144"/>
    <w:rsid w:val="00DF07A1"/>
    <w:rsid w:val="00E00D17"/>
    <w:rsid w:val="00E01BC5"/>
    <w:rsid w:val="00E06DB1"/>
    <w:rsid w:val="00E07BF3"/>
    <w:rsid w:val="00E150B0"/>
    <w:rsid w:val="00E156B1"/>
    <w:rsid w:val="00E16678"/>
    <w:rsid w:val="00E17CB0"/>
    <w:rsid w:val="00E24D9A"/>
    <w:rsid w:val="00E257E1"/>
    <w:rsid w:val="00E33090"/>
    <w:rsid w:val="00E33C67"/>
    <w:rsid w:val="00E36DAD"/>
    <w:rsid w:val="00E44021"/>
    <w:rsid w:val="00E46DDF"/>
    <w:rsid w:val="00E51A4E"/>
    <w:rsid w:val="00E532A0"/>
    <w:rsid w:val="00E547E8"/>
    <w:rsid w:val="00E569F3"/>
    <w:rsid w:val="00E65FF9"/>
    <w:rsid w:val="00E6727C"/>
    <w:rsid w:val="00E67D27"/>
    <w:rsid w:val="00E74577"/>
    <w:rsid w:val="00E77580"/>
    <w:rsid w:val="00E8690E"/>
    <w:rsid w:val="00E903A4"/>
    <w:rsid w:val="00EA36B0"/>
    <w:rsid w:val="00EB1010"/>
    <w:rsid w:val="00EB2976"/>
    <w:rsid w:val="00EB604F"/>
    <w:rsid w:val="00EC3101"/>
    <w:rsid w:val="00EC4BAB"/>
    <w:rsid w:val="00EE2173"/>
    <w:rsid w:val="00EE56C9"/>
    <w:rsid w:val="00EE5AB6"/>
    <w:rsid w:val="00F0389F"/>
    <w:rsid w:val="00F03DB2"/>
    <w:rsid w:val="00F055E1"/>
    <w:rsid w:val="00F05934"/>
    <w:rsid w:val="00F17EA5"/>
    <w:rsid w:val="00F17FAB"/>
    <w:rsid w:val="00F20B9B"/>
    <w:rsid w:val="00F24B07"/>
    <w:rsid w:val="00F26C36"/>
    <w:rsid w:val="00F2754D"/>
    <w:rsid w:val="00F3400B"/>
    <w:rsid w:val="00F34924"/>
    <w:rsid w:val="00F37A33"/>
    <w:rsid w:val="00F50816"/>
    <w:rsid w:val="00F5149D"/>
    <w:rsid w:val="00F51ECF"/>
    <w:rsid w:val="00F52ACE"/>
    <w:rsid w:val="00F557DA"/>
    <w:rsid w:val="00F56716"/>
    <w:rsid w:val="00F57AD2"/>
    <w:rsid w:val="00F62337"/>
    <w:rsid w:val="00F65F73"/>
    <w:rsid w:val="00F67E6F"/>
    <w:rsid w:val="00F67F76"/>
    <w:rsid w:val="00F700BC"/>
    <w:rsid w:val="00F72129"/>
    <w:rsid w:val="00F745B3"/>
    <w:rsid w:val="00F86512"/>
    <w:rsid w:val="00F910CA"/>
    <w:rsid w:val="00F92AB6"/>
    <w:rsid w:val="00F966C7"/>
    <w:rsid w:val="00FA26B7"/>
    <w:rsid w:val="00FA396F"/>
    <w:rsid w:val="00FA4B61"/>
    <w:rsid w:val="00FA5B4C"/>
    <w:rsid w:val="00FB21C4"/>
    <w:rsid w:val="00FB3BC3"/>
    <w:rsid w:val="00FC1A7E"/>
    <w:rsid w:val="00FC1FD1"/>
    <w:rsid w:val="00FC5A72"/>
    <w:rsid w:val="00FC5D17"/>
    <w:rsid w:val="00FC6592"/>
    <w:rsid w:val="00FD16B3"/>
    <w:rsid w:val="00FD1A1A"/>
    <w:rsid w:val="00FD2558"/>
    <w:rsid w:val="00FD4351"/>
    <w:rsid w:val="00FD5440"/>
    <w:rsid w:val="00FD5B3F"/>
    <w:rsid w:val="00FE0675"/>
    <w:rsid w:val="00FE749C"/>
    <w:rsid w:val="00FF66FE"/>
    <w:rsid w:val="00FF6A84"/>
    <w:rsid w:val="0433242B"/>
    <w:rsid w:val="049F42A6"/>
    <w:rsid w:val="093FF16E"/>
    <w:rsid w:val="0A1D3D1D"/>
    <w:rsid w:val="0DDDAB6C"/>
    <w:rsid w:val="0E61966F"/>
    <w:rsid w:val="16840C13"/>
    <w:rsid w:val="17FB8ED3"/>
    <w:rsid w:val="18AA08E5"/>
    <w:rsid w:val="197DCCA4"/>
    <w:rsid w:val="199B357A"/>
    <w:rsid w:val="1ADFF959"/>
    <w:rsid w:val="1BCB3C42"/>
    <w:rsid w:val="22BE8311"/>
    <w:rsid w:val="23F92553"/>
    <w:rsid w:val="29DB8995"/>
    <w:rsid w:val="2BDC5A84"/>
    <w:rsid w:val="2EC535B9"/>
    <w:rsid w:val="306ACCD1"/>
    <w:rsid w:val="3256F84D"/>
    <w:rsid w:val="356239B6"/>
    <w:rsid w:val="37A8EFDB"/>
    <w:rsid w:val="3812D01E"/>
    <w:rsid w:val="394A91EF"/>
    <w:rsid w:val="3A99B08E"/>
    <w:rsid w:val="3A9B290C"/>
    <w:rsid w:val="40B2D287"/>
    <w:rsid w:val="418E8D3F"/>
    <w:rsid w:val="435E271B"/>
    <w:rsid w:val="43978FF4"/>
    <w:rsid w:val="46C4EA21"/>
    <w:rsid w:val="498076C7"/>
    <w:rsid w:val="4A9BB664"/>
    <w:rsid w:val="4AF8A6C0"/>
    <w:rsid w:val="4BA52721"/>
    <w:rsid w:val="4E063A27"/>
    <w:rsid w:val="4FFE6299"/>
    <w:rsid w:val="5085849A"/>
    <w:rsid w:val="51F1CF98"/>
    <w:rsid w:val="53864AB1"/>
    <w:rsid w:val="567CEDF2"/>
    <w:rsid w:val="5F44A64A"/>
    <w:rsid w:val="61A1312C"/>
    <w:rsid w:val="63A0CFB3"/>
    <w:rsid w:val="66E49F23"/>
    <w:rsid w:val="6899F39D"/>
    <w:rsid w:val="699E940C"/>
    <w:rsid w:val="6A2D8FB2"/>
    <w:rsid w:val="6ABADEC7"/>
    <w:rsid w:val="6C5AD4DC"/>
    <w:rsid w:val="6EC3A184"/>
    <w:rsid w:val="6FC843A8"/>
    <w:rsid w:val="732CC53D"/>
    <w:rsid w:val="777F9F09"/>
    <w:rsid w:val="77BF927D"/>
    <w:rsid w:val="786C58C0"/>
    <w:rsid w:val="7B2399FE"/>
    <w:rsid w:val="7B5476E9"/>
    <w:rsid w:val="7CE599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C2B17"/>
  <w15:docId w15:val="{82EABC29-D7D3-42D6-940E-3A4E73A8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C7F"/>
    <w:rPr>
      <w:rFonts w:ascii="Times New Roman" w:eastAsia="Times New Roman" w:hAnsi="Times New Roman" w:cs="Times New Roman"/>
      <w:lang w:bidi="en-US"/>
    </w:rPr>
  </w:style>
  <w:style w:type="paragraph" w:styleId="Heading1">
    <w:name w:val="heading 1"/>
    <w:basedOn w:val="Normal"/>
    <w:uiPriority w:val="9"/>
    <w:qFormat/>
    <w:pPr>
      <w:spacing w:before="1"/>
      <w:ind w:left="1000" w:hanging="361"/>
      <w:outlineLvl w:val="0"/>
    </w:pPr>
    <w:rPr>
      <w:rFonts w:ascii="Cambria" w:eastAsia="Cambria" w:hAnsi="Cambria" w:cs="Cambria"/>
      <w:b/>
      <w:bCs/>
      <w:sz w:val="28"/>
      <w:szCs w:val="28"/>
    </w:rPr>
  </w:style>
  <w:style w:type="paragraph" w:styleId="Heading2">
    <w:name w:val="heading 2"/>
    <w:basedOn w:val="Normal"/>
    <w:uiPriority w:val="9"/>
    <w:unhideWhenUsed/>
    <w:qFormat/>
    <w:pPr>
      <w:ind w:left="1014" w:hanging="375"/>
      <w:outlineLvl w:val="1"/>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719" w:hanging="440"/>
    </w:pPr>
  </w:style>
  <w:style w:type="paragraph" w:styleId="TOC2">
    <w:name w:val="toc 2"/>
    <w:basedOn w:val="Normal"/>
    <w:uiPriority w:val="39"/>
    <w:qFormat/>
    <w:pPr>
      <w:spacing w:before="119"/>
      <w:ind w:left="1379" w:hanging="661"/>
    </w:pPr>
  </w:style>
  <w:style w:type="paragraph" w:styleId="BodyText">
    <w:name w:val="Body Text"/>
    <w:basedOn w:val="Normal"/>
    <w:link w:val="BodyTextChar"/>
    <w:uiPriority w:val="1"/>
    <w:qFormat/>
  </w:style>
  <w:style w:type="paragraph" w:styleId="ListParagraph">
    <w:name w:val="List Paragraph"/>
    <w:aliases w:val="List Paragraph (numbered (a)),Bullets,List Paragraph1"/>
    <w:basedOn w:val="Normal"/>
    <w:link w:val="ListParagraphChar"/>
    <w:uiPriority w:val="34"/>
    <w:qFormat/>
    <w:pPr>
      <w:ind w:left="82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5F2731"/>
    <w:pPr>
      <w:tabs>
        <w:tab w:val="center" w:pos="4680"/>
        <w:tab w:val="right" w:pos="9360"/>
      </w:tabs>
    </w:pPr>
  </w:style>
  <w:style w:type="character" w:customStyle="1" w:styleId="HeaderChar">
    <w:name w:val="Header Char"/>
    <w:basedOn w:val="DefaultParagraphFont"/>
    <w:link w:val="Header"/>
    <w:uiPriority w:val="99"/>
    <w:rsid w:val="005F2731"/>
    <w:rPr>
      <w:rFonts w:ascii="Times New Roman" w:eastAsia="Times New Roman" w:hAnsi="Times New Roman" w:cs="Times New Roman"/>
      <w:lang w:bidi="en-US"/>
    </w:rPr>
  </w:style>
  <w:style w:type="paragraph" w:styleId="Footer">
    <w:name w:val="footer"/>
    <w:basedOn w:val="Normal"/>
    <w:link w:val="FooterChar"/>
    <w:uiPriority w:val="99"/>
    <w:unhideWhenUsed/>
    <w:rsid w:val="005F2731"/>
    <w:pPr>
      <w:tabs>
        <w:tab w:val="center" w:pos="4680"/>
        <w:tab w:val="right" w:pos="9360"/>
      </w:tabs>
    </w:pPr>
  </w:style>
  <w:style w:type="character" w:customStyle="1" w:styleId="FooterChar">
    <w:name w:val="Footer Char"/>
    <w:basedOn w:val="DefaultParagraphFont"/>
    <w:link w:val="Footer"/>
    <w:uiPriority w:val="99"/>
    <w:rsid w:val="005F2731"/>
    <w:rPr>
      <w:rFonts w:ascii="Times New Roman" w:eastAsia="Times New Roman" w:hAnsi="Times New Roman" w:cs="Times New Roman"/>
      <w:lang w:bidi="en-US"/>
    </w:rPr>
  </w:style>
  <w:style w:type="character" w:styleId="CommentReference">
    <w:name w:val="annotation reference"/>
    <w:basedOn w:val="DefaultParagraphFont"/>
    <w:semiHidden/>
    <w:unhideWhenUsed/>
    <w:rsid w:val="00B14C18"/>
    <w:rPr>
      <w:sz w:val="16"/>
      <w:szCs w:val="16"/>
    </w:rPr>
  </w:style>
  <w:style w:type="paragraph" w:styleId="CommentText">
    <w:name w:val="annotation text"/>
    <w:basedOn w:val="Normal"/>
    <w:link w:val="CommentTextChar"/>
    <w:unhideWhenUsed/>
    <w:rsid w:val="00B14C18"/>
    <w:pPr>
      <w:widowControl/>
      <w:autoSpaceDE/>
      <w:autoSpaceDN/>
      <w:spacing w:after="160"/>
    </w:pPr>
    <w:rPr>
      <w:rFonts w:asciiTheme="minorHAnsi" w:eastAsiaTheme="minorHAnsi" w:hAnsiTheme="minorHAnsi" w:cstheme="minorBidi"/>
      <w:sz w:val="20"/>
      <w:szCs w:val="20"/>
      <w:lang w:val="en-GB" w:bidi="ar-SA"/>
    </w:rPr>
  </w:style>
  <w:style w:type="character" w:customStyle="1" w:styleId="CommentTextChar">
    <w:name w:val="Comment Text Char"/>
    <w:basedOn w:val="DefaultParagraphFont"/>
    <w:link w:val="CommentText"/>
    <w:rsid w:val="00B14C18"/>
    <w:rPr>
      <w:sz w:val="20"/>
      <w:szCs w:val="20"/>
      <w:lang w:val="en-GB"/>
    </w:rPr>
  </w:style>
  <w:style w:type="table" w:styleId="TableGrid">
    <w:name w:val="Table Grid"/>
    <w:aliases w:val="IPG Table 1"/>
    <w:basedOn w:val="TableNormal"/>
    <w:uiPriority w:val="39"/>
    <w:rsid w:val="008A2C43"/>
    <w:pPr>
      <w:widowControl/>
      <w:autoSpaceDE/>
      <w:autoSpaceDN/>
    </w:pPr>
    <w:rPr>
      <w:color w:val="000000" w:themeColor="text1"/>
      <w:sz w:val="18"/>
      <w:szCs w:val="18"/>
      <w:lang w:val="en-GB"/>
    </w:rPr>
    <w:tblPr/>
  </w:style>
  <w:style w:type="character" w:customStyle="1" w:styleId="ListParagraphChar">
    <w:name w:val="List Paragraph Char"/>
    <w:aliases w:val="List Paragraph (numbered (a)) Char,Bullets Char,List Paragraph1 Char"/>
    <w:basedOn w:val="DefaultParagraphFont"/>
    <w:link w:val="ListParagraph"/>
    <w:uiPriority w:val="34"/>
    <w:locked/>
    <w:rsid w:val="00791830"/>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791830"/>
    <w:pPr>
      <w:widowControl/>
      <w:autoSpaceDE/>
      <w:autoSpaceDN/>
    </w:pPr>
    <w:rPr>
      <w:rFonts w:asciiTheme="minorHAnsi" w:eastAsiaTheme="minorHAnsi" w:hAnsiTheme="minorHAnsi" w:cstheme="minorBidi"/>
      <w:sz w:val="20"/>
      <w:szCs w:val="20"/>
      <w:lang w:val="en-GB" w:bidi="ar-SA"/>
    </w:rPr>
  </w:style>
  <w:style w:type="character" w:customStyle="1" w:styleId="FootnoteTextChar">
    <w:name w:val="Footnote Text Char"/>
    <w:basedOn w:val="DefaultParagraphFont"/>
    <w:link w:val="FootnoteText"/>
    <w:uiPriority w:val="99"/>
    <w:semiHidden/>
    <w:rsid w:val="00791830"/>
    <w:rPr>
      <w:sz w:val="20"/>
      <w:szCs w:val="20"/>
      <w:lang w:val="en-GB"/>
    </w:rPr>
  </w:style>
  <w:style w:type="character" w:styleId="FootnoteReference">
    <w:name w:val="footnote reference"/>
    <w:basedOn w:val="DefaultParagraphFont"/>
    <w:uiPriority w:val="99"/>
    <w:semiHidden/>
    <w:unhideWhenUsed/>
    <w:rsid w:val="00791830"/>
    <w:rPr>
      <w:vertAlign w:val="superscript"/>
    </w:rPr>
  </w:style>
  <w:style w:type="paragraph" w:styleId="Revision">
    <w:name w:val="Revision"/>
    <w:hidden/>
    <w:uiPriority w:val="99"/>
    <w:semiHidden/>
    <w:rsid w:val="00791830"/>
    <w:pPr>
      <w:widowControl/>
      <w:autoSpaceDE/>
      <w:autoSpaceDN/>
    </w:pPr>
    <w:rPr>
      <w:rFonts w:ascii="Times New Roman" w:eastAsia="Times New Roman" w:hAnsi="Times New Roman" w:cs="Times New Roman"/>
      <w:lang w:bidi="en-US"/>
    </w:rPr>
  </w:style>
  <w:style w:type="character" w:customStyle="1" w:styleId="cf01">
    <w:name w:val="cf01"/>
    <w:basedOn w:val="DefaultParagraphFont"/>
    <w:rsid w:val="002213D9"/>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0D076D"/>
    <w:pPr>
      <w:widowControl w:val="0"/>
      <w:autoSpaceDE w:val="0"/>
      <w:autoSpaceDN w:val="0"/>
      <w:spacing w:after="0"/>
    </w:pPr>
    <w:rPr>
      <w:rFonts w:ascii="Times New Roman" w:eastAsia="Times New Roman" w:hAnsi="Times New Roman" w:cs="Times New Roman"/>
      <w:b/>
      <w:bCs/>
      <w:lang w:val="en-US" w:bidi="en-US"/>
    </w:rPr>
  </w:style>
  <w:style w:type="character" w:customStyle="1" w:styleId="CommentSubjectChar">
    <w:name w:val="Comment Subject Char"/>
    <w:basedOn w:val="CommentTextChar"/>
    <w:link w:val="CommentSubject"/>
    <w:uiPriority w:val="99"/>
    <w:semiHidden/>
    <w:rsid w:val="000D076D"/>
    <w:rPr>
      <w:rFonts w:ascii="Times New Roman" w:eastAsia="Times New Roman" w:hAnsi="Times New Roman" w:cs="Times New Roman"/>
      <w:b/>
      <w:bCs/>
      <w:sz w:val="20"/>
      <w:szCs w:val="20"/>
      <w:lang w:val="en-GB" w:bidi="en-US"/>
    </w:rPr>
  </w:style>
  <w:style w:type="paragraph" w:customStyle="1" w:styleId="Bullet1">
    <w:name w:val="Bullet 1"/>
    <w:basedOn w:val="Normal"/>
    <w:uiPriority w:val="1"/>
    <w:qFormat/>
    <w:rsid w:val="00167985"/>
    <w:pPr>
      <w:widowControl/>
      <w:autoSpaceDE/>
      <w:autoSpaceDN/>
      <w:spacing w:after="160"/>
    </w:pPr>
    <w:rPr>
      <w:rFonts w:asciiTheme="minorHAnsi" w:hAnsiTheme="minorHAnsi"/>
      <w:color w:val="000000" w:themeColor="text1"/>
      <w:kern w:val="16"/>
      <w:sz w:val="18"/>
      <w:szCs w:val="24"/>
      <w:lang w:val="en-GB" w:eastAsia="en-GB" w:bidi="ar-SA"/>
    </w:rPr>
  </w:style>
  <w:style w:type="character" w:styleId="Hyperlink">
    <w:name w:val="Hyperlink"/>
    <w:basedOn w:val="DefaultParagraphFont"/>
    <w:uiPriority w:val="99"/>
    <w:unhideWhenUsed/>
    <w:rsid w:val="00A70FBD"/>
    <w:rPr>
      <w:color w:val="0000FF" w:themeColor="hyperlink"/>
      <w:u w:val="single"/>
    </w:rPr>
  </w:style>
  <w:style w:type="character" w:styleId="UnresolvedMention">
    <w:name w:val="Unresolved Mention"/>
    <w:basedOn w:val="DefaultParagraphFont"/>
    <w:uiPriority w:val="99"/>
    <w:semiHidden/>
    <w:unhideWhenUsed/>
    <w:rsid w:val="002447B2"/>
    <w:rPr>
      <w:color w:val="605E5C"/>
      <w:shd w:val="clear" w:color="auto" w:fill="E1DFDD"/>
    </w:rPr>
  </w:style>
  <w:style w:type="paragraph" w:customStyle="1" w:styleId="pf0">
    <w:name w:val="pf0"/>
    <w:basedOn w:val="Normal"/>
    <w:rsid w:val="0065093B"/>
    <w:pPr>
      <w:widowControl/>
      <w:autoSpaceDE/>
      <w:autoSpaceDN/>
      <w:spacing w:before="100" w:beforeAutospacing="1" w:after="100" w:afterAutospacing="1"/>
    </w:pPr>
    <w:rPr>
      <w:sz w:val="24"/>
      <w:szCs w:val="24"/>
      <w:lang w:val="en-GB" w:eastAsia="en-GB" w:bidi="ar-SA"/>
    </w:rPr>
  </w:style>
  <w:style w:type="character" w:customStyle="1" w:styleId="cf11">
    <w:name w:val="cf11"/>
    <w:basedOn w:val="DefaultParagraphFont"/>
    <w:rsid w:val="009132CF"/>
    <w:rPr>
      <w:rFonts w:ascii="Segoe UI" w:hAnsi="Segoe UI" w:cs="Segoe UI" w:hint="default"/>
      <w:b/>
      <w:bCs/>
      <w:sz w:val="18"/>
      <w:szCs w:val="18"/>
    </w:rPr>
  </w:style>
  <w:style w:type="character" w:customStyle="1" w:styleId="cf31">
    <w:name w:val="cf31"/>
    <w:basedOn w:val="DefaultParagraphFont"/>
    <w:rsid w:val="009132CF"/>
    <w:rPr>
      <w:rFonts w:ascii="Segoe UI" w:hAnsi="Segoe UI" w:cs="Segoe UI" w:hint="default"/>
      <w:b/>
      <w:bCs/>
      <w:sz w:val="18"/>
      <w:szCs w:val="18"/>
    </w:rPr>
  </w:style>
  <w:style w:type="character" w:customStyle="1" w:styleId="cf41">
    <w:name w:val="cf41"/>
    <w:basedOn w:val="DefaultParagraphFont"/>
    <w:rsid w:val="009132CF"/>
    <w:rPr>
      <w:rFonts w:ascii="Segoe UI" w:hAnsi="Segoe UI" w:cs="Segoe UI" w:hint="default"/>
      <w:i/>
      <w:iCs/>
      <w:sz w:val="18"/>
      <w:szCs w:val="18"/>
    </w:rPr>
  </w:style>
  <w:style w:type="paragraph" w:styleId="NormalWeb">
    <w:name w:val="Normal (Web)"/>
    <w:basedOn w:val="Normal"/>
    <w:uiPriority w:val="99"/>
    <w:semiHidden/>
    <w:unhideWhenUsed/>
    <w:rsid w:val="009132CF"/>
    <w:pPr>
      <w:widowControl/>
      <w:autoSpaceDE/>
      <w:autoSpaceDN/>
      <w:spacing w:before="100" w:beforeAutospacing="1" w:after="100" w:afterAutospacing="1"/>
    </w:pPr>
    <w:rPr>
      <w:sz w:val="24"/>
      <w:szCs w:val="24"/>
      <w:lang w:bidi="ar-SA"/>
    </w:rPr>
  </w:style>
  <w:style w:type="character" w:customStyle="1" w:styleId="BodyTextChar">
    <w:name w:val="Body Text Char"/>
    <w:basedOn w:val="DefaultParagraphFont"/>
    <w:link w:val="BodyText"/>
    <w:uiPriority w:val="1"/>
    <w:rsid w:val="00D703B3"/>
    <w:rPr>
      <w:rFonts w:ascii="Times New Roman" w:eastAsia="Times New Roman" w:hAnsi="Times New Roman" w:cs="Times New Roman"/>
      <w:lang w:bidi="en-US"/>
    </w:rPr>
  </w:style>
  <w:style w:type="character" w:customStyle="1" w:styleId="normaltextrun">
    <w:name w:val="normaltextrun"/>
    <w:basedOn w:val="DefaultParagraphFont"/>
    <w:rsid w:val="00EE5AB6"/>
  </w:style>
  <w:style w:type="character" w:customStyle="1" w:styleId="eop">
    <w:name w:val="eop"/>
    <w:basedOn w:val="DefaultParagraphFont"/>
    <w:rsid w:val="00EE5AB6"/>
  </w:style>
  <w:style w:type="character" w:customStyle="1" w:styleId="ui-provider">
    <w:name w:val="ui-provider"/>
    <w:basedOn w:val="DefaultParagraphFont"/>
    <w:rsid w:val="0072299D"/>
  </w:style>
  <w:style w:type="character" w:styleId="FollowedHyperlink">
    <w:name w:val="FollowedHyperlink"/>
    <w:basedOn w:val="DefaultParagraphFont"/>
    <w:uiPriority w:val="99"/>
    <w:semiHidden/>
    <w:unhideWhenUsed/>
    <w:rsid w:val="00D265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6998">
      <w:bodyDiv w:val="1"/>
      <w:marLeft w:val="0"/>
      <w:marRight w:val="0"/>
      <w:marTop w:val="0"/>
      <w:marBottom w:val="0"/>
      <w:divBdr>
        <w:top w:val="none" w:sz="0" w:space="0" w:color="auto"/>
        <w:left w:val="none" w:sz="0" w:space="0" w:color="auto"/>
        <w:bottom w:val="none" w:sz="0" w:space="0" w:color="auto"/>
        <w:right w:val="none" w:sz="0" w:space="0" w:color="auto"/>
      </w:divBdr>
    </w:div>
    <w:div w:id="271978561">
      <w:bodyDiv w:val="1"/>
      <w:marLeft w:val="0"/>
      <w:marRight w:val="0"/>
      <w:marTop w:val="0"/>
      <w:marBottom w:val="0"/>
      <w:divBdr>
        <w:top w:val="none" w:sz="0" w:space="0" w:color="auto"/>
        <w:left w:val="none" w:sz="0" w:space="0" w:color="auto"/>
        <w:bottom w:val="none" w:sz="0" w:space="0" w:color="auto"/>
        <w:right w:val="none" w:sz="0" w:space="0" w:color="auto"/>
      </w:divBdr>
    </w:div>
    <w:div w:id="1405881288">
      <w:bodyDiv w:val="1"/>
      <w:marLeft w:val="0"/>
      <w:marRight w:val="0"/>
      <w:marTop w:val="0"/>
      <w:marBottom w:val="0"/>
      <w:divBdr>
        <w:top w:val="none" w:sz="0" w:space="0" w:color="auto"/>
        <w:left w:val="none" w:sz="0" w:space="0" w:color="auto"/>
        <w:bottom w:val="none" w:sz="0" w:space="0" w:color="auto"/>
        <w:right w:val="none" w:sz="0" w:space="0" w:color="auto"/>
      </w:divBdr>
    </w:div>
    <w:div w:id="1409886799">
      <w:bodyDiv w:val="1"/>
      <w:marLeft w:val="0"/>
      <w:marRight w:val="0"/>
      <w:marTop w:val="0"/>
      <w:marBottom w:val="0"/>
      <w:divBdr>
        <w:top w:val="none" w:sz="0" w:space="0" w:color="auto"/>
        <w:left w:val="none" w:sz="0" w:space="0" w:color="auto"/>
        <w:bottom w:val="none" w:sz="0" w:space="0" w:color="auto"/>
        <w:right w:val="none" w:sz="0" w:space="0" w:color="auto"/>
      </w:divBdr>
    </w:div>
    <w:div w:id="1669164907">
      <w:bodyDiv w:val="1"/>
      <w:marLeft w:val="0"/>
      <w:marRight w:val="0"/>
      <w:marTop w:val="0"/>
      <w:marBottom w:val="0"/>
      <w:divBdr>
        <w:top w:val="none" w:sz="0" w:space="0" w:color="auto"/>
        <w:left w:val="none" w:sz="0" w:space="0" w:color="auto"/>
        <w:bottom w:val="none" w:sz="0" w:space="0" w:color="auto"/>
        <w:right w:val="none" w:sz="0" w:space="0" w:color="auto"/>
      </w:divBdr>
    </w:div>
    <w:div w:id="1674187419">
      <w:bodyDiv w:val="1"/>
      <w:marLeft w:val="0"/>
      <w:marRight w:val="0"/>
      <w:marTop w:val="0"/>
      <w:marBottom w:val="0"/>
      <w:divBdr>
        <w:top w:val="none" w:sz="0" w:space="0" w:color="auto"/>
        <w:left w:val="none" w:sz="0" w:space="0" w:color="auto"/>
        <w:bottom w:val="none" w:sz="0" w:space="0" w:color="auto"/>
        <w:right w:val="none" w:sz="0" w:space="0" w:color="auto"/>
      </w:divBdr>
    </w:div>
    <w:div w:id="1951474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sdg.un.org/sites/default/files/2020-03/Annex-1-UNSDG-Common-Approach-to-Due-Diligence.pdf" TargetMode="External"/><Relationship Id="rId18" Type="http://schemas.openxmlformats.org/officeDocument/2006/relationships/hyperlink" Target="https://popp.undp.org/node/20606" TargetMode="External"/><Relationship Id="rId26" Type="http://schemas.openxmlformats.org/officeDocument/2006/relationships/image" Target="media/image4.png"/><Relationship Id="rId39" Type="http://schemas.openxmlformats.org/officeDocument/2006/relationships/image" Target="media/image15.png"/><Relationship Id="rId21" Type="http://schemas.openxmlformats.org/officeDocument/2006/relationships/footer" Target="footer5.xm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pp.undp.org/fr/page-de-politique-generale/partenariats-avec-le-secteur-prive" TargetMode="External"/><Relationship Id="rId29" Type="http://schemas.openxmlformats.org/officeDocument/2006/relationships/hyperlink" Target="http://www.undp.org/content/dam/undp/library/corporate/Partnerships/Private%20Sector/JOHANNESBURG%20DECLAR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undp.org/content/dam/undp/library/corporate/Partnerships/Private%20Sector/JOHANNESBURG%20DECLARATION.pdf"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 Type="http://schemas.openxmlformats.org/officeDocument/2006/relationships/numbering" Target="numbering.xml"/><Relationship Id="rId15" Type="http://schemas.openxmlformats.org/officeDocument/2006/relationships/hyperlink" Target="https://popp.undp.org/fr/page-de-politique-generale/gestion-du-risque-institutionnel-gri" TargetMode="External"/><Relationship Id="rId23" Type="http://schemas.openxmlformats.org/officeDocument/2006/relationships/image" Target="media/image3.png"/><Relationship Id="rId28" Type="http://schemas.openxmlformats.org/officeDocument/2006/relationships/hyperlink" Target="http://www.undp.org/content/dam/undp/library/corporate/Partnerships/Private%20Sector/JOHANNESBURG%20DECLARATION.pdf" TargetMode="External"/><Relationship Id="rId36"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7.png"/><Relationship Id="rId44"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fr/page-de-politique-generale/partenariats-avec-le-secteur-prive" TargetMode="Externa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www.undp.org/content/dam/undp/library/corporate/Partnerships/Private%20Sector/JOHANNESBURG%20DECLARATION.pdf"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image" Target="media/image17.png"/></Relationships>
</file>

<file path=word/_rels/footnotes.xml.rels><?xml version="1.0" encoding="UTF-8" standalone="yes"?>
<Relationships xmlns="http://schemas.openxmlformats.org/package/2006/relationships"><Relationship Id="rId8" Type="http://schemas.openxmlformats.org/officeDocument/2006/relationships/hyperlink" Target="https://unsdg.un.org/sites/default/files/2020-03/Annex-1-UNSDG-Common-Approach-to-Due-Diligence.pdf" TargetMode="External"/><Relationship Id="rId3" Type="http://schemas.openxmlformats.org/officeDocument/2006/relationships/hyperlink" Target="https://popp.undp.org/fr/page-de-politique-generale/partenariats-avec-le-secteur-prive" TargetMode="External"/><Relationship Id="rId7" Type="http://schemas.openxmlformats.org/officeDocument/2006/relationships/hyperlink" Target="https://cites.org/fra" TargetMode="External"/><Relationship Id="rId2" Type="http://schemas.openxmlformats.org/officeDocument/2006/relationships/hyperlink" Target="https://www.un.org/en/ethics/assets/pdfs/Guidelines-on-Cooperation-with-the-Business-Sector.pdf" TargetMode="External"/><Relationship Id="rId1" Type="http://schemas.openxmlformats.org/officeDocument/2006/relationships/hyperlink" Target="https://undocs.org/Home/Mobile?FinalSymbol=DP%2F2021%2F2&amp;Language=E&amp;DeviceType=Desktop&amp;LangRequested=False" TargetMode="External"/><Relationship Id="rId6" Type="http://schemas.openxmlformats.org/officeDocument/2006/relationships/hyperlink" Target="https://popp.undp.org/fr/document/politique-du-pnud-en-matiere-de-lutte-contre-le-blanchiment-dargent-et-le-financement-du" TargetMode="External"/><Relationship Id="rId11" Type="http://schemas.openxmlformats.org/officeDocument/2006/relationships/hyperlink" Target="https://popp.undp.org/fr/document/selectionner-les-parties-responsables-et-les-beneficiaires-de-subventions" TargetMode="External"/><Relationship Id="rId5" Type="http://schemas.openxmlformats.org/officeDocument/2006/relationships/hyperlink" Target="https://popp.undp.org/node/4066" TargetMode="External"/><Relationship Id="rId10" Type="http://schemas.openxmlformats.org/officeDocument/2006/relationships/hyperlink" Target="https://undp.sharepoint.com/teams/RSCA/Know/extractives/Key%20Resources/A%20Practitioner%E2%80%99s%20Guide%20Web.pdf?CT=1681235115596&amp;OR=ItemsView" TargetMode="External"/><Relationship Id="rId4" Type="http://schemas.openxmlformats.org/officeDocument/2006/relationships/hyperlink" Target="https://popp.undp.org/fr/document/politique-du-pnud-en-matiere-de-lutte-contre-le-blanchiment-dargent-et-le-financement-du" TargetMode="External"/><Relationship Id="rId9" Type="http://schemas.openxmlformats.org/officeDocument/2006/relationships/hyperlink" Target="https://www.who.int/fr/publications-detail/92415416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E5EB98AFACA49B955F57620F5DD44" ma:contentTypeVersion="14" ma:contentTypeDescription="Create a new document." ma:contentTypeScope="" ma:versionID="afa931511fda0be9a3c88c8975a79419">
  <xsd:schema xmlns:xsd="http://www.w3.org/2001/XMLSchema" xmlns:xs="http://www.w3.org/2001/XMLSchema" xmlns:p="http://schemas.microsoft.com/office/2006/metadata/properties" xmlns:ns2="1bac64ba-0994-44c4-ac1f-cfbdbbcd60dd" xmlns:ns3="c26dc373-2944-4fff-a656-1635ba5514b5" targetNamespace="http://schemas.microsoft.com/office/2006/metadata/properties" ma:root="true" ma:fieldsID="c63902e4c29edcf8227613901e0ec2b9" ns2:_="" ns3:_="">
    <xsd:import namespace="1bac64ba-0994-44c4-ac1f-cfbdbbcd60dd"/>
    <xsd:import namespace="c26dc373-2944-4fff-a656-1635ba55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64ba-0994-44c4-ac1f-cfbdbbcd6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dc373-2944-4fff-a656-1635ba5514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2312A-36BB-4B68-84A7-90CC1C93DF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419666-06AD-4DB5-8191-F854FB42DBAC}">
  <ds:schemaRefs>
    <ds:schemaRef ds:uri="http://schemas.microsoft.com/sharepoint/v3/contenttype/forms"/>
  </ds:schemaRefs>
</ds:datastoreItem>
</file>

<file path=customXml/itemProps3.xml><?xml version="1.0" encoding="utf-8"?>
<ds:datastoreItem xmlns:ds="http://schemas.openxmlformats.org/officeDocument/2006/customXml" ds:itemID="{7CE5CA4F-4695-4B8E-A24F-264436A40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64ba-0994-44c4-ac1f-cfbdbbcd60dd"/>
    <ds:schemaRef ds:uri="c26dc373-2944-4fff-a656-1635ba5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7A094-73FD-4F2C-9708-6401F1EC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10364</Words>
  <Characters>59075</Characters>
  <Application>Microsoft Office Word</Application>
  <DocSecurity>0</DocSecurity>
  <Lines>492</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cp:lastModifiedBy>Pablo Morete</cp:lastModifiedBy>
  <cp:revision>3</cp:revision>
  <dcterms:created xsi:type="dcterms:W3CDTF">2024-04-09T04:52:00Z</dcterms:created>
  <dcterms:modified xsi:type="dcterms:W3CDTF">2024-04-09T04:52:00Z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2015-03-19T00:00:00Z</vt:filetime>
  </property>
  <property fmtid="{D5CDD505-2E9C-101B-9397-08002B2CF9AE}" pid="3" name="Creator">
    <vt:lpwstr>Microsoft® Word 2013</vt:lpwstr>
  </property>
  <property fmtid="{D5CDD505-2E9C-101B-9397-08002B2CF9AE}" pid="4" name="LastSaved">
    <vt:filetime>2023-01-18T00:00:00Z</vt:filetime>
  </property>
  <property fmtid="{D5CDD505-2E9C-101B-9397-08002B2CF9AE}" pid="5" name="ContentTypeId">
    <vt:lpwstr>0x010100DF4E5EB98AFACA49B955F57620F5DD44</vt:lpwstr>
  </property>
</Properties>
</file>